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CDB59" w14:textId="4F2A4F1D" w:rsidR="00AE4AAE" w:rsidRDefault="00AE4AAE" w:rsidP="00AE4AAE">
      <w:pPr>
        <w:pStyle w:val="Normalcentred"/>
        <w:rPr>
          <w:color w:val="081E3E"/>
          <w:sz w:val="28"/>
        </w:rPr>
      </w:pPr>
      <w:bookmarkStart w:id="0" w:name="_GoBack"/>
      <w:bookmarkEnd w:id="0"/>
      <w:r w:rsidRPr="00042CCD">
        <w:rPr>
          <w:noProof/>
          <w:lang w:eastAsia="en-AU"/>
        </w:rPr>
        <w:drawing>
          <wp:anchor distT="0" distB="0" distL="114300" distR="114300" simplePos="0" relativeHeight="251660288" behindDoc="0" locked="0" layoutInCell="1" allowOverlap="1" wp14:anchorId="6F041BB2" wp14:editId="4A239B3B">
            <wp:simplePos x="0" y="0"/>
            <wp:positionH relativeFrom="column">
              <wp:posOffset>-189827</wp:posOffset>
            </wp:positionH>
            <wp:positionV relativeFrom="paragraph">
              <wp:posOffset>-641587</wp:posOffset>
            </wp:positionV>
            <wp:extent cx="3804920" cy="636905"/>
            <wp:effectExtent l="0" t="0" r="5080" b="0"/>
            <wp:wrapNone/>
            <wp:docPr id="2"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ogo for the Department of Infrastructure, Transport, Regional Development and Communications"/>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804920" cy="636905"/>
                    </a:xfrm>
                    <a:prstGeom prst="rect">
                      <a:avLst/>
                    </a:prstGeom>
                    <a:noFill/>
                    <a:ln>
                      <a:noFill/>
                    </a:ln>
                  </pic:spPr>
                </pic:pic>
              </a:graphicData>
            </a:graphic>
          </wp:anchor>
        </w:drawing>
      </w:r>
    </w:p>
    <w:p w14:paraId="07F58051" w14:textId="2F3FDB89" w:rsidR="00042CCD" w:rsidRPr="00042CCD" w:rsidRDefault="00042CCD" w:rsidP="00AE4AAE">
      <w:pPr>
        <w:pStyle w:val="Normalcentred"/>
        <w:rPr>
          <w:color w:val="081E3E"/>
          <w:sz w:val="28"/>
        </w:rPr>
      </w:pPr>
    </w:p>
    <w:p w14:paraId="34D3F60B" w14:textId="1ED11D44" w:rsidR="00042CCD" w:rsidRPr="00850EA5" w:rsidRDefault="00042CCD" w:rsidP="00850EA5">
      <w:pPr>
        <w:ind w:left="851"/>
        <w:rPr>
          <w:b/>
          <w:color w:val="1F3864" w:themeColor="accent5" w:themeShade="80"/>
          <w:sz w:val="52"/>
        </w:rPr>
      </w:pPr>
      <w:r w:rsidRPr="00850EA5">
        <w:rPr>
          <w:b/>
          <w:color w:val="1F3864" w:themeColor="accent5" w:themeShade="80"/>
          <w:sz w:val="52"/>
        </w:rPr>
        <w:t>Reform of the Disability Standards for Accessible Public Transport 2002—Stage 2 Decision Regulation Impact Statement</w:t>
      </w:r>
    </w:p>
    <w:p w14:paraId="6760E6FA" w14:textId="30CD06C8" w:rsidR="00AE165A" w:rsidRDefault="00042CCD" w:rsidP="00AE165A">
      <w:pPr>
        <w:pStyle w:val="NoSpacing"/>
        <w:spacing w:before="120"/>
      </w:pPr>
      <w:r>
        <w:rPr>
          <w:noProof/>
          <w:lang w:eastAsia="en-AU"/>
        </w:rPr>
        <w:drawing>
          <wp:anchor distT="0" distB="0" distL="114300" distR="114300" simplePos="0" relativeHeight="251659264" behindDoc="1" locked="1" layoutInCell="1" allowOverlap="1" wp14:anchorId="59833161" wp14:editId="1EA1CAC7">
            <wp:simplePos x="0" y="0"/>
            <wp:positionH relativeFrom="page">
              <wp:posOffset>17780</wp:posOffset>
            </wp:positionH>
            <wp:positionV relativeFrom="page">
              <wp:posOffset>134620</wp:posOffset>
            </wp:positionV>
            <wp:extent cx="7555865" cy="10598150"/>
            <wp:effectExtent l="0" t="0" r="6985" b="0"/>
            <wp:wrapNone/>
            <wp:docPr id="7" name="Picture 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pic:cNvPr>
                    <pic:cNvPicPr>
                      <a:picLocks/>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5865" cy="1059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48C2">
        <w:br w:type="page"/>
      </w:r>
      <w:bookmarkStart w:id="1" w:name="_Toc130912478"/>
      <w:bookmarkStart w:id="2" w:name="_Toc130914378"/>
      <w:bookmarkStart w:id="3" w:name="_Toc106630009"/>
      <w:bookmarkStart w:id="4" w:name="_Toc122515418"/>
      <w:bookmarkStart w:id="5" w:name="_Toc106630013"/>
      <w:bookmarkStart w:id="6" w:name="_Toc106630025"/>
      <w:bookmarkStart w:id="7" w:name="_Toc122515446"/>
      <w:r w:rsidR="00AE165A">
        <w:lastRenderedPageBreak/>
        <w:t>© Commonwealth of Australia 2023</w:t>
      </w:r>
    </w:p>
    <w:p w14:paraId="0B89E110" w14:textId="77777777" w:rsidR="00AE165A" w:rsidRDefault="00AE165A" w:rsidP="00AE165A">
      <w:pPr>
        <w:pStyle w:val="NoSpacing"/>
        <w:spacing w:before="120"/>
      </w:pPr>
      <w:r>
        <w:t>ISBN 978-1-922521-91-0</w:t>
      </w:r>
    </w:p>
    <w:p w14:paraId="438BC6EE" w14:textId="27052C0F" w:rsidR="00AE165A" w:rsidRDefault="00AE165A" w:rsidP="00AE165A">
      <w:pPr>
        <w:pStyle w:val="NoSpacing"/>
        <w:tabs>
          <w:tab w:val="left" w:pos="1676"/>
        </w:tabs>
        <w:spacing w:before="120"/>
      </w:pPr>
      <w:r>
        <w:t>April 2023</w:t>
      </w:r>
      <w:r>
        <w:tab/>
      </w:r>
    </w:p>
    <w:p w14:paraId="0C77F42D" w14:textId="77777777" w:rsidR="00AE165A" w:rsidRDefault="00AE165A" w:rsidP="00AE165A">
      <w:pPr>
        <w:pStyle w:val="NoSpacing"/>
        <w:tabs>
          <w:tab w:val="left" w:pos="1676"/>
        </w:tabs>
        <w:spacing w:before="120"/>
      </w:pPr>
    </w:p>
    <w:p w14:paraId="2C9F323C" w14:textId="50A328A1" w:rsidR="006D6F3F" w:rsidRPr="007D162C" w:rsidRDefault="006D6F3F" w:rsidP="00AE165A">
      <w:pPr>
        <w:pStyle w:val="NoSpacing"/>
        <w:spacing w:before="120"/>
      </w:pPr>
      <w:r w:rsidRPr="007D162C">
        <w:t>Ownership of intellectual property rights in this publication</w:t>
      </w:r>
      <w:bookmarkEnd w:id="1"/>
      <w:bookmarkEnd w:id="2"/>
    </w:p>
    <w:p w14:paraId="7256FF16" w14:textId="77777777" w:rsidR="006D6F3F" w:rsidRPr="007D162C" w:rsidRDefault="006D6F3F" w:rsidP="006D6F3F">
      <w:pPr>
        <w:spacing w:before="120"/>
        <w:rPr>
          <w:lang w:val="x-none"/>
        </w:rPr>
      </w:pPr>
      <w:r w:rsidRPr="007D162C">
        <w:rPr>
          <w:lang w:val="x-none"/>
        </w:rPr>
        <w:t>Unless otherwise noted, copyright (and any other intellectual property rights, if any) in this publication is owned by the</w:t>
      </w:r>
      <w:r w:rsidRPr="007D162C">
        <w:t xml:space="preserve"> </w:t>
      </w:r>
      <w:r w:rsidRPr="007D162C">
        <w:rPr>
          <w:lang w:val="x-none"/>
        </w:rPr>
        <w:t>Commonwealth of Australia (referred to below as the Commonwealth).</w:t>
      </w:r>
    </w:p>
    <w:p w14:paraId="0E84E049" w14:textId="77777777" w:rsidR="006D6F3F" w:rsidRPr="00850EA5" w:rsidRDefault="006D6F3F" w:rsidP="00850EA5">
      <w:pPr>
        <w:rPr>
          <w:b/>
        </w:rPr>
      </w:pPr>
      <w:bookmarkStart w:id="8" w:name="_Toc130912479"/>
      <w:bookmarkStart w:id="9" w:name="_Toc130914379"/>
      <w:r w:rsidRPr="00850EA5">
        <w:rPr>
          <w:b/>
        </w:rPr>
        <w:t>Disclaimer</w:t>
      </w:r>
      <w:bookmarkEnd w:id="8"/>
      <w:bookmarkEnd w:id="9"/>
    </w:p>
    <w:p w14:paraId="1A9D1C93" w14:textId="77777777" w:rsidR="006D6F3F" w:rsidRPr="007D162C" w:rsidRDefault="006D6F3F" w:rsidP="006D6F3F">
      <w:pPr>
        <w:spacing w:before="120"/>
        <w:rPr>
          <w:lang w:val="x-none"/>
        </w:rPr>
      </w:pPr>
      <w:r w:rsidRPr="007D162C">
        <w:rPr>
          <w:lang w:val="x-none"/>
        </w:rPr>
        <w:t>The material contained in this publication is made available on the understanding that the Commonwealth is not</w:t>
      </w:r>
      <w:r w:rsidRPr="007D162C">
        <w:t xml:space="preserve"> </w:t>
      </w:r>
      <w:r w:rsidRPr="007D162C">
        <w:rPr>
          <w:lang w:val="x-none"/>
        </w:rPr>
        <w:t>providing professional advice, and that users exercise their own skill and care with respect to its use, and seek</w:t>
      </w:r>
      <w:r w:rsidRPr="007D162C">
        <w:t xml:space="preserve"> </w:t>
      </w:r>
      <w:r w:rsidRPr="007D162C">
        <w:rPr>
          <w:lang w:val="x-none"/>
        </w:rPr>
        <w:t>independent advice if necessary.</w:t>
      </w:r>
    </w:p>
    <w:p w14:paraId="185DF4E4" w14:textId="77777777" w:rsidR="006D6F3F" w:rsidRPr="007D162C" w:rsidRDefault="006D6F3F" w:rsidP="006D6F3F">
      <w:pPr>
        <w:spacing w:before="120"/>
        <w:rPr>
          <w:lang w:val="x-none"/>
        </w:rPr>
      </w:pPr>
      <w:r w:rsidRPr="007D162C">
        <w:rPr>
          <w:lang w:val="x-none"/>
        </w:rPr>
        <w:t>The Commonwealth makes no representations or warranties as to the contents or accuracy of the information contained</w:t>
      </w:r>
      <w:r w:rsidRPr="007D162C">
        <w:t xml:space="preserve"> </w:t>
      </w:r>
      <w:r w:rsidRPr="007D162C">
        <w:rPr>
          <w:lang w:val="x-none"/>
        </w:rPr>
        <w:t>in this publication. To the extent permitted by law, the Commonwealth disclaims liability to any person or organisation in</w:t>
      </w:r>
      <w:r w:rsidRPr="007D162C">
        <w:t xml:space="preserve"> </w:t>
      </w:r>
      <w:r w:rsidRPr="007D162C">
        <w:rPr>
          <w:lang w:val="x-none"/>
        </w:rPr>
        <w:t>respect of anything done, or omitted to be done, in reliance upon information contained in this publication.</w:t>
      </w:r>
    </w:p>
    <w:p w14:paraId="67889F39" w14:textId="77777777" w:rsidR="006D6F3F" w:rsidRPr="00850EA5" w:rsidRDefault="006D6F3F" w:rsidP="00850EA5">
      <w:pPr>
        <w:rPr>
          <w:b/>
        </w:rPr>
      </w:pPr>
      <w:bookmarkStart w:id="10" w:name="_Toc130912480"/>
      <w:bookmarkStart w:id="11" w:name="_Toc130914380"/>
      <w:r w:rsidRPr="00850EA5">
        <w:rPr>
          <w:b/>
        </w:rPr>
        <w:t>Use of the Coat of Arms</w:t>
      </w:r>
      <w:bookmarkEnd w:id="10"/>
      <w:bookmarkEnd w:id="11"/>
    </w:p>
    <w:p w14:paraId="7F514A16" w14:textId="45250144" w:rsidR="006D6F3F" w:rsidRPr="007D162C" w:rsidRDefault="006D6F3F" w:rsidP="006D6F3F">
      <w:pPr>
        <w:spacing w:before="120"/>
        <w:rPr>
          <w:lang w:val="x-none"/>
        </w:rPr>
      </w:pPr>
      <w:r w:rsidRPr="007D162C">
        <w:rPr>
          <w:lang w:val="x-none"/>
        </w:rPr>
        <w:t>The Department of the Prime Minister and Cabinet sets the terms under which the Coat of Arms is used. Please refer to</w:t>
      </w:r>
      <w:r w:rsidRPr="007D162C">
        <w:t xml:space="preserve"> </w:t>
      </w:r>
      <w:r w:rsidRPr="007D162C">
        <w:rPr>
          <w:lang w:val="x-none"/>
        </w:rPr>
        <w:t xml:space="preserve">the Commonwealth Coat of Arms - Information and Guidelines publication available at </w:t>
      </w:r>
      <w:hyperlink r:id="rId10" w:tooltip="Department of Prime Minister and Cabinet website" w:history="1">
        <w:r w:rsidRPr="007D162C">
          <w:rPr>
            <w:rStyle w:val="Hyperlink"/>
            <w:lang w:val="x-none"/>
          </w:rPr>
          <w:t>http://www.pmc.gov.au</w:t>
        </w:r>
      </w:hyperlink>
      <w:r w:rsidRPr="007D162C">
        <w:rPr>
          <w:lang w:val="x-none"/>
        </w:rPr>
        <w:t>.</w:t>
      </w:r>
    </w:p>
    <w:p w14:paraId="6DEC0ADC" w14:textId="77777777" w:rsidR="006D6F3F" w:rsidRPr="00850EA5" w:rsidRDefault="006D6F3F" w:rsidP="00850EA5">
      <w:pPr>
        <w:rPr>
          <w:b/>
        </w:rPr>
      </w:pPr>
      <w:bookmarkStart w:id="12" w:name="_Toc130912483"/>
      <w:bookmarkStart w:id="13" w:name="_Toc130914382"/>
      <w:r w:rsidRPr="00850EA5">
        <w:rPr>
          <w:b/>
        </w:rPr>
        <w:t>Contact us</w:t>
      </w:r>
      <w:bookmarkEnd w:id="12"/>
      <w:bookmarkEnd w:id="13"/>
    </w:p>
    <w:p w14:paraId="09B5DC48" w14:textId="7A3EB289" w:rsidR="00E95AA1" w:rsidRDefault="00E95AA1" w:rsidP="004552A8">
      <w:pPr>
        <w:spacing w:line="259" w:lineRule="auto"/>
      </w:pPr>
      <w:r>
        <w:t xml:space="preserve">This publication is available in word version or PDF format. Hard copy versions are available upon written request to </w:t>
      </w:r>
      <w:hyperlink r:id="rId11" w:history="1">
        <w:r w:rsidRPr="00343B24">
          <w:rPr>
            <w:rStyle w:val="Hyperlink"/>
          </w:rPr>
          <w:t>DisabilityTransport@infrastructure.gov.au</w:t>
        </w:r>
      </w:hyperlink>
      <w:r>
        <w:t xml:space="preserve">. </w:t>
      </w:r>
    </w:p>
    <w:p w14:paraId="57375176" w14:textId="77777777" w:rsidR="00E95AA1" w:rsidRDefault="00E95AA1" w:rsidP="004552A8">
      <w:pPr>
        <w:spacing w:line="259" w:lineRule="auto"/>
      </w:pPr>
      <w:r>
        <w:t xml:space="preserve">All other rights are reserved, including in relation to any departmental logos or trademarks which may exist. For enquiries regarding the license and any use of this publication, please contact: </w:t>
      </w:r>
    </w:p>
    <w:p w14:paraId="54A526D5" w14:textId="77777777" w:rsidR="00E95AA1" w:rsidRDefault="00E95AA1" w:rsidP="00E95AA1">
      <w:pPr>
        <w:spacing w:after="0" w:line="259" w:lineRule="auto"/>
      </w:pPr>
      <w:r>
        <w:t xml:space="preserve">Director—Creative Services </w:t>
      </w:r>
    </w:p>
    <w:p w14:paraId="063385CB" w14:textId="77777777" w:rsidR="00E95AA1" w:rsidRDefault="00E95AA1" w:rsidP="00E95AA1">
      <w:pPr>
        <w:spacing w:after="0" w:line="259" w:lineRule="auto"/>
      </w:pPr>
      <w:r>
        <w:t xml:space="preserve">Communication Branch </w:t>
      </w:r>
    </w:p>
    <w:p w14:paraId="6A8823FB" w14:textId="77777777" w:rsidR="00E95AA1" w:rsidRDefault="00E95AA1" w:rsidP="00E95AA1">
      <w:pPr>
        <w:spacing w:after="0" w:line="259" w:lineRule="auto"/>
      </w:pPr>
      <w:r>
        <w:t xml:space="preserve">Department of Infrastructure, Transport, Regional Development and Communications </w:t>
      </w:r>
    </w:p>
    <w:p w14:paraId="48DC7151" w14:textId="77777777" w:rsidR="00E95AA1" w:rsidRDefault="00E95AA1" w:rsidP="00E95AA1">
      <w:pPr>
        <w:spacing w:after="0" w:line="259" w:lineRule="auto"/>
      </w:pPr>
      <w:r>
        <w:t xml:space="preserve">GPO Box 594 </w:t>
      </w:r>
    </w:p>
    <w:p w14:paraId="78DFDBB8" w14:textId="77777777" w:rsidR="00E95AA1" w:rsidRDefault="00E95AA1" w:rsidP="00E95AA1">
      <w:pPr>
        <w:spacing w:after="0" w:line="259" w:lineRule="auto"/>
      </w:pPr>
      <w:r>
        <w:t xml:space="preserve">Canberra ACT 2601 </w:t>
      </w:r>
    </w:p>
    <w:p w14:paraId="6F22F831" w14:textId="0B250660" w:rsidR="00E95AA1" w:rsidRDefault="00E95AA1" w:rsidP="00E95AA1">
      <w:pPr>
        <w:spacing w:after="0" w:line="259" w:lineRule="auto"/>
      </w:pPr>
      <w:r>
        <w:t xml:space="preserve">Australia </w:t>
      </w:r>
    </w:p>
    <w:p w14:paraId="267253B7" w14:textId="77777777" w:rsidR="00E95AA1" w:rsidRDefault="00E95AA1" w:rsidP="00E95AA1">
      <w:pPr>
        <w:spacing w:after="0" w:line="259" w:lineRule="auto"/>
      </w:pPr>
    </w:p>
    <w:p w14:paraId="78A3EA33" w14:textId="2BF3BEF1" w:rsidR="00E95AA1" w:rsidRDefault="00E95AA1" w:rsidP="00E95AA1">
      <w:pPr>
        <w:spacing w:after="0" w:line="259" w:lineRule="auto"/>
      </w:pPr>
      <w:r>
        <w:t xml:space="preserve">Email: </w:t>
      </w:r>
      <w:hyperlink r:id="rId12" w:history="1">
        <w:r w:rsidRPr="00343B24">
          <w:rPr>
            <w:rStyle w:val="Hyperlink"/>
          </w:rPr>
          <w:t>publishing@infrastructure.gov.au</w:t>
        </w:r>
      </w:hyperlink>
      <w:r>
        <w:t xml:space="preserve"> </w:t>
      </w:r>
    </w:p>
    <w:p w14:paraId="6C7DB87B" w14:textId="602EA605" w:rsidR="006D6F3F" w:rsidRPr="007D162C" w:rsidRDefault="00E95AA1" w:rsidP="00E95AA1">
      <w:pPr>
        <w:spacing w:after="0" w:line="259" w:lineRule="auto"/>
      </w:pPr>
      <w:r>
        <w:t xml:space="preserve">Website: www.infrastructure.gov.au </w:t>
      </w:r>
      <w:r w:rsidR="006D6F3F" w:rsidRPr="007D162C">
        <w:br w:type="page"/>
      </w:r>
    </w:p>
    <w:bookmarkStart w:id="14" w:name="_Toc139968978" w:displacedByCustomXml="next"/>
    <w:bookmarkStart w:id="15" w:name="_Toc130912484" w:displacedByCustomXml="next"/>
    <w:bookmarkStart w:id="16" w:name="_Toc140239679" w:displacedByCustomXml="next"/>
    <w:sdt>
      <w:sdtPr>
        <w:rPr>
          <w:rFonts w:asciiTheme="minorHAnsi" w:eastAsiaTheme="minorHAnsi" w:hAnsiTheme="minorHAnsi" w:cstheme="minorBidi"/>
          <w:noProof/>
          <w:color w:val="auto"/>
          <w:kern w:val="12"/>
          <w:sz w:val="22"/>
          <w:szCs w:val="22"/>
          <w:lang w:val="en-US"/>
        </w:rPr>
        <w:id w:val="1386448385"/>
        <w:docPartObj>
          <w:docPartGallery w:val="Table of Contents"/>
          <w:docPartUnique/>
        </w:docPartObj>
      </w:sdtPr>
      <w:sdtEndPr>
        <w:rPr>
          <w:color w:val="000000" w:themeColor="text1"/>
          <w:sz w:val="20"/>
          <w:szCs w:val="20"/>
          <w:lang w:val="en-AU"/>
        </w:rPr>
      </w:sdtEndPr>
      <w:sdtContent>
        <w:p w14:paraId="5EA6CC35" w14:textId="77777777" w:rsidR="0051128E" w:rsidRDefault="006D6F3F" w:rsidP="006D6F3F">
          <w:pPr>
            <w:pStyle w:val="TOCHeading"/>
            <w:rPr>
              <w:noProof/>
            </w:rPr>
          </w:pPr>
          <w:r w:rsidRPr="007D162C">
            <w:rPr>
              <w:rFonts w:ascii="Calibri" w:eastAsia="Calibri" w:hAnsi="Calibri" w:cs="Calibri"/>
              <w:color w:val="081E3E"/>
              <w:kern w:val="12"/>
              <w:sz w:val="40"/>
              <w:szCs w:val="44"/>
              <w:lang w:val="en-US"/>
            </w:rPr>
            <w:t>Table of Contents</w:t>
          </w:r>
          <w:bookmarkEnd w:id="16"/>
          <w:bookmarkEnd w:id="15"/>
          <w:bookmarkEnd w:id="14"/>
          <w:r w:rsidRPr="007D162C">
            <w:rPr>
              <w:rFonts w:ascii="Calibri" w:eastAsia="Calibri" w:hAnsi="Calibri" w:cs="Calibri"/>
              <w:color w:val="081E3E"/>
              <w:kern w:val="12"/>
              <w:sz w:val="40"/>
              <w:szCs w:val="44"/>
              <w:lang w:val="en-US"/>
            </w:rPr>
            <w:fldChar w:fldCharType="begin"/>
          </w:r>
          <w:r w:rsidRPr="007D162C">
            <w:rPr>
              <w:rFonts w:ascii="Calibri" w:eastAsia="Calibri" w:hAnsi="Calibri" w:cs="Calibri"/>
              <w:color w:val="081E3E"/>
              <w:kern w:val="12"/>
              <w:sz w:val="40"/>
              <w:szCs w:val="44"/>
              <w:lang w:val="en-US"/>
            </w:rPr>
            <w:instrText xml:space="preserve"> TOC \o "1-3" \h \z \u </w:instrText>
          </w:r>
          <w:r w:rsidRPr="007D162C">
            <w:rPr>
              <w:rFonts w:ascii="Calibri" w:eastAsia="Calibri" w:hAnsi="Calibri" w:cs="Calibri"/>
              <w:color w:val="081E3E"/>
              <w:kern w:val="12"/>
              <w:sz w:val="40"/>
              <w:szCs w:val="44"/>
              <w:lang w:val="en-US"/>
            </w:rPr>
            <w:fldChar w:fldCharType="separate"/>
          </w:r>
        </w:p>
        <w:p w14:paraId="35ADA337" w14:textId="7EA96DAB" w:rsidR="0051128E" w:rsidRDefault="001C7A9B" w:rsidP="0051128E">
          <w:pPr>
            <w:pStyle w:val="TOC2"/>
            <w:rPr>
              <w:rFonts w:eastAsiaTheme="minorEastAsia"/>
              <w:color w:val="auto"/>
              <w:kern w:val="0"/>
              <w:sz w:val="22"/>
              <w:szCs w:val="22"/>
              <w:lang w:eastAsia="en-AU"/>
            </w:rPr>
          </w:pPr>
          <w:hyperlink w:anchor="_Toc140239680" w:history="1">
            <w:r w:rsidR="0051128E" w:rsidRPr="0051128E">
              <w:rPr>
                <w:rStyle w:val="Hyperlink"/>
                <w:b/>
              </w:rPr>
              <w:t>Executive Summary</w:t>
            </w:r>
            <w:r w:rsidR="0051128E">
              <w:rPr>
                <w:webHidden/>
              </w:rPr>
              <w:tab/>
            </w:r>
            <w:r w:rsidR="0051128E">
              <w:rPr>
                <w:webHidden/>
              </w:rPr>
              <w:fldChar w:fldCharType="begin"/>
            </w:r>
            <w:r w:rsidR="0051128E">
              <w:rPr>
                <w:webHidden/>
              </w:rPr>
              <w:instrText xml:space="preserve"> PAGEREF _Toc140239680 \h </w:instrText>
            </w:r>
            <w:r w:rsidR="0051128E">
              <w:rPr>
                <w:webHidden/>
              </w:rPr>
            </w:r>
            <w:r w:rsidR="0051128E">
              <w:rPr>
                <w:webHidden/>
              </w:rPr>
              <w:fldChar w:fldCharType="separate"/>
            </w:r>
            <w:r w:rsidR="0051128E">
              <w:rPr>
                <w:webHidden/>
              </w:rPr>
              <w:t>10</w:t>
            </w:r>
            <w:r w:rsidR="0051128E">
              <w:rPr>
                <w:webHidden/>
              </w:rPr>
              <w:fldChar w:fldCharType="end"/>
            </w:r>
          </w:hyperlink>
        </w:p>
        <w:p w14:paraId="615B344B" w14:textId="3A71107D" w:rsidR="0051128E" w:rsidRDefault="001C7A9B">
          <w:pPr>
            <w:pStyle w:val="TOC3"/>
            <w:rPr>
              <w:rFonts w:eastAsiaTheme="minorEastAsia"/>
              <w:noProof/>
              <w:color w:val="auto"/>
              <w:kern w:val="0"/>
              <w:sz w:val="22"/>
              <w:szCs w:val="22"/>
              <w:lang w:eastAsia="en-AU"/>
            </w:rPr>
          </w:pPr>
          <w:hyperlink w:anchor="_Toc140239681" w:history="1">
            <w:r w:rsidR="0051128E" w:rsidRPr="005D0E7A">
              <w:rPr>
                <w:rStyle w:val="Hyperlink"/>
                <w:noProof/>
              </w:rPr>
              <w:t>Summary of Stage 2 reform areas, preferred options and implementation approach</w:t>
            </w:r>
            <w:r w:rsidR="0051128E">
              <w:rPr>
                <w:noProof/>
                <w:webHidden/>
              </w:rPr>
              <w:tab/>
            </w:r>
            <w:r w:rsidR="0051128E">
              <w:rPr>
                <w:noProof/>
                <w:webHidden/>
              </w:rPr>
              <w:fldChar w:fldCharType="begin"/>
            </w:r>
            <w:r w:rsidR="0051128E">
              <w:rPr>
                <w:noProof/>
                <w:webHidden/>
              </w:rPr>
              <w:instrText xml:space="preserve"> PAGEREF _Toc140239681 \h </w:instrText>
            </w:r>
            <w:r w:rsidR="0051128E">
              <w:rPr>
                <w:noProof/>
                <w:webHidden/>
              </w:rPr>
            </w:r>
            <w:r w:rsidR="0051128E">
              <w:rPr>
                <w:noProof/>
                <w:webHidden/>
              </w:rPr>
              <w:fldChar w:fldCharType="separate"/>
            </w:r>
            <w:r w:rsidR="0051128E">
              <w:rPr>
                <w:noProof/>
                <w:webHidden/>
              </w:rPr>
              <w:t>13</w:t>
            </w:r>
            <w:r w:rsidR="0051128E">
              <w:rPr>
                <w:noProof/>
                <w:webHidden/>
              </w:rPr>
              <w:fldChar w:fldCharType="end"/>
            </w:r>
          </w:hyperlink>
        </w:p>
        <w:p w14:paraId="02F20DBF" w14:textId="7D4E8F58" w:rsidR="0051128E" w:rsidRDefault="001C7A9B">
          <w:pPr>
            <w:pStyle w:val="TOC3"/>
            <w:rPr>
              <w:rFonts w:eastAsiaTheme="minorEastAsia"/>
              <w:noProof/>
              <w:color w:val="auto"/>
              <w:kern w:val="0"/>
              <w:sz w:val="22"/>
              <w:szCs w:val="22"/>
              <w:lang w:eastAsia="en-AU"/>
            </w:rPr>
          </w:pPr>
          <w:hyperlink w:anchor="_Toc140239682" w:history="1">
            <w:r w:rsidR="0051128E" w:rsidRPr="005D0E7A">
              <w:rPr>
                <w:rStyle w:val="Hyperlink"/>
                <w:noProof/>
              </w:rPr>
              <w:t>Summary of Stage 1 reform areas, preferred options and implementation approach</w:t>
            </w:r>
            <w:r w:rsidR="0051128E">
              <w:rPr>
                <w:noProof/>
                <w:webHidden/>
              </w:rPr>
              <w:tab/>
            </w:r>
            <w:r w:rsidR="0051128E">
              <w:rPr>
                <w:noProof/>
                <w:webHidden/>
              </w:rPr>
              <w:fldChar w:fldCharType="begin"/>
            </w:r>
            <w:r w:rsidR="0051128E">
              <w:rPr>
                <w:noProof/>
                <w:webHidden/>
              </w:rPr>
              <w:instrText xml:space="preserve"> PAGEREF _Toc140239682 \h </w:instrText>
            </w:r>
            <w:r w:rsidR="0051128E">
              <w:rPr>
                <w:noProof/>
                <w:webHidden/>
              </w:rPr>
            </w:r>
            <w:r w:rsidR="0051128E">
              <w:rPr>
                <w:noProof/>
                <w:webHidden/>
              </w:rPr>
              <w:fldChar w:fldCharType="separate"/>
            </w:r>
            <w:r w:rsidR="0051128E">
              <w:rPr>
                <w:noProof/>
                <w:webHidden/>
              </w:rPr>
              <w:t>17</w:t>
            </w:r>
            <w:r w:rsidR="0051128E">
              <w:rPr>
                <w:noProof/>
                <w:webHidden/>
              </w:rPr>
              <w:fldChar w:fldCharType="end"/>
            </w:r>
          </w:hyperlink>
        </w:p>
        <w:p w14:paraId="1B060C77" w14:textId="3C4A8B73" w:rsidR="0051128E" w:rsidRDefault="001C7A9B">
          <w:pPr>
            <w:pStyle w:val="TOC3"/>
            <w:rPr>
              <w:rFonts w:eastAsiaTheme="minorEastAsia"/>
              <w:noProof/>
              <w:color w:val="auto"/>
              <w:kern w:val="0"/>
              <w:sz w:val="22"/>
              <w:szCs w:val="22"/>
              <w:lang w:eastAsia="en-AU"/>
            </w:rPr>
          </w:pPr>
          <w:hyperlink w:anchor="_Toc140239683" w:history="1">
            <w:r w:rsidR="0051128E" w:rsidRPr="005D0E7A">
              <w:rPr>
                <w:rStyle w:val="Hyperlink"/>
                <w:noProof/>
              </w:rPr>
              <w:t>Glossary of terms and abbreviations</w:t>
            </w:r>
            <w:r w:rsidR="0051128E">
              <w:rPr>
                <w:noProof/>
                <w:webHidden/>
              </w:rPr>
              <w:tab/>
            </w:r>
            <w:r w:rsidR="0051128E">
              <w:rPr>
                <w:noProof/>
                <w:webHidden/>
              </w:rPr>
              <w:fldChar w:fldCharType="begin"/>
            </w:r>
            <w:r w:rsidR="0051128E">
              <w:rPr>
                <w:noProof/>
                <w:webHidden/>
              </w:rPr>
              <w:instrText xml:space="preserve"> PAGEREF _Toc140239683 \h </w:instrText>
            </w:r>
            <w:r w:rsidR="0051128E">
              <w:rPr>
                <w:noProof/>
                <w:webHidden/>
              </w:rPr>
            </w:r>
            <w:r w:rsidR="0051128E">
              <w:rPr>
                <w:noProof/>
                <w:webHidden/>
              </w:rPr>
              <w:fldChar w:fldCharType="separate"/>
            </w:r>
            <w:r w:rsidR="0051128E">
              <w:rPr>
                <w:noProof/>
                <w:webHidden/>
              </w:rPr>
              <w:t>18</w:t>
            </w:r>
            <w:r w:rsidR="0051128E">
              <w:rPr>
                <w:noProof/>
                <w:webHidden/>
              </w:rPr>
              <w:fldChar w:fldCharType="end"/>
            </w:r>
          </w:hyperlink>
        </w:p>
        <w:p w14:paraId="5218EDED" w14:textId="5B705562" w:rsidR="0051128E" w:rsidRDefault="001C7A9B">
          <w:pPr>
            <w:pStyle w:val="TOC3"/>
            <w:rPr>
              <w:rFonts w:eastAsiaTheme="minorEastAsia"/>
              <w:noProof/>
              <w:color w:val="auto"/>
              <w:kern w:val="0"/>
              <w:sz w:val="22"/>
              <w:szCs w:val="22"/>
              <w:lang w:eastAsia="en-AU"/>
            </w:rPr>
          </w:pPr>
          <w:hyperlink w:anchor="_Toc140239684" w:history="1">
            <w:r w:rsidR="0051128E" w:rsidRPr="005D0E7A">
              <w:rPr>
                <w:rStyle w:val="Hyperlink"/>
                <w:noProof/>
              </w:rPr>
              <w:t>Glossary of Australian Standards and other standards references</w:t>
            </w:r>
            <w:r w:rsidR="0051128E">
              <w:rPr>
                <w:noProof/>
                <w:webHidden/>
              </w:rPr>
              <w:tab/>
            </w:r>
            <w:r w:rsidR="0051128E">
              <w:rPr>
                <w:noProof/>
                <w:webHidden/>
              </w:rPr>
              <w:fldChar w:fldCharType="begin"/>
            </w:r>
            <w:r w:rsidR="0051128E">
              <w:rPr>
                <w:noProof/>
                <w:webHidden/>
              </w:rPr>
              <w:instrText xml:space="preserve"> PAGEREF _Toc140239684 \h </w:instrText>
            </w:r>
            <w:r w:rsidR="0051128E">
              <w:rPr>
                <w:noProof/>
                <w:webHidden/>
              </w:rPr>
            </w:r>
            <w:r w:rsidR="0051128E">
              <w:rPr>
                <w:noProof/>
                <w:webHidden/>
              </w:rPr>
              <w:fldChar w:fldCharType="separate"/>
            </w:r>
            <w:r w:rsidR="0051128E">
              <w:rPr>
                <w:noProof/>
                <w:webHidden/>
              </w:rPr>
              <w:t>20</w:t>
            </w:r>
            <w:r w:rsidR="0051128E">
              <w:rPr>
                <w:noProof/>
                <w:webHidden/>
              </w:rPr>
              <w:fldChar w:fldCharType="end"/>
            </w:r>
          </w:hyperlink>
        </w:p>
        <w:p w14:paraId="216C6C86" w14:textId="6211793C" w:rsidR="0051128E" w:rsidRDefault="001C7A9B" w:rsidP="0051128E">
          <w:pPr>
            <w:pStyle w:val="TOC2"/>
            <w:rPr>
              <w:rFonts w:eastAsiaTheme="minorEastAsia"/>
              <w:color w:val="auto"/>
              <w:kern w:val="0"/>
              <w:sz w:val="22"/>
              <w:szCs w:val="22"/>
              <w:lang w:eastAsia="en-AU"/>
            </w:rPr>
          </w:pPr>
          <w:hyperlink w:anchor="_Toc140239685" w:history="1">
            <w:r w:rsidR="0051128E" w:rsidRPr="0051128E">
              <w:rPr>
                <w:rStyle w:val="Hyperlink"/>
                <w:b/>
              </w:rPr>
              <w:t>Introduction</w:t>
            </w:r>
            <w:r w:rsidR="0051128E">
              <w:rPr>
                <w:webHidden/>
              </w:rPr>
              <w:tab/>
            </w:r>
            <w:r w:rsidR="0051128E">
              <w:rPr>
                <w:webHidden/>
              </w:rPr>
              <w:fldChar w:fldCharType="begin"/>
            </w:r>
            <w:r w:rsidR="0051128E">
              <w:rPr>
                <w:webHidden/>
              </w:rPr>
              <w:instrText xml:space="preserve"> PAGEREF _Toc140239685 \h </w:instrText>
            </w:r>
            <w:r w:rsidR="0051128E">
              <w:rPr>
                <w:webHidden/>
              </w:rPr>
            </w:r>
            <w:r w:rsidR="0051128E">
              <w:rPr>
                <w:webHidden/>
              </w:rPr>
              <w:fldChar w:fldCharType="separate"/>
            </w:r>
            <w:r w:rsidR="0051128E">
              <w:rPr>
                <w:webHidden/>
              </w:rPr>
              <w:t>21</w:t>
            </w:r>
            <w:r w:rsidR="0051128E">
              <w:rPr>
                <w:webHidden/>
              </w:rPr>
              <w:fldChar w:fldCharType="end"/>
            </w:r>
          </w:hyperlink>
        </w:p>
        <w:p w14:paraId="578C18D6" w14:textId="57758C64" w:rsidR="0051128E" w:rsidRDefault="001C7A9B">
          <w:pPr>
            <w:pStyle w:val="TOC3"/>
            <w:rPr>
              <w:rFonts w:eastAsiaTheme="minorEastAsia"/>
              <w:noProof/>
              <w:color w:val="auto"/>
              <w:kern w:val="0"/>
              <w:sz w:val="22"/>
              <w:szCs w:val="22"/>
              <w:lang w:eastAsia="en-AU"/>
            </w:rPr>
          </w:pPr>
          <w:hyperlink w:anchor="_Toc140239686" w:history="1">
            <w:r w:rsidR="0051128E" w:rsidRPr="005D0E7A">
              <w:rPr>
                <w:rStyle w:val="Hyperlink"/>
                <w:noProof/>
              </w:rPr>
              <w:t>Background</w:t>
            </w:r>
            <w:r w:rsidR="0051128E">
              <w:rPr>
                <w:noProof/>
                <w:webHidden/>
              </w:rPr>
              <w:tab/>
            </w:r>
            <w:r w:rsidR="0051128E">
              <w:rPr>
                <w:noProof/>
                <w:webHidden/>
              </w:rPr>
              <w:fldChar w:fldCharType="begin"/>
            </w:r>
            <w:r w:rsidR="0051128E">
              <w:rPr>
                <w:noProof/>
                <w:webHidden/>
              </w:rPr>
              <w:instrText xml:space="preserve"> PAGEREF _Toc140239686 \h </w:instrText>
            </w:r>
            <w:r w:rsidR="0051128E">
              <w:rPr>
                <w:noProof/>
                <w:webHidden/>
              </w:rPr>
            </w:r>
            <w:r w:rsidR="0051128E">
              <w:rPr>
                <w:noProof/>
                <w:webHidden/>
              </w:rPr>
              <w:fldChar w:fldCharType="separate"/>
            </w:r>
            <w:r w:rsidR="0051128E">
              <w:rPr>
                <w:noProof/>
                <w:webHidden/>
              </w:rPr>
              <w:t>21</w:t>
            </w:r>
            <w:r w:rsidR="0051128E">
              <w:rPr>
                <w:noProof/>
                <w:webHidden/>
              </w:rPr>
              <w:fldChar w:fldCharType="end"/>
            </w:r>
          </w:hyperlink>
        </w:p>
        <w:p w14:paraId="34A1A083" w14:textId="58009F69" w:rsidR="0051128E" w:rsidRDefault="001C7A9B">
          <w:pPr>
            <w:pStyle w:val="TOC3"/>
            <w:rPr>
              <w:rFonts w:eastAsiaTheme="minorEastAsia"/>
              <w:noProof/>
              <w:color w:val="auto"/>
              <w:kern w:val="0"/>
              <w:sz w:val="22"/>
              <w:szCs w:val="22"/>
              <w:lang w:eastAsia="en-AU"/>
            </w:rPr>
          </w:pPr>
          <w:hyperlink w:anchor="_Toc140239687" w:history="1">
            <w:r w:rsidR="0051128E" w:rsidRPr="005D0E7A">
              <w:rPr>
                <w:rStyle w:val="Hyperlink"/>
                <w:noProof/>
              </w:rPr>
              <w:t>Problem statement</w:t>
            </w:r>
            <w:r w:rsidR="0051128E">
              <w:rPr>
                <w:noProof/>
                <w:webHidden/>
              </w:rPr>
              <w:tab/>
            </w:r>
            <w:r w:rsidR="0051128E">
              <w:rPr>
                <w:noProof/>
                <w:webHidden/>
              </w:rPr>
              <w:fldChar w:fldCharType="begin"/>
            </w:r>
            <w:r w:rsidR="0051128E">
              <w:rPr>
                <w:noProof/>
                <w:webHidden/>
              </w:rPr>
              <w:instrText xml:space="preserve"> PAGEREF _Toc140239687 \h </w:instrText>
            </w:r>
            <w:r w:rsidR="0051128E">
              <w:rPr>
                <w:noProof/>
                <w:webHidden/>
              </w:rPr>
            </w:r>
            <w:r w:rsidR="0051128E">
              <w:rPr>
                <w:noProof/>
                <w:webHidden/>
              </w:rPr>
              <w:fldChar w:fldCharType="separate"/>
            </w:r>
            <w:r w:rsidR="0051128E">
              <w:rPr>
                <w:noProof/>
                <w:webHidden/>
              </w:rPr>
              <w:t>21</w:t>
            </w:r>
            <w:r w:rsidR="0051128E">
              <w:rPr>
                <w:noProof/>
                <w:webHidden/>
              </w:rPr>
              <w:fldChar w:fldCharType="end"/>
            </w:r>
          </w:hyperlink>
        </w:p>
        <w:p w14:paraId="3797821B" w14:textId="2EDF34C7" w:rsidR="0051128E" w:rsidRDefault="001C7A9B">
          <w:pPr>
            <w:pStyle w:val="TOC3"/>
            <w:rPr>
              <w:rFonts w:eastAsiaTheme="minorEastAsia"/>
              <w:noProof/>
              <w:color w:val="auto"/>
              <w:kern w:val="0"/>
              <w:sz w:val="22"/>
              <w:szCs w:val="22"/>
              <w:lang w:eastAsia="en-AU"/>
            </w:rPr>
          </w:pPr>
          <w:hyperlink w:anchor="_Toc140239688" w:history="1">
            <w:r w:rsidR="0051128E" w:rsidRPr="005D0E7A">
              <w:rPr>
                <w:rStyle w:val="Hyperlink"/>
                <w:noProof/>
              </w:rPr>
              <w:t>The rationale for government action</w:t>
            </w:r>
            <w:r w:rsidR="0051128E">
              <w:rPr>
                <w:noProof/>
                <w:webHidden/>
              </w:rPr>
              <w:tab/>
            </w:r>
            <w:r w:rsidR="0051128E">
              <w:rPr>
                <w:noProof/>
                <w:webHidden/>
              </w:rPr>
              <w:fldChar w:fldCharType="begin"/>
            </w:r>
            <w:r w:rsidR="0051128E">
              <w:rPr>
                <w:noProof/>
                <w:webHidden/>
              </w:rPr>
              <w:instrText xml:space="preserve"> PAGEREF _Toc140239688 \h </w:instrText>
            </w:r>
            <w:r w:rsidR="0051128E">
              <w:rPr>
                <w:noProof/>
                <w:webHidden/>
              </w:rPr>
            </w:r>
            <w:r w:rsidR="0051128E">
              <w:rPr>
                <w:noProof/>
                <w:webHidden/>
              </w:rPr>
              <w:fldChar w:fldCharType="separate"/>
            </w:r>
            <w:r w:rsidR="0051128E">
              <w:rPr>
                <w:noProof/>
                <w:webHidden/>
              </w:rPr>
              <w:t>24</w:t>
            </w:r>
            <w:r w:rsidR="0051128E">
              <w:rPr>
                <w:noProof/>
                <w:webHidden/>
              </w:rPr>
              <w:fldChar w:fldCharType="end"/>
            </w:r>
          </w:hyperlink>
        </w:p>
        <w:p w14:paraId="4A670858" w14:textId="4D0C4EF8" w:rsidR="0051128E" w:rsidRDefault="001C7A9B">
          <w:pPr>
            <w:pStyle w:val="TOC3"/>
            <w:rPr>
              <w:rFonts w:eastAsiaTheme="minorEastAsia"/>
              <w:noProof/>
              <w:color w:val="auto"/>
              <w:kern w:val="0"/>
              <w:sz w:val="22"/>
              <w:szCs w:val="22"/>
              <w:lang w:eastAsia="en-AU"/>
            </w:rPr>
          </w:pPr>
          <w:hyperlink w:anchor="_Toc140239689" w:history="1">
            <w:r w:rsidR="0051128E" w:rsidRPr="005D0E7A">
              <w:rPr>
                <w:rStyle w:val="Hyperlink"/>
                <w:noProof/>
              </w:rPr>
              <w:t>Roles and responsibilities</w:t>
            </w:r>
            <w:r w:rsidR="0051128E">
              <w:rPr>
                <w:noProof/>
                <w:webHidden/>
              </w:rPr>
              <w:tab/>
            </w:r>
            <w:r w:rsidR="0051128E">
              <w:rPr>
                <w:noProof/>
                <w:webHidden/>
              </w:rPr>
              <w:fldChar w:fldCharType="begin"/>
            </w:r>
            <w:r w:rsidR="0051128E">
              <w:rPr>
                <w:noProof/>
                <w:webHidden/>
              </w:rPr>
              <w:instrText xml:space="preserve"> PAGEREF _Toc140239689 \h </w:instrText>
            </w:r>
            <w:r w:rsidR="0051128E">
              <w:rPr>
                <w:noProof/>
                <w:webHidden/>
              </w:rPr>
            </w:r>
            <w:r w:rsidR="0051128E">
              <w:rPr>
                <w:noProof/>
                <w:webHidden/>
              </w:rPr>
              <w:fldChar w:fldCharType="separate"/>
            </w:r>
            <w:r w:rsidR="0051128E">
              <w:rPr>
                <w:noProof/>
                <w:webHidden/>
              </w:rPr>
              <w:t>25</w:t>
            </w:r>
            <w:r w:rsidR="0051128E">
              <w:rPr>
                <w:noProof/>
                <w:webHidden/>
              </w:rPr>
              <w:fldChar w:fldCharType="end"/>
            </w:r>
          </w:hyperlink>
        </w:p>
        <w:p w14:paraId="6DB7FD32" w14:textId="1509152C" w:rsidR="0051128E" w:rsidRDefault="001C7A9B">
          <w:pPr>
            <w:pStyle w:val="TOC3"/>
            <w:rPr>
              <w:rFonts w:eastAsiaTheme="minorEastAsia"/>
              <w:noProof/>
              <w:color w:val="auto"/>
              <w:kern w:val="0"/>
              <w:sz w:val="22"/>
              <w:szCs w:val="22"/>
              <w:lang w:eastAsia="en-AU"/>
            </w:rPr>
          </w:pPr>
          <w:hyperlink w:anchor="_Toc140239690" w:history="1">
            <w:r w:rsidR="0051128E" w:rsidRPr="005D0E7A">
              <w:rPr>
                <w:rStyle w:val="Hyperlink"/>
                <w:noProof/>
              </w:rPr>
              <w:t>Development of policy options</w:t>
            </w:r>
            <w:r w:rsidR="0051128E">
              <w:rPr>
                <w:noProof/>
                <w:webHidden/>
              </w:rPr>
              <w:tab/>
            </w:r>
            <w:r w:rsidR="0051128E">
              <w:rPr>
                <w:noProof/>
                <w:webHidden/>
              </w:rPr>
              <w:fldChar w:fldCharType="begin"/>
            </w:r>
            <w:r w:rsidR="0051128E">
              <w:rPr>
                <w:noProof/>
                <w:webHidden/>
              </w:rPr>
              <w:instrText xml:space="preserve"> PAGEREF _Toc140239690 \h </w:instrText>
            </w:r>
            <w:r w:rsidR="0051128E">
              <w:rPr>
                <w:noProof/>
                <w:webHidden/>
              </w:rPr>
            </w:r>
            <w:r w:rsidR="0051128E">
              <w:rPr>
                <w:noProof/>
                <w:webHidden/>
              </w:rPr>
              <w:fldChar w:fldCharType="separate"/>
            </w:r>
            <w:r w:rsidR="0051128E">
              <w:rPr>
                <w:noProof/>
                <w:webHidden/>
              </w:rPr>
              <w:t>26</w:t>
            </w:r>
            <w:r w:rsidR="0051128E">
              <w:rPr>
                <w:noProof/>
                <w:webHidden/>
              </w:rPr>
              <w:fldChar w:fldCharType="end"/>
            </w:r>
          </w:hyperlink>
        </w:p>
        <w:p w14:paraId="46795037" w14:textId="1EE5CD0F" w:rsidR="0051128E" w:rsidRDefault="001C7A9B">
          <w:pPr>
            <w:pStyle w:val="TOC3"/>
            <w:rPr>
              <w:rFonts w:eastAsiaTheme="minorEastAsia"/>
              <w:noProof/>
              <w:color w:val="auto"/>
              <w:kern w:val="0"/>
              <w:sz w:val="22"/>
              <w:szCs w:val="22"/>
              <w:lang w:eastAsia="en-AU"/>
            </w:rPr>
          </w:pPr>
          <w:hyperlink w:anchor="_Toc140239691" w:history="1">
            <w:r w:rsidR="0051128E" w:rsidRPr="005D0E7A">
              <w:rPr>
                <w:rStyle w:val="Hyperlink"/>
                <w:noProof/>
              </w:rPr>
              <w:t>Consultation</w:t>
            </w:r>
            <w:r w:rsidR="0051128E">
              <w:rPr>
                <w:noProof/>
                <w:webHidden/>
              </w:rPr>
              <w:tab/>
            </w:r>
            <w:r w:rsidR="0051128E">
              <w:rPr>
                <w:noProof/>
                <w:webHidden/>
              </w:rPr>
              <w:fldChar w:fldCharType="begin"/>
            </w:r>
            <w:r w:rsidR="0051128E">
              <w:rPr>
                <w:noProof/>
                <w:webHidden/>
              </w:rPr>
              <w:instrText xml:space="preserve"> PAGEREF _Toc140239691 \h </w:instrText>
            </w:r>
            <w:r w:rsidR="0051128E">
              <w:rPr>
                <w:noProof/>
                <w:webHidden/>
              </w:rPr>
            </w:r>
            <w:r w:rsidR="0051128E">
              <w:rPr>
                <w:noProof/>
                <w:webHidden/>
              </w:rPr>
              <w:fldChar w:fldCharType="separate"/>
            </w:r>
            <w:r w:rsidR="0051128E">
              <w:rPr>
                <w:noProof/>
                <w:webHidden/>
              </w:rPr>
              <w:t>27</w:t>
            </w:r>
            <w:r w:rsidR="0051128E">
              <w:rPr>
                <w:noProof/>
                <w:webHidden/>
              </w:rPr>
              <w:fldChar w:fldCharType="end"/>
            </w:r>
          </w:hyperlink>
        </w:p>
        <w:p w14:paraId="37071AEF" w14:textId="70799E65" w:rsidR="0051128E" w:rsidRDefault="001C7A9B">
          <w:pPr>
            <w:pStyle w:val="TOC3"/>
            <w:rPr>
              <w:rFonts w:eastAsiaTheme="minorEastAsia"/>
              <w:noProof/>
              <w:color w:val="auto"/>
              <w:kern w:val="0"/>
              <w:sz w:val="22"/>
              <w:szCs w:val="22"/>
              <w:lang w:eastAsia="en-AU"/>
            </w:rPr>
          </w:pPr>
          <w:hyperlink w:anchor="_Toc140239692" w:history="1">
            <w:r w:rsidR="0051128E" w:rsidRPr="005D0E7A">
              <w:rPr>
                <w:rStyle w:val="Hyperlink"/>
                <w:noProof/>
              </w:rPr>
              <w:t>Summary of the consultation engagement</w:t>
            </w:r>
            <w:r w:rsidR="0051128E">
              <w:rPr>
                <w:noProof/>
                <w:webHidden/>
              </w:rPr>
              <w:tab/>
            </w:r>
            <w:r w:rsidR="0051128E">
              <w:rPr>
                <w:noProof/>
                <w:webHidden/>
              </w:rPr>
              <w:fldChar w:fldCharType="begin"/>
            </w:r>
            <w:r w:rsidR="0051128E">
              <w:rPr>
                <w:noProof/>
                <w:webHidden/>
              </w:rPr>
              <w:instrText xml:space="preserve"> PAGEREF _Toc140239692 \h </w:instrText>
            </w:r>
            <w:r w:rsidR="0051128E">
              <w:rPr>
                <w:noProof/>
                <w:webHidden/>
              </w:rPr>
            </w:r>
            <w:r w:rsidR="0051128E">
              <w:rPr>
                <w:noProof/>
                <w:webHidden/>
              </w:rPr>
              <w:fldChar w:fldCharType="separate"/>
            </w:r>
            <w:r w:rsidR="0051128E">
              <w:rPr>
                <w:noProof/>
                <w:webHidden/>
              </w:rPr>
              <w:t>28</w:t>
            </w:r>
            <w:r w:rsidR="0051128E">
              <w:rPr>
                <w:noProof/>
                <w:webHidden/>
              </w:rPr>
              <w:fldChar w:fldCharType="end"/>
            </w:r>
          </w:hyperlink>
        </w:p>
        <w:p w14:paraId="26A10B35" w14:textId="77580629" w:rsidR="0051128E" w:rsidRDefault="001C7A9B">
          <w:pPr>
            <w:pStyle w:val="TOC3"/>
            <w:rPr>
              <w:rFonts w:eastAsiaTheme="minorEastAsia"/>
              <w:noProof/>
              <w:color w:val="auto"/>
              <w:kern w:val="0"/>
              <w:sz w:val="22"/>
              <w:szCs w:val="22"/>
              <w:lang w:eastAsia="en-AU"/>
            </w:rPr>
          </w:pPr>
          <w:hyperlink w:anchor="_Toc140239693" w:history="1">
            <w:r w:rsidR="0051128E" w:rsidRPr="005D0E7A">
              <w:rPr>
                <w:rStyle w:val="Hyperlink"/>
                <w:noProof/>
              </w:rPr>
              <w:t>Analysis and development of the preferred policy options</w:t>
            </w:r>
            <w:r w:rsidR="0051128E">
              <w:rPr>
                <w:noProof/>
                <w:webHidden/>
              </w:rPr>
              <w:tab/>
            </w:r>
            <w:r w:rsidR="0051128E">
              <w:rPr>
                <w:noProof/>
                <w:webHidden/>
              </w:rPr>
              <w:fldChar w:fldCharType="begin"/>
            </w:r>
            <w:r w:rsidR="0051128E">
              <w:rPr>
                <w:noProof/>
                <w:webHidden/>
              </w:rPr>
              <w:instrText xml:space="preserve"> PAGEREF _Toc140239693 \h </w:instrText>
            </w:r>
            <w:r w:rsidR="0051128E">
              <w:rPr>
                <w:noProof/>
                <w:webHidden/>
              </w:rPr>
            </w:r>
            <w:r w:rsidR="0051128E">
              <w:rPr>
                <w:noProof/>
                <w:webHidden/>
              </w:rPr>
              <w:fldChar w:fldCharType="separate"/>
            </w:r>
            <w:r w:rsidR="0051128E">
              <w:rPr>
                <w:noProof/>
                <w:webHidden/>
              </w:rPr>
              <w:t>28</w:t>
            </w:r>
            <w:r w:rsidR="0051128E">
              <w:rPr>
                <w:noProof/>
                <w:webHidden/>
              </w:rPr>
              <w:fldChar w:fldCharType="end"/>
            </w:r>
          </w:hyperlink>
        </w:p>
        <w:p w14:paraId="0B37B591" w14:textId="0EC47D65" w:rsidR="0051128E" w:rsidRDefault="001C7A9B">
          <w:pPr>
            <w:pStyle w:val="TOC3"/>
            <w:rPr>
              <w:rFonts w:eastAsiaTheme="minorEastAsia"/>
              <w:noProof/>
              <w:color w:val="auto"/>
              <w:kern w:val="0"/>
              <w:sz w:val="22"/>
              <w:szCs w:val="22"/>
              <w:lang w:eastAsia="en-AU"/>
            </w:rPr>
          </w:pPr>
          <w:hyperlink w:anchor="_Toc140239694" w:history="1">
            <w:r w:rsidR="0051128E" w:rsidRPr="005D0E7A">
              <w:rPr>
                <w:rStyle w:val="Hyperlink"/>
                <w:noProof/>
              </w:rPr>
              <w:t>Stage 1 and 2 reform proposals interactions</w:t>
            </w:r>
            <w:r w:rsidR="0051128E">
              <w:rPr>
                <w:noProof/>
                <w:webHidden/>
              </w:rPr>
              <w:tab/>
            </w:r>
            <w:r w:rsidR="0051128E">
              <w:rPr>
                <w:noProof/>
                <w:webHidden/>
              </w:rPr>
              <w:fldChar w:fldCharType="begin"/>
            </w:r>
            <w:r w:rsidR="0051128E">
              <w:rPr>
                <w:noProof/>
                <w:webHidden/>
              </w:rPr>
              <w:instrText xml:space="preserve"> PAGEREF _Toc140239694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733D2FD3" w14:textId="43705395" w:rsidR="0051128E" w:rsidRDefault="001C7A9B">
          <w:pPr>
            <w:pStyle w:val="TOC3"/>
            <w:rPr>
              <w:rFonts w:eastAsiaTheme="minorEastAsia"/>
              <w:noProof/>
              <w:color w:val="auto"/>
              <w:kern w:val="0"/>
              <w:sz w:val="22"/>
              <w:szCs w:val="22"/>
              <w:lang w:eastAsia="en-AU"/>
            </w:rPr>
          </w:pPr>
          <w:hyperlink w:anchor="_Toc140239695" w:history="1">
            <w:r w:rsidR="0051128E" w:rsidRPr="005D0E7A">
              <w:rPr>
                <w:rStyle w:val="Hyperlink"/>
                <w:noProof/>
              </w:rPr>
              <w:t>Final consideration of options</w:t>
            </w:r>
            <w:r w:rsidR="0051128E">
              <w:rPr>
                <w:noProof/>
                <w:webHidden/>
              </w:rPr>
              <w:tab/>
            </w:r>
            <w:r w:rsidR="0051128E">
              <w:rPr>
                <w:noProof/>
                <w:webHidden/>
              </w:rPr>
              <w:fldChar w:fldCharType="begin"/>
            </w:r>
            <w:r w:rsidR="0051128E">
              <w:rPr>
                <w:noProof/>
                <w:webHidden/>
              </w:rPr>
              <w:instrText xml:space="preserve"> PAGEREF _Toc140239695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0D609BAE" w14:textId="04D4E2D9" w:rsidR="0051128E" w:rsidRDefault="001C7A9B">
          <w:pPr>
            <w:pStyle w:val="TOC3"/>
            <w:rPr>
              <w:rFonts w:eastAsiaTheme="minorEastAsia"/>
              <w:noProof/>
              <w:color w:val="auto"/>
              <w:kern w:val="0"/>
              <w:sz w:val="22"/>
              <w:szCs w:val="22"/>
              <w:lang w:eastAsia="en-AU"/>
            </w:rPr>
          </w:pPr>
          <w:hyperlink w:anchor="_Toc140239696" w:history="1">
            <w:r w:rsidR="0051128E" w:rsidRPr="005D0E7A">
              <w:rPr>
                <w:rStyle w:val="Hyperlink"/>
                <w:noProof/>
              </w:rPr>
              <w:t>Cost-benefit analysis</w:t>
            </w:r>
            <w:r w:rsidR="0051128E">
              <w:rPr>
                <w:noProof/>
                <w:webHidden/>
              </w:rPr>
              <w:tab/>
            </w:r>
            <w:r w:rsidR="0051128E">
              <w:rPr>
                <w:noProof/>
                <w:webHidden/>
              </w:rPr>
              <w:fldChar w:fldCharType="begin"/>
            </w:r>
            <w:r w:rsidR="0051128E">
              <w:rPr>
                <w:noProof/>
                <w:webHidden/>
              </w:rPr>
              <w:instrText xml:space="preserve"> PAGEREF _Toc140239696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4E411696" w14:textId="4A5FE17E" w:rsidR="0051128E" w:rsidRDefault="001C7A9B">
          <w:pPr>
            <w:pStyle w:val="TOC3"/>
            <w:rPr>
              <w:rFonts w:eastAsiaTheme="minorEastAsia"/>
              <w:noProof/>
              <w:color w:val="auto"/>
              <w:kern w:val="0"/>
              <w:sz w:val="22"/>
              <w:szCs w:val="22"/>
              <w:lang w:eastAsia="en-AU"/>
            </w:rPr>
          </w:pPr>
          <w:hyperlink w:anchor="_Toc140239697" w:history="1">
            <w:r w:rsidR="0051128E" w:rsidRPr="005D0E7A">
              <w:rPr>
                <w:rStyle w:val="Hyperlink"/>
                <w:noProof/>
              </w:rPr>
              <w:t>Approach to CBA</w:t>
            </w:r>
            <w:r w:rsidR="0051128E">
              <w:rPr>
                <w:noProof/>
                <w:webHidden/>
              </w:rPr>
              <w:tab/>
            </w:r>
            <w:r w:rsidR="0051128E">
              <w:rPr>
                <w:noProof/>
                <w:webHidden/>
              </w:rPr>
              <w:fldChar w:fldCharType="begin"/>
            </w:r>
            <w:r w:rsidR="0051128E">
              <w:rPr>
                <w:noProof/>
                <w:webHidden/>
              </w:rPr>
              <w:instrText xml:space="preserve"> PAGEREF _Toc140239697 \h </w:instrText>
            </w:r>
            <w:r w:rsidR="0051128E">
              <w:rPr>
                <w:noProof/>
                <w:webHidden/>
              </w:rPr>
            </w:r>
            <w:r w:rsidR="0051128E">
              <w:rPr>
                <w:noProof/>
                <w:webHidden/>
              </w:rPr>
              <w:fldChar w:fldCharType="separate"/>
            </w:r>
            <w:r w:rsidR="0051128E">
              <w:rPr>
                <w:noProof/>
                <w:webHidden/>
              </w:rPr>
              <w:t>29</w:t>
            </w:r>
            <w:r w:rsidR="0051128E">
              <w:rPr>
                <w:noProof/>
                <w:webHidden/>
              </w:rPr>
              <w:fldChar w:fldCharType="end"/>
            </w:r>
          </w:hyperlink>
        </w:p>
        <w:p w14:paraId="320C510F" w14:textId="2DE4B84D" w:rsidR="0051128E" w:rsidRDefault="001C7A9B">
          <w:pPr>
            <w:pStyle w:val="TOC3"/>
            <w:rPr>
              <w:rFonts w:eastAsiaTheme="minorEastAsia"/>
              <w:noProof/>
              <w:color w:val="auto"/>
              <w:kern w:val="0"/>
              <w:sz w:val="22"/>
              <w:szCs w:val="22"/>
              <w:lang w:eastAsia="en-AU"/>
            </w:rPr>
          </w:pPr>
          <w:hyperlink w:anchor="_Toc140239698" w:history="1">
            <w:r w:rsidR="0051128E" w:rsidRPr="005D0E7A">
              <w:rPr>
                <w:rStyle w:val="Hyperlink"/>
                <w:noProof/>
              </w:rPr>
              <w:t>CBA framework</w:t>
            </w:r>
            <w:r w:rsidR="0051128E">
              <w:rPr>
                <w:noProof/>
                <w:webHidden/>
              </w:rPr>
              <w:tab/>
            </w:r>
            <w:r w:rsidR="0051128E">
              <w:rPr>
                <w:noProof/>
                <w:webHidden/>
              </w:rPr>
              <w:fldChar w:fldCharType="begin"/>
            </w:r>
            <w:r w:rsidR="0051128E">
              <w:rPr>
                <w:noProof/>
                <w:webHidden/>
              </w:rPr>
              <w:instrText xml:space="preserve"> PAGEREF _Toc140239698 \h </w:instrText>
            </w:r>
            <w:r w:rsidR="0051128E">
              <w:rPr>
                <w:noProof/>
                <w:webHidden/>
              </w:rPr>
            </w:r>
            <w:r w:rsidR="0051128E">
              <w:rPr>
                <w:noProof/>
                <w:webHidden/>
              </w:rPr>
              <w:fldChar w:fldCharType="separate"/>
            </w:r>
            <w:r w:rsidR="0051128E">
              <w:rPr>
                <w:noProof/>
                <w:webHidden/>
              </w:rPr>
              <w:t>30</w:t>
            </w:r>
            <w:r w:rsidR="0051128E">
              <w:rPr>
                <w:noProof/>
                <w:webHidden/>
              </w:rPr>
              <w:fldChar w:fldCharType="end"/>
            </w:r>
          </w:hyperlink>
        </w:p>
        <w:p w14:paraId="1D8E7AC0" w14:textId="1726AA24" w:rsidR="0051128E" w:rsidRDefault="001C7A9B">
          <w:pPr>
            <w:pStyle w:val="TOC3"/>
            <w:rPr>
              <w:rFonts w:eastAsiaTheme="minorEastAsia"/>
              <w:noProof/>
              <w:color w:val="auto"/>
              <w:kern w:val="0"/>
              <w:sz w:val="22"/>
              <w:szCs w:val="22"/>
              <w:lang w:eastAsia="en-AU"/>
            </w:rPr>
          </w:pPr>
          <w:hyperlink w:anchor="_Toc140239699" w:history="1">
            <w:r w:rsidR="0051128E" w:rsidRPr="005D0E7A">
              <w:rPr>
                <w:rStyle w:val="Hyperlink"/>
                <w:noProof/>
              </w:rPr>
              <w:t>Understanding the CBA</w:t>
            </w:r>
            <w:r w:rsidR="0051128E">
              <w:rPr>
                <w:noProof/>
                <w:webHidden/>
              </w:rPr>
              <w:tab/>
            </w:r>
            <w:r w:rsidR="0051128E">
              <w:rPr>
                <w:noProof/>
                <w:webHidden/>
              </w:rPr>
              <w:fldChar w:fldCharType="begin"/>
            </w:r>
            <w:r w:rsidR="0051128E">
              <w:rPr>
                <w:noProof/>
                <w:webHidden/>
              </w:rPr>
              <w:instrText xml:space="preserve"> PAGEREF _Toc140239699 \h </w:instrText>
            </w:r>
            <w:r w:rsidR="0051128E">
              <w:rPr>
                <w:noProof/>
                <w:webHidden/>
              </w:rPr>
            </w:r>
            <w:r w:rsidR="0051128E">
              <w:rPr>
                <w:noProof/>
                <w:webHidden/>
              </w:rPr>
              <w:fldChar w:fldCharType="separate"/>
            </w:r>
            <w:r w:rsidR="0051128E">
              <w:rPr>
                <w:noProof/>
                <w:webHidden/>
              </w:rPr>
              <w:t>30</w:t>
            </w:r>
            <w:r w:rsidR="0051128E">
              <w:rPr>
                <w:noProof/>
                <w:webHidden/>
              </w:rPr>
              <w:fldChar w:fldCharType="end"/>
            </w:r>
          </w:hyperlink>
        </w:p>
        <w:p w14:paraId="7E07EA78" w14:textId="26CC0E1D" w:rsidR="0051128E" w:rsidRDefault="001C7A9B">
          <w:pPr>
            <w:pStyle w:val="TOC3"/>
            <w:rPr>
              <w:rFonts w:eastAsiaTheme="minorEastAsia"/>
              <w:noProof/>
              <w:color w:val="auto"/>
              <w:kern w:val="0"/>
              <w:sz w:val="22"/>
              <w:szCs w:val="22"/>
              <w:lang w:eastAsia="en-AU"/>
            </w:rPr>
          </w:pPr>
          <w:hyperlink w:anchor="_Toc140239700" w:history="1">
            <w:r w:rsidR="0051128E" w:rsidRPr="005D0E7A">
              <w:rPr>
                <w:rStyle w:val="Hyperlink"/>
                <w:noProof/>
              </w:rPr>
              <w:t>Overview of data inputs for CBA</w:t>
            </w:r>
            <w:r w:rsidR="0051128E">
              <w:rPr>
                <w:noProof/>
                <w:webHidden/>
              </w:rPr>
              <w:tab/>
            </w:r>
            <w:r w:rsidR="0051128E">
              <w:rPr>
                <w:noProof/>
                <w:webHidden/>
              </w:rPr>
              <w:fldChar w:fldCharType="begin"/>
            </w:r>
            <w:r w:rsidR="0051128E">
              <w:rPr>
                <w:noProof/>
                <w:webHidden/>
              </w:rPr>
              <w:instrText xml:space="preserve"> PAGEREF _Toc140239700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10BAEBD1" w14:textId="227EF3BE" w:rsidR="0051128E" w:rsidRDefault="001C7A9B">
          <w:pPr>
            <w:pStyle w:val="TOC3"/>
            <w:rPr>
              <w:rFonts w:eastAsiaTheme="minorEastAsia"/>
              <w:noProof/>
              <w:color w:val="auto"/>
              <w:kern w:val="0"/>
              <w:sz w:val="22"/>
              <w:szCs w:val="22"/>
              <w:lang w:eastAsia="en-AU"/>
            </w:rPr>
          </w:pPr>
          <w:hyperlink w:anchor="_Toc140239701" w:history="1">
            <w:r w:rsidR="0051128E" w:rsidRPr="005D0E7A">
              <w:rPr>
                <w:rStyle w:val="Hyperlink"/>
                <w:noProof/>
              </w:rPr>
              <w:t>Analysis and preparation of inputs for the Decision RIS CBA</w:t>
            </w:r>
            <w:r w:rsidR="0051128E">
              <w:rPr>
                <w:noProof/>
                <w:webHidden/>
              </w:rPr>
              <w:tab/>
            </w:r>
            <w:r w:rsidR="0051128E">
              <w:rPr>
                <w:noProof/>
                <w:webHidden/>
              </w:rPr>
              <w:fldChar w:fldCharType="begin"/>
            </w:r>
            <w:r w:rsidR="0051128E">
              <w:rPr>
                <w:noProof/>
                <w:webHidden/>
              </w:rPr>
              <w:instrText xml:space="preserve"> PAGEREF _Toc140239701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6DF56BE4" w14:textId="1BB2C1E7" w:rsidR="0051128E" w:rsidRDefault="001C7A9B">
          <w:pPr>
            <w:pStyle w:val="TOC3"/>
            <w:rPr>
              <w:rFonts w:eastAsiaTheme="minorEastAsia"/>
              <w:noProof/>
              <w:color w:val="auto"/>
              <w:kern w:val="0"/>
              <w:sz w:val="22"/>
              <w:szCs w:val="22"/>
              <w:lang w:eastAsia="en-AU"/>
            </w:rPr>
          </w:pPr>
          <w:hyperlink w:anchor="_Toc140239702" w:history="1">
            <w:r w:rsidR="0051128E" w:rsidRPr="005D0E7A">
              <w:rPr>
                <w:rStyle w:val="Hyperlink"/>
                <w:noProof/>
              </w:rPr>
              <w:t>Economic benefits and costs categories</w:t>
            </w:r>
            <w:r w:rsidR="0051128E">
              <w:rPr>
                <w:noProof/>
                <w:webHidden/>
              </w:rPr>
              <w:tab/>
            </w:r>
            <w:r w:rsidR="0051128E">
              <w:rPr>
                <w:noProof/>
                <w:webHidden/>
              </w:rPr>
              <w:fldChar w:fldCharType="begin"/>
            </w:r>
            <w:r w:rsidR="0051128E">
              <w:rPr>
                <w:noProof/>
                <w:webHidden/>
              </w:rPr>
              <w:instrText xml:space="preserve"> PAGEREF _Toc140239702 \h </w:instrText>
            </w:r>
            <w:r w:rsidR="0051128E">
              <w:rPr>
                <w:noProof/>
                <w:webHidden/>
              </w:rPr>
            </w:r>
            <w:r w:rsidR="0051128E">
              <w:rPr>
                <w:noProof/>
                <w:webHidden/>
              </w:rPr>
              <w:fldChar w:fldCharType="separate"/>
            </w:r>
            <w:r w:rsidR="0051128E">
              <w:rPr>
                <w:noProof/>
                <w:webHidden/>
              </w:rPr>
              <w:t>31</w:t>
            </w:r>
            <w:r w:rsidR="0051128E">
              <w:rPr>
                <w:noProof/>
                <w:webHidden/>
              </w:rPr>
              <w:fldChar w:fldCharType="end"/>
            </w:r>
          </w:hyperlink>
        </w:p>
        <w:p w14:paraId="7B390827" w14:textId="13F75338" w:rsidR="0051128E" w:rsidRDefault="001C7A9B">
          <w:pPr>
            <w:pStyle w:val="TOC3"/>
            <w:rPr>
              <w:rFonts w:eastAsiaTheme="minorEastAsia"/>
              <w:noProof/>
              <w:color w:val="auto"/>
              <w:kern w:val="0"/>
              <w:sz w:val="22"/>
              <w:szCs w:val="22"/>
              <w:lang w:eastAsia="en-AU"/>
            </w:rPr>
          </w:pPr>
          <w:hyperlink w:anchor="_Toc140239703" w:history="1">
            <w:r w:rsidR="0051128E" w:rsidRPr="005D0E7A">
              <w:rPr>
                <w:rStyle w:val="Hyperlink"/>
                <w:noProof/>
              </w:rPr>
              <w:t>Economic assessment outcomes</w:t>
            </w:r>
            <w:r w:rsidR="0051128E">
              <w:rPr>
                <w:noProof/>
                <w:webHidden/>
              </w:rPr>
              <w:tab/>
            </w:r>
            <w:r w:rsidR="0051128E">
              <w:rPr>
                <w:noProof/>
                <w:webHidden/>
              </w:rPr>
              <w:fldChar w:fldCharType="begin"/>
            </w:r>
            <w:r w:rsidR="0051128E">
              <w:rPr>
                <w:noProof/>
                <w:webHidden/>
              </w:rPr>
              <w:instrText xml:space="preserve"> PAGEREF _Toc140239703 \h </w:instrText>
            </w:r>
            <w:r w:rsidR="0051128E">
              <w:rPr>
                <w:noProof/>
                <w:webHidden/>
              </w:rPr>
            </w:r>
            <w:r w:rsidR="0051128E">
              <w:rPr>
                <w:noProof/>
                <w:webHidden/>
              </w:rPr>
              <w:fldChar w:fldCharType="separate"/>
            </w:r>
            <w:r w:rsidR="0051128E">
              <w:rPr>
                <w:noProof/>
                <w:webHidden/>
              </w:rPr>
              <w:t>32</w:t>
            </w:r>
            <w:r w:rsidR="0051128E">
              <w:rPr>
                <w:noProof/>
                <w:webHidden/>
              </w:rPr>
              <w:fldChar w:fldCharType="end"/>
            </w:r>
          </w:hyperlink>
        </w:p>
        <w:p w14:paraId="55FAC9F6" w14:textId="4DDBABF6" w:rsidR="0051128E" w:rsidRDefault="001C7A9B">
          <w:pPr>
            <w:pStyle w:val="TOC3"/>
            <w:rPr>
              <w:rFonts w:eastAsiaTheme="minorEastAsia"/>
              <w:noProof/>
              <w:color w:val="auto"/>
              <w:kern w:val="0"/>
              <w:sz w:val="22"/>
              <w:szCs w:val="22"/>
              <w:lang w:eastAsia="en-AU"/>
            </w:rPr>
          </w:pPr>
          <w:hyperlink w:anchor="_Toc140239704" w:history="1">
            <w:r w:rsidR="0051128E" w:rsidRPr="005D0E7A">
              <w:rPr>
                <w:rStyle w:val="Hyperlink"/>
                <w:noProof/>
              </w:rPr>
              <w:t>Implementation</w:t>
            </w:r>
            <w:r w:rsidR="0051128E">
              <w:rPr>
                <w:noProof/>
                <w:webHidden/>
              </w:rPr>
              <w:tab/>
            </w:r>
            <w:r w:rsidR="0051128E">
              <w:rPr>
                <w:noProof/>
                <w:webHidden/>
              </w:rPr>
              <w:fldChar w:fldCharType="begin"/>
            </w:r>
            <w:r w:rsidR="0051128E">
              <w:rPr>
                <w:noProof/>
                <w:webHidden/>
              </w:rPr>
              <w:instrText xml:space="preserve"> PAGEREF _Toc140239704 \h </w:instrText>
            </w:r>
            <w:r w:rsidR="0051128E">
              <w:rPr>
                <w:noProof/>
                <w:webHidden/>
              </w:rPr>
            </w:r>
            <w:r w:rsidR="0051128E">
              <w:rPr>
                <w:noProof/>
                <w:webHidden/>
              </w:rPr>
              <w:fldChar w:fldCharType="separate"/>
            </w:r>
            <w:r w:rsidR="0051128E">
              <w:rPr>
                <w:noProof/>
                <w:webHidden/>
              </w:rPr>
              <w:t>33</w:t>
            </w:r>
            <w:r w:rsidR="0051128E">
              <w:rPr>
                <w:noProof/>
                <w:webHidden/>
              </w:rPr>
              <w:fldChar w:fldCharType="end"/>
            </w:r>
          </w:hyperlink>
        </w:p>
        <w:p w14:paraId="1122BDB5" w14:textId="30D17A73" w:rsidR="0051128E" w:rsidRDefault="001C7A9B">
          <w:pPr>
            <w:pStyle w:val="TOC3"/>
            <w:rPr>
              <w:rFonts w:eastAsiaTheme="minorEastAsia"/>
              <w:noProof/>
              <w:color w:val="auto"/>
              <w:kern w:val="0"/>
              <w:sz w:val="22"/>
              <w:szCs w:val="22"/>
              <w:lang w:eastAsia="en-AU"/>
            </w:rPr>
          </w:pPr>
          <w:hyperlink w:anchor="_Toc140239705" w:history="1">
            <w:r w:rsidR="0051128E" w:rsidRPr="005D0E7A">
              <w:rPr>
                <w:rStyle w:val="Hyperlink"/>
                <w:noProof/>
              </w:rPr>
              <w:t>Evaluation</w:t>
            </w:r>
            <w:r w:rsidR="0051128E">
              <w:rPr>
                <w:noProof/>
                <w:webHidden/>
              </w:rPr>
              <w:tab/>
            </w:r>
            <w:r w:rsidR="0051128E">
              <w:rPr>
                <w:noProof/>
                <w:webHidden/>
              </w:rPr>
              <w:fldChar w:fldCharType="begin"/>
            </w:r>
            <w:r w:rsidR="0051128E">
              <w:rPr>
                <w:noProof/>
                <w:webHidden/>
              </w:rPr>
              <w:instrText xml:space="preserve"> PAGEREF _Toc140239705 \h </w:instrText>
            </w:r>
            <w:r w:rsidR="0051128E">
              <w:rPr>
                <w:noProof/>
                <w:webHidden/>
              </w:rPr>
            </w:r>
            <w:r w:rsidR="0051128E">
              <w:rPr>
                <w:noProof/>
                <w:webHidden/>
              </w:rPr>
              <w:fldChar w:fldCharType="separate"/>
            </w:r>
            <w:r w:rsidR="0051128E">
              <w:rPr>
                <w:noProof/>
                <w:webHidden/>
              </w:rPr>
              <w:t>33</w:t>
            </w:r>
            <w:r w:rsidR="0051128E">
              <w:rPr>
                <w:noProof/>
                <w:webHidden/>
              </w:rPr>
              <w:fldChar w:fldCharType="end"/>
            </w:r>
          </w:hyperlink>
        </w:p>
        <w:p w14:paraId="7CD48C56" w14:textId="29A203F6" w:rsidR="0051128E" w:rsidRPr="0051128E" w:rsidRDefault="001C7A9B" w:rsidP="0051128E">
          <w:pPr>
            <w:pStyle w:val="TOC2"/>
            <w:rPr>
              <w:rFonts w:eastAsiaTheme="minorEastAsia"/>
              <w:b/>
              <w:color w:val="auto"/>
              <w:kern w:val="0"/>
              <w:sz w:val="22"/>
              <w:szCs w:val="22"/>
              <w:lang w:eastAsia="en-AU"/>
            </w:rPr>
          </w:pPr>
          <w:hyperlink w:anchor="_Toc140239706" w:history="1">
            <w:r w:rsidR="0051128E" w:rsidRPr="0051128E">
              <w:rPr>
                <w:rStyle w:val="Hyperlink"/>
                <w:b/>
              </w:rPr>
              <w:t>Part 1: Transport Standards principles</w:t>
            </w:r>
            <w:r w:rsidR="0051128E" w:rsidRPr="0051128E">
              <w:rPr>
                <w:b/>
                <w:webHidden/>
              </w:rPr>
              <w:tab/>
            </w:r>
            <w:r w:rsidR="0051128E" w:rsidRPr="0051128E">
              <w:rPr>
                <w:b/>
                <w:webHidden/>
              </w:rPr>
              <w:fldChar w:fldCharType="begin"/>
            </w:r>
            <w:r w:rsidR="0051128E" w:rsidRPr="0051128E">
              <w:rPr>
                <w:b/>
                <w:webHidden/>
              </w:rPr>
              <w:instrText xml:space="preserve"> PAGEREF _Toc140239706 \h </w:instrText>
            </w:r>
            <w:r w:rsidR="0051128E" w:rsidRPr="0051128E">
              <w:rPr>
                <w:b/>
                <w:webHidden/>
              </w:rPr>
            </w:r>
            <w:r w:rsidR="0051128E" w:rsidRPr="0051128E">
              <w:rPr>
                <w:b/>
                <w:webHidden/>
              </w:rPr>
              <w:fldChar w:fldCharType="separate"/>
            </w:r>
            <w:r w:rsidR="0051128E" w:rsidRPr="0051128E">
              <w:rPr>
                <w:b/>
                <w:webHidden/>
              </w:rPr>
              <w:t>34</w:t>
            </w:r>
            <w:r w:rsidR="0051128E" w:rsidRPr="0051128E">
              <w:rPr>
                <w:b/>
                <w:webHidden/>
              </w:rPr>
              <w:fldChar w:fldCharType="end"/>
            </w:r>
          </w:hyperlink>
        </w:p>
        <w:p w14:paraId="0118B94E" w14:textId="6FCEF540" w:rsidR="0051128E" w:rsidRDefault="001C7A9B" w:rsidP="0051128E">
          <w:pPr>
            <w:pStyle w:val="TOC2"/>
            <w:rPr>
              <w:rFonts w:eastAsiaTheme="minorEastAsia"/>
              <w:color w:val="auto"/>
              <w:kern w:val="0"/>
              <w:sz w:val="22"/>
              <w:szCs w:val="22"/>
              <w:lang w:eastAsia="en-AU"/>
            </w:rPr>
          </w:pPr>
          <w:hyperlink w:anchor="_Toc140239707" w:history="1">
            <w:r w:rsidR="0051128E" w:rsidRPr="005D0E7A">
              <w:rPr>
                <w:rStyle w:val="Hyperlink"/>
              </w:rPr>
              <w:t>1.</w:t>
            </w:r>
            <w:r w:rsidR="0051128E">
              <w:rPr>
                <w:rFonts w:eastAsiaTheme="minorEastAsia"/>
                <w:color w:val="auto"/>
                <w:kern w:val="0"/>
                <w:sz w:val="22"/>
                <w:szCs w:val="22"/>
                <w:lang w:eastAsia="en-AU"/>
              </w:rPr>
              <w:tab/>
            </w:r>
            <w:r w:rsidR="0051128E" w:rsidRPr="005D0E7A">
              <w:rPr>
                <w:rStyle w:val="Hyperlink"/>
              </w:rPr>
              <w:t>Reporting</w:t>
            </w:r>
            <w:r w:rsidR="0051128E">
              <w:rPr>
                <w:webHidden/>
              </w:rPr>
              <w:tab/>
            </w:r>
            <w:r w:rsidR="0051128E">
              <w:rPr>
                <w:webHidden/>
              </w:rPr>
              <w:fldChar w:fldCharType="begin"/>
            </w:r>
            <w:r w:rsidR="0051128E">
              <w:rPr>
                <w:webHidden/>
              </w:rPr>
              <w:instrText xml:space="preserve"> PAGEREF _Toc140239707 \h </w:instrText>
            </w:r>
            <w:r w:rsidR="0051128E">
              <w:rPr>
                <w:webHidden/>
              </w:rPr>
            </w:r>
            <w:r w:rsidR="0051128E">
              <w:rPr>
                <w:webHidden/>
              </w:rPr>
              <w:fldChar w:fldCharType="separate"/>
            </w:r>
            <w:r w:rsidR="0051128E">
              <w:rPr>
                <w:webHidden/>
              </w:rPr>
              <w:t>35</w:t>
            </w:r>
            <w:r w:rsidR="0051128E">
              <w:rPr>
                <w:webHidden/>
              </w:rPr>
              <w:fldChar w:fldCharType="end"/>
            </w:r>
          </w:hyperlink>
        </w:p>
        <w:p w14:paraId="2C8994C4" w14:textId="0472D5D3" w:rsidR="0051128E" w:rsidRDefault="001C7A9B" w:rsidP="0051128E">
          <w:pPr>
            <w:pStyle w:val="TOC2"/>
            <w:rPr>
              <w:rFonts w:eastAsiaTheme="minorEastAsia"/>
              <w:color w:val="auto"/>
              <w:kern w:val="0"/>
              <w:sz w:val="22"/>
              <w:szCs w:val="22"/>
              <w:lang w:eastAsia="en-AU"/>
            </w:rPr>
          </w:pPr>
          <w:hyperlink w:anchor="_Toc140239708" w:history="1">
            <w:r w:rsidR="0051128E" w:rsidRPr="005D0E7A">
              <w:rPr>
                <w:rStyle w:val="Hyperlink"/>
              </w:rPr>
              <w:t>2.</w:t>
            </w:r>
            <w:r w:rsidR="0051128E">
              <w:rPr>
                <w:rFonts w:eastAsiaTheme="minorEastAsia"/>
                <w:color w:val="auto"/>
                <w:kern w:val="0"/>
                <w:sz w:val="22"/>
                <w:szCs w:val="22"/>
                <w:lang w:eastAsia="en-AU"/>
              </w:rPr>
              <w:tab/>
            </w:r>
            <w:r w:rsidR="0051128E" w:rsidRPr="005D0E7A">
              <w:rPr>
                <w:rStyle w:val="Hyperlink"/>
              </w:rPr>
              <w:t>Equivalent Access</w:t>
            </w:r>
            <w:r w:rsidR="0051128E">
              <w:rPr>
                <w:webHidden/>
              </w:rPr>
              <w:tab/>
            </w:r>
            <w:r w:rsidR="0051128E">
              <w:rPr>
                <w:webHidden/>
              </w:rPr>
              <w:fldChar w:fldCharType="begin"/>
            </w:r>
            <w:r w:rsidR="0051128E">
              <w:rPr>
                <w:webHidden/>
              </w:rPr>
              <w:instrText xml:space="preserve"> PAGEREF _Toc140239708 \h </w:instrText>
            </w:r>
            <w:r w:rsidR="0051128E">
              <w:rPr>
                <w:webHidden/>
              </w:rPr>
            </w:r>
            <w:r w:rsidR="0051128E">
              <w:rPr>
                <w:webHidden/>
              </w:rPr>
              <w:fldChar w:fldCharType="separate"/>
            </w:r>
            <w:r w:rsidR="0051128E">
              <w:rPr>
                <w:webHidden/>
              </w:rPr>
              <w:t>41</w:t>
            </w:r>
            <w:r w:rsidR="0051128E">
              <w:rPr>
                <w:webHidden/>
              </w:rPr>
              <w:fldChar w:fldCharType="end"/>
            </w:r>
          </w:hyperlink>
        </w:p>
        <w:p w14:paraId="351CFC38" w14:textId="075493A5" w:rsidR="0051128E" w:rsidRDefault="001C7A9B" w:rsidP="0051128E">
          <w:pPr>
            <w:pStyle w:val="TOC2"/>
            <w:rPr>
              <w:rFonts w:eastAsiaTheme="minorEastAsia"/>
              <w:color w:val="auto"/>
              <w:kern w:val="0"/>
              <w:sz w:val="22"/>
              <w:szCs w:val="22"/>
              <w:lang w:eastAsia="en-AU"/>
            </w:rPr>
          </w:pPr>
          <w:hyperlink w:anchor="_Toc140239709" w:history="1">
            <w:r w:rsidR="0051128E" w:rsidRPr="005D0E7A">
              <w:rPr>
                <w:rStyle w:val="Hyperlink"/>
              </w:rPr>
              <w:t>3.</w:t>
            </w:r>
            <w:r w:rsidR="0051128E">
              <w:rPr>
                <w:rFonts w:eastAsiaTheme="minorEastAsia"/>
                <w:color w:val="auto"/>
                <w:kern w:val="0"/>
                <w:sz w:val="22"/>
                <w:szCs w:val="22"/>
                <w:lang w:eastAsia="en-AU"/>
              </w:rPr>
              <w:tab/>
            </w:r>
            <w:r w:rsidR="0051128E" w:rsidRPr="005D0E7A">
              <w:rPr>
                <w:rStyle w:val="Hyperlink"/>
              </w:rPr>
              <w:t>Rideshare</w:t>
            </w:r>
            <w:r w:rsidR="0051128E">
              <w:rPr>
                <w:webHidden/>
              </w:rPr>
              <w:tab/>
            </w:r>
            <w:r w:rsidR="0051128E">
              <w:rPr>
                <w:webHidden/>
              </w:rPr>
              <w:fldChar w:fldCharType="begin"/>
            </w:r>
            <w:r w:rsidR="0051128E">
              <w:rPr>
                <w:webHidden/>
              </w:rPr>
              <w:instrText xml:space="preserve"> PAGEREF _Toc140239709 \h </w:instrText>
            </w:r>
            <w:r w:rsidR="0051128E">
              <w:rPr>
                <w:webHidden/>
              </w:rPr>
            </w:r>
            <w:r w:rsidR="0051128E">
              <w:rPr>
                <w:webHidden/>
              </w:rPr>
              <w:fldChar w:fldCharType="separate"/>
            </w:r>
            <w:r w:rsidR="0051128E">
              <w:rPr>
                <w:webHidden/>
              </w:rPr>
              <w:t>47</w:t>
            </w:r>
            <w:r w:rsidR="0051128E">
              <w:rPr>
                <w:webHidden/>
              </w:rPr>
              <w:fldChar w:fldCharType="end"/>
            </w:r>
          </w:hyperlink>
        </w:p>
        <w:p w14:paraId="3404CD98" w14:textId="124B2546" w:rsidR="0051128E" w:rsidRDefault="001C7A9B" w:rsidP="0051128E">
          <w:pPr>
            <w:pStyle w:val="TOC2"/>
            <w:rPr>
              <w:rFonts w:eastAsiaTheme="minorEastAsia"/>
              <w:color w:val="auto"/>
              <w:kern w:val="0"/>
              <w:sz w:val="22"/>
              <w:szCs w:val="22"/>
              <w:lang w:eastAsia="en-AU"/>
            </w:rPr>
          </w:pPr>
          <w:hyperlink w:anchor="_Toc140239710" w:history="1">
            <w:r w:rsidR="0051128E" w:rsidRPr="005D0E7A">
              <w:rPr>
                <w:rStyle w:val="Hyperlink"/>
              </w:rPr>
              <w:t>4.</w:t>
            </w:r>
            <w:r w:rsidR="0051128E">
              <w:rPr>
                <w:rFonts w:eastAsiaTheme="minorEastAsia"/>
                <w:color w:val="auto"/>
                <w:kern w:val="0"/>
                <w:sz w:val="22"/>
                <w:szCs w:val="22"/>
                <w:lang w:eastAsia="en-AU"/>
              </w:rPr>
              <w:tab/>
            </w:r>
            <w:r w:rsidR="0051128E" w:rsidRPr="005D0E7A">
              <w:rPr>
                <w:rStyle w:val="Hyperlink"/>
              </w:rPr>
              <w:t>Dedicated school buses</w:t>
            </w:r>
            <w:r w:rsidR="0051128E">
              <w:rPr>
                <w:webHidden/>
              </w:rPr>
              <w:tab/>
            </w:r>
            <w:r w:rsidR="0051128E">
              <w:rPr>
                <w:webHidden/>
              </w:rPr>
              <w:fldChar w:fldCharType="begin"/>
            </w:r>
            <w:r w:rsidR="0051128E">
              <w:rPr>
                <w:webHidden/>
              </w:rPr>
              <w:instrText xml:space="preserve"> PAGEREF _Toc140239710 \h </w:instrText>
            </w:r>
            <w:r w:rsidR="0051128E">
              <w:rPr>
                <w:webHidden/>
              </w:rPr>
            </w:r>
            <w:r w:rsidR="0051128E">
              <w:rPr>
                <w:webHidden/>
              </w:rPr>
              <w:fldChar w:fldCharType="separate"/>
            </w:r>
            <w:r w:rsidR="0051128E">
              <w:rPr>
                <w:webHidden/>
              </w:rPr>
              <w:t>52</w:t>
            </w:r>
            <w:r w:rsidR="0051128E">
              <w:rPr>
                <w:webHidden/>
              </w:rPr>
              <w:fldChar w:fldCharType="end"/>
            </w:r>
          </w:hyperlink>
        </w:p>
        <w:p w14:paraId="375008DD" w14:textId="5923BCAD" w:rsidR="0051128E" w:rsidRDefault="001C7A9B" w:rsidP="0051128E">
          <w:pPr>
            <w:pStyle w:val="TOC2"/>
            <w:rPr>
              <w:rFonts w:eastAsiaTheme="minorEastAsia"/>
              <w:color w:val="auto"/>
              <w:kern w:val="0"/>
              <w:sz w:val="22"/>
              <w:szCs w:val="22"/>
              <w:lang w:eastAsia="en-AU"/>
            </w:rPr>
          </w:pPr>
          <w:hyperlink w:anchor="_Toc140239711" w:history="1">
            <w:r w:rsidR="0051128E" w:rsidRPr="0051128E">
              <w:rPr>
                <w:rStyle w:val="Hyperlink"/>
                <w:b/>
              </w:rPr>
              <w:t>Part 2: Information, communication and wayfinding</w:t>
            </w:r>
            <w:r w:rsidR="0051128E" w:rsidRPr="0051128E">
              <w:rPr>
                <w:webHidden/>
              </w:rPr>
              <w:tab/>
            </w:r>
            <w:r w:rsidR="0051128E" w:rsidRPr="0051128E">
              <w:rPr>
                <w:webHidden/>
              </w:rPr>
              <w:fldChar w:fldCharType="begin"/>
            </w:r>
            <w:r w:rsidR="0051128E" w:rsidRPr="0051128E">
              <w:rPr>
                <w:webHidden/>
              </w:rPr>
              <w:instrText xml:space="preserve"> PAGEREF _Toc140239711 \h </w:instrText>
            </w:r>
            <w:r w:rsidR="0051128E" w:rsidRPr="0051128E">
              <w:rPr>
                <w:webHidden/>
              </w:rPr>
            </w:r>
            <w:r w:rsidR="0051128E" w:rsidRPr="0051128E">
              <w:rPr>
                <w:webHidden/>
              </w:rPr>
              <w:fldChar w:fldCharType="separate"/>
            </w:r>
            <w:r w:rsidR="0051128E" w:rsidRPr="0051128E">
              <w:rPr>
                <w:webHidden/>
              </w:rPr>
              <w:t>58</w:t>
            </w:r>
            <w:r w:rsidR="0051128E" w:rsidRPr="0051128E">
              <w:rPr>
                <w:webHidden/>
              </w:rPr>
              <w:fldChar w:fldCharType="end"/>
            </w:r>
          </w:hyperlink>
        </w:p>
        <w:p w14:paraId="1470D0CE" w14:textId="3C168D41" w:rsidR="0051128E" w:rsidRDefault="001C7A9B" w:rsidP="0051128E">
          <w:pPr>
            <w:pStyle w:val="TOC2"/>
            <w:rPr>
              <w:rFonts w:eastAsiaTheme="minorEastAsia"/>
              <w:color w:val="auto"/>
              <w:kern w:val="0"/>
              <w:sz w:val="22"/>
              <w:szCs w:val="22"/>
              <w:lang w:eastAsia="en-AU"/>
            </w:rPr>
          </w:pPr>
          <w:hyperlink w:anchor="_Toc140239712" w:history="1">
            <w:r w:rsidR="0051128E" w:rsidRPr="005D0E7A">
              <w:rPr>
                <w:rStyle w:val="Hyperlink"/>
              </w:rPr>
              <w:t>5.</w:t>
            </w:r>
            <w:r w:rsidR="0051128E">
              <w:rPr>
                <w:rFonts w:eastAsiaTheme="minorEastAsia"/>
                <w:color w:val="auto"/>
                <w:kern w:val="0"/>
                <w:sz w:val="22"/>
                <w:szCs w:val="22"/>
                <w:lang w:eastAsia="en-AU"/>
              </w:rPr>
              <w:tab/>
            </w:r>
            <w:r w:rsidR="0051128E" w:rsidRPr="005D0E7A">
              <w:rPr>
                <w:rStyle w:val="Hyperlink"/>
              </w:rPr>
              <w:t>Better communication of accessibility features</w:t>
            </w:r>
            <w:r w:rsidR="0051128E">
              <w:rPr>
                <w:webHidden/>
              </w:rPr>
              <w:tab/>
            </w:r>
            <w:r w:rsidR="0051128E">
              <w:rPr>
                <w:webHidden/>
              </w:rPr>
              <w:fldChar w:fldCharType="begin"/>
            </w:r>
            <w:r w:rsidR="0051128E">
              <w:rPr>
                <w:webHidden/>
              </w:rPr>
              <w:instrText xml:space="preserve"> PAGEREF _Toc140239712 \h </w:instrText>
            </w:r>
            <w:r w:rsidR="0051128E">
              <w:rPr>
                <w:webHidden/>
              </w:rPr>
            </w:r>
            <w:r w:rsidR="0051128E">
              <w:rPr>
                <w:webHidden/>
              </w:rPr>
              <w:fldChar w:fldCharType="separate"/>
            </w:r>
            <w:r w:rsidR="0051128E">
              <w:rPr>
                <w:webHidden/>
              </w:rPr>
              <w:t>59</w:t>
            </w:r>
            <w:r w:rsidR="0051128E">
              <w:rPr>
                <w:webHidden/>
              </w:rPr>
              <w:fldChar w:fldCharType="end"/>
            </w:r>
          </w:hyperlink>
        </w:p>
        <w:p w14:paraId="470727C8" w14:textId="549D4D0E" w:rsidR="0051128E" w:rsidRDefault="001C7A9B" w:rsidP="0051128E">
          <w:pPr>
            <w:pStyle w:val="TOC2"/>
            <w:rPr>
              <w:rFonts w:eastAsiaTheme="minorEastAsia"/>
              <w:color w:val="auto"/>
              <w:kern w:val="0"/>
              <w:sz w:val="22"/>
              <w:szCs w:val="22"/>
              <w:lang w:eastAsia="en-AU"/>
            </w:rPr>
          </w:pPr>
          <w:hyperlink w:anchor="_Toc140239713" w:history="1">
            <w:r w:rsidR="0051128E" w:rsidRPr="005D0E7A">
              <w:rPr>
                <w:rStyle w:val="Hyperlink"/>
              </w:rPr>
              <w:t>6.</w:t>
            </w:r>
            <w:r w:rsidR="0051128E">
              <w:rPr>
                <w:rFonts w:eastAsiaTheme="minorEastAsia"/>
                <w:color w:val="auto"/>
                <w:kern w:val="0"/>
                <w:sz w:val="22"/>
                <w:szCs w:val="22"/>
                <w:lang w:eastAsia="en-AU"/>
              </w:rPr>
              <w:tab/>
            </w:r>
            <w:r w:rsidR="0051128E" w:rsidRPr="005D0E7A">
              <w:rPr>
                <w:rStyle w:val="Hyperlink"/>
              </w:rPr>
              <w:t>Timely provision of information</w:t>
            </w:r>
            <w:r w:rsidR="0051128E">
              <w:rPr>
                <w:webHidden/>
              </w:rPr>
              <w:tab/>
            </w:r>
            <w:r w:rsidR="0051128E">
              <w:rPr>
                <w:webHidden/>
              </w:rPr>
              <w:fldChar w:fldCharType="begin"/>
            </w:r>
            <w:r w:rsidR="0051128E">
              <w:rPr>
                <w:webHidden/>
              </w:rPr>
              <w:instrText xml:space="preserve"> PAGEREF _Toc140239713 \h </w:instrText>
            </w:r>
            <w:r w:rsidR="0051128E">
              <w:rPr>
                <w:webHidden/>
              </w:rPr>
            </w:r>
            <w:r w:rsidR="0051128E">
              <w:rPr>
                <w:webHidden/>
              </w:rPr>
              <w:fldChar w:fldCharType="separate"/>
            </w:r>
            <w:r w:rsidR="0051128E">
              <w:rPr>
                <w:webHidden/>
              </w:rPr>
              <w:t>64</w:t>
            </w:r>
            <w:r w:rsidR="0051128E">
              <w:rPr>
                <w:webHidden/>
              </w:rPr>
              <w:fldChar w:fldCharType="end"/>
            </w:r>
          </w:hyperlink>
        </w:p>
        <w:p w14:paraId="788DFF4A" w14:textId="3D3D1612" w:rsidR="0051128E" w:rsidRDefault="001C7A9B" w:rsidP="0051128E">
          <w:pPr>
            <w:pStyle w:val="TOC2"/>
            <w:rPr>
              <w:rFonts w:eastAsiaTheme="minorEastAsia"/>
              <w:color w:val="auto"/>
              <w:kern w:val="0"/>
              <w:sz w:val="22"/>
              <w:szCs w:val="22"/>
              <w:lang w:eastAsia="en-AU"/>
            </w:rPr>
          </w:pPr>
          <w:hyperlink w:anchor="_Toc140239714" w:history="1">
            <w:r w:rsidR="0051128E" w:rsidRPr="005D0E7A">
              <w:rPr>
                <w:rStyle w:val="Hyperlink"/>
              </w:rPr>
              <w:t>7.</w:t>
            </w:r>
            <w:r w:rsidR="0051128E">
              <w:rPr>
                <w:rFonts w:eastAsiaTheme="minorEastAsia"/>
                <w:color w:val="auto"/>
                <w:kern w:val="0"/>
                <w:sz w:val="22"/>
                <w:szCs w:val="22"/>
                <w:lang w:eastAsia="en-AU"/>
              </w:rPr>
              <w:tab/>
            </w:r>
            <w:r w:rsidR="0051128E" w:rsidRPr="005D0E7A">
              <w:rPr>
                <w:rStyle w:val="Hyperlink"/>
              </w:rPr>
              <w:t>Real time communication</w:t>
            </w:r>
            <w:r w:rsidR="0051128E">
              <w:rPr>
                <w:webHidden/>
              </w:rPr>
              <w:tab/>
            </w:r>
            <w:r w:rsidR="0051128E">
              <w:rPr>
                <w:webHidden/>
              </w:rPr>
              <w:fldChar w:fldCharType="begin"/>
            </w:r>
            <w:r w:rsidR="0051128E">
              <w:rPr>
                <w:webHidden/>
              </w:rPr>
              <w:instrText xml:space="preserve"> PAGEREF _Toc140239714 \h </w:instrText>
            </w:r>
            <w:r w:rsidR="0051128E">
              <w:rPr>
                <w:webHidden/>
              </w:rPr>
            </w:r>
            <w:r w:rsidR="0051128E">
              <w:rPr>
                <w:webHidden/>
              </w:rPr>
              <w:fldChar w:fldCharType="separate"/>
            </w:r>
            <w:r w:rsidR="0051128E">
              <w:rPr>
                <w:webHidden/>
              </w:rPr>
              <w:t>69</w:t>
            </w:r>
            <w:r w:rsidR="0051128E">
              <w:rPr>
                <w:webHidden/>
              </w:rPr>
              <w:fldChar w:fldCharType="end"/>
            </w:r>
          </w:hyperlink>
        </w:p>
        <w:p w14:paraId="7A87BFB4" w14:textId="6169DD9F" w:rsidR="0051128E" w:rsidRDefault="001C7A9B" w:rsidP="0051128E">
          <w:pPr>
            <w:pStyle w:val="TOC2"/>
            <w:rPr>
              <w:rFonts w:eastAsiaTheme="minorEastAsia"/>
              <w:color w:val="auto"/>
              <w:kern w:val="0"/>
              <w:sz w:val="22"/>
              <w:szCs w:val="22"/>
              <w:lang w:eastAsia="en-AU"/>
            </w:rPr>
          </w:pPr>
          <w:hyperlink w:anchor="_Toc140239715" w:history="1">
            <w:r w:rsidR="0051128E" w:rsidRPr="005D0E7A">
              <w:rPr>
                <w:rStyle w:val="Hyperlink"/>
              </w:rPr>
              <w:t>8.</w:t>
            </w:r>
            <w:r w:rsidR="0051128E">
              <w:rPr>
                <w:rFonts w:eastAsiaTheme="minorEastAsia"/>
                <w:color w:val="auto"/>
                <w:kern w:val="0"/>
                <w:sz w:val="22"/>
                <w:szCs w:val="22"/>
                <w:lang w:eastAsia="en-AU"/>
              </w:rPr>
              <w:tab/>
            </w:r>
            <w:r w:rsidR="0051128E" w:rsidRPr="005D0E7A">
              <w:rPr>
                <w:rStyle w:val="Hyperlink"/>
              </w:rPr>
              <w:t>Passenger location during journey</w:t>
            </w:r>
            <w:r w:rsidR="0051128E">
              <w:rPr>
                <w:webHidden/>
              </w:rPr>
              <w:tab/>
            </w:r>
            <w:r w:rsidR="0051128E">
              <w:rPr>
                <w:webHidden/>
              </w:rPr>
              <w:fldChar w:fldCharType="begin"/>
            </w:r>
            <w:r w:rsidR="0051128E">
              <w:rPr>
                <w:webHidden/>
              </w:rPr>
              <w:instrText xml:space="preserve"> PAGEREF _Toc140239715 \h </w:instrText>
            </w:r>
            <w:r w:rsidR="0051128E">
              <w:rPr>
                <w:webHidden/>
              </w:rPr>
            </w:r>
            <w:r w:rsidR="0051128E">
              <w:rPr>
                <w:webHidden/>
              </w:rPr>
              <w:fldChar w:fldCharType="separate"/>
            </w:r>
            <w:r w:rsidR="0051128E">
              <w:rPr>
                <w:webHidden/>
              </w:rPr>
              <w:t>74</w:t>
            </w:r>
            <w:r w:rsidR="0051128E">
              <w:rPr>
                <w:webHidden/>
              </w:rPr>
              <w:fldChar w:fldCharType="end"/>
            </w:r>
          </w:hyperlink>
        </w:p>
        <w:p w14:paraId="44D2461D" w14:textId="68EDFB6E" w:rsidR="0051128E" w:rsidRDefault="001C7A9B" w:rsidP="0051128E">
          <w:pPr>
            <w:pStyle w:val="TOC2"/>
            <w:rPr>
              <w:rFonts w:eastAsiaTheme="minorEastAsia"/>
              <w:color w:val="auto"/>
              <w:kern w:val="0"/>
              <w:sz w:val="22"/>
              <w:szCs w:val="22"/>
              <w:lang w:eastAsia="en-AU"/>
            </w:rPr>
          </w:pPr>
          <w:hyperlink w:anchor="_Toc140239716" w:history="1">
            <w:r w:rsidR="0051128E" w:rsidRPr="005D0E7A">
              <w:rPr>
                <w:rStyle w:val="Hyperlink"/>
              </w:rPr>
              <w:t>9.</w:t>
            </w:r>
            <w:r w:rsidR="0051128E">
              <w:rPr>
                <w:rFonts w:eastAsiaTheme="minorEastAsia"/>
                <w:color w:val="auto"/>
                <w:kern w:val="0"/>
                <w:sz w:val="22"/>
                <w:szCs w:val="22"/>
                <w:lang w:eastAsia="en-AU"/>
              </w:rPr>
              <w:tab/>
            </w:r>
            <w:r w:rsidR="0051128E" w:rsidRPr="005D0E7A">
              <w:rPr>
                <w:rStyle w:val="Hyperlink"/>
              </w:rPr>
              <w:t>Hearing augmentation on conveyances</w:t>
            </w:r>
            <w:r w:rsidR="0051128E">
              <w:rPr>
                <w:webHidden/>
              </w:rPr>
              <w:tab/>
            </w:r>
            <w:r w:rsidR="0051128E">
              <w:rPr>
                <w:webHidden/>
              </w:rPr>
              <w:fldChar w:fldCharType="begin"/>
            </w:r>
            <w:r w:rsidR="0051128E">
              <w:rPr>
                <w:webHidden/>
              </w:rPr>
              <w:instrText xml:space="preserve"> PAGEREF _Toc140239716 \h </w:instrText>
            </w:r>
            <w:r w:rsidR="0051128E">
              <w:rPr>
                <w:webHidden/>
              </w:rPr>
            </w:r>
            <w:r w:rsidR="0051128E">
              <w:rPr>
                <w:webHidden/>
              </w:rPr>
              <w:fldChar w:fldCharType="separate"/>
            </w:r>
            <w:r w:rsidR="0051128E">
              <w:rPr>
                <w:webHidden/>
              </w:rPr>
              <w:t>79</w:t>
            </w:r>
            <w:r w:rsidR="0051128E">
              <w:rPr>
                <w:webHidden/>
              </w:rPr>
              <w:fldChar w:fldCharType="end"/>
            </w:r>
          </w:hyperlink>
        </w:p>
        <w:p w14:paraId="51D8ABC3" w14:textId="3FAD20DF" w:rsidR="0051128E" w:rsidRDefault="001C7A9B" w:rsidP="0051128E">
          <w:pPr>
            <w:pStyle w:val="TOC2"/>
            <w:rPr>
              <w:rFonts w:eastAsiaTheme="minorEastAsia"/>
              <w:color w:val="auto"/>
              <w:kern w:val="0"/>
              <w:sz w:val="22"/>
              <w:szCs w:val="22"/>
              <w:lang w:eastAsia="en-AU"/>
            </w:rPr>
          </w:pPr>
          <w:hyperlink w:anchor="_Toc140239717" w:history="1">
            <w:r w:rsidR="0051128E" w:rsidRPr="005D0E7A">
              <w:rPr>
                <w:rStyle w:val="Hyperlink"/>
              </w:rPr>
              <w:t>10.</w:t>
            </w:r>
            <w:r w:rsidR="0051128E">
              <w:rPr>
                <w:rFonts w:eastAsiaTheme="minorEastAsia"/>
                <w:color w:val="auto"/>
                <w:kern w:val="0"/>
                <w:sz w:val="22"/>
                <w:szCs w:val="22"/>
                <w:lang w:eastAsia="en-AU"/>
              </w:rPr>
              <w:tab/>
            </w:r>
            <w:r w:rsidR="0051128E" w:rsidRPr="005D0E7A">
              <w:rPr>
                <w:rStyle w:val="Hyperlink"/>
              </w:rPr>
              <w:t>Hearing augmentation: Infrastructure and premises</w:t>
            </w:r>
            <w:r w:rsidR="0051128E">
              <w:rPr>
                <w:webHidden/>
              </w:rPr>
              <w:tab/>
            </w:r>
            <w:r w:rsidR="0051128E">
              <w:rPr>
                <w:webHidden/>
              </w:rPr>
              <w:fldChar w:fldCharType="begin"/>
            </w:r>
            <w:r w:rsidR="0051128E">
              <w:rPr>
                <w:webHidden/>
              </w:rPr>
              <w:instrText xml:space="preserve"> PAGEREF _Toc140239717 \h </w:instrText>
            </w:r>
            <w:r w:rsidR="0051128E">
              <w:rPr>
                <w:webHidden/>
              </w:rPr>
            </w:r>
            <w:r w:rsidR="0051128E">
              <w:rPr>
                <w:webHidden/>
              </w:rPr>
              <w:fldChar w:fldCharType="separate"/>
            </w:r>
            <w:r w:rsidR="0051128E">
              <w:rPr>
                <w:webHidden/>
              </w:rPr>
              <w:t>83</w:t>
            </w:r>
            <w:r w:rsidR="0051128E">
              <w:rPr>
                <w:webHidden/>
              </w:rPr>
              <w:fldChar w:fldCharType="end"/>
            </w:r>
          </w:hyperlink>
        </w:p>
        <w:p w14:paraId="004240E5" w14:textId="658EDDE0" w:rsidR="0051128E" w:rsidRDefault="001C7A9B" w:rsidP="0051128E">
          <w:pPr>
            <w:pStyle w:val="TOC2"/>
            <w:rPr>
              <w:rFonts w:eastAsiaTheme="minorEastAsia"/>
              <w:color w:val="auto"/>
              <w:kern w:val="0"/>
              <w:sz w:val="22"/>
              <w:szCs w:val="22"/>
              <w:lang w:eastAsia="en-AU"/>
            </w:rPr>
          </w:pPr>
          <w:hyperlink w:anchor="_Toc140239718" w:history="1">
            <w:r w:rsidR="0051128E" w:rsidRPr="005D0E7A">
              <w:rPr>
                <w:rStyle w:val="Hyperlink"/>
              </w:rPr>
              <w:t>11.</w:t>
            </w:r>
            <w:r w:rsidR="0051128E">
              <w:rPr>
                <w:rFonts w:eastAsiaTheme="minorEastAsia"/>
                <w:color w:val="auto"/>
                <w:kern w:val="0"/>
                <w:sz w:val="22"/>
                <w:szCs w:val="22"/>
                <w:lang w:eastAsia="en-AU"/>
              </w:rPr>
              <w:tab/>
            </w:r>
            <w:r w:rsidR="0051128E" w:rsidRPr="005D0E7A">
              <w:rPr>
                <w:rStyle w:val="Hyperlink"/>
              </w:rPr>
              <w:t>Print size and format</w:t>
            </w:r>
            <w:r w:rsidR="0051128E">
              <w:rPr>
                <w:webHidden/>
              </w:rPr>
              <w:tab/>
            </w:r>
            <w:r w:rsidR="0051128E">
              <w:rPr>
                <w:webHidden/>
              </w:rPr>
              <w:fldChar w:fldCharType="begin"/>
            </w:r>
            <w:r w:rsidR="0051128E">
              <w:rPr>
                <w:webHidden/>
              </w:rPr>
              <w:instrText xml:space="preserve"> PAGEREF _Toc140239718 \h </w:instrText>
            </w:r>
            <w:r w:rsidR="0051128E">
              <w:rPr>
                <w:webHidden/>
              </w:rPr>
            </w:r>
            <w:r w:rsidR="0051128E">
              <w:rPr>
                <w:webHidden/>
              </w:rPr>
              <w:fldChar w:fldCharType="separate"/>
            </w:r>
            <w:r w:rsidR="0051128E">
              <w:rPr>
                <w:webHidden/>
              </w:rPr>
              <w:t>87</w:t>
            </w:r>
            <w:r w:rsidR="0051128E">
              <w:rPr>
                <w:webHidden/>
              </w:rPr>
              <w:fldChar w:fldCharType="end"/>
            </w:r>
          </w:hyperlink>
        </w:p>
        <w:p w14:paraId="08C037A2" w14:textId="6A428D58" w:rsidR="0051128E" w:rsidRDefault="001C7A9B" w:rsidP="0051128E">
          <w:pPr>
            <w:pStyle w:val="TOC2"/>
            <w:rPr>
              <w:rFonts w:eastAsiaTheme="minorEastAsia"/>
              <w:color w:val="auto"/>
              <w:kern w:val="0"/>
              <w:sz w:val="22"/>
              <w:szCs w:val="22"/>
              <w:lang w:eastAsia="en-AU"/>
            </w:rPr>
          </w:pPr>
          <w:hyperlink w:anchor="_Toc140239719" w:history="1">
            <w:r w:rsidR="0051128E" w:rsidRPr="005D0E7A">
              <w:rPr>
                <w:rStyle w:val="Hyperlink"/>
              </w:rPr>
              <w:t>12.</w:t>
            </w:r>
            <w:r w:rsidR="0051128E">
              <w:rPr>
                <w:rFonts w:eastAsiaTheme="minorEastAsia"/>
                <w:color w:val="auto"/>
                <w:kern w:val="0"/>
                <w:sz w:val="22"/>
                <w:szCs w:val="22"/>
                <w:lang w:eastAsia="en-AU"/>
              </w:rPr>
              <w:tab/>
            </w:r>
            <w:r w:rsidR="0051128E" w:rsidRPr="005D0E7A">
              <w:rPr>
                <w:rStyle w:val="Hyperlink"/>
              </w:rPr>
              <w:t>International Symbol for Access and Deafness</w:t>
            </w:r>
            <w:r w:rsidR="0051128E">
              <w:rPr>
                <w:webHidden/>
              </w:rPr>
              <w:tab/>
            </w:r>
            <w:r w:rsidR="0051128E">
              <w:rPr>
                <w:webHidden/>
              </w:rPr>
              <w:fldChar w:fldCharType="begin"/>
            </w:r>
            <w:r w:rsidR="0051128E">
              <w:rPr>
                <w:webHidden/>
              </w:rPr>
              <w:instrText xml:space="preserve"> PAGEREF _Toc140239719 \h </w:instrText>
            </w:r>
            <w:r w:rsidR="0051128E">
              <w:rPr>
                <w:webHidden/>
              </w:rPr>
            </w:r>
            <w:r w:rsidR="0051128E">
              <w:rPr>
                <w:webHidden/>
              </w:rPr>
              <w:fldChar w:fldCharType="separate"/>
            </w:r>
            <w:r w:rsidR="0051128E">
              <w:rPr>
                <w:webHidden/>
              </w:rPr>
              <w:t>90</w:t>
            </w:r>
            <w:r w:rsidR="0051128E">
              <w:rPr>
                <w:webHidden/>
              </w:rPr>
              <w:fldChar w:fldCharType="end"/>
            </w:r>
          </w:hyperlink>
        </w:p>
        <w:p w14:paraId="5122FC4C" w14:textId="1F50B300" w:rsidR="0051128E" w:rsidRDefault="001C7A9B" w:rsidP="0051128E">
          <w:pPr>
            <w:pStyle w:val="TOC2"/>
            <w:rPr>
              <w:rFonts w:eastAsiaTheme="minorEastAsia"/>
              <w:color w:val="auto"/>
              <w:kern w:val="0"/>
              <w:sz w:val="22"/>
              <w:szCs w:val="22"/>
              <w:lang w:eastAsia="en-AU"/>
            </w:rPr>
          </w:pPr>
          <w:hyperlink w:anchor="_Toc140239720" w:history="1">
            <w:r w:rsidR="0051128E" w:rsidRPr="005D0E7A">
              <w:rPr>
                <w:rStyle w:val="Hyperlink"/>
              </w:rPr>
              <w:t>13.</w:t>
            </w:r>
            <w:r w:rsidR="0051128E">
              <w:rPr>
                <w:rFonts w:eastAsiaTheme="minorEastAsia"/>
                <w:color w:val="auto"/>
                <w:kern w:val="0"/>
                <w:sz w:val="22"/>
                <w:szCs w:val="22"/>
                <w:lang w:eastAsia="en-AU"/>
              </w:rPr>
              <w:tab/>
            </w:r>
            <w:r w:rsidR="0051128E" w:rsidRPr="005D0E7A">
              <w:rPr>
                <w:rStyle w:val="Hyperlink"/>
              </w:rPr>
              <w:t>Letter heights and luminance contrast of signs</w:t>
            </w:r>
            <w:r w:rsidR="0051128E">
              <w:rPr>
                <w:webHidden/>
              </w:rPr>
              <w:tab/>
            </w:r>
            <w:r w:rsidR="0051128E">
              <w:rPr>
                <w:webHidden/>
              </w:rPr>
              <w:fldChar w:fldCharType="begin"/>
            </w:r>
            <w:r w:rsidR="0051128E">
              <w:rPr>
                <w:webHidden/>
              </w:rPr>
              <w:instrText xml:space="preserve"> PAGEREF _Toc140239720 \h </w:instrText>
            </w:r>
            <w:r w:rsidR="0051128E">
              <w:rPr>
                <w:webHidden/>
              </w:rPr>
            </w:r>
            <w:r w:rsidR="0051128E">
              <w:rPr>
                <w:webHidden/>
              </w:rPr>
              <w:fldChar w:fldCharType="separate"/>
            </w:r>
            <w:r w:rsidR="0051128E">
              <w:rPr>
                <w:webHidden/>
              </w:rPr>
              <w:t>94</w:t>
            </w:r>
            <w:r w:rsidR="0051128E">
              <w:rPr>
                <w:webHidden/>
              </w:rPr>
              <w:fldChar w:fldCharType="end"/>
            </w:r>
          </w:hyperlink>
        </w:p>
        <w:p w14:paraId="4635CB89" w14:textId="1B607EA2" w:rsidR="0051128E" w:rsidRDefault="001C7A9B" w:rsidP="0051128E">
          <w:pPr>
            <w:pStyle w:val="TOC2"/>
            <w:rPr>
              <w:rFonts w:eastAsiaTheme="minorEastAsia"/>
              <w:color w:val="auto"/>
              <w:kern w:val="0"/>
              <w:sz w:val="22"/>
              <w:szCs w:val="22"/>
              <w:lang w:eastAsia="en-AU"/>
            </w:rPr>
          </w:pPr>
          <w:hyperlink w:anchor="_Toc140239721" w:history="1">
            <w:r w:rsidR="0051128E" w:rsidRPr="005D0E7A">
              <w:rPr>
                <w:rStyle w:val="Hyperlink"/>
              </w:rPr>
              <w:t>14.</w:t>
            </w:r>
            <w:r w:rsidR="0051128E">
              <w:rPr>
                <w:rFonts w:eastAsiaTheme="minorEastAsia"/>
                <w:color w:val="auto"/>
                <w:kern w:val="0"/>
                <w:sz w:val="22"/>
                <w:szCs w:val="22"/>
                <w:lang w:eastAsia="en-AU"/>
              </w:rPr>
              <w:tab/>
            </w:r>
            <w:r w:rsidR="0051128E" w:rsidRPr="005D0E7A">
              <w:rPr>
                <w:rStyle w:val="Hyperlink"/>
              </w:rPr>
              <w:t>Location of signs</w:t>
            </w:r>
            <w:r w:rsidR="0051128E">
              <w:rPr>
                <w:webHidden/>
              </w:rPr>
              <w:tab/>
            </w:r>
            <w:r w:rsidR="0051128E">
              <w:rPr>
                <w:webHidden/>
              </w:rPr>
              <w:fldChar w:fldCharType="begin"/>
            </w:r>
            <w:r w:rsidR="0051128E">
              <w:rPr>
                <w:webHidden/>
              </w:rPr>
              <w:instrText xml:space="preserve"> PAGEREF _Toc140239721 \h </w:instrText>
            </w:r>
            <w:r w:rsidR="0051128E">
              <w:rPr>
                <w:webHidden/>
              </w:rPr>
            </w:r>
            <w:r w:rsidR="0051128E">
              <w:rPr>
                <w:webHidden/>
              </w:rPr>
              <w:fldChar w:fldCharType="separate"/>
            </w:r>
            <w:r w:rsidR="0051128E">
              <w:rPr>
                <w:webHidden/>
              </w:rPr>
              <w:t>97</w:t>
            </w:r>
            <w:r w:rsidR="0051128E">
              <w:rPr>
                <w:webHidden/>
              </w:rPr>
              <w:fldChar w:fldCharType="end"/>
            </w:r>
          </w:hyperlink>
        </w:p>
        <w:p w14:paraId="18CE32D2" w14:textId="3B05BDD0" w:rsidR="0051128E" w:rsidRDefault="001C7A9B" w:rsidP="0051128E">
          <w:pPr>
            <w:pStyle w:val="TOC2"/>
            <w:rPr>
              <w:rFonts w:eastAsiaTheme="minorEastAsia"/>
              <w:color w:val="auto"/>
              <w:kern w:val="0"/>
              <w:sz w:val="22"/>
              <w:szCs w:val="22"/>
              <w:lang w:eastAsia="en-AU"/>
            </w:rPr>
          </w:pPr>
          <w:hyperlink w:anchor="_Toc140239722" w:history="1">
            <w:r w:rsidR="0051128E" w:rsidRPr="005D0E7A">
              <w:rPr>
                <w:rStyle w:val="Hyperlink"/>
              </w:rPr>
              <w:t>15.</w:t>
            </w:r>
            <w:r w:rsidR="0051128E">
              <w:rPr>
                <w:rFonts w:eastAsiaTheme="minorEastAsia"/>
                <w:color w:val="auto"/>
                <w:kern w:val="0"/>
                <w:sz w:val="22"/>
                <w:szCs w:val="22"/>
                <w:lang w:eastAsia="en-AU"/>
              </w:rPr>
              <w:tab/>
            </w:r>
            <w:r w:rsidR="0051128E" w:rsidRPr="005D0E7A">
              <w:rPr>
                <w:rStyle w:val="Hyperlink"/>
              </w:rPr>
              <w:t>Braille embossed (printed) specifications</w:t>
            </w:r>
            <w:r w:rsidR="0051128E">
              <w:rPr>
                <w:webHidden/>
              </w:rPr>
              <w:tab/>
            </w:r>
            <w:r w:rsidR="0051128E">
              <w:rPr>
                <w:webHidden/>
              </w:rPr>
              <w:fldChar w:fldCharType="begin"/>
            </w:r>
            <w:r w:rsidR="0051128E">
              <w:rPr>
                <w:webHidden/>
              </w:rPr>
              <w:instrText xml:space="preserve"> PAGEREF _Toc140239722 \h </w:instrText>
            </w:r>
            <w:r w:rsidR="0051128E">
              <w:rPr>
                <w:webHidden/>
              </w:rPr>
            </w:r>
            <w:r w:rsidR="0051128E">
              <w:rPr>
                <w:webHidden/>
              </w:rPr>
              <w:fldChar w:fldCharType="separate"/>
            </w:r>
            <w:r w:rsidR="0051128E">
              <w:rPr>
                <w:webHidden/>
              </w:rPr>
              <w:t>100</w:t>
            </w:r>
            <w:r w:rsidR="0051128E">
              <w:rPr>
                <w:webHidden/>
              </w:rPr>
              <w:fldChar w:fldCharType="end"/>
            </w:r>
          </w:hyperlink>
        </w:p>
        <w:p w14:paraId="398052EB" w14:textId="547918F9" w:rsidR="0051128E" w:rsidRDefault="001C7A9B" w:rsidP="0051128E">
          <w:pPr>
            <w:pStyle w:val="TOC2"/>
            <w:rPr>
              <w:rFonts w:eastAsiaTheme="minorEastAsia"/>
              <w:color w:val="auto"/>
              <w:kern w:val="0"/>
              <w:sz w:val="22"/>
              <w:szCs w:val="22"/>
              <w:lang w:eastAsia="en-AU"/>
            </w:rPr>
          </w:pPr>
          <w:hyperlink w:anchor="_Toc140239723" w:history="1">
            <w:r w:rsidR="0051128E" w:rsidRPr="005D0E7A">
              <w:rPr>
                <w:rStyle w:val="Hyperlink"/>
              </w:rPr>
              <w:t>16.</w:t>
            </w:r>
            <w:r w:rsidR="0051128E">
              <w:rPr>
                <w:rFonts w:eastAsiaTheme="minorEastAsia"/>
                <w:color w:val="auto"/>
                <w:kern w:val="0"/>
                <w:sz w:val="22"/>
                <w:szCs w:val="22"/>
                <w:lang w:eastAsia="en-AU"/>
              </w:rPr>
              <w:tab/>
            </w:r>
            <w:r w:rsidR="0051128E" w:rsidRPr="005D0E7A">
              <w:rPr>
                <w:rStyle w:val="Hyperlink"/>
              </w:rPr>
              <w:t>Braille and tactile lettering for signage</w:t>
            </w:r>
            <w:r w:rsidR="0051128E">
              <w:rPr>
                <w:webHidden/>
              </w:rPr>
              <w:tab/>
            </w:r>
            <w:r w:rsidR="0051128E">
              <w:rPr>
                <w:webHidden/>
              </w:rPr>
              <w:fldChar w:fldCharType="begin"/>
            </w:r>
            <w:r w:rsidR="0051128E">
              <w:rPr>
                <w:webHidden/>
              </w:rPr>
              <w:instrText xml:space="preserve"> PAGEREF _Toc140239723 \h </w:instrText>
            </w:r>
            <w:r w:rsidR="0051128E">
              <w:rPr>
                <w:webHidden/>
              </w:rPr>
            </w:r>
            <w:r w:rsidR="0051128E">
              <w:rPr>
                <w:webHidden/>
              </w:rPr>
              <w:fldChar w:fldCharType="separate"/>
            </w:r>
            <w:r w:rsidR="0051128E">
              <w:rPr>
                <w:webHidden/>
              </w:rPr>
              <w:t>105</w:t>
            </w:r>
            <w:r w:rsidR="0051128E">
              <w:rPr>
                <w:webHidden/>
              </w:rPr>
              <w:fldChar w:fldCharType="end"/>
            </w:r>
          </w:hyperlink>
        </w:p>
        <w:p w14:paraId="0AF9D6CB" w14:textId="44503D0B" w:rsidR="0051128E" w:rsidRDefault="001C7A9B" w:rsidP="0051128E">
          <w:pPr>
            <w:pStyle w:val="TOC2"/>
            <w:rPr>
              <w:rFonts w:eastAsiaTheme="minorEastAsia"/>
              <w:color w:val="auto"/>
              <w:kern w:val="0"/>
              <w:sz w:val="22"/>
              <w:szCs w:val="22"/>
              <w:lang w:eastAsia="en-AU"/>
            </w:rPr>
          </w:pPr>
          <w:hyperlink w:anchor="_Toc140239724" w:history="1">
            <w:r w:rsidR="0051128E" w:rsidRPr="005D0E7A">
              <w:rPr>
                <w:rStyle w:val="Hyperlink"/>
              </w:rPr>
              <w:t>17.</w:t>
            </w:r>
            <w:r w:rsidR="0051128E">
              <w:rPr>
                <w:rFonts w:eastAsiaTheme="minorEastAsia"/>
                <w:color w:val="auto"/>
                <w:kern w:val="0"/>
                <w:sz w:val="22"/>
                <w:szCs w:val="22"/>
                <w:lang w:eastAsia="en-AU"/>
              </w:rPr>
              <w:tab/>
            </w:r>
            <w:r w:rsidR="0051128E" w:rsidRPr="005D0E7A">
              <w:rPr>
                <w:rStyle w:val="Hyperlink"/>
              </w:rPr>
              <w:t>Lifts - Braille and tactile information at lift landings</w:t>
            </w:r>
            <w:r w:rsidR="0051128E">
              <w:rPr>
                <w:webHidden/>
              </w:rPr>
              <w:tab/>
            </w:r>
            <w:r w:rsidR="0051128E">
              <w:rPr>
                <w:webHidden/>
              </w:rPr>
              <w:fldChar w:fldCharType="begin"/>
            </w:r>
            <w:r w:rsidR="0051128E">
              <w:rPr>
                <w:webHidden/>
              </w:rPr>
              <w:instrText xml:space="preserve"> PAGEREF _Toc140239724 \h </w:instrText>
            </w:r>
            <w:r w:rsidR="0051128E">
              <w:rPr>
                <w:webHidden/>
              </w:rPr>
            </w:r>
            <w:r w:rsidR="0051128E">
              <w:rPr>
                <w:webHidden/>
              </w:rPr>
              <w:fldChar w:fldCharType="separate"/>
            </w:r>
            <w:r w:rsidR="0051128E">
              <w:rPr>
                <w:webHidden/>
              </w:rPr>
              <w:t>109</w:t>
            </w:r>
            <w:r w:rsidR="0051128E">
              <w:rPr>
                <w:webHidden/>
              </w:rPr>
              <w:fldChar w:fldCharType="end"/>
            </w:r>
          </w:hyperlink>
        </w:p>
        <w:p w14:paraId="2DB1DFEC" w14:textId="7C8DA9DE" w:rsidR="0051128E" w:rsidRDefault="001C7A9B" w:rsidP="0051128E">
          <w:pPr>
            <w:pStyle w:val="TOC2"/>
            <w:rPr>
              <w:rFonts w:eastAsiaTheme="minorEastAsia"/>
              <w:color w:val="auto"/>
              <w:kern w:val="0"/>
              <w:sz w:val="22"/>
              <w:szCs w:val="22"/>
              <w:lang w:eastAsia="en-AU"/>
            </w:rPr>
          </w:pPr>
          <w:hyperlink w:anchor="_Toc140239725" w:history="1">
            <w:r w:rsidR="0051128E" w:rsidRPr="005D0E7A">
              <w:rPr>
                <w:rStyle w:val="Hyperlink"/>
              </w:rPr>
              <w:t>18.</w:t>
            </w:r>
            <w:r w:rsidR="0051128E">
              <w:rPr>
                <w:rFonts w:eastAsiaTheme="minorEastAsia"/>
                <w:color w:val="auto"/>
                <w:kern w:val="0"/>
                <w:sz w:val="22"/>
                <w:szCs w:val="22"/>
                <w:lang w:eastAsia="en-AU"/>
              </w:rPr>
              <w:tab/>
            </w:r>
            <w:r w:rsidR="0051128E" w:rsidRPr="005D0E7A">
              <w:rPr>
                <w:rStyle w:val="Hyperlink"/>
              </w:rPr>
              <w:t>Lifts - Audible wayfinding</w:t>
            </w:r>
            <w:r w:rsidR="0051128E">
              <w:rPr>
                <w:webHidden/>
              </w:rPr>
              <w:tab/>
            </w:r>
            <w:r w:rsidR="0051128E">
              <w:rPr>
                <w:webHidden/>
              </w:rPr>
              <w:fldChar w:fldCharType="begin"/>
            </w:r>
            <w:r w:rsidR="0051128E">
              <w:rPr>
                <w:webHidden/>
              </w:rPr>
              <w:instrText xml:space="preserve"> PAGEREF _Toc140239725 \h </w:instrText>
            </w:r>
            <w:r w:rsidR="0051128E">
              <w:rPr>
                <w:webHidden/>
              </w:rPr>
            </w:r>
            <w:r w:rsidR="0051128E">
              <w:rPr>
                <w:webHidden/>
              </w:rPr>
              <w:fldChar w:fldCharType="separate"/>
            </w:r>
            <w:r w:rsidR="0051128E">
              <w:rPr>
                <w:webHidden/>
              </w:rPr>
              <w:t>113</w:t>
            </w:r>
            <w:r w:rsidR="0051128E">
              <w:rPr>
                <w:webHidden/>
              </w:rPr>
              <w:fldChar w:fldCharType="end"/>
            </w:r>
          </w:hyperlink>
        </w:p>
        <w:p w14:paraId="1BE820BA" w14:textId="526EC1D2" w:rsidR="0051128E" w:rsidRDefault="001C7A9B" w:rsidP="0051128E">
          <w:pPr>
            <w:pStyle w:val="TOC2"/>
            <w:rPr>
              <w:rFonts w:eastAsiaTheme="minorEastAsia"/>
              <w:color w:val="auto"/>
              <w:kern w:val="0"/>
              <w:sz w:val="22"/>
              <w:szCs w:val="22"/>
              <w:lang w:eastAsia="en-AU"/>
            </w:rPr>
          </w:pPr>
          <w:hyperlink w:anchor="_Toc140239726" w:history="1">
            <w:r w:rsidR="0051128E" w:rsidRPr="005D0E7A">
              <w:rPr>
                <w:rStyle w:val="Hyperlink"/>
              </w:rPr>
              <w:t>19.</w:t>
            </w:r>
            <w:r w:rsidR="0051128E">
              <w:rPr>
                <w:rFonts w:eastAsiaTheme="minorEastAsia"/>
                <w:color w:val="auto"/>
                <w:kern w:val="0"/>
                <w:sz w:val="22"/>
                <w:szCs w:val="22"/>
                <w:lang w:eastAsia="en-AU"/>
              </w:rPr>
              <w:tab/>
            </w:r>
            <w:r w:rsidR="0051128E" w:rsidRPr="005D0E7A">
              <w:rPr>
                <w:rStyle w:val="Hyperlink"/>
              </w:rPr>
              <w:t>Lifts - Emergency communication systems in lift cars</w:t>
            </w:r>
            <w:r w:rsidR="0051128E">
              <w:rPr>
                <w:webHidden/>
              </w:rPr>
              <w:tab/>
            </w:r>
            <w:r w:rsidR="0051128E">
              <w:rPr>
                <w:webHidden/>
              </w:rPr>
              <w:fldChar w:fldCharType="begin"/>
            </w:r>
            <w:r w:rsidR="0051128E">
              <w:rPr>
                <w:webHidden/>
              </w:rPr>
              <w:instrText xml:space="preserve"> PAGEREF _Toc140239726 \h </w:instrText>
            </w:r>
            <w:r w:rsidR="0051128E">
              <w:rPr>
                <w:webHidden/>
              </w:rPr>
            </w:r>
            <w:r w:rsidR="0051128E">
              <w:rPr>
                <w:webHidden/>
              </w:rPr>
              <w:fldChar w:fldCharType="separate"/>
            </w:r>
            <w:r w:rsidR="0051128E">
              <w:rPr>
                <w:webHidden/>
              </w:rPr>
              <w:t>118</w:t>
            </w:r>
            <w:r w:rsidR="0051128E">
              <w:rPr>
                <w:webHidden/>
              </w:rPr>
              <w:fldChar w:fldCharType="end"/>
            </w:r>
          </w:hyperlink>
        </w:p>
        <w:p w14:paraId="333C37B1" w14:textId="0D385BDB" w:rsidR="0051128E" w:rsidRDefault="001C7A9B" w:rsidP="0051128E">
          <w:pPr>
            <w:pStyle w:val="TOC2"/>
            <w:rPr>
              <w:rFonts w:eastAsiaTheme="minorEastAsia"/>
              <w:color w:val="auto"/>
              <w:kern w:val="0"/>
              <w:sz w:val="22"/>
              <w:szCs w:val="22"/>
              <w:lang w:eastAsia="en-AU"/>
            </w:rPr>
          </w:pPr>
          <w:hyperlink w:anchor="_Toc140239727" w:history="1">
            <w:r w:rsidR="0051128E" w:rsidRPr="005D0E7A">
              <w:rPr>
                <w:rStyle w:val="Hyperlink"/>
              </w:rPr>
              <w:t>20.</w:t>
            </w:r>
            <w:r w:rsidR="0051128E">
              <w:rPr>
                <w:rFonts w:eastAsiaTheme="minorEastAsia"/>
                <w:color w:val="auto"/>
                <w:kern w:val="0"/>
                <w:sz w:val="22"/>
                <w:szCs w:val="22"/>
                <w:lang w:eastAsia="en-AU"/>
              </w:rPr>
              <w:tab/>
            </w:r>
            <w:r w:rsidR="0051128E" w:rsidRPr="005D0E7A">
              <w:rPr>
                <w:rStyle w:val="Hyperlink"/>
              </w:rPr>
              <w:t>Lifts - Reference for lift car communication and information system</w:t>
            </w:r>
            <w:r w:rsidR="0051128E">
              <w:rPr>
                <w:webHidden/>
              </w:rPr>
              <w:tab/>
            </w:r>
            <w:r w:rsidR="0051128E">
              <w:rPr>
                <w:webHidden/>
              </w:rPr>
              <w:fldChar w:fldCharType="begin"/>
            </w:r>
            <w:r w:rsidR="0051128E">
              <w:rPr>
                <w:webHidden/>
              </w:rPr>
              <w:instrText xml:space="preserve"> PAGEREF _Toc140239727 \h </w:instrText>
            </w:r>
            <w:r w:rsidR="0051128E">
              <w:rPr>
                <w:webHidden/>
              </w:rPr>
            </w:r>
            <w:r w:rsidR="0051128E">
              <w:rPr>
                <w:webHidden/>
              </w:rPr>
              <w:fldChar w:fldCharType="separate"/>
            </w:r>
            <w:r w:rsidR="0051128E">
              <w:rPr>
                <w:webHidden/>
              </w:rPr>
              <w:t>122</w:t>
            </w:r>
            <w:r w:rsidR="0051128E">
              <w:rPr>
                <w:webHidden/>
              </w:rPr>
              <w:fldChar w:fldCharType="end"/>
            </w:r>
          </w:hyperlink>
        </w:p>
        <w:p w14:paraId="28315D04" w14:textId="1C77FAA5" w:rsidR="0051128E" w:rsidRDefault="001C7A9B" w:rsidP="0051128E">
          <w:pPr>
            <w:pStyle w:val="TOC2"/>
            <w:rPr>
              <w:rFonts w:eastAsiaTheme="minorEastAsia"/>
              <w:color w:val="auto"/>
              <w:kern w:val="0"/>
              <w:sz w:val="22"/>
              <w:szCs w:val="22"/>
              <w:lang w:eastAsia="en-AU"/>
            </w:rPr>
          </w:pPr>
          <w:hyperlink w:anchor="_Toc140239728" w:history="1">
            <w:r w:rsidR="0051128E" w:rsidRPr="005D0E7A">
              <w:rPr>
                <w:rStyle w:val="Hyperlink"/>
              </w:rPr>
              <w:t>21.</w:t>
            </w:r>
            <w:r w:rsidR="0051128E">
              <w:rPr>
                <w:rFonts w:eastAsiaTheme="minorEastAsia"/>
                <w:color w:val="auto"/>
                <w:kern w:val="0"/>
                <w:sz w:val="22"/>
                <w:szCs w:val="22"/>
                <w:lang w:eastAsia="en-AU"/>
              </w:rPr>
              <w:tab/>
            </w:r>
            <w:r w:rsidR="0051128E" w:rsidRPr="005D0E7A">
              <w:rPr>
                <w:rStyle w:val="Hyperlink"/>
              </w:rPr>
              <w:t>Information and communication technologies (ICT) procurement</w:t>
            </w:r>
            <w:r w:rsidR="0051128E">
              <w:rPr>
                <w:webHidden/>
              </w:rPr>
              <w:tab/>
            </w:r>
            <w:r w:rsidR="0051128E">
              <w:rPr>
                <w:webHidden/>
              </w:rPr>
              <w:fldChar w:fldCharType="begin"/>
            </w:r>
            <w:r w:rsidR="0051128E">
              <w:rPr>
                <w:webHidden/>
              </w:rPr>
              <w:instrText xml:space="preserve"> PAGEREF _Toc140239728 \h </w:instrText>
            </w:r>
            <w:r w:rsidR="0051128E">
              <w:rPr>
                <w:webHidden/>
              </w:rPr>
            </w:r>
            <w:r w:rsidR="0051128E">
              <w:rPr>
                <w:webHidden/>
              </w:rPr>
              <w:fldChar w:fldCharType="separate"/>
            </w:r>
            <w:r w:rsidR="0051128E">
              <w:rPr>
                <w:webHidden/>
              </w:rPr>
              <w:t>127</w:t>
            </w:r>
            <w:r w:rsidR="0051128E">
              <w:rPr>
                <w:webHidden/>
              </w:rPr>
              <w:fldChar w:fldCharType="end"/>
            </w:r>
          </w:hyperlink>
        </w:p>
        <w:p w14:paraId="08CA2285" w14:textId="41DAF634" w:rsidR="0051128E" w:rsidRDefault="001C7A9B" w:rsidP="0051128E">
          <w:pPr>
            <w:pStyle w:val="TOC2"/>
            <w:rPr>
              <w:rFonts w:eastAsiaTheme="minorEastAsia"/>
              <w:color w:val="auto"/>
              <w:kern w:val="0"/>
              <w:sz w:val="22"/>
              <w:szCs w:val="22"/>
              <w:lang w:eastAsia="en-AU"/>
            </w:rPr>
          </w:pPr>
          <w:hyperlink w:anchor="_Toc140239729" w:history="1">
            <w:r w:rsidR="0051128E" w:rsidRPr="005D0E7A">
              <w:rPr>
                <w:rStyle w:val="Hyperlink"/>
              </w:rPr>
              <w:t>22.</w:t>
            </w:r>
            <w:r w:rsidR="0051128E">
              <w:rPr>
                <w:rFonts w:eastAsiaTheme="minorEastAsia"/>
                <w:color w:val="auto"/>
                <w:kern w:val="0"/>
                <w:sz w:val="22"/>
                <w:szCs w:val="22"/>
                <w:lang w:eastAsia="en-AU"/>
              </w:rPr>
              <w:tab/>
            </w:r>
            <w:r w:rsidR="0051128E" w:rsidRPr="005D0E7A">
              <w:rPr>
                <w:rStyle w:val="Hyperlink"/>
              </w:rPr>
              <w:t>Mobile web systems</w:t>
            </w:r>
            <w:r w:rsidR="0051128E">
              <w:rPr>
                <w:webHidden/>
              </w:rPr>
              <w:tab/>
            </w:r>
            <w:r w:rsidR="0051128E">
              <w:rPr>
                <w:webHidden/>
              </w:rPr>
              <w:fldChar w:fldCharType="begin"/>
            </w:r>
            <w:r w:rsidR="0051128E">
              <w:rPr>
                <w:webHidden/>
              </w:rPr>
              <w:instrText xml:space="preserve"> PAGEREF _Toc140239729 \h </w:instrText>
            </w:r>
            <w:r w:rsidR="0051128E">
              <w:rPr>
                <w:webHidden/>
              </w:rPr>
            </w:r>
            <w:r w:rsidR="0051128E">
              <w:rPr>
                <w:webHidden/>
              </w:rPr>
              <w:fldChar w:fldCharType="separate"/>
            </w:r>
            <w:r w:rsidR="0051128E">
              <w:rPr>
                <w:webHidden/>
              </w:rPr>
              <w:t>134</w:t>
            </w:r>
            <w:r w:rsidR="0051128E">
              <w:rPr>
                <w:webHidden/>
              </w:rPr>
              <w:fldChar w:fldCharType="end"/>
            </w:r>
          </w:hyperlink>
        </w:p>
        <w:p w14:paraId="4D9B0768" w14:textId="08D56D21" w:rsidR="0051128E" w:rsidRDefault="001C7A9B" w:rsidP="0051128E">
          <w:pPr>
            <w:pStyle w:val="TOC2"/>
            <w:rPr>
              <w:rFonts w:eastAsiaTheme="minorEastAsia"/>
              <w:color w:val="auto"/>
              <w:kern w:val="0"/>
              <w:sz w:val="22"/>
              <w:szCs w:val="22"/>
              <w:lang w:eastAsia="en-AU"/>
            </w:rPr>
          </w:pPr>
          <w:hyperlink w:anchor="_Toc140239730" w:history="1">
            <w:r w:rsidR="0051128E" w:rsidRPr="005D0E7A">
              <w:rPr>
                <w:rStyle w:val="Hyperlink"/>
              </w:rPr>
              <w:t>23.</w:t>
            </w:r>
            <w:r w:rsidR="0051128E">
              <w:rPr>
                <w:rFonts w:eastAsiaTheme="minorEastAsia"/>
                <w:color w:val="auto"/>
                <w:kern w:val="0"/>
                <w:sz w:val="22"/>
                <w:szCs w:val="22"/>
                <w:lang w:eastAsia="en-AU"/>
              </w:rPr>
              <w:tab/>
            </w:r>
            <w:r w:rsidR="0051128E" w:rsidRPr="005D0E7A">
              <w:rPr>
                <w:rStyle w:val="Hyperlink"/>
              </w:rPr>
              <w:t>Accessible fare system elements</w:t>
            </w:r>
            <w:r w:rsidR="0051128E">
              <w:rPr>
                <w:webHidden/>
              </w:rPr>
              <w:tab/>
            </w:r>
            <w:r w:rsidR="0051128E">
              <w:rPr>
                <w:webHidden/>
              </w:rPr>
              <w:fldChar w:fldCharType="begin"/>
            </w:r>
            <w:r w:rsidR="0051128E">
              <w:rPr>
                <w:webHidden/>
              </w:rPr>
              <w:instrText xml:space="preserve"> PAGEREF _Toc140239730 \h </w:instrText>
            </w:r>
            <w:r w:rsidR="0051128E">
              <w:rPr>
                <w:webHidden/>
              </w:rPr>
            </w:r>
            <w:r w:rsidR="0051128E">
              <w:rPr>
                <w:webHidden/>
              </w:rPr>
              <w:fldChar w:fldCharType="separate"/>
            </w:r>
            <w:r w:rsidR="0051128E">
              <w:rPr>
                <w:webHidden/>
              </w:rPr>
              <w:t>139</w:t>
            </w:r>
            <w:r w:rsidR="0051128E">
              <w:rPr>
                <w:webHidden/>
              </w:rPr>
              <w:fldChar w:fldCharType="end"/>
            </w:r>
          </w:hyperlink>
        </w:p>
        <w:p w14:paraId="4F77F85F" w14:textId="5F3A0EE4" w:rsidR="0051128E" w:rsidRDefault="001C7A9B" w:rsidP="0051128E">
          <w:pPr>
            <w:pStyle w:val="TOC2"/>
            <w:rPr>
              <w:rFonts w:eastAsiaTheme="minorEastAsia"/>
              <w:color w:val="auto"/>
              <w:kern w:val="0"/>
              <w:sz w:val="22"/>
              <w:szCs w:val="22"/>
              <w:lang w:eastAsia="en-AU"/>
            </w:rPr>
          </w:pPr>
          <w:hyperlink w:anchor="_Toc140239731" w:history="1">
            <w:r w:rsidR="0051128E" w:rsidRPr="0051128E">
              <w:rPr>
                <w:rStyle w:val="Hyperlink"/>
                <w:b/>
              </w:rPr>
              <w:t>Part 3: Accessibility at stations, stops, wharves and access routes</w:t>
            </w:r>
            <w:r w:rsidR="0051128E" w:rsidRPr="0051128E">
              <w:rPr>
                <w:webHidden/>
              </w:rPr>
              <w:tab/>
            </w:r>
            <w:r w:rsidR="0051128E" w:rsidRPr="0051128E">
              <w:rPr>
                <w:webHidden/>
              </w:rPr>
              <w:fldChar w:fldCharType="begin"/>
            </w:r>
            <w:r w:rsidR="0051128E" w:rsidRPr="0051128E">
              <w:rPr>
                <w:webHidden/>
              </w:rPr>
              <w:instrText xml:space="preserve"> PAGEREF _Toc140239731 \h </w:instrText>
            </w:r>
            <w:r w:rsidR="0051128E" w:rsidRPr="0051128E">
              <w:rPr>
                <w:webHidden/>
              </w:rPr>
            </w:r>
            <w:r w:rsidR="0051128E" w:rsidRPr="0051128E">
              <w:rPr>
                <w:webHidden/>
              </w:rPr>
              <w:fldChar w:fldCharType="separate"/>
            </w:r>
            <w:r w:rsidR="0051128E" w:rsidRPr="0051128E">
              <w:rPr>
                <w:webHidden/>
              </w:rPr>
              <w:t>145</w:t>
            </w:r>
            <w:r w:rsidR="0051128E" w:rsidRPr="0051128E">
              <w:rPr>
                <w:webHidden/>
              </w:rPr>
              <w:fldChar w:fldCharType="end"/>
            </w:r>
          </w:hyperlink>
        </w:p>
        <w:p w14:paraId="48803B50" w14:textId="5E3C4343" w:rsidR="0051128E" w:rsidRDefault="001C7A9B" w:rsidP="0051128E">
          <w:pPr>
            <w:pStyle w:val="TOC2"/>
            <w:rPr>
              <w:rFonts w:eastAsiaTheme="minorEastAsia"/>
              <w:color w:val="auto"/>
              <w:kern w:val="0"/>
              <w:sz w:val="22"/>
              <w:szCs w:val="22"/>
              <w:lang w:eastAsia="en-AU"/>
            </w:rPr>
          </w:pPr>
          <w:hyperlink w:anchor="_Toc140239732" w:history="1">
            <w:r w:rsidR="0051128E" w:rsidRPr="005D0E7A">
              <w:rPr>
                <w:rStyle w:val="Hyperlink"/>
              </w:rPr>
              <w:t>24.</w:t>
            </w:r>
            <w:r w:rsidR="0051128E">
              <w:rPr>
                <w:rFonts w:eastAsiaTheme="minorEastAsia"/>
                <w:color w:val="auto"/>
                <w:kern w:val="0"/>
                <w:sz w:val="22"/>
                <w:szCs w:val="22"/>
                <w:lang w:eastAsia="en-AU"/>
              </w:rPr>
              <w:tab/>
            </w:r>
            <w:r w:rsidR="0051128E" w:rsidRPr="005D0E7A">
              <w:rPr>
                <w:rStyle w:val="Hyperlink"/>
              </w:rPr>
              <w:t>Doors on access paths</w:t>
            </w:r>
            <w:r w:rsidR="0051128E">
              <w:rPr>
                <w:webHidden/>
              </w:rPr>
              <w:tab/>
            </w:r>
            <w:r w:rsidR="0051128E">
              <w:rPr>
                <w:webHidden/>
              </w:rPr>
              <w:fldChar w:fldCharType="begin"/>
            </w:r>
            <w:r w:rsidR="0051128E">
              <w:rPr>
                <w:webHidden/>
              </w:rPr>
              <w:instrText xml:space="preserve"> PAGEREF _Toc140239732 \h </w:instrText>
            </w:r>
            <w:r w:rsidR="0051128E">
              <w:rPr>
                <w:webHidden/>
              </w:rPr>
            </w:r>
            <w:r w:rsidR="0051128E">
              <w:rPr>
                <w:webHidden/>
              </w:rPr>
              <w:fldChar w:fldCharType="separate"/>
            </w:r>
            <w:r w:rsidR="0051128E">
              <w:rPr>
                <w:webHidden/>
              </w:rPr>
              <w:t>146</w:t>
            </w:r>
            <w:r w:rsidR="0051128E">
              <w:rPr>
                <w:webHidden/>
              </w:rPr>
              <w:fldChar w:fldCharType="end"/>
            </w:r>
          </w:hyperlink>
        </w:p>
        <w:p w14:paraId="7A704DFE" w14:textId="2BD98AF2" w:rsidR="0051128E" w:rsidRDefault="001C7A9B" w:rsidP="0051128E">
          <w:pPr>
            <w:pStyle w:val="TOC2"/>
            <w:rPr>
              <w:rFonts w:eastAsiaTheme="minorEastAsia"/>
              <w:color w:val="auto"/>
              <w:kern w:val="0"/>
              <w:sz w:val="22"/>
              <w:szCs w:val="22"/>
              <w:lang w:eastAsia="en-AU"/>
            </w:rPr>
          </w:pPr>
          <w:hyperlink w:anchor="_Toc140239733" w:history="1">
            <w:r w:rsidR="0051128E" w:rsidRPr="005D0E7A">
              <w:rPr>
                <w:rStyle w:val="Hyperlink"/>
              </w:rPr>
              <w:t>25.</w:t>
            </w:r>
            <w:r w:rsidR="0051128E">
              <w:rPr>
                <w:rFonts w:eastAsiaTheme="minorEastAsia"/>
                <w:color w:val="auto"/>
                <w:kern w:val="0"/>
                <w:sz w:val="22"/>
                <w:szCs w:val="22"/>
                <w:lang w:eastAsia="en-AU"/>
              </w:rPr>
              <w:tab/>
            </w:r>
            <w:r w:rsidR="0051128E" w:rsidRPr="005D0E7A">
              <w:rPr>
                <w:rStyle w:val="Hyperlink"/>
              </w:rPr>
              <w:t>Continuous access on access paths</w:t>
            </w:r>
            <w:r w:rsidR="0051128E">
              <w:rPr>
                <w:webHidden/>
              </w:rPr>
              <w:tab/>
            </w:r>
            <w:r w:rsidR="0051128E">
              <w:rPr>
                <w:webHidden/>
              </w:rPr>
              <w:fldChar w:fldCharType="begin"/>
            </w:r>
            <w:r w:rsidR="0051128E">
              <w:rPr>
                <w:webHidden/>
              </w:rPr>
              <w:instrText xml:space="preserve"> PAGEREF _Toc140239733 \h </w:instrText>
            </w:r>
            <w:r w:rsidR="0051128E">
              <w:rPr>
                <w:webHidden/>
              </w:rPr>
            </w:r>
            <w:r w:rsidR="0051128E">
              <w:rPr>
                <w:webHidden/>
              </w:rPr>
              <w:fldChar w:fldCharType="separate"/>
            </w:r>
            <w:r w:rsidR="0051128E">
              <w:rPr>
                <w:webHidden/>
              </w:rPr>
              <w:t>152</w:t>
            </w:r>
            <w:r w:rsidR="0051128E">
              <w:rPr>
                <w:webHidden/>
              </w:rPr>
              <w:fldChar w:fldCharType="end"/>
            </w:r>
          </w:hyperlink>
        </w:p>
        <w:p w14:paraId="416CF29F" w14:textId="372786F7" w:rsidR="0051128E" w:rsidRDefault="001C7A9B" w:rsidP="0051128E">
          <w:pPr>
            <w:pStyle w:val="TOC2"/>
            <w:rPr>
              <w:rFonts w:eastAsiaTheme="minorEastAsia"/>
              <w:color w:val="auto"/>
              <w:kern w:val="0"/>
              <w:sz w:val="22"/>
              <w:szCs w:val="22"/>
              <w:lang w:eastAsia="en-AU"/>
            </w:rPr>
          </w:pPr>
          <w:hyperlink w:anchor="_Toc140239734" w:history="1">
            <w:r w:rsidR="0051128E" w:rsidRPr="005D0E7A">
              <w:rPr>
                <w:rStyle w:val="Hyperlink"/>
              </w:rPr>
              <w:t>26.</w:t>
            </w:r>
            <w:r w:rsidR="0051128E">
              <w:rPr>
                <w:rFonts w:eastAsiaTheme="minorEastAsia"/>
                <w:color w:val="auto"/>
                <w:kern w:val="0"/>
                <w:sz w:val="22"/>
                <w:szCs w:val="22"/>
                <w:lang w:eastAsia="en-AU"/>
              </w:rPr>
              <w:tab/>
            </w:r>
            <w:r w:rsidR="0051128E" w:rsidRPr="005D0E7A">
              <w:rPr>
                <w:rStyle w:val="Hyperlink"/>
              </w:rPr>
              <w:t>Flange gaps within access paths</w:t>
            </w:r>
            <w:r w:rsidR="0051128E">
              <w:rPr>
                <w:webHidden/>
              </w:rPr>
              <w:tab/>
            </w:r>
            <w:r w:rsidR="0051128E">
              <w:rPr>
                <w:webHidden/>
              </w:rPr>
              <w:fldChar w:fldCharType="begin"/>
            </w:r>
            <w:r w:rsidR="0051128E">
              <w:rPr>
                <w:webHidden/>
              </w:rPr>
              <w:instrText xml:space="preserve"> PAGEREF _Toc140239734 \h </w:instrText>
            </w:r>
            <w:r w:rsidR="0051128E">
              <w:rPr>
                <w:webHidden/>
              </w:rPr>
            </w:r>
            <w:r w:rsidR="0051128E">
              <w:rPr>
                <w:webHidden/>
              </w:rPr>
              <w:fldChar w:fldCharType="separate"/>
            </w:r>
            <w:r w:rsidR="0051128E">
              <w:rPr>
                <w:webHidden/>
              </w:rPr>
              <w:t>156</w:t>
            </w:r>
            <w:r w:rsidR="0051128E">
              <w:rPr>
                <w:webHidden/>
              </w:rPr>
              <w:fldChar w:fldCharType="end"/>
            </w:r>
          </w:hyperlink>
        </w:p>
        <w:p w14:paraId="0BA4A697" w14:textId="5EE742D6" w:rsidR="0051128E" w:rsidRDefault="001C7A9B" w:rsidP="0051128E">
          <w:pPr>
            <w:pStyle w:val="TOC2"/>
            <w:rPr>
              <w:rFonts w:eastAsiaTheme="minorEastAsia"/>
              <w:color w:val="auto"/>
              <w:kern w:val="0"/>
              <w:sz w:val="22"/>
              <w:szCs w:val="22"/>
              <w:lang w:eastAsia="en-AU"/>
            </w:rPr>
          </w:pPr>
          <w:hyperlink w:anchor="_Toc140239735" w:history="1">
            <w:r w:rsidR="0051128E" w:rsidRPr="005D0E7A">
              <w:rPr>
                <w:rStyle w:val="Hyperlink"/>
              </w:rPr>
              <w:t>27.</w:t>
            </w:r>
            <w:r w:rsidR="0051128E">
              <w:rPr>
                <w:rFonts w:eastAsiaTheme="minorEastAsia"/>
                <w:color w:val="auto"/>
                <w:kern w:val="0"/>
                <w:sz w:val="22"/>
                <w:szCs w:val="22"/>
                <w:lang w:eastAsia="en-AU"/>
              </w:rPr>
              <w:tab/>
            </w:r>
            <w:r w:rsidR="0051128E" w:rsidRPr="005D0E7A">
              <w:rPr>
                <w:rStyle w:val="Hyperlink"/>
              </w:rPr>
              <w:t>Resting points</w:t>
            </w:r>
            <w:r w:rsidR="0051128E">
              <w:rPr>
                <w:webHidden/>
              </w:rPr>
              <w:tab/>
            </w:r>
            <w:r w:rsidR="0051128E">
              <w:rPr>
                <w:webHidden/>
              </w:rPr>
              <w:fldChar w:fldCharType="begin"/>
            </w:r>
            <w:r w:rsidR="0051128E">
              <w:rPr>
                <w:webHidden/>
              </w:rPr>
              <w:instrText xml:space="preserve"> PAGEREF _Toc140239735 \h </w:instrText>
            </w:r>
            <w:r w:rsidR="0051128E">
              <w:rPr>
                <w:webHidden/>
              </w:rPr>
            </w:r>
            <w:r w:rsidR="0051128E">
              <w:rPr>
                <w:webHidden/>
              </w:rPr>
              <w:fldChar w:fldCharType="separate"/>
            </w:r>
            <w:r w:rsidR="0051128E">
              <w:rPr>
                <w:webHidden/>
              </w:rPr>
              <w:t>162</w:t>
            </w:r>
            <w:r w:rsidR="0051128E">
              <w:rPr>
                <w:webHidden/>
              </w:rPr>
              <w:fldChar w:fldCharType="end"/>
            </w:r>
          </w:hyperlink>
        </w:p>
        <w:p w14:paraId="4697A6C0" w14:textId="05FA3FE9" w:rsidR="0051128E" w:rsidRDefault="001C7A9B" w:rsidP="0051128E">
          <w:pPr>
            <w:pStyle w:val="TOC2"/>
            <w:rPr>
              <w:rFonts w:eastAsiaTheme="minorEastAsia"/>
              <w:color w:val="auto"/>
              <w:kern w:val="0"/>
              <w:sz w:val="22"/>
              <w:szCs w:val="22"/>
              <w:lang w:eastAsia="en-AU"/>
            </w:rPr>
          </w:pPr>
          <w:hyperlink w:anchor="_Toc140239736" w:history="1">
            <w:r w:rsidR="0051128E" w:rsidRPr="005D0E7A">
              <w:rPr>
                <w:rStyle w:val="Hyperlink"/>
              </w:rPr>
              <w:t>28.</w:t>
            </w:r>
            <w:r w:rsidR="0051128E">
              <w:rPr>
                <w:rFonts w:eastAsiaTheme="minorEastAsia"/>
                <w:color w:val="auto"/>
                <w:kern w:val="0"/>
                <w:sz w:val="22"/>
                <w:szCs w:val="22"/>
                <w:lang w:eastAsia="en-AU"/>
              </w:rPr>
              <w:tab/>
            </w:r>
            <w:r w:rsidR="0051128E" w:rsidRPr="005D0E7A">
              <w:rPr>
                <w:rStyle w:val="Hyperlink"/>
              </w:rPr>
              <w:t>Requirements for handrails in over bridges and subways</w:t>
            </w:r>
            <w:r w:rsidR="0051128E">
              <w:rPr>
                <w:webHidden/>
              </w:rPr>
              <w:tab/>
            </w:r>
            <w:r w:rsidR="0051128E">
              <w:rPr>
                <w:webHidden/>
              </w:rPr>
              <w:fldChar w:fldCharType="begin"/>
            </w:r>
            <w:r w:rsidR="0051128E">
              <w:rPr>
                <w:webHidden/>
              </w:rPr>
              <w:instrText xml:space="preserve"> PAGEREF _Toc140239736 \h </w:instrText>
            </w:r>
            <w:r w:rsidR="0051128E">
              <w:rPr>
                <w:webHidden/>
              </w:rPr>
            </w:r>
            <w:r w:rsidR="0051128E">
              <w:rPr>
                <w:webHidden/>
              </w:rPr>
              <w:fldChar w:fldCharType="separate"/>
            </w:r>
            <w:r w:rsidR="0051128E">
              <w:rPr>
                <w:webHidden/>
              </w:rPr>
              <w:t>167</w:t>
            </w:r>
            <w:r w:rsidR="0051128E">
              <w:rPr>
                <w:webHidden/>
              </w:rPr>
              <w:fldChar w:fldCharType="end"/>
            </w:r>
          </w:hyperlink>
        </w:p>
        <w:p w14:paraId="42E500EC" w14:textId="4713F493" w:rsidR="0051128E" w:rsidRDefault="001C7A9B" w:rsidP="0051128E">
          <w:pPr>
            <w:pStyle w:val="TOC2"/>
            <w:rPr>
              <w:rFonts w:eastAsiaTheme="minorEastAsia"/>
              <w:color w:val="auto"/>
              <w:kern w:val="0"/>
              <w:sz w:val="22"/>
              <w:szCs w:val="22"/>
              <w:lang w:eastAsia="en-AU"/>
            </w:rPr>
          </w:pPr>
          <w:hyperlink w:anchor="_Toc140239737" w:history="1">
            <w:r w:rsidR="0051128E" w:rsidRPr="005D0E7A">
              <w:rPr>
                <w:rStyle w:val="Hyperlink"/>
              </w:rPr>
              <w:t>29.</w:t>
            </w:r>
            <w:r w:rsidR="0051128E">
              <w:rPr>
                <w:rFonts w:eastAsiaTheme="minorEastAsia"/>
                <w:color w:val="auto"/>
                <w:kern w:val="0"/>
                <w:sz w:val="22"/>
                <w:szCs w:val="22"/>
                <w:lang w:eastAsia="en-AU"/>
              </w:rPr>
              <w:tab/>
            </w:r>
            <w:r w:rsidR="0051128E" w:rsidRPr="005D0E7A">
              <w:rPr>
                <w:rStyle w:val="Hyperlink"/>
              </w:rPr>
              <w:t>Location of fare system elements</w:t>
            </w:r>
            <w:r w:rsidR="0051128E">
              <w:rPr>
                <w:webHidden/>
              </w:rPr>
              <w:tab/>
            </w:r>
            <w:r w:rsidR="0051128E">
              <w:rPr>
                <w:webHidden/>
              </w:rPr>
              <w:fldChar w:fldCharType="begin"/>
            </w:r>
            <w:r w:rsidR="0051128E">
              <w:rPr>
                <w:webHidden/>
              </w:rPr>
              <w:instrText xml:space="preserve"> PAGEREF _Toc140239737 \h </w:instrText>
            </w:r>
            <w:r w:rsidR="0051128E">
              <w:rPr>
                <w:webHidden/>
              </w:rPr>
            </w:r>
            <w:r w:rsidR="0051128E">
              <w:rPr>
                <w:webHidden/>
              </w:rPr>
              <w:fldChar w:fldCharType="separate"/>
            </w:r>
            <w:r w:rsidR="0051128E">
              <w:rPr>
                <w:webHidden/>
              </w:rPr>
              <w:t>171</w:t>
            </w:r>
            <w:r w:rsidR="0051128E">
              <w:rPr>
                <w:webHidden/>
              </w:rPr>
              <w:fldChar w:fldCharType="end"/>
            </w:r>
          </w:hyperlink>
        </w:p>
        <w:p w14:paraId="66612A29" w14:textId="753DDB33" w:rsidR="0051128E" w:rsidRDefault="001C7A9B" w:rsidP="0051128E">
          <w:pPr>
            <w:pStyle w:val="TOC2"/>
            <w:rPr>
              <w:rFonts w:eastAsiaTheme="minorEastAsia"/>
              <w:color w:val="auto"/>
              <w:kern w:val="0"/>
              <w:sz w:val="22"/>
              <w:szCs w:val="22"/>
              <w:lang w:eastAsia="en-AU"/>
            </w:rPr>
          </w:pPr>
          <w:hyperlink w:anchor="_Toc140239738" w:history="1">
            <w:r w:rsidR="0051128E" w:rsidRPr="005D0E7A">
              <w:rPr>
                <w:rStyle w:val="Hyperlink"/>
              </w:rPr>
              <w:t>30.</w:t>
            </w:r>
            <w:r w:rsidR="0051128E">
              <w:rPr>
                <w:rFonts w:eastAsiaTheme="minorEastAsia"/>
                <w:color w:val="auto"/>
                <w:kern w:val="0"/>
                <w:sz w:val="22"/>
                <w:szCs w:val="22"/>
                <w:lang w:eastAsia="en-AU"/>
              </w:rPr>
              <w:tab/>
            </w:r>
            <w:r w:rsidR="0051128E" w:rsidRPr="005D0E7A">
              <w:rPr>
                <w:rStyle w:val="Hyperlink"/>
              </w:rPr>
              <w:t>Allocated spaces and priority seating in waiting areas</w:t>
            </w:r>
            <w:r w:rsidR="0051128E">
              <w:rPr>
                <w:webHidden/>
              </w:rPr>
              <w:tab/>
            </w:r>
            <w:r w:rsidR="0051128E">
              <w:rPr>
                <w:webHidden/>
              </w:rPr>
              <w:fldChar w:fldCharType="begin"/>
            </w:r>
            <w:r w:rsidR="0051128E">
              <w:rPr>
                <w:webHidden/>
              </w:rPr>
              <w:instrText xml:space="preserve"> PAGEREF _Toc140239738 \h </w:instrText>
            </w:r>
            <w:r w:rsidR="0051128E">
              <w:rPr>
                <w:webHidden/>
              </w:rPr>
            </w:r>
            <w:r w:rsidR="0051128E">
              <w:rPr>
                <w:webHidden/>
              </w:rPr>
              <w:fldChar w:fldCharType="separate"/>
            </w:r>
            <w:r w:rsidR="0051128E">
              <w:rPr>
                <w:webHidden/>
              </w:rPr>
              <w:t>176</w:t>
            </w:r>
            <w:r w:rsidR="0051128E">
              <w:rPr>
                <w:webHidden/>
              </w:rPr>
              <w:fldChar w:fldCharType="end"/>
            </w:r>
          </w:hyperlink>
        </w:p>
        <w:p w14:paraId="389B4B39" w14:textId="2CD5898F" w:rsidR="0051128E" w:rsidRDefault="001C7A9B" w:rsidP="0051128E">
          <w:pPr>
            <w:pStyle w:val="TOC2"/>
            <w:rPr>
              <w:rFonts w:eastAsiaTheme="minorEastAsia"/>
              <w:color w:val="auto"/>
              <w:kern w:val="0"/>
              <w:sz w:val="22"/>
              <w:szCs w:val="22"/>
              <w:lang w:eastAsia="en-AU"/>
            </w:rPr>
          </w:pPr>
          <w:hyperlink w:anchor="_Toc140239739" w:history="1">
            <w:r w:rsidR="0051128E" w:rsidRPr="005D0E7A">
              <w:rPr>
                <w:rStyle w:val="Hyperlink"/>
              </w:rPr>
              <w:t>31.</w:t>
            </w:r>
            <w:r w:rsidR="0051128E">
              <w:rPr>
                <w:rFonts w:eastAsiaTheme="minorEastAsia"/>
                <w:color w:val="auto"/>
                <w:kern w:val="0"/>
                <w:sz w:val="22"/>
                <w:szCs w:val="22"/>
                <w:lang w:eastAsia="en-AU"/>
              </w:rPr>
              <w:tab/>
            </w:r>
            <w:r w:rsidR="0051128E" w:rsidRPr="005D0E7A">
              <w:rPr>
                <w:rStyle w:val="Hyperlink"/>
              </w:rPr>
              <w:t>Accessible toilets with equal proportion of left- and right-hand configurations</w:t>
            </w:r>
            <w:r w:rsidR="0051128E">
              <w:rPr>
                <w:webHidden/>
              </w:rPr>
              <w:tab/>
            </w:r>
            <w:r w:rsidR="0051128E">
              <w:rPr>
                <w:webHidden/>
              </w:rPr>
              <w:fldChar w:fldCharType="begin"/>
            </w:r>
            <w:r w:rsidR="0051128E">
              <w:rPr>
                <w:webHidden/>
              </w:rPr>
              <w:instrText xml:space="preserve"> PAGEREF _Toc140239739 \h </w:instrText>
            </w:r>
            <w:r w:rsidR="0051128E">
              <w:rPr>
                <w:webHidden/>
              </w:rPr>
            </w:r>
            <w:r w:rsidR="0051128E">
              <w:rPr>
                <w:webHidden/>
              </w:rPr>
              <w:fldChar w:fldCharType="separate"/>
            </w:r>
            <w:r w:rsidR="0051128E">
              <w:rPr>
                <w:webHidden/>
              </w:rPr>
              <w:t>180</w:t>
            </w:r>
            <w:r w:rsidR="0051128E">
              <w:rPr>
                <w:webHidden/>
              </w:rPr>
              <w:fldChar w:fldCharType="end"/>
            </w:r>
          </w:hyperlink>
        </w:p>
        <w:p w14:paraId="38A1ABDD" w14:textId="1482B2DF" w:rsidR="0051128E" w:rsidRDefault="001C7A9B" w:rsidP="0051128E">
          <w:pPr>
            <w:pStyle w:val="TOC2"/>
            <w:rPr>
              <w:rFonts w:eastAsiaTheme="minorEastAsia"/>
              <w:color w:val="auto"/>
              <w:kern w:val="0"/>
              <w:sz w:val="22"/>
              <w:szCs w:val="22"/>
              <w:lang w:eastAsia="en-AU"/>
            </w:rPr>
          </w:pPr>
          <w:hyperlink w:anchor="_Toc140239740" w:history="1">
            <w:r w:rsidR="0051128E" w:rsidRPr="005D0E7A">
              <w:rPr>
                <w:rStyle w:val="Hyperlink"/>
              </w:rPr>
              <w:t>32.</w:t>
            </w:r>
            <w:r w:rsidR="0051128E">
              <w:rPr>
                <w:rFonts w:eastAsiaTheme="minorEastAsia"/>
                <w:color w:val="auto"/>
                <w:kern w:val="0"/>
                <w:sz w:val="22"/>
                <w:szCs w:val="22"/>
                <w:lang w:eastAsia="en-AU"/>
              </w:rPr>
              <w:tab/>
            </w:r>
            <w:r w:rsidR="0051128E" w:rsidRPr="005D0E7A">
              <w:rPr>
                <w:rStyle w:val="Hyperlink"/>
              </w:rPr>
              <w:t>Emergency call buttons in accessible toilets</w:t>
            </w:r>
            <w:r w:rsidR="0051128E">
              <w:rPr>
                <w:webHidden/>
              </w:rPr>
              <w:tab/>
            </w:r>
            <w:r w:rsidR="0051128E">
              <w:rPr>
                <w:webHidden/>
              </w:rPr>
              <w:fldChar w:fldCharType="begin"/>
            </w:r>
            <w:r w:rsidR="0051128E">
              <w:rPr>
                <w:webHidden/>
              </w:rPr>
              <w:instrText xml:space="preserve"> PAGEREF _Toc140239740 \h </w:instrText>
            </w:r>
            <w:r w:rsidR="0051128E">
              <w:rPr>
                <w:webHidden/>
              </w:rPr>
            </w:r>
            <w:r w:rsidR="0051128E">
              <w:rPr>
                <w:webHidden/>
              </w:rPr>
              <w:fldChar w:fldCharType="separate"/>
            </w:r>
            <w:r w:rsidR="0051128E">
              <w:rPr>
                <w:webHidden/>
              </w:rPr>
              <w:t>184</w:t>
            </w:r>
            <w:r w:rsidR="0051128E">
              <w:rPr>
                <w:webHidden/>
              </w:rPr>
              <w:fldChar w:fldCharType="end"/>
            </w:r>
          </w:hyperlink>
        </w:p>
        <w:p w14:paraId="2D4B152D" w14:textId="5FBB9A71" w:rsidR="0051128E" w:rsidRDefault="001C7A9B" w:rsidP="0051128E">
          <w:pPr>
            <w:pStyle w:val="TOC2"/>
            <w:rPr>
              <w:rFonts w:eastAsiaTheme="minorEastAsia"/>
              <w:color w:val="auto"/>
              <w:kern w:val="0"/>
              <w:sz w:val="22"/>
              <w:szCs w:val="22"/>
              <w:lang w:eastAsia="en-AU"/>
            </w:rPr>
          </w:pPr>
          <w:hyperlink w:anchor="_Toc140239741" w:history="1">
            <w:r w:rsidR="0051128E" w:rsidRPr="005D0E7A">
              <w:rPr>
                <w:rStyle w:val="Hyperlink"/>
              </w:rPr>
              <w:t>33.</w:t>
            </w:r>
            <w:r w:rsidR="0051128E">
              <w:rPr>
                <w:rFonts w:eastAsiaTheme="minorEastAsia"/>
                <w:color w:val="auto"/>
                <w:kern w:val="0"/>
                <w:sz w:val="22"/>
                <w:szCs w:val="22"/>
                <w:lang w:eastAsia="en-AU"/>
              </w:rPr>
              <w:tab/>
            </w:r>
            <w:r w:rsidR="0051128E" w:rsidRPr="005D0E7A">
              <w:rPr>
                <w:rStyle w:val="Hyperlink"/>
              </w:rPr>
              <w:t>Ambulant toilets</w:t>
            </w:r>
            <w:r w:rsidR="0051128E">
              <w:rPr>
                <w:webHidden/>
              </w:rPr>
              <w:tab/>
            </w:r>
            <w:r w:rsidR="0051128E">
              <w:rPr>
                <w:webHidden/>
              </w:rPr>
              <w:fldChar w:fldCharType="begin"/>
            </w:r>
            <w:r w:rsidR="0051128E">
              <w:rPr>
                <w:webHidden/>
              </w:rPr>
              <w:instrText xml:space="preserve"> PAGEREF _Toc140239741 \h </w:instrText>
            </w:r>
            <w:r w:rsidR="0051128E">
              <w:rPr>
                <w:webHidden/>
              </w:rPr>
            </w:r>
            <w:r w:rsidR="0051128E">
              <w:rPr>
                <w:webHidden/>
              </w:rPr>
              <w:fldChar w:fldCharType="separate"/>
            </w:r>
            <w:r w:rsidR="0051128E">
              <w:rPr>
                <w:webHidden/>
              </w:rPr>
              <w:t>188</w:t>
            </w:r>
            <w:r w:rsidR="0051128E">
              <w:rPr>
                <w:webHidden/>
              </w:rPr>
              <w:fldChar w:fldCharType="end"/>
            </w:r>
          </w:hyperlink>
        </w:p>
        <w:p w14:paraId="34783BA9" w14:textId="3CA422AF" w:rsidR="0051128E" w:rsidRDefault="001C7A9B" w:rsidP="0051128E">
          <w:pPr>
            <w:pStyle w:val="TOC2"/>
            <w:rPr>
              <w:rFonts w:eastAsiaTheme="minorEastAsia"/>
              <w:color w:val="auto"/>
              <w:kern w:val="0"/>
              <w:sz w:val="22"/>
              <w:szCs w:val="22"/>
              <w:lang w:eastAsia="en-AU"/>
            </w:rPr>
          </w:pPr>
          <w:hyperlink w:anchor="_Toc140239742" w:history="1">
            <w:r w:rsidR="0051128E" w:rsidRPr="005D0E7A">
              <w:rPr>
                <w:rStyle w:val="Hyperlink"/>
              </w:rPr>
              <w:t>34.</w:t>
            </w:r>
            <w:r w:rsidR="0051128E">
              <w:rPr>
                <w:rFonts w:eastAsiaTheme="minorEastAsia"/>
                <w:color w:val="auto"/>
                <w:kern w:val="0"/>
                <w:sz w:val="22"/>
                <w:szCs w:val="22"/>
                <w:lang w:eastAsia="en-AU"/>
              </w:rPr>
              <w:tab/>
            </w:r>
            <w:r w:rsidR="0051128E" w:rsidRPr="005D0E7A">
              <w:rPr>
                <w:rStyle w:val="Hyperlink"/>
              </w:rPr>
              <w:t>Lift specifications and enhancements</w:t>
            </w:r>
            <w:r w:rsidR="0051128E">
              <w:rPr>
                <w:webHidden/>
              </w:rPr>
              <w:tab/>
            </w:r>
            <w:r w:rsidR="0051128E">
              <w:rPr>
                <w:webHidden/>
              </w:rPr>
              <w:fldChar w:fldCharType="begin"/>
            </w:r>
            <w:r w:rsidR="0051128E">
              <w:rPr>
                <w:webHidden/>
              </w:rPr>
              <w:instrText xml:space="preserve"> PAGEREF _Toc140239742 \h </w:instrText>
            </w:r>
            <w:r w:rsidR="0051128E">
              <w:rPr>
                <w:webHidden/>
              </w:rPr>
            </w:r>
            <w:r w:rsidR="0051128E">
              <w:rPr>
                <w:webHidden/>
              </w:rPr>
              <w:fldChar w:fldCharType="separate"/>
            </w:r>
            <w:r w:rsidR="0051128E">
              <w:rPr>
                <w:webHidden/>
              </w:rPr>
              <w:t>192</w:t>
            </w:r>
            <w:r w:rsidR="0051128E">
              <w:rPr>
                <w:webHidden/>
              </w:rPr>
              <w:fldChar w:fldCharType="end"/>
            </w:r>
          </w:hyperlink>
        </w:p>
        <w:p w14:paraId="039593D8" w14:textId="4D66A5FD" w:rsidR="0051128E" w:rsidRDefault="001C7A9B" w:rsidP="0051128E">
          <w:pPr>
            <w:pStyle w:val="TOC2"/>
            <w:rPr>
              <w:rFonts w:eastAsiaTheme="minorEastAsia"/>
              <w:color w:val="auto"/>
              <w:kern w:val="0"/>
              <w:sz w:val="22"/>
              <w:szCs w:val="22"/>
              <w:lang w:eastAsia="en-AU"/>
            </w:rPr>
          </w:pPr>
          <w:hyperlink w:anchor="_Toc140239743" w:history="1">
            <w:r w:rsidR="0051128E" w:rsidRPr="005D0E7A">
              <w:rPr>
                <w:rStyle w:val="Hyperlink"/>
              </w:rPr>
              <w:t>35.</w:t>
            </w:r>
            <w:r w:rsidR="0051128E">
              <w:rPr>
                <w:rFonts w:eastAsiaTheme="minorEastAsia"/>
                <w:color w:val="auto"/>
                <w:kern w:val="0"/>
                <w:sz w:val="22"/>
                <w:szCs w:val="22"/>
                <w:lang w:eastAsia="en-AU"/>
              </w:rPr>
              <w:tab/>
            </w:r>
            <w:r w:rsidR="0051128E" w:rsidRPr="005D0E7A">
              <w:rPr>
                <w:rStyle w:val="Hyperlink"/>
              </w:rPr>
              <w:t>Specifications for escalators and inclined travellators</w:t>
            </w:r>
            <w:r w:rsidR="0051128E">
              <w:rPr>
                <w:webHidden/>
              </w:rPr>
              <w:tab/>
            </w:r>
            <w:r w:rsidR="0051128E">
              <w:rPr>
                <w:webHidden/>
              </w:rPr>
              <w:fldChar w:fldCharType="begin"/>
            </w:r>
            <w:r w:rsidR="0051128E">
              <w:rPr>
                <w:webHidden/>
              </w:rPr>
              <w:instrText xml:space="preserve"> PAGEREF _Toc140239743 \h </w:instrText>
            </w:r>
            <w:r w:rsidR="0051128E">
              <w:rPr>
                <w:webHidden/>
              </w:rPr>
            </w:r>
            <w:r w:rsidR="0051128E">
              <w:rPr>
                <w:webHidden/>
              </w:rPr>
              <w:fldChar w:fldCharType="separate"/>
            </w:r>
            <w:r w:rsidR="0051128E">
              <w:rPr>
                <w:webHidden/>
              </w:rPr>
              <w:t>196</w:t>
            </w:r>
            <w:r w:rsidR="0051128E">
              <w:rPr>
                <w:webHidden/>
              </w:rPr>
              <w:fldChar w:fldCharType="end"/>
            </w:r>
          </w:hyperlink>
        </w:p>
        <w:p w14:paraId="1C5589F5" w14:textId="6490DF21" w:rsidR="0051128E" w:rsidRDefault="001C7A9B" w:rsidP="0051128E">
          <w:pPr>
            <w:pStyle w:val="TOC2"/>
            <w:rPr>
              <w:rFonts w:eastAsiaTheme="minorEastAsia"/>
              <w:color w:val="auto"/>
              <w:kern w:val="0"/>
              <w:sz w:val="22"/>
              <w:szCs w:val="22"/>
              <w:lang w:eastAsia="en-AU"/>
            </w:rPr>
          </w:pPr>
          <w:hyperlink w:anchor="_Toc140239744" w:history="1">
            <w:r w:rsidR="0051128E" w:rsidRPr="005D0E7A">
              <w:rPr>
                <w:rStyle w:val="Hyperlink"/>
              </w:rPr>
              <w:t>36.</w:t>
            </w:r>
            <w:r w:rsidR="0051128E">
              <w:rPr>
                <w:rFonts w:eastAsiaTheme="minorEastAsia"/>
                <w:color w:val="auto"/>
                <w:kern w:val="0"/>
                <w:sz w:val="22"/>
                <w:szCs w:val="22"/>
                <w:lang w:eastAsia="en-AU"/>
              </w:rPr>
              <w:tab/>
            </w:r>
            <w:r w:rsidR="0051128E" w:rsidRPr="005D0E7A">
              <w:rPr>
                <w:rStyle w:val="Hyperlink"/>
              </w:rPr>
              <w:t>Poles, objects and luminance contrast</w:t>
            </w:r>
            <w:r w:rsidR="0051128E">
              <w:rPr>
                <w:webHidden/>
              </w:rPr>
              <w:tab/>
            </w:r>
            <w:r w:rsidR="0051128E">
              <w:rPr>
                <w:webHidden/>
              </w:rPr>
              <w:fldChar w:fldCharType="begin"/>
            </w:r>
            <w:r w:rsidR="0051128E">
              <w:rPr>
                <w:webHidden/>
              </w:rPr>
              <w:instrText xml:space="preserve"> PAGEREF _Toc140239744 \h </w:instrText>
            </w:r>
            <w:r w:rsidR="0051128E">
              <w:rPr>
                <w:webHidden/>
              </w:rPr>
            </w:r>
            <w:r w:rsidR="0051128E">
              <w:rPr>
                <w:webHidden/>
              </w:rPr>
              <w:fldChar w:fldCharType="separate"/>
            </w:r>
            <w:r w:rsidR="0051128E">
              <w:rPr>
                <w:webHidden/>
              </w:rPr>
              <w:t>200</w:t>
            </w:r>
            <w:r w:rsidR="0051128E">
              <w:rPr>
                <w:webHidden/>
              </w:rPr>
              <w:fldChar w:fldCharType="end"/>
            </w:r>
          </w:hyperlink>
        </w:p>
        <w:p w14:paraId="189A303B" w14:textId="27EEC30D" w:rsidR="0051128E" w:rsidRDefault="001C7A9B" w:rsidP="0051128E">
          <w:pPr>
            <w:pStyle w:val="TOC2"/>
            <w:rPr>
              <w:rFonts w:eastAsiaTheme="minorEastAsia"/>
              <w:color w:val="auto"/>
              <w:kern w:val="0"/>
              <w:sz w:val="22"/>
              <w:szCs w:val="22"/>
              <w:lang w:eastAsia="en-AU"/>
            </w:rPr>
          </w:pPr>
          <w:hyperlink w:anchor="_Toc140239745" w:history="1">
            <w:r w:rsidR="0051128E" w:rsidRPr="005D0E7A">
              <w:rPr>
                <w:rStyle w:val="Hyperlink"/>
              </w:rPr>
              <w:t>37.</w:t>
            </w:r>
            <w:r w:rsidR="0051128E">
              <w:rPr>
                <w:rFonts w:eastAsiaTheme="minorEastAsia"/>
                <w:color w:val="auto"/>
                <w:kern w:val="0"/>
                <w:sz w:val="22"/>
                <w:szCs w:val="22"/>
                <w:lang w:eastAsia="en-AU"/>
              </w:rPr>
              <w:tab/>
            </w:r>
            <w:r w:rsidR="0051128E" w:rsidRPr="005D0E7A">
              <w:rPr>
                <w:rStyle w:val="Hyperlink"/>
              </w:rPr>
              <w:t>Lighting</w:t>
            </w:r>
            <w:r w:rsidR="0051128E">
              <w:rPr>
                <w:webHidden/>
              </w:rPr>
              <w:tab/>
            </w:r>
            <w:r w:rsidR="0051128E">
              <w:rPr>
                <w:webHidden/>
              </w:rPr>
              <w:fldChar w:fldCharType="begin"/>
            </w:r>
            <w:r w:rsidR="0051128E">
              <w:rPr>
                <w:webHidden/>
              </w:rPr>
              <w:instrText xml:space="preserve"> PAGEREF _Toc140239745 \h </w:instrText>
            </w:r>
            <w:r w:rsidR="0051128E">
              <w:rPr>
                <w:webHidden/>
              </w:rPr>
            </w:r>
            <w:r w:rsidR="0051128E">
              <w:rPr>
                <w:webHidden/>
              </w:rPr>
              <w:fldChar w:fldCharType="separate"/>
            </w:r>
            <w:r w:rsidR="0051128E">
              <w:rPr>
                <w:webHidden/>
              </w:rPr>
              <w:t>204</w:t>
            </w:r>
            <w:r w:rsidR="0051128E">
              <w:rPr>
                <w:webHidden/>
              </w:rPr>
              <w:fldChar w:fldCharType="end"/>
            </w:r>
          </w:hyperlink>
        </w:p>
        <w:p w14:paraId="6E39120F" w14:textId="58A1C646" w:rsidR="0051128E" w:rsidRDefault="001C7A9B" w:rsidP="0051128E">
          <w:pPr>
            <w:pStyle w:val="TOC2"/>
            <w:rPr>
              <w:rFonts w:eastAsiaTheme="minorEastAsia"/>
              <w:color w:val="auto"/>
              <w:kern w:val="0"/>
              <w:sz w:val="22"/>
              <w:szCs w:val="22"/>
              <w:lang w:eastAsia="en-AU"/>
            </w:rPr>
          </w:pPr>
          <w:hyperlink w:anchor="_Toc140239746" w:history="1">
            <w:r w:rsidR="0051128E" w:rsidRPr="0051128E">
              <w:rPr>
                <w:rStyle w:val="Hyperlink"/>
                <w:b/>
              </w:rPr>
              <w:t>Part 4: Accessibility of boarding and alighting and egress of infrastructure</w:t>
            </w:r>
            <w:r w:rsidR="0051128E" w:rsidRPr="0051128E">
              <w:rPr>
                <w:webHidden/>
              </w:rPr>
              <w:tab/>
            </w:r>
            <w:r w:rsidR="0051128E" w:rsidRPr="0051128E">
              <w:rPr>
                <w:webHidden/>
              </w:rPr>
              <w:fldChar w:fldCharType="begin"/>
            </w:r>
            <w:r w:rsidR="0051128E" w:rsidRPr="0051128E">
              <w:rPr>
                <w:webHidden/>
              </w:rPr>
              <w:instrText xml:space="preserve"> PAGEREF _Toc140239746 \h </w:instrText>
            </w:r>
            <w:r w:rsidR="0051128E" w:rsidRPr="0051128E">
              <w:rPr>
                <w:webHidden/>
              </w:rPr>
            </w:r>
            <w:r w:rsidR="0051128E" w:rsidRPr="0051128E">
              <w:rPr>
                <w:webHidden/>
              </w:rPr>
              <w:fldChar w:fldCharType="separate"/>
            </w:r>
            <w:r w:rsidR="0051128E" w:rsidRPr="0051128E">
              <w:rPr>
                <w:webHidden/>
              </w:rPr>
              <w:t>209</w:t>
            </w:r>
            <w:r w:rsidR="0051128E" w:rsidRPr="0051128E">
              <w:rPr>
                <w:webHidden/>
              </w:rPr>
              <w:fldChar w:fldCharType="end"/>
            </w:r>
          </w:hyperlink>
        </w:p>
        <w:p w14:paraId="1E76C65B" w14:textId="73A76A42" w:rsidR="0051128E" w:rsidRDefault="001C7A9B" w:rsidP="0051128E">
          <w:pPr>
            <w:pStyle w:val="TOC2"/>
            <w:rPr>
              <w:rFonts w:eastAsiaTheme="minorEastAsia"/>
              <w:color w:val="auto"/>
              <w:kern w:val="0"/>
              <w:sz w:val="22"/>
              <w:szCs w:val="22"/>
              <w:lang w:eastAsia="en-AU"/>
            </w:rPr>
          </w:pPr>
          <w:hyperlink w:anchor="_Toc140239747" w:history="1">
            <w:r w:rsidR="0051128E" w:rsidRPr="005D0E7A">
              <w:rPr>
                <w:rStyle w:val="Hyperlink"/>
              </w:rPr>
              <w:t>38.</w:t>
            </w:r>
            <w:r w:rsidR="0051128E">
              <w:rPr>
                <w:rFonts w:eastAsiaTheme="minorEastAsia"/>
                <w:color w:val="auto"/>
                <w:kern w:val="0"/>
                <w:sz w:val="22"/>
                <w:szCs w:val="22"/>
                <w:lang w:eastAsia="en-AU"/>
              </w:rPr>
              <w:tab/>
            </w:r>
            <w:r w:rsidR="0051128E" w:rsidRPr="005D0E7A">
              <w:rPr>
                <w:rStyle w:val="Hyperlink"/>
              </w:rPr>
              <w:t>Signals and process for requesting boarding devices</w:t>
            </w:r>
            <w:r w:rsidR="0051128E">
              <w:rPr>
                <w:webHidden/>
              </w:rPr>
              <w:tab/>
            </w:r>
            <w:r w:rsidR="0051128E">
              <w:rPr>
                <w:webHidden/>
              </w:rPr>
              <w:fldChar w:fldCharType="begin"/>
            </w:r>
            <w:r w:rsidR="0051128E">
              <w:rPr>
                <w:webHidden/>
              </w:rPr>
              <w:instrText xml:space="preserve"> PAGEREF _Toc140239747 \h </w:instrText>
            </w:r>
            <w:r w:rsidR="0051128E">
              <w:rPr>
                <w:webHidden/>
              </w:rPr>
            </w:r>
            <w:r w:rsidR="0051128E">
              <w:rPr>
                <w:webHidden/>
              </w:rPr>
              <w:fldChar w:fldCharType="separate"/>
            </w:r>
            <w:r w:rsidR="0051128E">
              <w:rPr>
                <w:webHidden/>
              </w:rPr>
              <w:t>210</w:t>
            </w:r>
            <w:r w:rsidR="0051128E">
              <w:rPr>
                <w:webHidden/>
              </w:rPr>
              <w:fldChar w:fldCharType="end"/>
            </w:r>
          </w:hyperlink>
        </w:p>
        <w:p w14:paraId="4DA4631B" w14:textId="58526E31" w:rsidR="0051128E" w:rsidRDefault="001C7A9B" w:rsidP="0051128E">
          <w:pPr>
            <w:pStyle w:val="TOC2"/>
            <w:rPr>
              <w:rFonts w:eastAsiaTheme="minorEastAsia"/>
              <w:color w:val="auto"/>
              <w:kern w:val="0"/>
              <w:sz w:val="22"/>
              <w:szCs w:val="22"/>
              <w:lang w:eastAsia="en-AU"/>
            </w:rPr>
          </w:pPr>
          <w:hyperlink w:anchor="_Toc140239748" w:history="1">
            <w:r w:rsidR="0051128E" w:rsidRPr="005D0E7A">
              <w:rPr>
                <w:rStyle w:val="Hyperlink"/>
              </w:rPr>
              <w:t>39.</w:t>
            </w:r>
            <w:r w:rsidR="0051128E">
              <w:rPr>
                <w:rFonts w:eastAsiaTheme="minorEastAsia"/>
                <w:color w:val="auto"/>
                <w:kern w:val="0"/>
                <w:sz w:val="22"/>
                <w:szCs w:val="22"/>
                <w:lang w:eastAsia="en-AU"/>
              </w:rPr>
              <w:tab/>
            </w:r>
            <w:r w:rsidR="0051128E" w:rsidRPr="005D0E7A">
              <w:rPr>
                <w:rStyle w:val="Hyperlink"/>
              </w:rPr>
              <w:t>Notification by passenger of need for boarding device</w:t>
            </w:r>
            <w:r w:rsidR="0051128E">
              <w:rPr>
                <w:webHidden/>
              </w:rPr>
              <w:tab/>
            </w:r>
            <w:r w:rsidR="0051128E">
              <w:rPr>
                <w:webHidden/>
              </w:rPr>
              <w:fldChar w:fldCharType="begin"/>
            </w:r>
            <w:r w:rsidR="0051128E">
              <w:rPr>
                <w:webHidden/>
              </w:rPr>
              <w:instrText xml:space="preserve"> PAGEREF _Toc140239748 \h </w:instrText>
            </w:r>
            <w:r w:rsidR="0051128E">
              <w:rPr>
                <w:webHidden/>
              </w:rPr>
            </w:r>
            <w:r w:rsidR="0051128E">
              <w:rPr>
                <w:webHidden/>
              </w:rPr>
              <w:fldChar w:fldCharType="separate"/>
            </w:r>
            <w:r w:rsidR="0051128E">
              <w:rPr>
                <w:webHidden/>
              </w:rPr>
              <w:t>216</w:t>
            </w:r>
            <w:r w:rsidR="0051128E">
              <w:rPr>
                <w:webHidden/>
              </w:rPr>
              <w:fldChar w:fldCharType="end"/>
            </w:r>
          </w:hyperlink>
        </w:p>
        <w:p w14:paraId="367AD8AD" w14:textId="71605744" w:rsidR="0051128E" w:rsidRDefault="001C7A9B" w:rsidP="0051128E">
          <w:pPr>
            <w:pStyle w:val="TOC2"/>
            <w:rPr>
              <w:rFonts w:eastAsiaTheme="minorEastAsia"/>
              <w:color w:val="auto"/>
              <w:kern w:val="0"/>
              <w:sz w:val="22"/>
              <w:szCs w:val="22"/>
              <w:lang w:eastAsia="en-AU"/>
            </w:rPr>
          </w:pPr>
          <w:hyperlink w:anchor="_Toc140239749" w:history="1">
            <w:r w:rsidR="0051128E" w:rsidRPr="005D0E7A">
              <w:rPr>
                <w:rStyle w:val="Hyperlink"/>
              </w:rPr>
              <w:t>40.</w:t>
            </w:r>
            <w:r w:rsidR="0051128E">
              <w:rPr>
                <w:rFonts w:eastAsiaTheme="minorEastAsia"/>
                <w:color w:val="auto"/>
                <w:kern w:val="0"/>
                <w:sz w:val="22"/>
                <w:szCs w:val="22"/>
                <w:lang w:eastAsia="en-AU"/>
              </w:rPr>
              <w:tab/>
            </w:r>
            <w:r w:rsidR="0051128E" w:rsidRPr="005D0E7A">
              <w:rPr>
                <w:rStyle w:val="Hyperlink"/>
              </w:rPr>
              <w:t>Portable boarding ramp edge barriers</w:t>
            </w:r>
            <w:r w:rsidR="0051128E">
              <w:rPr>
                <w:webHidden/>
              </w:rPr>
              <w:tab/>
            </w:r>
            <w:r w:rsidR="0051128E">
              <w:rPr>
                <w:webHidden/>
              </w:rPr>
              <w:fldChar w:fldCharType="begin"/>
            </w:r>
            <w:r w:rsidR="0051128E">
              <w:rPr>
                <w:webHidden/>
              </w:rPr>
              <w:instrText xml:space="preserve"> PAGEREF _Toc140239749 \h </w:instrText>
            </w:r>
            <w:r w:rsidR="0051128E">
              <w:rPr>
                <w:webHidden/>
              </w:rPr>
            </w:r>
            <w:r w:rsidR="0051128E">
              <w:rPr>
                <w:webHidden/>
              </w:rPr>
              <w:fldChar w:fldCharType="separate"/>
            </w:r>
            <w:r w:rsidR="0051128E">
              <w:rPr>
                <w:webHidden/>
              </w:rPr>
              <w:t>221</w:t>
            </w:r>
            <w:r w:rsidR="0051128E">
              <w:rPr>
                <w:webHidden/>
              </w:rPr>
              <w:fldChar w:fldCharType="end"/>
            </w:r>
          </w:hyperlink>
        </w:p>
        <w:p w14:paraId="21D744D5" w14:textId="0DAADDE2" w:rsidR="0051128E" w:rsidRDefault="001C7A9B" w:rsidP="0051128E">
          <w:pPr>
            <w:pStyle w:val="TOC2"/>
            <w:rPr>
              <w:rFonts w:eastAsiaTheme="minorEastAsia"/>
              <w:color w:val="auto"/>
              <w:kern w:val="0"/>
              <w:sz w:val="22"/>
              <w:szCs w:val="22"/>
              <w:lang w:eastAsia="en-AU"/>
            </w:rPr>
          </w:pPr>
          <w:hyperlink w:anchor="_Toc140239750" w:history="1">
            <w:r w:rsidR="0051128E" w:rsidRPr="005D0E7A">
              <w:rPr>
                <w:rStyle w:val="Hyperlink"/>
              </w:rPr>
              <w:t>41.</w:t>
            </w:r>
            <w:r w:rsidR="0051128E">
              <w:rPr>
                <w:rFonts w:eastAsiaTheme="minorEastAsia"/>
                <w:color w:val="auto"/>
                <w:kern w:val="0"/>
                <w:sz w:val="22"/>
                <w:szCs w:val="22"/>
                <w:lang w:eastAsia="en-AU"/>
              </w:rPr>
              <w:tab/>
            </w:r>
            <w:r w:rsidR="0051128E" w:rsidRPr="005D0E7A">
              <w:rPr>
                <w:rStyle w:val="Hyperlink"/>
              </w:rPr>
              <w:t>Boarding ramp and removable gangway definitions</w:t>
            </w:r>
            <w:r w:rsidR="0051128E">
              <w:rPr>
                <w:webHidden/>
              </w:rPr>
              <w:tab/>
            </w:r>
            <w:r w:rsidR="0051128E">
              <w:rPr>
                <w:webHidden/>
              </w:rPr>
              <w:fldChar w:fldCharType="begin"/>
            </w:r>
            <w:r w:rsidR="0051128E">
              <w:rPr>
                <w:webHidden/>
              </w:rPr>
              <w:instrText xml:space="preserve"> PAGEREF _Toc140239750 \h </w:instrText>
            </w:r>
            <w:r w:rsidR="0051128E">
              <w:rPr>
                <w:webHidden/>
              </w:rPr>
            </w:r>
            <w:r w:rsidR="0051128E">
              <w:rPr>
                <w:webHidden/>
              </w:rPr>
              <w:fldChar w:fldCharType="separate"/>
            </w:r>
            <w:r w:rsidR="0051128E">
              <w:rPr>
                <w:webHidden/>
              </w:rPr>
              <w:t>227</w:t>
            </w:r>
            <w:r w:rsidR="0051128E">
              <w:rPr>
                <w:webHidden/>
              </w:rPr>
              <w:fldChar w:fldCharType="end"/>
            </w:r>
          </w:hyperlink>
        </w:p>
        <w:p w14:paraId="5A786D01" w14:textId="2F32349B" w:rsidR="0051128E" w:rsidRDefault="001C7A9B" w:rsidP="0051128E">
          <w:pPr>
            <w:pStyle w:val="TOC2"/>
            <w:rPr>
              <w:rFonts w:eastAsiaTheme="minorEastAsia"/>
              <w:color w:val="auto"/>
              <w:kern w:val="0"/>
              <w:sz w:val="22"/>
              <w:szCs w:val="22"/>
              <w:lang w:eastAsia="en-AU"/>
            </w:rPr>
          </w:pPr>
          <w:hyperlink w:anchor="_Toc140239751" w:history="1">
            <w:r w:rsidR="0051128E" w:rsidRPr="005D0E7A">
              <w:rPr>
                <w:rStyle w:val="Hyperlink"/>
              </w:rPr>
              <w:t>42.</w:t>
            </w:r>
            <w:r w:rsidR="0051128E">
              <w:rPr>
                <w:rFonts w:eastAsiaTheme="minorEastAsia"/>
                <w:color w:val="auto"/>
                <w:kern w:val="0"/>
                <w:sz w:val="22"/>
                <w:szCs w:val="22"/>
                <w:lang w:eastAsia="en-AU"/>
              </w:rPr>
              <w:tab/>
            </w:r>
            <w:r w:rsidR="0051128E" w:rsidRPr="005D0E7A">
              <w:rPr>
                <w:rStyle w:val="Hyperlink"/>
              </w:rPr>
              <w:t>Removable gangway design – ferries</w:t>
            </w:r>
            <w:r w:rsidR="0051128E">
              <w:rPr>
                <w:webHidden/>
              </w:rPr>
              <w:tab/>
            </w:r>
            <w:r w:rsidR="0051128E">
              <w:rPr>
                <w:webHidden/>
              </w:rPr>
              <w:fldChar w:fldCharType="begin"/>
            </w:r>
            <w:r w:rsidR="0051128E">
              <w:rPr>
                <w:webHidden/>
              </w:rPr>
              <w:instrText xml:space="preserve"> PAGEREF _Toc140239751 \h </w:instrText>
            </w:r>
            <w:r w:rsidR="0051128E">
              <w:rPr>
                <w:webHidden/>
              </w:rPr>
            </w:r>
            <w:r w:rsidR="0051128E">
              <w:rPr>
                <w:webHidden/>
              </w:rPr>
              <w:fldChar w:fldCharType="separate"/>
            </w:r>
            <w:r w:rsidR="0051128E">
              <w:rPr>
                <w:webHidden/>
              </w:rPr>
              <w:t>231</w:t>
            </w:r>
            <w:r w:rsidR="0051128E">
              <w:rPr>
                <w:webHidden/>
              </w:rPr>
              <w:fldChar w:fldCharType="end"/>
            </w:r>
          </w:hyperlink>
        </w:p>
        <w:p w14:paraId="58FAA018" w14:textId="33A78CB5" w:rsidR="0051128E" w:rsidRDefault="001C7A9B" w:rsidP="0051128E">
          <w:pPr>
            <w:pStyle w:val="TOC2"/>
            <w:rPr>
              <w:rFonts w:eastAsiaTheme="minorEastAsia"/>
              <w:color w:val="auto"/>
              <w:kern w:val="0"/>
              <w:sz w:val="22"/>
              <w:szCs w:val="22"/>
              <w:lang w:eastAsia="en-AU"/>
            </w:rPr>
          </w:pPr>
          <w:hyperlink w:anchor="_Toc140239752" w:history="1">
            <w:r w:rsidR="0051128E" w:rsidRPr="005D0E7A">
              <w:rPr>
                <w:rStyle w:val="Hyperlink"/>
              </w:rPr>
              <w:t>43.</w:t>
            </w:r>
            <w:r w:rsidR="0051128E">
              <w:rPr>
                <w:rFonts w:eastAsiaTheme="minorEastAsia"/>
                <w:color w:val="auto"/>
                <w:kern w:val="0"/>
                <w:sz w:val="22"/>
                <w:szCs w:val="22"/>
                <w:lang w:eastAsia="en-AU"/>
              </w:rPr>
              <w:tab/>
            </w:r>
            <w:r w:rsidR="0051128E" w:rsidRPr="005D0E7A">
              <w:rPr>
                <w:rStyle w:val="Hyperlink"/>
              </w:rPr>
              <w:t>Nominated assistance boarding points</w:t>
            </w:r>
            <w:r w:rsidR="0051128E">
              <w:rPr>
                <w:webHidden/>
              </w:rPr>
              <w:tab/>
            </w:r>
            <w:r w:rsidR="0051128E">
              <w:rPr>
                <w:webHidden/>
              </w:rPr>
              <w:fldChar w:fldCharType="begin"/>
            </w:r>
            <w:r w:rsidR="0051128E">
              <w:rPr>
                <w:webHidden/>
              </w:rPr>
              <w:instrText xml:space="preserve"> PAGEREF _Toc140239752 \h </w:instrText>
            </w:r>
            <w:r w:rsidR="0051128E">
              <w:rPr>
                <w:webHidden/>
              </w:rPr>
            </w:r>
            <w:r w:rsidR="0051128E">
              <w:rPr>
                <w:webHidden/>
              </w:rPr>
              <w:fldChar w:fldCharType="separate"/>
            </w:r>
            <w:r w:rsidR="0051128E">
              <w:rPr>
                <w:webHidden/>
              </w:rPr>
              <w:t>236</w:t>
            </w:r>
            <w:r w:rsidR="0051128E">
              <w:rPr>
                <w:webHidden/>
              </w:rPr>
              <w:fldChar w:fldCharType="end"/>
            </w:r>
          </w:hyperlink>
        </w:p>
        <w:p w14:paraId="21DCA5AB" w14:textId="479CF551" w:rsidR="0051128E" w:rsidRDefault="001C7A9B" w:rsidP="0051128E">
          <w:pPr>
            <w:pStyle w:val="TOC2"/>
            <w:rPr>
              <w:rFonts w:eastAsiaTheme="minorEastAsia"/>
              <w:color w:val="auto"/>
              <w:kern w:val="0"/>
              <w:sz w:val="22"/>
              <w:szCs w:val="22"/>
              <w:lang w:eastAsia="en-AU"/>
            </w:rPr>
          </w:pPr>
          <w:hyperlink w:anchor="_Toc140239753" w:history="1">
            <w:r w:rsidR="0051128E" w:rsidRPr="005D0E7A">
              <w:rPr>
                <w:rStyle w:val="Hyperlink"/>
              </w:rPr>
              <w:t>44.</w:t>
            </w:r>
            <w:r w:rsidR="0051128E">
              <w:rPr>
                <w:rFonts w:eastAsiaTheme="minorEastAsia"/>
                <w:color w:val="auto"/>
                <w:kern w:val="0"/>
                <w:sz w:val="22"/>
                <w:szCs w:val="22"/>
                <w:lang w:eastAsia="en-AU"/>
              </w:rPr>
              <w:tab/>
            </w:r>
            <w:r w:rsidR="0051128E" w:rsidRPr="005D0E7A">
              <w:rPr>
                <w:rStyle w:val="Hyperlink"/>
              </w:rPr>
              <w:t>Identification of lead stops</w:t>
            </w:r>
            <w:r w:rsidR="0051128E">
              <w:rPr>
                <w:webHidden/>
              </w:rPr>
              <w:tab/>
            </w:r>
            <w:r w:rsidR="0051128E">
              <w:rPr>
                <w:webHidden/>
              </w:rPr>
              <w:fldChar w:fldCharType="begin"/>
            </w:r>
            <w:r w:rsidR="0051128E">
              <w:rPr>
                <w:webHidden/>
              </w:rPr>
              <w:instrText xml:space="preserve"> PAGEREF _Toc140239753 \h </w:instrText>
            </w:r>
            <w:r w:rsidR="0051128E">
              <w:rPr>
                <w:webHidden/>
              </w:rPr>
            </w:r>
            <w:r w:rsidR="0051128E">
              <w:rPr>
                <w:webHidden/>
              </w:rPr>
              <w:fldChar w:fldCharType="separate"/>
            </w:r>
            <w:r w:rsidR="0051128E">
              <w:rPr>
                <w:webHidden/>
              </w:rPr>
              <w:t>243</w:t>
            </w:r>
            <w:r w:rsidR="0051128E">
              <w:rPr>
                <w:webHidden/>
              </w:rPr>
              <w:fldChar w:fldCharType="end"/>
            </w:r>
          </w:hyperlink>
        </w:p>
        <w:p w14:paraId="28CC48A5" w14:textId="202EC255" w:rsidR="0051128E" w:rsidRDefault="001C7A9B" w:rsidP="0051128E">
          <w:pPr>
            <w:pStyle w:val="TOC2"/>
            <w:rPr>
              <w:rFonts w:eastAsiaTheme="minorEastAsia"/>
              <w:color w:val="auto"/>
              <w:kern w:val="0"/>
              <w:sz w:val="22"/>
              <w:szCs w:val="22"/>
              <w:lang w:eastAsia="en-AU"/>
            </w:rPr>
          </w:pPr>
          <w:hyperlink w:anchor="_Toc140239754" w:history="1">
            <w:r w:rsidR="0051128E" w:rsidRPr="005D0E7A">
              <w:rPr>
                <w:rStyle w:val="Hyperlink"/>
              </w:rPr>
              <w:t>45.</w:t>
            </w:r>
            <w:r w:rsidR="0051128E">
              <w:rPr>
                <w:rFonts w:eastAsiaTheme="minorEastAsia"/>
                <w:color w:val="auto"/>
                <w:kern w:val="0"/>
                <w:sz w:val="22"/>
                <w:szCs w:val="22"/>
                <w:lang w:eastAsia="en-AU"/>
              </w:rPr>
              <w:tab/>
            </w:r>
            <w:r w:rsidR="0051128E" w:rsidRPr="005D0E7A">
              <w:rPr>
                <w:rStyle w:val="Hyperlink"/>
              </w:rPr>
              <w:t>Pontoon boarding points on infrastructure</w:t>
            </w:r>
            <w:r w:rsidR="0051128E">
              <w:rPr>
                <w:webHidden/>
              </w:rPr>
              <w:tab/>
            </w:r>
            <w:r w:rsidR="0051128E">
              <w:rPr>
                <w:webHidden/>
              </w:rPr>
              <w:fldChar w:fldCharType="begin"/>
            </w:r>
            <w:r w:rsidR="0051128E">
              <w:rPr>
                <w:webHidden/>
              </w:rPr>
              <w:instrText xml:space="preserve"> PAGEREF _Toc140239754 \h </w:instrText>
            </w:r>
            <w:r w:rsidR="0051128E">
              <w:rPr>
                <w:webHidden/>
              </w:rPr>
            </w:r>
            <w:r w:rsidR="0051128E">
              <w:rPr>
                <w:webHidden/>
              </w:rPr>
              <w:fldChar w:fldCharType="separate"/>
            </w:r>
            <w:r w:rsidR="0051128E">
              <w:rPr>
                <w:webHidden/>
              </w:rPr>
              <w:t>247</w:t>
            </w:r>
            <w:r w:rsidR="0051128E">
              <w:rPr>
                <w:webHidden/>
              </w:rPr>
              <w:fldChar w:fldCharType="end"/>
            </w:r>
          </w:hyperlink>
        </w:p>
        <w:p w14:paraId="400BAC45" w14:textId="21716E57" w:rsidR="0051128E" w:rsidRDefault="001C7A9B" w:rsidP="0051128E">
          <w:pPr>
            <w:pStyle w:val="TOC2"/>
            <w:rPr>
              <w:rFonts w:eastAsiaTheme="minorEastAsia"/>
              <w:color w:val="auto"/>
              <w:kern w:val="0"/>
              <w:sz w:val="22"/>
              <w:szCs w:val="22"/>
              <w:lang w:eastAsia="en-AU"/>
            </w:rPr>
          </w:pPr>
          <w:hyperlink w:anchor="_Toc140239755" w:history="1">
            <w:r w:rsidR="0051128E" w:rsidRPr="005D0E7A">
              <w:rPr>
                <w:rStyle w:val="Hyperlink"/>
              </w:rPr>
              <w:t>46.</w:t>
            </w:r>
            <w:r w:rsidR="0051128E">
              <w:rPr>
                <w:rFonts w:eastAsiaTheme="minorEastAsia"/>
                <w:color w:val="auto"/>
                <w:kern w:val="0"/>
                <w:sz w:val="22"/>
                <w:szCs w:val="22"/>
                <w:lang w:eastAsia="en-AU"/>
              </w:rPr>
              <w:tab/>
            </w:r>
            <w:r w:rsidR="0051128E" w:rsidRPr="005D0E7A">
              <w:rPr>
                <w:rStyle w:val="Hyperlink"/>
              </w:rPr>
              <w:t>Bus, tram and light rail boarding points on infrastructure</w:t>
            </w:r>
            <w:r w:rsidR="0051128E">
              <w:rPr>
                <w:webHidden/>
              </w:rPr>
              <w:tab/>
            </w:r>
            <w:r w:rsidR="0051128E">
              <w:rPr>
                <w:webHidden/>
              </w:rPr>
              <w:fldChar w:fldCharType="begin"/>
            </w:r>
            <w:r w:rsidR="0051128E">
              <w:rPr>
                <w:webHidden/>
              </w:rPr>
              <w:instrText xml:space="preserve"> PAGEREF _Toc140239755 \h </w:instrText>
            </w:r>
            <w:r w:rsidR="0051128E">
              <w:rPr>
                <w:webHidden/>
              </w:rPr>
            </w:r>
            <w:r w:rsidR="0051128E">
              <w:rPr>
                <w:webHidden/>
              </w:rPr>
              <w:fldChar w:fldCharType="separate"/>
            </w:r>
            <w:r w:rsidR="0051128E">
              <w:rPr>
                <w:webHidden/>
              </w:rPr>
              <w:t>252</w:t>
            </w:r>
            <w:r w:rsidR="0051128E">
              <w:rPr>
                <w:webHidden/>
              </w:rPr>
              <w:fldChar w:fldCharType="end"/>
            </w:r>
          </w:hyperlink>
        </w:p>
        <w:p w14:paraId="1ADCB41A" w14:textId="1D340F42" w:rsidR="0051128E" w:rsidRDefault="001C7A9B" w:rsidP="0051128E">
          <w:pPr>
            <w:pStyle w:val="TOC2"/>
            <w:rPr>
              <w:rFonts w:eastAsiaTheme="minorEastAsia"/>
              <w:color w:val="auto"/>
              <w:kern w:val="0"/>
              <w:sz w:val="22"/>
              <w:szCs w:val="22"/>
              <w:lang w:eastAsia="en-AU"/>
            </w:rPr>
          </w:pPr>
          <w:hyperlink w:anchor="_Toc140239756" w:history="1">
            <w:r w:rsidR="0051128E" w:rsidRPr="005D0E7A">
              <w:rPr>
                <w:rStyle w:val="Hyperlink"/>
              </w:rPr>
              <w:t>47.</w:t>
            </w:r>
            <w:r w:rsidR="0051128E">
              <w:rPr>
                <w:rFonts w:eastAsiaTheme="minorEastAsia"/>
                <w:color w:val="auto"/>
                <w:kern w:val="0"/>
                <w:sz w:val="22"/>
                <w:szCs w:val="22"/>
                <w:lang w:eastAsia="en-AU"/>
              </w:rPr>
              <w:tab/>
            </w:r>
            <w:r w:rsidR="0051128E" w:rsidRPr="005D0E7A">
              <w:rPr>
                <w:rStyle w:val="Hyperlink"/>
              </w:rPr>
              <w:t>Hail-and-ride boarding points on infrastructure</w:t>
            </w:r>
            <w:r w:rsidR="0051128E">
              <w:rPr>
                <w:webHidden/>
              </w:rPr>
              <w:tab/>
            </w:r>
            <w:r w:rsidR="0051128E">
              <w:rPr>
                <w:webHidden/>
              </w:rPr>
              <w:fldChar w:fldCharType="begin"/>
            </w:r>
            <w:r w:rsidR="0051128E">
              <w:rPr>
                <w:webHidden/>
              </w:rPr>
              <w:instrText xml:space="preserve"> PAGEREF _Toc140239756 \h </w:instrText>
            </w:r>
            <w:r w:rsidR="0051128E">
              <w:rPr>
                <w:webHidden/>
              </w:rPr>
            </w:r>
            <w:r w:rsidR="0051128E">
              <w:rPr>
                <w:webHidden/>
              </w:rPr>
              <w:fldChar w:fldCharType="separate"/>
            </w:r>
            <w:r w:rsidR="0051128E">
              <w:rPr>
                <w:webHidden/>
              </w:rPr>
              <w:t>257</w:t>
            </w:r>
            <w:r w:rsidR="0051128E">
              <w:rPr>
                <w:webHidden/>
              </w:rPr>
              <w:fldChar w:fldCharType="end"/>
            </w:r>
          </w:hyperlink>
        </w:p>
        <w:p w14:paraId="1FF6058A" w14:textId="6A7C8554" w:rsidR="0051128E" w:rsidRDefault="001C7A9B" w:rsidP="0051128E">
          <w:pPr>
            <w:pStyle w:val="TOC2"/>
            <w:rPr>
              <w:rFonts w:eastAsiaTheme="minorEastAsia"/>
              <w:color w:val="auto"/>
              <w:kern w:val="0"/>
              <w:sz w:val="22"/>
              <w:szCs w:val="22"/>
              <w:lang w:eastAsia="en-AU"/>
            </w:rPr>
          </w:pPr>
          <w:hyperlink w:anchor="_Toc140239757" w:history="1">
            <w:r w:rsidR="0051128E" w:rsidRPr="005D0E7A">
              <w:rPr>
                <w:rStyle w:val="Hyperlink"/>
              </w:rPr>
              <w:t>48.</w:t>
            </w:r>
            <w:r w:rsidR="0051128E">
              <w:rPr>
                <w:rFonts w:eastAsiaTheme="minorEastAsia"/>
                <w:color w:val="auto"/>
                <w:kern w:val="0"/>
                <w:sz w:val="22"/>
                <w:szCs w:val="22"/>
                <w:lang w:eastAsia="en-AU"/>
              </w:rPr>
              <w:tab/>
            </w:r>
            <w:r w:rsidR="0051128E" w:rsidRPr="005D0E7A">
              <w:rPr>
                <w:rStyle w:val="Hyperlink"/>
              </w:rPr>
              <w:t>Accessible taxi ranks</w:t>
            </w:r>
            <w:r w:rsidR="0051128E">
              <w:rPr>
                <w:webHidden/>
              </w:rPr>
              <w:tab/>
            </w:r>
            <w:r w:rsidR="0051128E">
              <w:rPr>
                <w:webHidden/>
              </w:rPr>
              <w:fldChar w:fldCharType="begin"/>
            </w:r>
            <w:r w:rsidR="0051128E">
              <w:rPr>
                <w:webHidden/>
              </w:rPr>
              <w:instrText xml:space="preserve"> PAGEREF _Toc140239757 \h </w:instrText>
            </w:r>
            <w:r w:rsidR="0051128E">
              <w:rPr>
                <w:webHidden/>
              </w:rPr>
            </w:r>
            <w:r w:rsidR="0051128E">
              <w:rPr>
                <w:webHidden/>
              </w:rPr>
              <w:fldChar w:fldCharType="separate"/>
            </w:r>
            <w:r w:rsidR="0051128E">
              <w:rPr>
                <w:webHidden/>
              </w:rPr>
              <w:t>262</w:t>
            </w:r>
            <w:r w:rsidR="0051128E">
              <w:rPr>
                <w:webHidden/>
              </w:rPr>
              <w:fldChar w:fldCharType="end"/>
            </w:r>
          </w:hyperlink>
        </w:p>
        <w:p w14:paraId="3C3F4C89" w14:textId="3C66F475" w:rsidR="0051128E" w:rsidRDefault="001C7A9B" w:rsidP="0051128E">
          <w:pPr>
            <w:pStyle w:val="TOC2"/>
            <w:rPr>
              <w:rFonts w:eastAsiaTheme="minorEastAsia"/>
              <w:color w:val="auto"/>
              <w:kern w:val="0"/>
              <w:sz w:val="22"/>
              <w:szCs w:val="22"/>
              <w:lang w:eastAsia="en-AU"/>
            </w:rPr>
          </w:pPr>
          <w:hyperlink w:anchor="_Toc140239758" w:history="1">
            <w:r w:rsidR="0051128E" w:rsidRPr="005D0E7A">
              <w:rPr>
                <w:rStyle w:val="Hyperlink"/>
              </w:rPr>
              <w:t>49.</w:t>
            </w:r>
            <w:r w:rsidR="0051128E">
              <w:rPr>
                <w:rFonts w:eastAsiaTheme="minorEastAsia"/>
                <w:color w:val="auto"/>
                <w:kern w:val="0"/>
                <w:sz w:val="22"/>
                <w:szCs w:val="22"/>
                <w:lang w:eastAsia="en-AU"/>
              </w:rPr>
              <w:tab/>
            </w:r>
            <w:r w:rsidR="0051128E" w:rsidRPr="005D0E7A">
              <w:rPr>
                <w:rStyle w:val="Hyperlink"/>
              </w:rPr>
              <w:t>Accessible passenger loading zones on-street</w:t>
            </w:r>
            <w:r w:rsidR="0051128E">
              <w:rPr>
                <w:webHidden/>
              </w:rPr>
              <w:tab/>
            </w:r>
            <w:r w:rsidR="0051128E">
              <w:rPr>
                <w:webHidden/>
              </w:rPr>
              <w:fldChar w:fldCharType="begin"/>
            </w:r>
            <w:r w:rsidR="0051128E">
              <w:rPr>
                <w:webHidden/>
              </w:rPr>
              <w:instrText xml:space="preserve"> PAGEREF _Toc140239758 \h </w:instrText>
            </w:r>
            <w:r w:rsidR="0051128E">
              <w:rPr>
                <w:webHidden/>
              </w:rPr>
            </w:r>
            <w:r w:rsidR="0051128E">
              <w:rPr>
                <w:webHidden/>
              </w:rPr>
              <w:fldChar w:fldCharType="separate"/>
            </w:r>
            <w:r w:rsidR="0051128E">
              <w:rPr>
                <w:webHidden/>
              </w:rPr>
              <w:t>268</w:t>
            </w:r>
            <w:r w:rsidR="0051128E">
              <w:rPr>
                <w:webHidden/>
              </w:rPr>
              <w:fldChar w:fldCharType="end"/>
            </w:r>
          </w:hyperlink>
        </w:p>
        <w:p w14:paraId="6367EF98" w14:textId="2EEB6F05" w:rsidR="0051128E" w:rsidRDefault="001C7A9B" w:rsidP="0051128E">
          <w:pPr>
            <w:pStyle w:val="TOC2"/>
            <w:rPr>
              <w:rFonts w:eastAsiaTheme="minorEastAsia"/>
              <w:color w:val="auto"/>
              <w:kern w:val="0"/>
              <w:sz w:val="22"/>
              <w:szCs w:val="22"/>
              <w:lang w:eastAsia="en-AU"/>
            </w:rPr>
          </w:pPr>
          <w:hyperlink w:anchor="_Toc140239759" w:history="1">
            <w:r w:rsidR="0051128E" w:rsidRPr="005D0E7A">
              <w:rPr>
                <w:rStyle w:val="Hyperlink"/>
              </w:rPr>
              <w:t>50.</w:t>
            </w:r>
            <w:r w:rsidR="0051128E">
              <w:rPr>
                <w:rFonts w:eastAsiaTheme="minorEastAsia"/>
                <w:color w:val="auto"/>
                <w:kern w:val="0"/>
                <w:sz w:val="22"/>
                <w:szCs w:val="22"/>
                <w:lang w:eastAsia="en-AU"/>
              </w:rPr>
              <w:tab/>
            </w:r>
            <w:r w:rsidR="0051128E" w:rsidRPr="005D0E7A">
              <w:rPr>
                <w:rStyle w:val="Hyperlink"/>
              </w:rPr>
              <w:t>Accessible parking spaces in infrastructure off-street carparks</w:t>
            </w:r>
            <w:r w:rsidR="0051128E">
              <w:rPr>
                <w:webHidden/>
              </w:rPr>
              <w:tab/>
            </w:r>
            <w:r w:rsidR="0051128E">
              <w:rPr>
                <w:webHidden/>
              </w:rPr>
              <w:fldChar w:fldCharType="begin"/>
            </w:r>
            <w:r w:rsidR="0051128E">
              <w:rPr>
                <w:webHidden/>
              </w:rPr>
              <w:instrText xml:space="preserve"> PAGEREF _Toc140239759 \h </w:instrText>
            </w:r>
            <w:r w:rsidR="0051128E">
              <w:rPr>
                <w:webHidden/>
              </w:rPr>
            </w:r>
            <w:r w:rsidR="0051128E">
              <w:rPr>
                <w:webHidden/>
              </w:rPr>
              <w:fldChar w:fldCharType="separate"/>
            </w:r>
            <w:r w:rsidR="0051128E">
              <w:rPr>
                <w:webHidden/>
              </w:rPr>
              <w:t>273</w:t>
            </w:r>
            <w:r w:rsidR="0051128E">
              <w:rPr>
                <w:webHidden/>
              </w:rPr>
              <w:fldChar w:fldCharType="end"/>
            </w:r>
          </w:hyperlink>
        </w:p>
        <w:p w14:paraId="255F9388" w14:textId="4F0CCE95" w:rsidR="0051128E" w:rsidRPr="0051128E" w:rsidRDefault="001C7A9B" w:rsidP="0051128E">
          <w:pPr>
            <w:pStyle w:val="TOC2"/>
            <w:rPr>
              <w:rFonts w:eastAsiaTheme="minorEastAsia"/>
              <w:b/>
              <w:color w:val="auto"/>
              <w:kern w:val="0"/>
              <w:sz w:val="22"/>
              <w:szCs w:val="22"/>
              <w:lang w:eastAsia="en-AU"/>
            </w:rPr>
          </w:pPr>
          <w:hyperlink w:anchor="_Toc140239760" w:history="1">
            <w:r w:rsidR="0051128E" w:rsidRPr="0051128E">
              <w:rPr>
                <w:rStyle w:val="Hyperlink"/>
                <w:b/>
              </w:rPr>
              <w:t>Part 5: Accessibility in conveyances</w:t>
            </w:r>
            <w:r w:rsidR="0051128E" w:rsidRPr="0051128E">
              <w:rPr>
                <w:b/>
                <w:webHidden/>
              </w:rPr>
              <w:tab/>
            </w:r>
            <w:r w:rsidR="0051128E" w:rsidRPr="0051128E">
              <w:rPr>
                <w:b/>
                <w:webHidden/>
              </w:rPr>
              <w:fldChar w:fldCharType="begin"/>
            </w:r>
            <w:r w:rsidR="0051128E" w:rsidRPr="0051128E">
              <w:rPr>
                <w:b/>
                <w:webHidden/>
              </w:rPr>
              <w:instrText xml:space="preserve"> PAGEREF _Toc140239760 \h </w:instrText>
            </w:r>
            <w:r w:rsidR="0051128E" w:rsidRPr="0051128E">
              <w:rPr>
                <w:b/>
                <w:webHidden/>
              </w:rPr>
            </w:r>
            <w:r w:rsidR="0051128E" w:rsidRPr="0051128E">
              <w:rPr>
                <w:b/>
                <w:webHidden/>
              </w:rPr>
              <w:fldChar w:fldCharType="separate"/>
            </w:r>
            <w:r w:rsidR="0051128E" w:rsidRPr="0051128E">
              <w:rPr>
                <w:b/>
                <w:webHidden/>
              </w:rPr>
              <w:t>278</w:t>
            </w:r>
            <w:r w:rsidR="0051128E" w:rsidRPr="0051128E">
              <w:rPr>
                <w:b/>
                <w:webHidden/>
              </w:rPr>
              <w:fldChar w:fldCharType="end"/>
            </w:r>
          </w:hyperlink>
        </w:p>
        <w:p w14:paraId="5EAB7ECD" w14:textId="768B0E9F" w:rsidR="0051128E" w:rsidRDefault="001C7A9B" w:rsidP="0051128E">
          <w:pPr>
            <w:pStyle w:val="TOC2"/>
            <w:rPr>
              <w:rFonts w:eastAsiaTheme="minorEastAsia"/>
              <w:color w:val="auto"/>
              <w:kern w:val="0"/>
              <w:sz w:val="22"/>
              <w:szCs w:val="22"/>
              <w:lang w:eastAsia="en-AU"/>
            </w:rPr>
          </w:pPr>
          <w:hyperlink w:anchor="_Toc140239761" w:history="1">
            <w:r w:rsidR="0051128E" w:rsidRPr="005D0E7A">
              <w:rPr>
                <w:rStyle w:val="Hyperlink"/>
              </w:rPr>
              <w:t>51.</w:t>
            </w:r>
            <w:r w:rsidR="0051128E">
              <w:rPr>
                <w:rFonts w:eastAsiaTheme="minorEastAsia"/>
                <w:color w:val="auto"/>
                <w:kern w:val="0"/>
                <w:sz w:val="22"/>
                <w:szCs w:val="22"/>
                <w:lang w:eastAsia="en-AU"/>
              </w:rPr>
              <w:tab/>
            </w:r>
            <w:r w:rsidR="0051128E" w:rsidRPr="005D0E7A">
              <w:rPr>
                <w:rStyle w:val="Hyperlink"/>
              </w:rPr>
              <w:t>Grabrails on access paths</w:t>
            </w:r>
            <w:r w:rsidR="0051128E">
              <w:rPr>
                <w:webHidden/>
              </w:rPr>
              <w:tab/>
            </w:r>
            <w:r w:rsidR="0051128E">
              <w:rPr>
                <w:webHidden/>
              </w:rPr>
              <w:fldChar w:fldCharType="begin"/>
            </w:r>
            <w:r w:rsidR="0051128E">
              <w:rPr>
                <w:webHidden/>
              </w:rPr>
              <w:instrText xml:space="preserve"> PAGEREF _Toc140239761 \h </w:instrText>
            </w:r>
            <w:r w:rsidR="0051128E">
              <w:rPr>
                <w:webHidden/>
              </w:rPr>
            </w:r>
            <w:r w:rsidR="0051128E">
              <w:rPr>
                <w:webHidden/>
              </w:rPr>
              <w:fldChar w:fldCharType="separate"/>
            </w:r>
            <w:r w:rsidR="0051128E">
              <w:rPr>
                <w:webHidden/>
              </w:rPr>
              <w:t>279</w:t>
            </w:r>
            <w:r w:rsidR="0051128E">
              <w:rPr>
                <w:webHidden/>
              </w:rPr>
              <w:fldChar w:fldCharType="end"/>
            </w:r>
          </w:hyperlink>
        </w:p>
        <w:p w14:paraId="742C79BA" w14:textId="59B944AB" w:rsidR="0051128E" w:rsidRDefault="001C7A9B" w:rsidP="0051128E">
          <w:pPr>
            <w:pStyle w:val="TOC2"/>
            <w:rPr>
              <w:rFonts w:eastAsiaTheme="minorEastAsia"/>
              <w:color w:val="auto"/>
              <w:kern w:val="0"/>
              <w:sz w:val="22"/>
              <w:szCs w:val="22"/>
              <w:lang w:eastAsia="en-AU"/>
            </w:rPr>
          </w:pPr>
          <w:hyperlink w:anchor="_Toc140239762" w:history="1">
            <w:r w:rsidR="0051128E" w:rsidRPr="005D0E7A">
              <w:rPr>
                <w:rStyle w:val="Hyperlink"/>
              </w:rPr>
              <w:t>52.</w:t>
            </w:r>
            <w:r w:rsidR="0051128E">
              <w:rPr>
                <w:rFonts w:eastAsiaTheme="minorEastAsia"/>
                <w:color w:val="auto"/>
                <w:kern w:val="0"/>
                <w:sz w:val="22"/>
                <w:szCs w:val="22"/>
                <w:lang w:eastAsia="en-AU"/>
              </w:rPr>
              <w:tab/>
            </w:r>
            <w:r w:rsidR="0051128E" w:rsidRPr="005D0E7A">
              <w:rPr>
                <w:rStyle w:val="Hyperlink"/>
              </w:rPr>
              <w:t>Grabrails in allocated spaces</w:t>
            </w:r>
            <w:r w:rsidR="0051128E">
              <w:rPr>
                <w:webHidden/>
              </w:rPr>
              <w:tab/>
            </w:r>
            <w:r w:rsidR="0051128E">
              <w:rPr>
                <w:webHidden/>
              </w:rPr>
              <w:fldChar w:fldCharType="begin"/>
            </w:r>
            <w:r w:rsidR="0051128E">
              <w:rPr>
                <w:webHidden/>
              </w:rPr>
              <w:instrText xml:space="preserve"> PAGEREF _Toc140239762 \h </w:instrText>
            </w:r>
            <w:r w:rsidR="0051128E">
              <w:rPr>
                <w:webHidden/>
              </w:rPr>
            </w:r>
            <w:r w:rsidR="0051128E">
              <w:rPr>
                <w:webHidden/>
              </w:rPr>
              <w:fldChar w:fldCharType="separate"/>
            </w:r>
            <w:r w:rsidR="0051128E">
              <w:rPr>
                <w:webHidden/>
              </w:rPr>
              <w:t>285</w:t>
            </w:r>
            <w:r w:rsidR="0051128E">
              <w:rPr>
                <w:webHidden/>
              </w:rPr>
              <w:fldChar w:fldCharType="end"/>
            </w:r>
          </w:hyperlink>
        </w:p>
        <w:p w14:paraId="6946CD0E" w14:textId="10DE6A90" w:rsidR="0051128E" w:rsidRDefault="001C7A9B" w:rsidP="0051128E">
          <w:pPr>
            <w:pStyle w:val="TOC2"/>
            <w:rPr>
              <w:rFonts w:eastAsiaTheme="minorEastAsia"/>
              <w:color w:val="auto"/>
              <w:kern w:val="0"/>
              <w:sz w:val="22"/>
              <w:szCs w:val="22"/>
              <w:lang w:eastAsia="en-AU"/>
            </w:rPr>
          </w:pPr>
          <w:hyperlink w:anchor="_Toc140239763" w:history="1">
            <w:r w:rsidR="0051128E" w:rsidRPr="005D0E7A">
              <w:rPr>
                <w:rStyle w:val="Hyperlink"/>
              </w:rPr>
              <w:t>53.</w:t>
            </w:r>
            <w:r w:rsidR="0051128E">
              <w:rPr>
                <w:rFonts w:eastAsiaTheme="minorEastAsia"/>
                <w:color w:val="auto"/>
                <w:kern w:val="0"/>
                <w:sz w:val="22"/>
                <w:szCs w:val="22"/>
                <w:lang w:eastAsia="en-AU"/>
              </w:rPr>
              <w:tab/>
            </w:r>
            <w:r w:rsidR="0051128E" w:rsidRPr="005D0E7A">
              <w:rPr>
                <w:rStyle w:val="Hyperlink"/>
              </w:rPr>
              <w:t>Mobility aid movement in allocated spaces – passive restraints</w:t>
            </w:r>
            <w:r w:rsidR="0051128E">
              <w:rPr>
                <w:webHidden/>
              </w:rPr>
              <w:tab/>
            </w:r>
            <w:r w:rsidR="0051128E">
              <w:rPr>
                <w:webHidden/>
              </w:rPr>
              <w:fldChar w:fldCharType="begin"/>
            </w:r>
            <w:r w:rsidR="0051128E">
              <w:rPr>
                <w:webHidden/>
              </w:rPr>
              <w:instrText xml:space="preserve"> PAGEREF _Toc140239763 \h </w:instrText>
            </w:r>
            <w:r w:rsidR="0051128E">
              <w:rPr>
                <w:webHidden/>
              </w:rPr>
            </w:r>
            <w:r w:rsidR="0051128E">
              <w:rPr>
                <w:webHidden/>
              </w:rPr>
              <w:fldChar w:fldCharType="separate"/>
            </w:r>
            <w:r w:rsidR="0051128E">
              <w:rPr>
                <w:webHidden/>
              </w:rPr>
              <w:t>291</w:t>
            </w:r>
            <w:r w:rsidR="0051128E">
              <w:rPr>
                <w:webHidden/>
              </w:rPr>
              <w:fldChar w:fldCharType="end"/>
            </w:r>
          </w:hyperlink>
        </w:p>
        <w:p w14:paraId="5C356EEC" w14:textId="02A9E9AB" w:rsidR="0051128E" w:rsidRDefault="001C7A9B" w:rsidP="0051128E">
          <w:pPr>
            <w:pStyle w:val="TOC2"/>
            <w:rPr>
              <w:rFonts w:eastAsiaTheme="minorEastAsia"/>
              <w:color w:val="auto"/>
              <w:kern w:val="0"/>
              <w:sz w:val="22"/>
              <w:szCs w:val="22"/>
              <w:lang w:eastAsia="en-AU"/>
            </w:rPr>
          </w:pPr>
          <w:hyperlink w:anchor="_Toc140239764" w:history="1">
            <w:r w:rsidR="0051128E" w:rsidRPr="005D0E7A">
              <w:rPr>
                <w:rStyle w:val="Hyperlink"/>
              </w:rPr>
              <w:t>54.</w:t>
            </w:r>
            <w:r w:rsidR="0051128E">
              <w:rPr>
                <w:rFonts w:eastAsiaTheme="minorEastAsia"/>
                <w:color w:val="auto"/>
                <w:kern w:val="0"/>
                <w:sz w:val="22"/>
                <w:szCs w:val="22"/>
                <w:lang w:eastAsia="en-AU"/>
              </w:rPr>
              <w:tab/>
            </w:r>
            <w:r w:rsidR="0051128E" w:rsidRPr="005D0E7A">
              <w:rPr>
                <w:rStyle w:val="Hyperlink"/>
              </w:rPr>
              <w:t>Mobility aid movement in allocated spaces – active restraints</w:t>
            </w:r>
            <w:r w:rsidR="0051128E">
              <w:rPr>
                <w:webHidden/>
              </w:rPr>
              <w:tab/>
            </w:r>
            <w:r w:rsidR="0051128E">
              <w:rPr>
                <w:webHidden/>
              </w:rPr>
              <w:fldChar w:fldCharType="begin"/>
            </w:r>
            <w:r w:rsidR="0051128E">
              <w:rPr>
                <w:webHidden/>
              </w:rPr>
              <w:instrText xml:space="preserve"> PAGEREF _Toc140239764 \h </w:instrText>
            </w:r>
            <w:r w:rsidR="0051128E">
              <w:rPr>
                <w:webHidden/>
              </w:rPr>
            </w:r>
            <w:r w:rsidR="0051128E">
              <w:rPr>
                <w:webHidden/>
              </w:rPr>
              <w:fldChar w:fldCharType="separate"/>
            </w:r>
            <w:r w:rsidR="0051128E">
              <w:rPr>
                <w:webHidden/>
              </w:rPr>
              <w:t>297</w:t>
            </w:r>
            <w:r w:rsidR="0051128E">
              <w:rPr>
                <w:webHidden/>
              </w:rPr>
              <w:fldChar w:fldCharType="end"/>
            </w:r>
          </w:hyperlink>
        </w:p>
        <w:p w14:paraId="08ED2F9A" w14:textId="7AA1C1D7" w:rsidR="0051128E" w:rsidRDefault="001C7A9B" w:rsidP="0051128E">
          <w:pPr>
            <w:pStyle w:val="TOC2"/>
            <w:rPr>
              <w:rFonts w:eastAsiaTheme="minorEastAsia"/>
              <w:color w:val="auto"/>
              <w:kern w:val="0"/>
              <w:sz w:val="22"/>
              <w:szCs w:val="22"/>
              <w:lang w:eastAsia="en-AU"/>
            </w:rPr>
          </w:pPr>
          <w:hyperlink w:anchor="_Toc140239765" w:history="1">
            <w:r w:rsidR="0051128E" w:rsidRPr="005D0E7A">
              <w:rPr>
                <w:rStyle w:val="Hyperlink"/>
              </w:rPr>
              <w:t>55.</w:t>
            </w:r>
            <w:r w:rsidR="0051128E">
              <w:rPr>
                <w:rFonts w:eastAsiaTheme="minorEastAsia"/>
                <w:color w:val="auto"/>
                <w:kern w:val="0"/>
                <w:sz w:val="22"/>
                <w:szCs w:val="22"/>
                <w:lang w:eastAsia="en-AU"/>
              </w:rPr>
              <w:tab/>
            </w:r>
            <w:r w:rsidR="0051128E" w:rsidRPr="005D0E7A">
              <w:rPr>
                <w:rStyle w:val="Hyperlink"/>
              </w:rPr>
              <w:t>Appropriate seats on booked services</w:t>
            </w:r>
            <w:r w:rsidR="0051128E">
              <w:rPr>
                <w:webHidden/>
              </w:rPr>
              <w:tab/>
            </w:r>
            <w:r w:rsidR="0051128E">
              <w:rPr>
                <w:webHidden/>
              </w:rPr>
              <w:fldChar w:fldCharType="begin"/>
            </w:r>
            <w:r w:rsidR="0051128E">
              <w:rPr>
                <w:webHidden/>
              </w:rPr>
              <w:instrText xml:space="preserve"> PAGEREF _Toc140239765 \h </w:instrText>
            </w:r>
            <w:r w:rsidR="0051128E">
              <w:rPr>
                <w:webHidden/>
              </w:rPr>
            </w:r>
            <w:r w:rsidR="0051128E">
              <w:rPr>
                <w:webHidden/>
              </w:rPr>
              <w:fldChar w:fldCharType="separate"/>
            </w:r>
            <w:r w:rsidR="0051128E">
              <w:rPr>
                <w:webHidden/>
              </w:rPr>
              <w:t>302</w:t>
            </w:r>
            <w:r w:rsidR="0051128E">
              <w:rPr>
                <w:webHidden/>
              </w:rPr>
              <w:fldChar w:fldCharType="end"/>
            </w:r>
          </w:hyperlink>
        </w:p>
        <w:p w14:paraId="0E47CE96" w14:textId="1E69C2CF" w:rsidR="0051128E" w:rsidRDefault="001C7A9B" w:rsidP="0051128E">
          <w:pPr>
            <w:pStyle w:val="TOC2"/>
            <w:rPr>
              <w:rFonts w:eastAsiaTheme="minorEastAsia"/>
              <w:color w:val="auto"/>
              <w:kern w:val="0"/>
              <w:sz w:val="22"/>
              <w:szCs w:val="22"/>
              <w:lang w:eastAsia="en-AU"/>
            </w:rPr>
          </w:pPr>
          <w:hyperlink w:anchor="_Toc140239766" w:history="1">
            <w:r w:rsidR="0051128E" w:rsidRPr="005D0E7A">
              <w:rPr>
                <w:rStyle w:val="Hyperlink"/>
              </w:rPr>
              <w:t>56.</w:t>
            </w:r>
            <w:r w:rsidR="0051128E">
              <w:rPr>
                <w:rFonts w:eastAsiaTheme="minorEastAsia"/>
                <w:color w:val="auto"/>
                <w:kern w:val="0"/>
                <w:sz w:val="22"/>
                <w:szCs w:val="22"/>
                <w:lang w:eastAsia="en-AU"/>
              </w:rPr>
              <w:tab/>
            </w:r>
            <w:r w:rsidR="0051128E" w:rsidRPr="005D0E7A">
              <w:rPr>
                <w:rStyle w:val="Hyperlink"/>
              </w:rPr>
              <w:t>Conveyance dwell times at stops</w:t>
            </w:r>
            <w:r w:rsidR="0051128E">
              <w:rPr>
                <w:webHidden/>
              </w:rPr>
              <w:tab/>
            </w:r>
            <w:r w:rsidR="0051128E">
              <w:rPr>
                <w:webHidden/>
              </w:rPr>
              <w:fldChar w:fldCharType="begin"/>
            </w:r>
            <w:r w:rsidR="0051128E">
              <w:rPr>
                <w:webHidden/>
              </w:rPr>
              <w:instrText xml:space="preserve"> PAGEREF _Toc140239766 \h </w:instrText>
            </w:r>
            <w:r w:rsidR="0051128E">
              <w:rPr>
                <w:webHidden/>
              </w:rPr>
            </w:r>
            <w:r w:rsidR="0051128E">
              <w:rPr>
                <w:webHidden/>
              </w:rPr>
              <w:fldChar w:fldCharType="separate"/>
            </w:r>
            <w:r w:rsidR="0051128E">
              <w:rPr>
                <w:webHidden/>
              </w:rPr>
              <w:t>307</w:t>
            </w:r>
            <w:r w:rsidR="0051128E">
              <w:rPr>
                <w:webHidden/>
              </w:rPr>
              <w:fldChar w:fldCharType="end"/>
            </w:r>
          </w:hyperlink>
        </w:p>
        <w:p w14:paraId="73CD0756" w14:textId="134335BC" w:rsidR="0051128E" w:rsidRDefault="001C7A9B" w:rsidP="0051128E">
          <w:pPr>
            <w:pStyle w:val="TOC2"/>
            <w:rPr>
              <w:rFonts w:eastAsiaTheme="minorEastAsia"/>
              <w:color w:val="auto"/>
              <w:kern w:val="0"/>
              <w:sz w:val="22"/>
              <w:szCs w:val="22"/>
              <w:lang w:eastAsia="en-AU"/>
            </w:rPr>
          </w:pPr>
          <w:hyperlink w:anchor="_Toc140239767" w:history="1">
            <w:r w:rsidR="0051128E" w:rsidRPr="005D0E7A">
              <w:rPr>
                <w:rStyle w:val="Hyperlink"/>
              </w:rPr>
              <w:t>57.</w:t>
            </w:r>
            <w:r w:rsidR="0051128E">
              <w:rPr>
                <w:rFonts w:eastAsiaTheme="minorEastAsia"/>
                <w:color w:val="auto"/>
                <w:kern w:val="0"/>
                <w:sz w:val="22"/>
                <w:szCs w:val="22"/>
                <w:lang w:eastAsia="en-AU"/>
              </w:rPr>
              <w:tab/>
            </w:r>
            <w:r w:rsidR="0051128E" w:rsidRPr="005D0E7A">
              <w:rPr>
                <w:rStyle w:val="Hyperlink"/>
              </w:rPr>
              <w:t>Stairs on trains</w:t>
            </w:r>
            <w:r w:rsidR="0051128E">
              <w:rPr>
                <w:webHidden/>
              </w:rPr>
              <w:tab/>
            </w:r>
            <w:r w:rsidR="0051128E">
              <w:rPr>
                <w:webHidden/>
              </w:rPr>
              <w:fldChar w:fldCharType="begin"/>
            </w:r>
            <w:r w:rsidR="0051128E">
              <w:rPr>
                <w:webHidden/>
              </w:rPr>
              <w:instrText xml:space="preserve"> PAGEREF _Toc140239767 \h </w:instrText>
            </w:r>
            <w:r w:rsidR="0051128E">
              <w:rPr>
                <w:webHidden/>
              </w:rPr>
            </w:r>
            <w:r w:rsidR="0051128E">
              <w:rPr>
                <w:webHidden/>
              </w:rPr>
              <w:fldChar w:fldCharType="separate"/>
            </w:r>
            <w:r w:rsidR="0051128E">
              <w:rPr>
                <w:webHidden/>
              </w:rPr>
              <w:t>311</w:t>
            </w:r>
            <w:r w:rsidR="0051128E">
              <w:rPr>
                <w:webHidden/>
              </w:rPr>
              <w:fldChar w:fldCharType="end"/>
            </w:r>
          </w:hyperlink>
        </w:p>
        <w:p w14:paraId="1B9F6CF3" w14:textId="32AAA22B" w:rsidR="0051128E" w:rsidRDefault="001C7A9B" w:rsidP="0051128E">
          <w:pPr>
            <w:pStyle w:val="TOC2"/>
            <w:rPr>
              <w:rFonts w:eastAsiaTheme="minorEastAsia"/>
              <w:color w:val="auto"/>
              <w:kern w:val="0"/>
              <w:sz w:val="22"/>
              <w:szCs w:val="22"/>
              <w:lang w:eastAsia="en-AU"/>
            </w:rPr>
          </w:pPr>
          <w:hyperlink w:anchor="_Toc140239768" w:history="1">
            <w:r w:rsidR="0051128E" w:rsidRPr="005D0E7A">
              <w:rPr>
                <w:rStyle w:val="Hyperlink"/>
              </w:rPr>
              <w:t>58.</w:t>
            </w:r>
            <w:r w:rsidR="0051128E">
              <w:rPr>
                <w:rFonts w:eastAsiaTheme="minorEastAsia"/>
                <w:color w:val="auto"/>
                <w:kern w:val="0"/>
                <w:sz w:val="22"/>
                <w:szCs w:val="22"/>
                <w:lang w:eastAsia="en-AU"/>
              </w:rPr>
              <w:tab/>
            </w:r>
            <w:r w:rsidR="0051128E" w:rsidRPr="005D0E7A">
              <w:rPr>
                <w:rStyle w:val="Hyperlink"/>
              </w:rPr>
              <w:t>Stairs on ferries</w:t>
            </w:r>
            <w:r w:rsidR="0051128E">
              <w:rPr>
                <w:webHidden/>
              </w:rPr>
              <w:tab/>
            </w:r>
            <w:r w:rsidR="0051128E">
              <w:rPr>
                <w:webHidden/>
              </w:rPr>
              <w:fldChar w:fldCharType="begin"/>
            </w:r>
            <w:r w:rsidR="0051128E">
              <w:rPr>
                <w:webHidden/>
              </w:rPr>
              <w:instrText xml:space="preserve"> PAGEREF _Toc140239768 \h </w:instrText>
            </w:r>
            <w:r w:rsidR="0051128E">
              <w:rPr>
                <w:webHidden/>
              </w:rPr>
            </w:r>
            <w:r w:rsidR="0051128E">
              <w:rPr>
                <w:webHidden/>
              </w:rPr>
              <w:fldChar w:fldCharType="separate"/>
            </w:r>
            <w:r w:rsidR="0051128E">
              <w:rPr>
                <w:webHidden/>
              </w:rPr>
              <w:t>316</w:t>
            </w:r>
            <w:r w:rsidR="0051128E">
              <w:rPr>
                <w:webHidden/>
              </w:rPr>
              <w:fldChar w:fldCharType="end"/>
            </w:r>
          </w:hyperlink>
        </w:p>
        <w:p w14:paraId="4E235FBF" w14:textId="0C9CA1C1" w:rsidR="0051128E" w:rsidRDefault="001C7A9B" w:rsidP="0051128E">
          <w:pPr>
            <w:pStyle w:val="TOC2"/>
            <w:rPr>
              <w:rFonts w:eastAsiaTheme="minorEastAsia"/>
              <w:color w:val="auto"/>
              <w:kern w:val="0"/>
              <w:sz w:val="22"/>
              <w:szCs w:val="22"/>
              <w:lang w:eastAsia="en-AU"/>
            </w:rPr>
          </w:pPr>
          <w:hyperlink w:anchor="_Toc140239769" w:history="1">
            <w:r w:rsidR="0051128E" w:rsidRPr="005D0E7A">
              <w:rPr>
                <w:rStyle w:val="Hyperlink"/>
              </w:rPr>
              <w:t>59.</w:t>
            </w:r>
            <w:r w:rsidR="0051128E">
              <w:rPr>
                <w:rFonts w:eastAsiaTheme="minorEastAsia"/>
                <w:color w:val="auto"/>
                <w:kern w:val="0"/>
                <w:sz w:val="22"/>
                <w:szCs w:val="22"/>
                <w:lang w:eastAsia="en-AU"/>
              </w:rPr>
              <w:tab/>
            </w:r>
            <w:r w:rsidR="0051128E" w:rsidRPr="005D0E7A">
              <w:rPr>
                <w:rStyle w:val="Hyperlink"/>
              </w:rPr>
              <w:t>Stairs on buses</w:t>
            </w:r>
            <w:r w:rsidR="0051128E">
              <w:rPr>
                <w:webHidden/>
              </w:rPr>
              <w:tab/>
            </w:r>
            <w:r w:rsidR="0051128E">
              <w:rPr>
                <w:webHidden/>
              </w:rPr>
              <w:fldChar w:fldCharType="begin"/>
            </w:r>
            <w:r w:rsidR="0051128E">
              <w:rPr>
                <w:webHidden/>
              </w:rPr>
              <w:instrText xml:space="preserve"> PAGEREF _Toc140239769 \h </w:instrText>
            </w:r>
            <w:r w:rsidR="0051128E">
              <w:rPr>
                <w:webHidden/>
              </w:rPr>
            </w:r>
            <w:r w:rsidR="0051128E">
              <w:rPr>
                <w:webHidden/>
              </w:rPr>
              <w:fldChar w:fldCharType="separate"/>
            </w:r>
            <w:r w:rsidR="0051128E">
              <w:rPr>
                <w:webHidden/>
              </w:rPr>
              <w:t>321</w:t>
            </w:r>
            <w:r w:rsidR="0051128E">
              <w:rPr>
                <w:webHidden/>
              </w:rPr>
              <w:fldChar w:fldCharType="end"/>
            </w:r>
          </w:hyperlink>
        </w:p>
        <w:p w14:paraId="3E1D0871" w14:textId="4A3C90BF" w:rsidR="0051128E" w:rsidRDefault="001C7A9B" w:rsidP="0051128E">
          <w:pPr>
            <w:pStyle w:val="TOC2"/>
            <w:rPr>
              <w:rFonts w:eastAsiaTheme="minorEastAsia"/>
              <w:color w:val="auto"/>
              <w:kern w:val="0"/>
              <w:sz w:val="22"/>
              <w:szCs w:val="22"/>
              <w:lang w:eastAsia="en-AU"/>
            </w:rPr>
          </w:pPr>
          <w:hyperlink w:anchor="_Toc140239770" w:history="1">
            <w:r w:rsidR="0051128E" w:rsidRPr="005D0E7A">
              <w:rPr>
                <w:rStyle w:val="Hyperlink"/>
              </w:rPr>
              <w:t>60.</w:t>
            </w:r>
            <w:r w:rsidR="0051128E">
              <w:rPr>
                <w:rFonts w:eastAsiaTheme="minorEastAsia"/>
                <w:color w:val="auto"/>
                <w:kern w:val="0"/>
                <w:sz w:val="22"/>
                <w:szCs w:val="22"/>
                <w:lang w:eastAsia="en-AU"/>
              </w:rPr>
              <w:tab/>
            </w:r>
            <w:r w:rsidR="0051128E" w:rsidRPr="005D0E7A">
              <w:rPr>
                <w:rStyle w:val="Hyperlink"/>
              </w:rPr>
              <w:t>Doorway contrast and height</w:t>
            </w:r>
            <w:r w:rsidR="0051128E">
              <w:rPr>
                <w:webHidden/>
              </w:rPr>
              <w:tab/>
            </w:r>
            <w:r w:rsidR="0051128E">
              <w:rPr>
                <w:webHidden/>
              </w:rPr>
              <w:fldChar w:fldCharType="begin"/>
            </w:r>
            <w:r w:rsidR="0051128E">
              <w:rPr>
                <w:webHidden/>
              </w:rPr>
              <w:instrText xml:space="preserve"> PAGEREF _Toc140239770 \h </w:instrText>
            </w:r>
            <w:r w:rsidR="0051128E">
              <w:rPr>
                <w:webHidden/>
              </w:rPr>
            </w:r>
            <w:r w:rsidR="0051128E">
              <w:rPr>
                <w:webHidden/>
              </w:rPr>
              <w:fldChar w:fldCharType="separate"/>
            </w:r>
            <w:r w:rsidR="0051128E">
              <w:rPr>
                <w:webHidden/>
              </w:rPr>
              <w:t>326</w:t>
            </w:r>
            <w:r w:rsidR="0051128E">
              <w:rPr>
                <w:webHidden/>
              </w:rPr>
              <w:fldChar w:fldCharType="end"/>
            </w:r>
          </w:hyperlink>
        </w:p>
        <w:p w14:paraId="7AD999A9" w14:textId="635E7C1F" w:rsidR="0051128E" w:rsidRDefault="001C7A9B" w:rsidP="0051128E">
          <w:pPr>
            <w:pStyle w:val="TOC2"/>
            <w:rPr>
              <w:rFonts w:eastAsiaTheme="minorEastAsia"/>
              <w:color w:val="auto"/>
              <w:kern w:val="0"/>
              <w:sz w:val="22"/>
              <w:szCs w:val="22"/>
              <w:lang w:eastAsia="en-AU"/>
            </w:rPr>
          </w:pPr>
          <w:hyperlink w:anchor="_Toc140239771" w:history="1">
            <w:r w:rsidR="0051128E" w:rsidRPr="0051128E">
              <w:rPr>
                <w:rStyle w:val="Hyperlink"/>
                <w:b/>
              </w:rPr>
              <w:t>61.</w:t>
            </w:r>
            <w:r w:rsidR="0051128E" w:rsidRPr="0051128E">
              <w:rPr>
                <w:rFonts w:eastAsiaTheme="minorEastAsia"/>
                <w:b/>
                <w:color w:val="auto"/>
                <w:kern w:val="0"/>
                <w:sz w:val="22"/>
                <w:szCs w:val="22"/>
                <w:lang w:eastAsia="en-AU"/>
              </w:rPr>
              <w:tab/>
            </w:r>
            <w:r w:rsidR="0051128E" w:rsidRPr="0051128E">
              <w:rPr>
                <w:rStyle w:val="Hyperlink"/>
                <w:b/>
              </w:rPr>
              <w:t>Stage 1 reform areas and preferred options</w:t>
            </w:r>
            <w:r w:rsidR="0051128E">
              <w:rPr>
                <w:webHidden/>
              </w:rPr>
              <w:tab/>
            </w:r>
            <w:r w:rsidR="0051128E">
              <w:rPr>
                <w:webHidden/>
              </w:rPr>
              <w:fldChar w:fldCharType="begin"/>
            </w:r>
            <w:r w:rsidR="0051128E">
              <w:rPr>
                <w:webHidden/>
              </w:rPr>
              <w:instrText xml:space="preserve"> PAGEREF _Toc140239771 \h </w:instrText>
            </w:r>
            <w:r w:rsidR="0051128E">
              <w:rPr>
                <w:webHidden/>
              </w:rPr>
            </w:r>
            <w:r w:rsidR="0051128E">
              <w:rPr>
                <w:webHidden/>
              </w:rPr>
              <w:fldChar w:fldCharType="separate"/>
            </w:r>
            <w:r w:rsidR="0051128E">
              <w:rPr>
                <w:webHidden/>
              </w:rPr>
              <w:t>332</w:t>
            </w:r>
            <w:r w:rsidR="0051128E">
              <w:rPr>
                <w:webHidden/>
              </w:rPr>
              <w:fldChar w:fldCharType="end"/>
            </w:r>
          </w:hyperlink>
        </w:p>
        <w:p w14:paraId="3BAC0E99" w14:textId="031EACCC" w:rsidR="0051128E" w:rsidRDefault="001C7A9B" w:rsidP="0051128E">
          <w:pPr>
            <w:pStyle w:val="TOC2"/>
            <w:rPr>
              <w:rFonts w:eastAsiaTheme="minorEastAsia"/>
              <w:color w:val="auto"/>
              <w:kern w:val="0"/>
              <w:sz w:val="22"/>
              <w:szCs w:val="22"/>
              <w:lang w:eastAsia="en-AU"/>
            </w:rPr>
          </w:pPr>
          <w:hyperlink w:anchor="_Toc140239789" w:history="1">
            <w:r w:rsidR="0051128E" w:rsidRPr="0051128E">
              <w:rPr>
                <w:rStyle w:val="Hyperlink"/>
                <w:b/>
              </w:rPr>
              <w:t>62.</w:t>
            </w:r>
            <w:r w:rsidR="0051128E" w:rsidRPr="0051128E">
              <w:rPr>
                <w:rFonts w:eastAsiaTheme="minorEastAsia"/>
                <w:b/>
                <w:color w:val="auto"/>
                <w:kern w:val="0"/>
                <w:sz w:val="22"/>
                <w:szCs w:val="22"/>
                <w:lang w:eastAsia="en-AU"/>
              </w:rPr>
              <w:tab/>
            </w:r>
            <w:r w:rsidR="0051128E" w:rsidRPr="0051128E">
              <w:rPr>
                <w:rStyle w:val="Hyperlink"/>
                <w:b/>
              </w:rPr>
              <w:t>Implementation approach</w:t>
            </w:r>
            <w:r w:rsidR="0051128E">
              <w:rPr>
                <w:webHidden/>
              </w:rPr>
              <w:tab/>
            </w:r>
            <w:r w:rsidR="0051128E">
              <w:rPr>
                <w:webHidden/>
              </w:rPr>
              <w:fldChar w:fldCharType="begin"/>
            </w:r>
            <w:r w:rsidR="0051128E">
              <w:rPr>
                <w:webHidden/>
              </w:rPr>
              <w:instrText xml:space="preserve"> PAGEREF _Toc140239789 \h </w:instrText>
            </w:r>
            <w:r w:rsidR="0051128E">
              <w:rPr>
                <w:webHidden/>
              </w:rPr>
            </w:r>
            <w:r w:rsidR="0051128E">
              <w:rPr>
                <w:webHidden/>
              </w:rPr>
              <w:fldChar w:fldCharType="separate"/>
            </w:r>
            <w:r w:rsidR="0051128E">
              <w:rPr>
                <w:webHidden/>
              </w:rPr>
              <w:t>347</w:t>
            </w:r>
            <w:r w:rsidR="0051128E">
              <w:rPr>
                <w:webHidden/>
              </w:rPr>
              <w:fldChar w:fldCharType="end"/>
            </w:r>
          </w:hyperlink>
        </w:p>
        <w:p w14:paraId="52B8C6B8" w14:textId="1BF62243" w:rsidR="0051128E" w:rsidRDefault="001C7A9B" w:rsidP="0051128E">
          <w:pPr>
            <w:pStyle w:val="TOC2"/>
            <w:rPr>
              <w:rFonts w:eastAsiaTheme="minorEastAsia"/>
              <w:color w:val="auto"/>
              <w:kern w:val="0"/>
              <w:sz w:val="22"/>
              <w:szCs w:val="22"/>
              <w:lang w:eastAsia="en-AU"/>
            </w:rPr>
          </w:pPr>
          <w:hyperlink w:anchor="_Toc140239790" w:history="1">
            <w:r w:rsidR="0051128E" w:rsidRPr="0051128E">
              <w:rPr>
                <w:rStyle w:val="Hyperlink"/>
                <w:b/>
              </w:rPr>
              <w:t>63.</w:t>
            </w:r>
            <w:r w:rsidR="0051128E" w:rsidRPr="0051128E">
              <w:rPr>
                <w:rFonts w:eastAsiaTheme="minorEastAsia"/>
                <w:b/>
                <w:color w:val="auto"/>
                <w:kern w:val="0"/>
                <w:sz w:val="22"/>
                <w:szCs w:val="22"/>
                <w:lang w:eastAsia="en-AU"/>
              </w:rPr>
              <w:tab/>
            </w:r>
            <w:r w:rsidR="0051128E" w:rsidRPr="0051128E">
              <w:rPr>
                <w:rStyle w:val="Hyperlink"/>
                <w:b/>
              </w:rPr>
              <w:t>Evaluation</w:t>
            </w:r>
            <w:r w:rsidR="0051128E">
              <w:rPr>
                <w:webHidden/>
              </w:rPr>
              <w:tab/>
            </w:r>
            <w:r w:rsidR="0051128E">
              <w:rPr>
                <w:webHidden/>
              </w:rPr>
              <w:fldChar w:fldCharType="begin"/>
            </w:r>
            <w:r w:rsidR="0051128E">
              <w:rPr>
                <w:webHidden/>
              </w:rPr>
              <w:instrText xml:space="preserve"> PAGEREF _Toc140239790 \h </w:instrText>
            </w:r>
            <w:r w:rsidR="0051128E">
              <w:rPr>
                <w:webHidden/>
              </w:rPr>
            </w:r>
            <w:r w:rsidR="0051128E">
              <w:rPr>
                <w:webHidden/>
              </w:rPr>
              <w:fldChar w:fldCharType="separate"/>
            </w:r>
            <w:r w:rsidR="0051128E">
              <w:rPr>
                <w:webHidden/>
              </w:rPr>
              <w:t>359</w:t>
            </w:r>
            <w:r w:rsidR="0051128E">
              <w:rPr>
                <w:webHidden/>
              </w:rPr>
              <w:fldChar w:fldCharType="end"/>
            </w:r>
          </w:hyperlink>
        </w:p>
        <w:p w14:paraId="15AC5118" w14:textId="541CED00" w:rsidR="0051128E" w:rsidRDefault="001C7A9B" w:rsidP="0051128E">
          <w:pPr>
            <w:pStyle w:val="TOC2"/>
            <w:rPr>
              <w:rFonts w:eastAsiaTheme="minorEastAsia"/>
              <w:color w:val="auto"/>
              <w:kern w:val="0"/>
              <w:sz w:val="22"/>
              <w:szCs w:val="22"/>
              <w:lang w:eastAsia="en-AU"/>
            </w:rPr>
          </w:pPr>
          <w:hyperlink w:anchor="_Toc140239791" w:history="1">
            <w:r w:rsidR="0051128E" w:rsidRPr="0051128E">
              <w:rPr>
                <w:rStyle w:val="Hyperlink"/>
                <w:b/>
              </w:rPr>
              <w:t>Appendix A—Detailed reform options</w:t>
            </w:r>
            <w:r w:rsidR="0051128E">
              <w:rPr>
                <w:webHidden/>
              </w:rPr>
              <w:tab/>
            </w:r>
            <w:r w:rsidR="0051128E">
              <w:rPr>
                <w:webHidden/>
              </w:rPr>
              <w:fldChar w:fldCharType="begin"/>
            </w:r>
            <w:r w:rsidR="0051128E">
              <w:rPr>
                <w:webHidden/>
              </w:rPr>
              <w:instrText xml:space="preserve"> PAGEREF _Toc140239791 \h </w:instrText>
            </w:r>
            <w:r w:rsidR="0051128E">
              <w:rPr>
                <w:webHidden/>
              </w:rPr>
            </w:r>
            <w:r w:rsidR="0051128E">
              <w:rPr>
                <w:webHidden/>
              </w:rPr>
              <w:fldChar w:fldCharType="separate"/>
            </w:r>
            <w:r w:rsidR="0051128E">
              <w:rPr>
                <w:webHidden/>
              </w:rPr>
              <w:t>360</w:t>
            </w:r>
            <w:r w:rsidR="0051128E">
              <w:rPr>
                <w:webHidden/>
              </w:rPr>
              <w:fldChar w:fldCharType="end"/>
            </w:r>
          </w:hyperlink>
        </w:p>
        <w:p w14:paraId="0EAFCDCE" w14:textId="3736C870" w:rsidR="0051128E" w:rsidRDefault="001C7A9B">
          <w:pPr>
            <w:pStyle w:val="TOC3"/>
            <w:tabs>
              <w:tab w:val="left" w:pos="1134"/>
            </w:tabs>
            <w:rPr>
              <w:rFonts w:eastAsiaTheme="minorEastAsia"/>
              <w:noProof/>
              <w:color w:val="auto"/>
              <w:kern w:val="0"/>
              <w:sz w:val="22"/>
              <w:szCs w:val="22"/>
              <w:lang w:eastAsia="en-AU"/>
            </w:rPr>
          </w:pPr>
          <w:hyperlink w:anchor="_Toc140239792" w:history="1">
            <w:r w:rsidR="0051128E" w:rsidRPr="005D0E7A">
              <w:rPr>
                <w:rStyle w:val="Hyperlink"/>
                <w:noProof/>
              </w:rPr>
              <w:t>1.</w:t>
            </w:r>
            <w:r w:rsidR="0051128E">
              <w:rPr>
                <w:rFonts w:eastAsiaTheme="minorEastAsia"/>
                <w:noProof/>
                <w:color w:val="auto"/>
                <w:kern w:val="0"/>
                <w:sz w:val="22"/>
                <w:szCs w:val="22"/>
                <w:lang w:eastAsia="en-AU"/>
              </w:rPr>
              <w:tab/>
            </w:r>
            <w:r w:rsidR="0051128E" w:rsidRPr="005D0E7A">
              <w:rPr>
                <w:rStyle w:val="Hyperlink"/>
                <w:noProof/>
              </w:rPr>
              <w:t>Reporting</w:t>
            </w:r>
            <w:r w:rsidR="0051128E">
              <w:rPr>
                <w:noProof/>
                <w:webHidden/>
              </w:rPr>
              <w:tab/>
            </w:r>
            <w:r w:rsidR="0051128E">
              <w:rPr>
                <w:noProof/>
                <w:webHidden/>
              </w:rPr>
              <w:fldChar w:fldCharType="begin"/>
            </w:r>
            <w:r w:rsidR="0051128E">
              <w:rPr>
                <w:noProof/>
                <w:webHidden/>
              </w:rPr>
              <w:instrText xml:space="preserve"> PAGEREF _Toc140239792 \h </w:instrText>
            </w:r>
            <w:r w:rsidR="0051128E">
              <w:rPr>
                <w:noProof/>
                <w:webHidden/>
              </w:rPr>
            </w:r>
            <w:r w:rsidR="0051128E">
              <w:rPr>
                <w:noProof/>
                <w:webHidden/>
              </w:rPr>
              <w:fldChar w:fldCharType="separate"/>
            </w:r>
            <w:r w:rsidR="0051128E">
              <w:rPr>
                <w:noProof/>
                <w:webHidden/>
              </w:rPr>
              <w:t>360</w:t>
            </w:r>
            <w:r w:rsidR="0051128E">
              <w:rPr>
                <w:noProof/>
                <w:webHidden/>
              </w:rPr>
              <w:fldChar w:fldCharType="end"/>
            </w:r>
          </w:hyperlink>
        </w:p>
        <w:p w14:paraId="09770146" w14:textId="69537284" w:rsidR="0051128E" w:rsidRDefault="001C7A9B">
          <w:pPr>
            <w:pStyle w:val="TOC3"/>
            <w:tabs>
              <w:tab w:val="left" w:pos="1134"/>
            </w:tabs>
            <w:rPr>
              <w:rFonts w:eastAsiaTheme="minorEastAsia"/>
              <w:noProof/>
              <w:color w:val="auto"/>
              <w:kern w:val="0"/>
              <w:sz w:val="22"/>
              <w:szCs w:val="22"/>
              <w:lang w:eastAsia="en-AU"/>
            </w:rPr>
          </w:pPr>
          <w:hyperlink w:anchor="_Toc140239793" w:history="1">
            <w:r w:rsidR="0051128E" w:rsidRPr="005D0E7A">
              <w:rPr>
                <w:rStyle w:val="Hyperlink"/>
                <w:noProof/>
              </w:rPr>
              <w:t>2.</w:t>
            </w:r>
            <w:r w:rsidR="0051128E">
              <w:rPr>
                <w:rFonts w:eastAsiaTheme="minorEastAsia"/>
                <w:noProof/>
                <w:color w:val="auto"/>
                <w:kern w:val="0"/>
                <w:sz w:val="22"/>
                <w:szCs w:val="22"/>
                <w:lang w:eastAsia="en-AU"/>
              </w:rPr>
              <w:tab/>
            </w:r>
            <w:r w:rsidR="0051128E" w:rsidRPr="005D0E7A">
              <w:rPr>
                <w:rStyle w:val="Hyperlink"/>
                <w:noProof/>
              </w:rPr>
              <w:t>Equivalent access</w:t>
            </w:r>
            <w:r w:rsidR="0051128E">
              <w:rPr>
                <w:noProof/>
                <w:webHidden/>
              </w:rPr>
              <w:tab/>
            </w:r>
            <w:r w:rsidR="0051128E">
              <w:rPr>
                <w:noProof/>
                <w:webHidden/>
              </w:rPr>
              <w:fldChar w:fldCharType="begin"/>
            </w:r>
            <w:r w:rsidR="0051128E">
              <w:rPr>
                <w:noProof/>
                <w:webHidden/>
              </w:rPr>
              <w:instrText xml:space="preserve"> PAGEREF _Toc140239793 \h </w:instrText>
            </w:r>
            <w:r w:rsidR="0051128E">
              <w:rPr>
                <w:noProof/>
                <w:webHidden/>
              </w:rPr>
            </w:r>
            <w:r w:rsidR="0051128E">
              <w:rPr>
                <w:noProof/>
                <w:webHidden/>
              </w:rPr>
              <w:fldChar w:fldCharType="separate"/>
            </w:r>
            <w:r w:rsidR="0051128E">
              <w:rPr>
                <w:noProof/>
                <w:webHidden/>
              </w:rPr>
              <w:t>363</w:t>
            </w:r>
            <w:r w:rsidR="0051128E">
              <w:rPr>
                <w:noProof/>
                <w:webHidden/>
              </w:rPr>
              <w:fldChar w:fldCharType="end"/>
            </w:r>
          </w:hyperlink>
        </w:p>
        <w:p w14:paraId="35789F11" w14:textId="589E64D4" w:rsidR="0051128E" w:rsidRDefault="001C7A9B">
          <w:pPr>
            <w:pStyle w:val="TOC3"/>
            <w:tabs>
              <w:tab w:val="left" w:pos="1134"/>
            </w:tabs>
            <w:rPr>
              <w:rFonts w:eastAsiaTheme="minorEastAsia"/>
              <w:noProof/>
              <w:color w:val="auto"/>
              <w:kern w:val="0"/>
              <w:sz w:val="22"/>
              <w:szCs w:val="22"/>
              <w:lang w:eastAsia="en-AU"/>
            </w:rPr>
          </w:pPr>
          <w:hyperlink w:anchor="_Toc140239794" w:history="1">
            <w:r w:rsidR="0051128E" w:rsidRPr="005D0E7A">
              <w:rPr>
                <w:rStyle w:val="Hyperlink"/>
                <w:noProof/>
              </w:rPr>
              <w:t>3.</w:t>
            </w:r>
            <w:r w:rsidR="0051128E">
              <w:rPr>
                <w:rFonts w:eastAsiaTheme="minorEastAsia"/>
                <w:noProof/>
                <w:color w:val="auto"/>
                <w:kern w:val="0"/>
                <w:sz w:val="22"/>
                <w:szCs w:val="22"/>
                <w:lang w:eastAsia="en-AU"/>
              </w:rPr>
              <w:tab/>
            </w:r>
            <w:r w:rsidR="0051128E" w:rsidRPr="005D0E7A">
              <w:rPr>
                <w:rStyle w:val="Hyperlink"/>
                <w:noProof/>
              </w:rPr>
              <w:t>Rideshare</w:t>
            </w:r>
            <w:r w:rsidR="0051128E">
              <w:rPr>
                <w:noProof/>
                <w:webHidden/>
              </w:rPr>
              <w:tab/>
            </w:r>
            <w:r w:rsidR="0051128E">
              <w:rPr>
                <w:noProof/>
                <w:webHidden/>
              </w:rPr>
              <w:fldChar w:fldCharType="begin"/>
            </w:r>
            <w:r w:rsidR="0051128E">
              <w:rPr>
                <w:noProof/>
                <w:webHidden/>
              </w:rPr>
              <w:instrText xml:space="preserve"> PAGEREF _Toc140239794 \h </w:instrText>
            </w:r>
            <w:r w:rsidR="0051128E">
              <w:rPr>
                <w:noProof/>
                <w:webHidden/>
              </w:rPr>
            </w:r>
            <w:r w:rsidR="0051128E">
              <w:rPr>
                <w:noProof/>
                <w:webHidden/>
              </w:rPr>
              <w:fldChar w:fldCharType="separate"/>
            </w:r>
            <w:r w:rsidR="0051128E">
              <w:rPr>
                <w:noProof/>
                <w:webHidden/>
              </w:rPr>
              <w:t>365</w:t>
            </w:r>
            <w:r w:rsidR="0051128E">
              <w:rPr>
                <w:noProof/>
                <w:webHidden/>
              </w:rPr>
              <w:fldChar w:fldCharType="end"/>
            </w:r>
          </w:hyperlink>
        </w:p>
        <w:p w14:paraId="6F7B1156" w14:textId="7A006734" w:rsidR="0051128E" w:rsidRDefault="001C7A9B">
          <w:pPr>
            <w:pStyle w:val="TOC3"/>
            <w:tabs>
              <w:tab w:val="left" w:pos="1134"/>
            </w:tabs>
            <w:rPr>
              <w:rFonts w:eastAsiaTheme="minorEastAsia"/>
              <w:noProof/>
              <w:color w:val="auto"/>
              <w:kern w:val="0"/>
              <w:sz w:val="22"/>
              <w:szCs w:val="22"/>
              <w:lang w:eastAsia="en-AU"/>
            </w:rPr>
          </w:pPr>
          <w:hyperlink w:anchor="_Toc140239795" w:history="1">
            <w:r w:rsidR="0051128E" w:rsidRPr="005D0E7A">
              <w:rPr>
                <w:rStyle w:val="Hyperlink"/>
                <w:noProof/>
              </w:rPr>
              <w:t>4.</w:t>
            </w:r>
            <w:r w:rsidR="0051128E">
              <w:rPr>
                <w:rFonts w:eastAsiaTheme="minorEastAsia"/>
                <w:noProof/>
                <w:color w:val="auto"/>
                <w:kern w:val="0"/>
                <w:sz w:val="22"/>
                <w:szCs w:val="22"/>
                <w:lang w:eastAsia="en-AU"/>
              </w:rPr>
              <w:tab/>
            </w:r>
            <w:r w:rsidR="0051128E" w:rsidRPr="005D0E7A">
              <w:rPr>
                <w:rStyle w:val="Hyperlink"/>
                <w:noProof/>
              </w:rPr>
              <w:t>Dedicated school buses</w:t>
            </w:r>
            <w:r w:rsidR="0051128E">
              <w:rPr>
                <w:noProof/>
                <w:webHidden/>
              </w:rPr>
              <w:tab/>
            </w:r>
            <w:r w:rsidR="0051128E">
              <w:rPr>
                <w:noProof/>
                <w:webHidden/>
              </w:rPr>
              <w:fldChar w:fldCharType="begin"/>
            </w:r>
            <w:r w:rsidR="0051128E">
              <w:rPr>
                <w:noProof/>
                <w:webHidden/>
              </w:rPr>
              <w:instrText xml:space="preserve"> PAGEREF _Toc140239795 \h </w:instrText>
            </w:r>
            <w:r w:rsidR="0051128E">
              <w:rPr>
                <w:noProof/>
                <w:webHidden/>
              </w:rPr>
            </w:r>
            <w:r w:rsidR="0051128E">
              <w:rPr>
                <w:noProof/>
                <w:webHidden/>
              </w:rPr>
              <w:fldChar w:fldCharType="separate"/>
            </w:r>
            <w:r w:rsidR="0051128E">
              <w:rPr>
                <w:noProof/>
                <w:webHidden/>
              </w:rPr>
              <w:t>367</w:t>
            </w:r>
            <w:r w:rsidR="0051128E">
              <w:rPr>
                <w:noProof/>
                <w:webHidden/>
              </w:rPr>
              <w:fldChar w:fldCharType="end"/>
            </w:r>
          </w:hyperlink>
        </w:p>
        <w:p w14:paraId="5F54F8FE" w14:textId="27BF1ABD" w:rsidR="0051128E" w:rsidRDefault="001C7A9B">
          <w:pPr>
            <w:pStyle w:val="TOC3"/>
            <w:tabs>
              <w:tab w:val="left" w:pos="1134"/>
            </w:tabs>
            <w:rPr>
              <w:rFonts w:eastAsiaTheme="minorEastAsia"/>
              <w:noProof/>
              <w:color w:val="auto"/>
              <w:kern w:val="0"/>
              <w:sz w:val="22"/>
              <w:szCs w:val="22"/>
              <w:lang w:eastAsia="en-AU"/>
            </w:rPr>
          </w:pPr>
          <w:hyperlink w:anchor="_Toc140239796" w:history="1">
            <w:r w:rsidR="0051128E" w:rsidRPr="005D0E7A">
              <w:rPr>
                <w:rStyle w:val="Hyperlink"/>
                <w:noProof/>
              </w:rPr>
              <w:t>5.</w:t>
            </w:r>
            <w:r w:rsidR="0051128E">
              <w:rPr>
                <w:rFonts w:eastAsiaTheme="minorEastAsia"/>
                <w:noProof/>
                <w:color w:val="auto"/>
                <w:kern w:val="0"/>
                <w:sz w:val="22"/>
                <w:szCs w:val="22"/>
                <w:lang w:eastAsia="en-AU"/>
              </w:rPr>
              <w:tab/>
            </w:r>
            <w:r w:rsidR="0051128E" w:rsidRPr="005D0E7A">
              <w:rPr>
                <w:rStyle w:val="Hyperlink"/>
                <w:noProof/>
              </w:rPr>
              <w:t>Better communication of accessibility features</w:t>
            </w:r>
            <w:r w:rsidR="0051128E">
              <w:rPr>
                <w:noProof/>
                <w:webHidden/>
              </w:rPr>
              <w:tab/>
            </w:r>
            <w:r w:rsidR="0051128E">
              <w:rPr>
                <w:noProof/>
                <w:webHidden/>
              </w:rPr>
              <w:fldChar w:fldCharType="begin"/>
            </w:r>
            <w:r w:rsidR="0051128E">
              <w:rPr>
                <w:noProof/>
                <w:webHidden/>
              </w:rPr>
              <w:instrText xml:space="preserve"> PAGEREF _Toc140239796 \h </w:instrText>
            </w:r>
            <w:r w:rsidR="0051128E">
              <w:rPr>
                <w:noProof/>
                <w:webHidden/>
              </w:rPr>
            </w:r>
            <w:r w:rsidR="0051128E">
              <w:rPr>
                <w:noProof/>
                <w:webHidden/>
              </w:rPr>
              <w:fldChar w:fldCharType="separate"/>
            </w:r>
            <w:r w:rsidR="0051128E">
              <w:rPr>
                <w:noProof/>
                <w:webHidden/>
              </w:rPr>
              <w:t>371</w:t>
            </w:r>
            <w:r w:rsidR="0051128E">
              <w:rPr>
                <w:noProof/>
                <w:webHidden/>
              </w:rPr>
              <w:fldChar w:fldCharType="end"/>
            </w:r>
          </w:hyperlink>
        </w:p>
        <w:p w14:paraId="59E0FFB7" w14:textId="2B8EEF2A" w:rsidR="0051128E" w:rsidRDefault="001C7A9B">
          <w:pPr>
            <w:pStyle w:val="TOC3"/>
            <w:tabs>
              <w:tab w:val="left" w:pos="1134"/>
            </w:tabs>
            <w:rPr>
              <w:rFonts w:eastAsiaTheme="minorEastAsia"/>
              <w:noProof/>
              <w:color w:val="auto"/>
              <w:kern w:val="0"/>
              <w:sz w:val="22"/>
              <w:szCs w:val="22"/>
              <w:lang w:eastAsia="en-AU"/>
            </w:rPr>
          </w:pPr>
          <w:hyperlink w:anchor="_Toc140239797" w:history="1">
            <w:r w:rsidR="0051128E" w:rsidRPr="005D0E7A">
              <w:rPr>
                <w:rStyle w:val="Hyperlink"/>
                <w:noProof/>
              </w:rPr>
              <w:t>6.</w:t>
            </w:r>
            <w:r w:rsidR="0051128E">
              <w:rPr>
                <w:rFonts w:eastAsiaTheme="minorEastAsia"/>
                <w:noProof/>
                <w:color w:val="auto"/>
                <w:kern w:val="0"/>
                <w:sz w:val="22"/>
                <w:szCs w:val="22"/>
                <w:lang w:eastAsia="en-AU"/>
              </w:rPr>
              <w:tab/>
            </w:r>
            <w:r w:rsidR="0051128E" w:rsidRPr="005D0E7A">
              <w:rPr>
                <w:rStyle w:val="Hyperlink"/>
                <w:noProof/>
              </w:rPr>
              <w:t>Timely provision of information</w:t>
            </w:r>
            <w:r w:rsidR="0051128E">
              <w:rPr>
                <w:noProof/>
                <w:webHidden/>
              </w:rPr>
              <w:tab/>
            </w:r>
            <w:r w:rsidR="0051128E">
              <w:rPr>
                <w:noProof/>
                <w:webHidden/>
              </w:rPr>
              <w:fldChar w:fldCharType="begin"/>
            </w:r>
            <w:r w:rsidR="0051128E">
              <w:rPr>
                <w:noProof/>
                <w:webHidden/>
              </w:rPr>
              <w:instrText xml:space="preserve"> PAGEREF _Toc140239797 \h </w:instrText>
            </w:r>
            <w:r w:rsidR="0051128E">
              <w:rPr>
                <w:noProof/>
                <w:webHidden/>
              </w:rPr>
            </w:r>
            <w:r w:rsidR="0051128E">
              <w:rPr>
                <w:noProof/>
                <w:webHidden/>
              </w:rPr>
              <w:fldChar w:fldCharType="separate"/>
            </w:r>
            <w:r w:rsidR="0051128E">
              <w:rPr>
                <w:noProof/>
                <w:webHidden/>
              </w:rPr>
              <w:t>373</w:t>
            </w:r>
            <w:r w:rsidR="0051128E">
              <w:rPr>
                <w:noProof/>
                <w:webHidden/>
              </w:rPr>
              <w:fldChar w:fldCharType="end"/>
            </w:r>
          </w:hyperlink>
        </w:p>
        <w:p w14:paraId="27BEE859" w14:textId="22B5D52E" w:rsidR="0051128E" w:rsidRDefault="001C7A9B">
          <w:pPr>
            <w:pStyle w:val="TOC3"/>
            <w:tabs>
              <w:tab w:val="left" w:pos="1134"/>
            </w:tabs>
            <w:rPr>
              <w:rFonts w:eastAsiaTheme="minorEastAsia"/>
              <w:noProof/>
              <w:color w:val="auto"/>
              <w:kern w:val="0"/>
              <w:sz w:val="22"/>
              <w:szCs w:val="22"/>
              <w:lang w:eastAsia="en-AU"/>
            </w:rPr>
          </w:pPr>
          <w:hyperlink w:anchor="_Toc140239798" w:history="1">
            <w:r w:rsidR="0051128E" w:rsidRPr="005D0E7A">
              <w:rPr>
                <w:rStyle w:val="Hyperlink"/>
                <w:noProof/>
              </w:rPr>
              <w:t>7.</w:t>
            </w:r>
            <w:r w:rsidR="0051128E">
              <w:rPr>
                <w:rFonts w:eastAsiaTheme="minorEastAsia"/>
                <w:noProof/>
                <w:color w:val="auto"/>
                <w:kern w:val="0"/>
                <w:sz w:val="22"/>
                <w:szCs w:val="22"/>
                <w:lang w:eastAsia="en-AU"/>
              </w:rPr>
              <w:tab/>
            </w:r>
            <w:r w:rsidR="0051128E" w:rsidRPr="005D0E7A">
              <w:rPr>
                <w:rStyle w:val="Hyperlink"/>
                <w:noProof/>
              </w:rPr>
              <w:t>Real time communication</w:t>
            </w:r>
            <w:r w:rsidR="0051128E">
              <w:rPr>
                <w:noProof/>
                <w:webHidden/>
              </w:rPr>
              <w:tab/>
            </w:r>
            <w:r w:rsidR="0051128E">
              <w:rPr>
                <w:noProof/>
                <w:webHidden/>
              </w:rPr>
              <w:fldChar w:fldCharType="begin"/>
            </w:r>
            <w:r w:rsidR="0051128E">
              <w:rPr>
                <w:noProof/>
                <w:webHidden/>
              </w:rPr>
              <w:instrText xml:space="preserve"> PAGEREF _Toc140239798 \h </w:instrText>
            </w:r>
            <w:r w:rsidR="0051128E">
              <w:rPr>
                <w:noProof/>
                <w:webHidden/>
              </w:rPr>
            </w:r>
            <w:r w:rsidR="0051128E">
              <w:rPr>
                <w:noProof/>
                <w:webHidden/>
              </w:rPr>
              <w:fldChar w:fldCharType="separate"/>
            </w:r>
            <w:r w:rsidR="0051128E">
              <w:rPr>
                <w:noProof/>
                <w:webHidden/>
              </w:rPr>
              <w:t>374</w:t>
            </w:r>
            <w:r w:rsidR="0051128E">
              <w:rPr>
                <w:noProof/>
                <w:webHidden/>
              </w:rPr>
              <w:fldChar w:fldCharType="end"/>
            </w:r>
          </w:hyperlink>
        </w:p>
        <w:p w14:paraId="61E46224" w14:textId="424398FB" w:rsidR="0051128E" w:rsidRDefault="001C7A9B">
          <w:pPr>
            <w:pStyle w:val="TOC3"/>
            <w:tabs>
              <w:tab w:val="left" w:pos="1134"/>
            </w:tabs>
            <w:rPr>
              <w:rFonts w:eastAsiaTheme="minorEastAsia"/>
              <w:noProof/>
              <w:color w:val="auto"/>
              <w:kern w:val="0"/>
              <w:sz w:val="22"/>
              <w:szCs w:val="22"/>
              <w:lang w:eastAsia="en-AU"/>
            </w:rPr>
          </w:pPr>
          <w:hyperlink w:anchor="_Toc140239799" w:history="1">
            <w:r w:rsidR="0051128E" w:rsidRPr="005D0E7A">
              <w:rPr>
                <w:rStyle w:val="Hyperlink"/>
                <w:noProof/>
              </w:rPr>
              <w:t>8.</w:t>
            </w:r>
            <w:r w:rsidR="0051128E">
              <w:rPr>
                <w:rFonts w:eastAsiaTheme="minorEastAsia"/>
                <w:noProof/>
                <w:color w:val="auto"/>
                <w:kern w:val="0"/>
                <w:sz w:val="22"/>
                <w:szCs w:val="22"/>
                <w:lang w:eastAsia="en-AU"/>
              </w:rPr>
              <w:tab/>
            </w:r>
            <w:r w:rsidR="0051128E" w:rsidRPr="005D0E7A">
              <w:rPr>
                <w:rStyle w:val="Hyperlink"/>
                <w:noProof/>
              </w:rPr>
              <w:t>Passenger location during journey</w:t>
            </w:r>
            <w:r w:rsidR="0051128E">
              <w:rPr>
                <w:noProof/>
                <w:webHidden/>
              </w:rPr>
              <w:tab/>
            </w:r>
            <w:r w:rsidR="0051128E">
              <w:rPr>
                <w:noProof/>
                <w:webHidden/>
              </w:rPr>
              <w:fldChar w:fldCharType="begin"/>
            </w:r>
            <w:r w:rsidR="0051128E">
              <w:rPr>
                <w:noProof/>
                <w:webHidden/>
              </w:rPr>
              <w:instrText xml:space="preserve"> PAGEREF _Toc140239799 \h </w:instrText>
            </w:r>
            <w:r w:rsidR="0051128E">
              <w:rPr>
                <w:noProof/>
                <w:webHidden/>
              </w:rPr>
            </w:r>
            <w:r w:rsidR="0051128E">
              <w:rPr>
                <w:noProof/>
                <w:webHidden/>
              </w:rPr>
              <w:fldChar w:fldCharType="separate"/>
            </w:r>
            <w:r w:rsidR="0051128E">
              <w:rPr>
                <w:noProof/>
                <w:webHidden/>
              </w:rPr>
              <w:t>376</w:t>
            </w:r>
            <w:r w:rsidR="0051128E">
              <w:rPr>
                <w:noProof/>
                <w:webHidden/>
              </w:rPr>
              <w:fldChar w:fldCharType="end"/>
            </w:r>
          </w:hyperlink>
        </w:p>
        <w:p w14:paraId="1195E7AE" w14:textId="7722B982" w:rsidR="0051128E" w:rsidRDefault="001C7A9B">
          <w:pPr>
            <w:pStyle w:val="TOC3"/>
            <w:tabs>
              <w:tab w:val="left" w:pos="1134"/>
            </w:tabs>
            <w:rPr>
              <w:rFonts w:eastAsiaTheme="minorEastAsia"/>
              <w:noProof/>
              <w:color w:val="auto"/>
              <w:kern w:val="0"/>
              <w:sz w:val="22"/>
              <w:szCs w:val="22"/>
              <w:lang w:eastAsia="en-AU"/>
            </w:rPr>
          </w:pPr>
          <w:hyperlink w:anchor="_Toc140239800" w:history="1">
            <w:r w:rsidR="0051128E" w:rsidRPr="005D0E7A">
              <w:rPr>
                <w:rStyle w:val="Hyperlink"/>
                <w:noProof/>
              </w:rPr>
              <w:t>9.</w:t>
            </w:r>
            <w:r w:rsidR="0051128E">
              <w:rPr>
                <w:rFonts w:eastAsiaTheme="minorEastAsia"/>
                <w:noProof/>
                <w:color w:val="auto"/>
                <w:kern w:val="0"/>
                <w:sz w:val="22"/>
                <w:szCs w:val="22"/>
                <w:lang w:eastAsia="en-AU"/>
              </w:rPr>
              <w:tab/>
            </w:r>
            <w:r w:rsidR="0051128E" w:rsidRPr="005D0E7A">
              <w:rPr>
                <w:rStyle w:val="Hyperlink"/>
                <w:noProof/>
              </w:rPr>
              <w:t>Hearing augmentation on conveyances</w:t>
            </w:r>
            <w:r w:rsidR="0051128E">
              <w:rPr>
                <w:noProof/>
                <w:webHidden/>
              </w:rPr>
              <w:tab/>
            </w:r>
            <w:r w:rsidR="0051128E">
              <w:rPr>
                <w:noProof/>
                <w:webHidden/>
              </w:rPr>
              <w:fldChar w:fldCharType="begin"/>
            </w:r>
            <w:r w:rsidR="0051128E">
              <w:rPr>
                <w:noProof/>
                <w:webHidden/>
              </w:rPr>
              <w:instrText xml:space="preserve"> PAGEREF _Toc140239800 \h </w:instrText>
            </w:r>
            <w:r w:rsidR="0051128E">
              <w:rPr>
                <w:noProof/>
                <w:webHidden/>
              </w:rPr>
            </w:r>
            <w:r w:rsidR="0051128E">
              <w:rPr>
                <w:noProof/>
                <w:webHidden/>
              </w:rPr>
              <w:fldChar w:fldCharType="separate"/>
            </w:r>
            <w:r w:rsidR="0051128E">
              <w:rPr>
                <w:noProof/>
                <w:webHidden/>
              </w:rPr>
              <w:t>376</w:t>
            </w:r>
            <w:r w:rsidR="0051128E">
              <w:rPr>
                <w:noProof/>
                <w:webHidden/>
              </w:rPr>
              <w:fldChar w:fldCharType="end"/>
            </w:r>
          </w:hyperlink>
        </w:p>
        <w:p w14:paraId="3EE5C791" w14:textId="7AE7B223" w:rsidR="0051128E" w:rsidRDefault="001C7A9B">
          <w:pPr>
            <w:pStyle w:val="TOC3"/>
            <w:tabs>
              <w:tab w:val="left" w:pos="1134"/>
            </w:tabs>
            <w:rPr>
              <w:rFonts w:eastAsiaTheme="minorEastAsia"/>
              <w:noProof/>
              <w:color w:val="auto"/>
              <w:kern w:val="0"/>
              <w:sz w:val="22"/>
              <w:szCs w:val="22"/>
              <w:lang w:eastAsia="en-AU"/>
            </w:rPr>
          </w:pPr>
          <w:hyperlink w:anchor="_Toc140239801" w:history="1">
            <w:r w:rsidR="0051128E" w:rsidRPr="005D0E7A">
              <w:rPr>
                <w:rStyle w:val="Hyperlink"/>
                <w:noProof/>
              </w:rPr>
              <w:t>10.</w:t>
            </w:r>
            <w:r w:rsidR="0051128E">
              <w:rPr>
                <w:rFonts w:eastAsiaTheme="minorEastAsia"/>
                <w:noProof/>
                <w:color w:val="auto"/>
                <w:kern w:val="0"/>
                <w:sz w:val="22"/>
                <w:szCs w:val="22"/>
                <w:lang w:eastAsia="en-AU"/>
              </w:rPr>
              <w:tab/>
            </w:r>
            <w:r w:rsidR="0051128E" w:rsidRPr="005D0E7A">
              <w:rPr>
                <w:rStyle w:val="Hyperlink"/>
                <w:noProof/>
              </w:rPr>
              <w:t>Hearing augmentation: infrastructure and premises</w:t>
            </w:r>
            <w:r w:rsidR="0051128E">
              <w:rPr>
                <w:noProof/>
                <w:webHidden/>
              </w:rPr>
              <w:tab/>
            </w:r>
            <w:r w:rsidR="0051128E">
              <w:rPr>
                <w:noProof/>
                <w:webHidden/>
              </w:rPr>
              <w:fldChar w:fldCharType="begin"/>
            </w:r>
            <w:r w:rsidR="0051128E">
              <w:rPr>
                <w:noProof/>
                <w:webHidden/>
              </w:rPr>
              <w:instrText xml:space="preserve"> PAGEREF _Toc140239801 \h </w:instrText>
            </w:r>
            <w:r w:rsidR="0051128E">
              <w:rPr>
                <w:noProof/>
                <w:webHidden/>
              </w:rPr>
            </w:r>
            <w:r w:rsidR="0051128E">
              <w:rPr>
                <w:noProof/>
                <w:webHidden/>
              </w:rPr>
              <w:fldChar w:fldCharType="separate"/>
            </w:r>
            <w:r w:rsidR="0051128E">
              <w:rPr>
                <w:noProof/>
                <w:webHidden/>
              </w:rPr>
              <w:t>379</w:t>
            </w:r>
            <w:r w:rsidR="0051128E">
              <w:rPr>
                <w:noProof/>
                <w:webHidden/>
              </w:rPr>
              <w:fldChar w:fldCharType="end"/>
            </w:r>
          </w:hyperlink>
        </w:p>
        <w:p w14:paraId="1025D8D9" w14:textId="41BD588F" w:rsidR="0051128E" w:rsidRDefault="001C7A9B">
          <w:pPr>
            <w:pStyle w:val="TOC3"/>
            <w:tabs>
              <w:tab w:val="left" w:pos="1134"/>
            </w:tabs>
            <w:rPr>
              <w:rFonts w:eastAsiaTheme="minorEastAsia"/>
              <w:noProof/>
              <w:color w:val="auto"/>
              <w:kern w:val="0"/>
              <w:sz w:val="22"/>
              <w:szCs w:val="22"/>
              <w:lang w:eastAsia="en-AU"/>
            </w:rPr>
          </w:pPr>
          <w:hyperlink w:anchor="_Toc140239802" w:history="1">
            <w:r w:rsidR="0051128E" w:rsidRPr="005D0E7A">
              <w:rPr>
                <w:rStyle w:val="Hyperlink"/>
                <w:noProof/>
              </w:rPr>
              <w:t>11.</w:t>
            </w:r>
            <w:r w:rsidR="0051128E">
              <w:rPr>
                <w:rFonts w:eastAsiaTheme="minorEastAsia"/>
                <w:noProof/>
                <w:color w:val="auto"/>
                <w:kern w:val="0"/>
                <w:sz w:val="22"/>
                <w:szCs w:val="22"/>
                <w:lang w:eastAsia="en-AU"/>
              </w:rPr>
              <w:tab/>
            </w:r>
            <w:r w:rsidR="0051128E" w:rsidRPr="005D0E7A">
              <w:rPr>
                <w:rStyle w:val="Hyperlink"/>
                <w:noProof/>
              </w:rPr>
              <w:t>Print size and format</w:t>
            </w:r>
            <w:r w:rsidR="0051128E">
              <w:rPr>
                <w:noProof/>
                <w:webHidden/>
              </w:rPr>
              <w:tab/>
            </w:r>
            <w:r w:rsidR="0051128E">
              <w:rPr>
                <w:noProof/>
                <w:webHidden/>
              </w:rPr>
              <w:fldChar w:fldCharType="begin"/>
            </w:r>
            <w:r w:rsidR="0051128E">
              <w:rPr>
                <w:noProof/>
                <w:webHidden/>
              </w:rPr>
              <w:instrText xml:space="preserve"> PAGEREF _Toc140239802 \h </w:instrText>
            </w:r>
            <w:r w:rsidR="0051128E">
              <w:rPr>
                <w:noProof/>
                <w:webHidden/>
              </w:rPr>
            </w:r>
            <w:r w:rsidR="0051128E">
              <w:rPr>
                <w:noProof/>
                <w:webHidden/>
              </w:rPr>
              <w:fldChar w:fldCharType="separate"/>
            </w:r>
            <w:r w:rsidR="0051128E">
              <w:rPr>
                <w:noProof/>
                <w:webHidden/>
              </w:rPr>
              <w:t>381</w:t>
            </w:r>
            <w:r w:rsidR="0051128E">
              <w:rPr>
                <w:noProof/>
                <w:webHidden/>
              </w:rPr>
              <w:fldChar w:fldCharType="end"/>
            </w:r>
          </w:hyperlink>
        </w:p>
        <w:p w14:paraId="16FCC823" w14:textId="31136051" w:rsidR="0051128E" w:rsidRDefault="001C7A9B">
          <w:pPr>
            <w:pStyle w:val="TOC3"/>
            <w:tabs>
              <w:tab w:val="left" w:pos="1134"/>
            </w:tabs>
            <w:rPr>
              <w:rFonts w:eastAsiaTheme="minorEastAsia"/>
              <w:noProof/>
              <w:color w:val="auto"/>
              <w:kern w:val="0"/>
              <w:sz w:val="22"/>
              <w:szCs w:val="22"/>
              <w:lang w:eastAsia="en-AU"/>
            </w:rPr>
          </w:pPr>
          <w:hyperlink w:anchor="_Toc140239803" w:history="1">
            <w:r w:rsidR="0051128E" w:rsidRPr="005D0E7A">
              <w:rPr>
                <w:rStyle w:val="Hyperlink"/>
                <w:noProof/>
              </w:rPr>
              <w:t>12.</w:t>
            </w:r>
            <w:r w:rsidR="0051128E">
              <w:rPr>
                <w:rFonts w:eastAsiaTheme="minorEastAsia"/>
                <w:noProof/>
                <w:color w:val="auto"/>
                <w:kern w:val="0"/>
                <w:sz w:val="22"/>
                <w:szCs w:val="22"/>
                <w:lang w:eastAsia="en-AU"/>
              </w:rPr>
              <w:tab/>
            </w:r>
            <w:r w:rsidR="0051128E" w:rsidRPr="005D0E7A">
              <w:rPr>
                <w:rStyle w:val="Hyperlink"/>
                <w:noProof/>
              </w:rPr>
              <w:t>International symbol for access and deafness</w:t>
            </w:r>
            <w:r w:rsidR="0051128E">
              <w:rPr>
                <w:noProof/>
                <w:webHidden/>
              </w:rPr>
              <w:tab/>
            </w:r>
            <w:r w:rsidR="0051128E">
              <w:rPr>
                <w:noProof/>
                <w:webHidden/>
              </w:rPr>
              <w:fldChar w:fldCharType="begin"/>
            </w:r>
            <w:r w:rsidR="0051128E">
              <w:rPr>
                <w:noProof/>
                <w:webHidden/>
              </w:rPr>
              <w:instrText xml:space="preserve"> PAGEREF _Toc140239803 \h </w:instrText>
            </w:r>
            <w:r w:rsidR="0051128E">
              <w:rPr>
                <w:noProof/>
                <w:webHidden/>
              </w:rPr>
            </w:r>
            <w:r w:rsidR="0051128E">
              <w:rPr>
                <w:noProof/>
                <w:webHidden/>
              </w:rPr>
              <w:fldChar w:fldCharType="separate"/>
            </w:r>
            <w:r w:rsidR="0051128E">
              <w:rPr>
                <w:noProof/>
                <w:webHidden/>
              </w:rPr>
              <w:t>382</w:t>
            </w:r>
            <w:r w:rsidR="0051128E">
              <w:rPr>
                <w:noProof/>
                <w:webHidden/>
              </w:rPr>
              <w:fldChar w:fldCharType="end"/>
            </w:r>
          </w:hyperlink>
        </w:p>
        <w:p w14:paraId="7A96AF3E" w14:textId="68EFC85D" w:rsidR="0051128E" w:rsidRDefault="001C7A9B">
          <w:pPr>
            <w:pStyle w:val="TOC3"/>
            <w:tabs>
              <w:tab w:val="left" w:pos="1134"/>
            </w:tabs>
            <w:rPr>
              <w:rFonts w:eastAsiaTheme="minorEastAsia"/>
              <w:noProof/>
              <w:color w:val="auto"/>
              <w:kern w:val="0"/>
              <w:sz w:val="22"/>
              <w:szCs w:val="22"/>
              <w:lang w:eastAsia="en-AU"/>
            </w:rPr>
          </w:pPr>
          <w:hyperlink w:anchor="_Toc140239804" w:history="1">
            <w:r w:rsidR="0051128E" w:rsidRPr="005D0E7A">
              <w:rPr>
                <w:rStyle w:val="Hyperlink"/>
                <w:noProof/>
              </w:rPr>
              <w:t>13.</w:t>
            </w:r>
            <w:r w:rsidR="0051128E">
              <w:rPr>
                <w:rFonts w:eastAsiaTheme="minorEastAsia"/>
                <w:noProof/>
                <w:color w:val="auto"/>
                <w:kern w:val="0"/>
                <w:sz w:val="22"/>
                <w:szCs w:val="22"/>
                <w:lang w:eastAsia="en-AU"/>
              </w:rPr>
              <w:tab/>
            </w:r>
            <w:r w:rsidR="0051128E" w:rsidRPr="005D0E7A">
              <w:rPr>
                <w:rStyle w:val="Hyperlink"/>
                <w:noProof/>
              </w:rPr>
              <w:t>Letter heights and luminance contrast of signs</w:t>
            </w:r>
            <w:r w:rsidR="0051128E">
              <w:rPr>
                <w:noProof/>
                <w:webHidden/>
              </w:rPr>
              <w:tab/>
            </w:r>
            <w:r w:rsidR="0051128E">
              <w:rPr>
                <w:noProof/>
                <w:webHidden/>
              </w:rPr>
              <w:fldChar w:fldCharType="begin"/>
            </w:r>
            <w:r w:rsidR="0051128E">
              <w:rPr>
                <w:noProof/>
                <w:webHidden/>
              </w:rPr>
              <w:instrText xml:space="preserve"> PAGEREF _Toc140239804 \h </w:instrText>
            </w:r>
            <w:r w:rsidR="0051128E">
              <w:rPr>
                <w:noProof/>
                <w:webHidden/>
              </w:rPr>
            </w:r>
            <w:r w:rsidR="0051128E">
              <w:rPr>
                <w:noProof/>
                <w:webHidden/>
              </w:rPr>
              <w:fldChar w:fldCharType="separate"/>
            </w:r>
            <w:r w:rsidR="0051128E">
              <w:rPr>
                <w:noProof/>
                <w:webHidden/>
              </w:rPr>
              <w:t>384</w:t>
            </w:r>
            <w:r w:rsidR="0051128E">
              <w:rPr>
                <w:noProof/>
                <w:webHidden/>
              </w:rPr>
              <w:fldChar w:fldCharType="end"/>
            </w:r>
          </w:hyperlink>
        </w:p>
        <w:p w14:paraId="01CDD723" w14:textId="58D76399" w:rsidR="0051128E" w:rsidRDefault="001C7A9B">
          <w:pPr>
            <w:pStyle w:val="TOC3"/>
            <w:tabs>
              <w:tab w:val="left" w:pos="1134"/>
            </w:tabs>
            <w:rPr>
              <w:rFonts w:eastAsiaTheme="minorEastAsia"/>
              <w:noProof/>
              <w:color w:val="auto"/>
              <w:kern w:val="0"/>
              <w:sz w:val="22"/>
              <w:szCs w:val="22"/>
              <w:lang w:eastAsia="en-AU"/>
            </w:rPr>
          </w:pPr>
          <w:hyperlink w:anchor="_Toc140239805" w:history="1">
            <w:r w:rsidR="0051128E" w:rsidRPr="005D0E7A">
              <w:rPr>
                <w:rStyle w:val="Hyperlink"/>
                <w:noProof/>
              </w:rPr>
              <w:t>14.</w:t>
            </w:r>
            <w:r w:rsidR="0051128E">
              <w:rPr>
                <w:rFonts w:eastAsiaTheme="minorEastAsia"/>
                <w:noProof/>
                <w:color w:val="auto"/>
                <w:kern w:val="0"/>
                <w:sz w:val="22"/>
                <w:szCs w:val="22"/>
                <w:lang w:eastAsia="en-AU"/>
              </w:rPr>
              <w:tab/>
            </w:r>
            <w:r w:rsidR="0051128E" w:rsidRPr="005D0E7A">
              <w:rPr>
                <w:rStyle w:val="Hyperlink"/>
                <w:noProof/>
              </w:rPr>
              <w:t>Location of signs</w:t>
            </w:r>
            <w:r w:rsidR="0051128E">
              <w:rPr>
                <w:noProof/>
                <w:webHidden/>
              </w:rPr>
              <w:tab/>
            </w:r>
            <w:r w:rsidR="0051128E">
              <w:rPr>
                <w:noProof/>
                <w:webHidden/>
              </w:rPr>
              <w:fldChar w:fldCharType="begin"/>
            </w:r>
            <w:r w:rsidR="0051128E">
              <w:rPr>
                <w:noProof/>
                <w:webHidden/>
              </w:rPr>
              <w:instrText xml:space="preserve"> PAGEREF _Toc140239805 \h </w:instrText>
            </w:r>
            <w:r w:rsidR="0051128E">
              <w:rPr>
                <w:noProof/>
                <w:webHidden/>
              </w:rPr>
            </w:r>
            <w:r w:rsidR="0051128E">
              <w:rPr>
                <w:noProof/>
                <w:webHidden/>
              </w:rPr>
              <w:fldChar w:fldCharType="separate"/>
            </w:r>
            <w:r w:rsidR="0051128E">
              <w:rPr>
                <w:noProof/>
                <w:webHidden/>
              </w:rPr>
              <w:t>386</w:t>
            </w:r>
            <w:r w:rsidR="0051128E">
              <w:rPr>
                <w:noProof/>
                <w:webHidden/>
              </w:rPr>
              <w:fldChar w:fldCharType="end"/>
            </w:r>
          </w:hyperlink>
        </w:p>
        <w:p w14:paraId="50C305B2" w14:textId="7DB2FD8E" w:rsidR="0051128E" w:rsidRDefault="001C7A9B">
          <w:pPr>
            <w:pStyle w:val="TOC3"/>
            <w:tabs>
              <w:tab w:val="left" w:pos="1134"/>
            </w:tabs>
            <w:rPr>
              <w:rFonts w:eastAsiaTheme="minorEastAsia"/>
              <w:noProof/>
              <w:color w:val="auto"/>
              <w:kern w:val="0"/>
              <w:sz w:val="22"/>
              <w:szCs w:val="22"/>
              <w:lang w:eastAsia="en-AU"/>
            </w:rPr>
          </w:pPr>
          <w:hyperlink w:anchor="_Toc140239806" w:history="1">
            <w:r w:rsidR="0051128E" w:rsidRPr="005D0E7A">
              <w:rPr>
                <w:rStyle w:val="Hyperlink"/>
                <w:noProof/>
              </w:rPr>
              <w:t>15.</w:t>
            </w:r>
            <w:r w:rsidR="0051128E">
              <w:rPr>
                <w:rFonts w:eastAsiaTheme="minorEastAsia"/>
                <w:noProof/>
                <w:color w:val="auto"/>
                <w:kern w:val="0"/>
                <w:sz w:val="22"/>
                <w:szCs w:val="22"/>
                <w:lang w:eastAsia="en-AU"/>
              </w:rPr>
              <w:tab/>
            </w:r>
            <w:r w:rsidR="0051128E" w:rsidRPr="005D0E7A">
              <w:rPr>
                <w:rStyle w:val="Hyperlink"/>
                <w:noProof/>
              </w:rPr>
              <w:t>Braille embossed (printed) specifications</w:t>
            </w:r>
            <w:r w:rsidR="0051128E">
              <w:rPr>
                <w:noProof/>
                <w:webHidden/>
              </w:rPr>
              <w:tab/>
            </w:r>
            <w:r w:rsidR="0051128E">
              <w:rPr>
                <w:noProof/>
                <w:webHidden/>
              </w:rPr>
              <w:fldChar w:fldCharType="begin"/>
            </w:r>
            <w:r w:rsidR="0051128E">
              <w:rPr>
                <w:noProof/>
                <w:webHidden/>
              </w:rPr>
              <w:instrText xml:space="preserve"> PAGEREF _Toc140239806 \h </w:instrText>
            </w:r>
            <w:r w:rsidR="0051128E">
              <w:rPr>
                <w:noProof/>
                <w:webHidden/>
              </w:rPr>
            </w:r>
            <w:r w:rsidR="0051128E">
              <w:rPr>
                <w:noProof/>
                <w:webHidden/>
              </w:rPr>
              <w:fldChar w:fldCharType="separate"/>
            </w:r>
            <w:r w:rsidR="0051128E">
              <w:rPr>
                <w:noProof/>
                <w:webHidden/>
              </w:rPr>
              <w:t>388</w:t>
            </w:r>
            <w:r w:rsidR="0051128E">
              <w:rPr>
                <w:noProof/>
                <w:webHidden/>
              </w:rPr>
              <w:fldChar w:fldCharType="end"/>
            </w:r>
          </w:hyperlink>
        </w:p>
        <w:p w14:paraId="64BE6F68" w14:textId="2D0D5FAA" w:rsidR="0051128E" w:rsidRDefault="001C7A9B">
          <w:pPr>
            <w:pStyle w:val="TOC3"/>
            <w:tabs>
              <w:tab w:val="left" w:pos="1134"/>
            </w:tabs>
            <w:rPr>
              <w:rFonts w:eastAsiaTheme="minorEastAsia"/>
              <w:noProof/>
              <w:color w:val="auto"/>
              <w:kern w:val="0"/>
              <w:sz w:val="22"/>
              <w:szCs w:val="22"/>
              <w:lang w:eastAsia="en-AU"/>
            </w:rPr>
          </w:pPr>
          <w:hyperlink w:anchor="_Toc140239807" w:history="1">
            <w:r w:rsidR="0051128E" w:rsidRPr="005D0E7A">
              <w:rPr>
                <w:rStyle w:val="Hyperlink"/>
                <w:noProof/>
              </w:rPr>
              <w:t>16.</w:t>
            </w:r>
            <w:r w:rsidR="0051128E">
              <w:rPr>
                <w:rFonts w:eastAsiaTheme="minorEastAsia"/>
                <w:noProof/>
                <w:color w:val="auto"/>
                <w:kern w:val="0"/>
                <w:sz w:val="22"/>
                <w:szCs w:val="22"/>
                <w:lang w:eastAsia="en-AU"/>
              </w:rPr>
              <w:tab/>
            </w:r>
            <w:r w:rsidR="0051128E" w:rsidRPr="005D0E7A">
              <w:rPr>
                <w:rStyle w:val="Hyperlink"/>
                <w:noProof/>
              </w:rPr>
              <w:t>Braille and tactile lettering for signage</w:t>
            </w:r>
            <w:r w:rsidR="0051128E">
              <w:rPr>
                <w:noProof/>
                <w:webHidden/>
              </w:rPr>
              <w:tab/>
            </w:r>
            <w:r w:rsidR="0051128E">
              <w:rPr>
                <w:noProof/>
                <w:webHidden/>
              </w:rPr>
              <w:fldChar w:fldCharType="begin"/>
            </w:r>
            <w:r w:rsidR="0051128E">
              <w:rPr>
                <w:noProof/>
                <w:webHidden/>
              </w:rPr>
              <w:instrText xml:space="preserve"> PAGEREF _Toc140239807 \h </w:instrText>
            </w:r>
            <w:r w:rsidR="0051128E">
              <w:rPr>
                <w:noProof/>
                <w:webHidden/>
              </w:rPr>
            </w:r>
            <w:r w:rsidR="0051128E">
              <w:rPr>
                <w:noProof/>
                <w:webHidden/>
              </w:rPr>
              <w:fldChar w:fldCharType="separate"/>
            </w:r>
            <w:r w:rsidR="0051128E">
              <w:rPr>
                <w:noProof/>
                <w:webHidden/>
              </w:rPr>
              <w:t>389</w:t>
            </w:r>
            <w:r w:rsidR="0051128E">
              <w:rPr>
                <w:noProof/>
                <w:webHidden/>
              </w:rPr>
              <w:fldChar w:fldCharType="end"/>
            </w:r>
          </w:hyperlink>
        </w:p>
        <w:p w14:paraId="78C4CF48" w14:textId="793E551D" w:rsidR="0051128E" w:rsidRDefault="001C7A9B">
          <w:pPr>
            <w:pStyle w:val="TOC3"/>
            <w:tabs>
              <w:tab w:val="left" w:pos="1134"/>
            </w:tabs>
            <w:rPr>
              <w:rFonts w:eastAsiaTheme="minorEastAsia"/>
              <w:noProof/>
              <w:color w:val="auto"/>
              <w:kern w:val="0"/>
              <w:sz w:val="22"/>
              <w:szCs w:val="22"/>
              <w:lang w:eastAsia="en-AU"/>
            </w:rPr>
          </w:pPr>
          <w:hyperlink w:anchor="_Toc140239808" w:history="1">
            <w:r w:rsidR="0051128E" w:rsidRPr="005D0E7A">
              <w:rPr>
                <w:rStyle w:val="Hyperlink"/>
                <w:noProof/>
              </w:rPr>
              <w:t>17.</w:t>
            </w:r>
            <w:r w:rsidR="0051128E">
              <w:rPr>
                <w:rFonts w:eastAsiaTheme="minorEastAsia"/>
                <w:noProof/>
                <w:color w:val="auto"/>
                <w:kern w:val="0"/>
                <w:sz w:val="22"/>
                <w:szCs w:val="22"/>
                <w:lang w:eastAsia="en-AU"/>
              </w:rPr>
              <w:tab/>
            </w:r>
            <w:r w:rsidR="0051128E" w:rsidRPr="005D0E7A">
              <w:rPr>
                <w:rStyle w:val="Hyperlink"/>
                <w:noProof/>
              </w:rPr>
              <w:t>Lifts: braille and tactile information at lift landings</w:t>
            </w:r>
            <w:r w:rsidR="0051128E">
              <w:rPr>
                <w:noProof/>
                <w:webHidden/>
              </w:rPr>
              <w:tab/>
            </w:r>
            <w:r w:rsidR="0051128E">
              <w:rPr>
                <w:noProof/>
                <w:webHidden/>
              </w:rPr>
              <w:fldChar w:fldCharType="begin"/>
            </w:r>
            <w:r w:rsidR="0051128E">
              <w:rPr>
                <w:noProof/>
                <w:webHidden/>
              </w:rPr>
              <w:instrText xml:space="preserve"> PAGEREF _Toc140239808 \h </w:instrText>
            </w:r>
            <w:r w:rsidR="0051128E">
              <w:rPr>
                <w:noProof/>
                <w:webHidden/>
              </w:rPr>
            </w:r>
            <w:r w:rsidR="0051128E">
              <w:rPr>
                <w:noProof/>
                <w:webHidden/>
              </w:rPr>
              <w:fldChar w:fldCharType="separate"/>
            </w:r>
            <w:r w:rsidR="0051128E">
              <w:rPr>
                <w:noProof/>
                <w:webHidden/>
              </w:rPr>
              <w:t>393</w:t>
            </w:r>
            <w:r w:rsidR="0051128E">
              <w:rPr>
                <w:noProof/>
                <w:webHidden/>
              </w:rPr>
              <w:fldChar w:fldCharType="end"/>
            </w:r>
          </w:hyperlink>
        </w:p>
        <w:p w14:paraId="3150E994" w14:textId="6CC94BF8" w:rsidR="0051128E" w:rsidRDefault="001C7A9B">
          <w:pPr>
            <w:pStyle w:val="TOC3"/>
            <w:tabs>
              <w:tab w:val="left" w:pos="1134"/>
            </w:tabs>
            <w:rPr>
              <w:rFonts w:eastAsiaTheme="minorEastAsia"/>
              <w:noProof/>
              <w:color w:val="auto"/>
              <w:kern w:val="0"/>
              <w:sz w:val="22"/>
              <w:szCs w:val="22"/>
              <w:lang w:eastAsia="en-AU"/>
            </w:rPr>
          </w:pPr>
          <w:hyperlink w:anchor="_Toc140239809" w:history="1">
            <w:r w:rsidR="0051128E" w:rsidRPr="005D0E7A">
              <w:rPr>
                <w:rStyle w:val="Hyperlink"/>
                <w:noProof/>
              </w:rPr>
              <w:t>18.</w:t>
            </w:r>
            <w:r w:rsidR="0051128E">
              <w:rPr>
                <w:rFonts w:eastAsiaTheme="minorEastAsia"/>
                <w:noProof/>
                <w:color w:val="auto"/>
                <w:kern w:val="0"/>
                <w:sz w:val="22"/>
                <w:szCs w:val="22"/>
                <w:lang w:eastAsia="en-AU"/>
              </w:rPr>
              <w:tab/>
            </w:r>
            <w:r w:rsidR="0051128E" w:rsidRPr="005D0E7A">
              <w:rPr>
                <w:rStyle w:val="Hyperlink"/>
                <w:noProof/>
              </w:rPr>
              <w:t>Lifts: audible wayfinding</w:t>
            </w:r>
            <w:r w:rsidR="0051128E">
              <w:rPr>
                <w:noProof/>
                <w:webHidden/>
              </w:rPr>
              <w:tab/>
            </w:r>
            <w:r w:rsidR="0051128E">
              <w:rPr>
                <w:noProof/>
                <w:webHidden/>
              </w:rPr>
              <w:fldChar w:fldCharType="begin"/>
            </w:r>
            <w:r w:rsidR="0051128E">
              <w:rPr>
                <w:noProof/>
                <w:webHidden/>
              </w:rPr>
              <w:instrText xml:space="preserve"> PAGEREF _Toc140239809 \h </w:instrText>
            </w:r>
            <w:r w:rsidR="0051128E">
              <w:rPr>
                <w:noProof/>
                <w:webHidden/>
              </w:rPr>
            </w:r>
            <w:r w:rsidR="0051128E">
              <w:rPr>
                <w:noProof/>
                <w:webHidden/>
              </w:rPr>
              <w:fldChar w:fldCharType="separate"/>
            </w:r>
            <w:r w:rsidR="0051128E">
              <w:rPr>
                <w:noProof/>
                <w:webHidden/>
              </w:rPr>
              <w:t>394</w:t>
            </w:r>
            <w:r w:rsidR="0051128E">
              <w:rPr>
                <w:noProof/>
                <w:webHidden/>
              </w:rPr>
              <w:fldChar w:fldCharType="end"/>
            </w:r>
          </w:hyperlink>
        </w:p>
        <w:p w14:paraId="081DA650" w14:textId="26BE774B" w:rsidR="0051128E" w:rsidRDefault="001C7A9B">
          <w:pPr>
            <w:pStyle w:val="TOC3"/>
            <w:tabs>
              <w:tab w:val="left" w:pos="1134"/>
            </w:tabs>
            <w:rPr>
              <w:rFonts w:eastAsiaTheme="minorEastAsia"/>
              <w:noProof/>
              <w:color w:val="auto"/>
              <w:kern w:val="0"/>
              <w:sz w:val="22"/>
              <w:szCs w:val="22"/>
              <w:lang w:eastAsia="en-AU"/>
            </w:rPr>
          </w:pPr>
          <w:hyperlink w:anchor="_Toc140239810" w:history="1">
            <w:r w:rsidR="0051128E" w:rsidRPr="005D0E7A">
              <w:rPr>
                <w:rStyle w:val="Hyperlink"/>
                <w:noProof/>
              </w:rPr>
              <w:t>19.</w:t>
            </w:r>
            <w:r w:rsidR="0051128E">
              <w:rPr>
                <w:rFonts w:eastAsiaTheme="minorEastAsia"/>
                <w:noProof/>
                <w:color w:val="auto"/>
                <w:kern w:val="0"/>
                <w:sz w:val="22"/>
                <w:szCs w:val="22"/>
                <w:lang w:eastAsia="en-AU"/>
              </w:rPr>
              <w:tab/>
            </w:r>
            <w:r w:rsidR="0051128E" w:rsidRPr="005D0E7A">
              <w:rPr>
                <w:rStyle w:val="Hyperlink"/>
                <w:noProof/>
              </w:rPr>
              <w:t>Lifts: emergency communication in lift cars</w:t>
            </w:r>
            <w:r w:rsidR="0051128E">
              <w:rPr>
                <w:noProof/>
                <w:webHidden/>
              </w:rPr>
              <w:tab/>
            </w:r>
            <w:r w:rsidR="0051128E">
              <w:rPr>
                <w:noProof/>
                <w:webHidden/>
              </w:rPr>
              <w:fldChar w:fldCharType="begin"/>
            </w:r>
            <w:r w:rsidR="0051128E">
              <w:rPr>
                <w:noProof/>
                <w:webHidden/>
              </w:rPr>
              <w:instrText xml:space="preserve"> PAGEREF _Toc140239810 \h </w:instrText>
            </w:r>
            <w:r w:rsidR="0051128E">
              <w:rPr>
                <w:noProof/>
                <w:webHidden/>
              </w:rPr>
            </w:r>
            <w:r w:rsidR="0051128E">
              <w:rPr>
                <w:noProof/>
                <w:webHidden/>
              </w:rPr>
              <w:fldChar w:fldCharType="separate"/>
            </w:r>
            <w:r w:rsidR="0051128E">
              <w:rPr>
                <w:noProof/>
                <w:webHidden/>
              </w:rPr>
              <w:t>396</w:t>
            </w:r>
            <w:r w:rsidR="0051128E">
              <w:rPr>
                <w:noProof/>
                <w:webHidden/>
              </w:rPr>
              <w:fldChar w:fldCharType="end"/>
            </w:r>
          </w:hyperlink>
        </w:p>
        <w:p w14:paraId="748212D7" w14:textId="4C4F50C3" w:rsidR="0051128E" w:rsidRDefault="001C7A9B">
          <w:pPr>
            <w:pStyle w:val="TOC3"/>
            <w:tabs>
              <w:tab w:val="left" w:pos="1134"/>
            </w:tabs>
            <w:rPr>
              <w:rFonts w:eastAsiaTheme="minorEastAsia"/>
              <w:noProof/>
              <w:color w:val="auto"/>
              <w:kern w:val="0"/>
              <w:sz w:val="22"/>
              <w:szCs w:val="22"/>
              <w:lang w:eastAsia="en-AU"/>
            </w:rPr>
          </w:pPr>
          <w:hyperlink w:anchor="_Toc140239811" w:history="1">
            <w:r w:rsidR="0051128E" w:rsidRPr="005D0E7A">
              <w:rPr>
                <w:rStyle w:val="Hyperlink"/>
                <w:noProof/>
              </w:rPr>
              <w:t>20.</w:t>
            </w:r>
            <w:r w:rsidR="0051128E">
              <w:rPr>
                <w:rFonts w:eastAsiaTheme="minorEastAsia"/>
                <w:noProof/>
                <w:color w:val="auto"/>
                <w:kern w:val="0"/>
                <w:sz w:val="22"/>
                <w:szCs w:val="22"/>
                <w:lang w:eastAsia="en-AU"/>
              </w:rPr>
              <w:tab/>
            </w:r>
            <w:r w:rsidR="0051128E" w:rsidRPr="005D0E7A">
              <w:rPr>
                <w:rStyle w:val="Hyperlink"/>
                <w:noProof/>
              </w:rPr>
              <w:t>Lifts: reference for lift car communication and information systems</w:t>
            </w:r>
            <w:r w:rsidR="0051128E">
              <w:rPr>
                <w:noProof/>
                <w:webHidden/>
              </w:rPr>
              <w:tab/>
            </w:r>
            <w:r w:rsidR="0051128E">
              <w:rPr>
                <w:noProof/>
                <w:webHidden/>
              </w:rPr>
              <w:fldChar w:fldCharType="begin"/>
            </w:r>
            <w:r w:rsidR="0051128E">
              <w:rPr>
                <w:noProof/>
                <w:webHidden/>
              </w:rPr>
              <w:instrText xml:space="preserve"> PAGEREF _Toc140239811 \h </w:instrText>
            </w:r>
            <w:r w:rsidR="0051128E">
              <w:rPr>
                <w:noProof/>
                <w:webHidden/>
              </w:rPr>
            </w:r>
            <w:r w:rsidR="0051128E">
              <w:rPr>
                <w:noProof/>
                <w:webHidden/>
              </w:rPr>
              <w:fldChar w:fldCharType="separate"/>
            </w:r>
            <w:r w:rsidR="0051128E">
              <w:rPr>
                <w:noProof/>
                <w:webHidden/>
              </w:rPr>
              <w:t>398</w:t>
            </w:r>
            <w:r w:rsidR="0051128E">
              <w:rPr>
                <w:noProof/>
                <w:webHidden/>
              </w:rPr>
              <w:fldChar w:fldCharType="end"/>
            </w:r>
          </w:hyperlink>
        </w:p>
        <w:p w14:paraId="3D19C2C2" w14:textId="32C4944B" w:rsidR="0051128E" w:rsidRDefault="001C7A9B">
          <w:pPr>
            <w:pStyle w:val="TOC3"/>
            <w:tabs>
              <w:tab w:val="left" w:pos="1134"/>
            </w:tabs>
            <w:rPr>
              <w:rFonts w:eastAsiaTheme="minorEastAsia"/>
              <w:noProof/>
              <w:color w:val="auto"/>
              <w:kern w:val="0"/>
              <w:sz w:val="22"/>
              <w:szCs w:val="22"/>
              <w:lang w:eastAsia="en-AU"/>
            </w:rPr>
          </w:pPr>
          <w:hyperlink w:anchor="_Toc140239812" w:history="1">
            <w:r w:rsidR="0051128E" w:rsidRPr="005D0E7A">
              <w:rPr>
                <w:rStyle w:val="Hyperlink"/>
                <w:noProof/>
              </w:rPr>
              <w:t>21.</w:t>
            </w:r>
            <w:r w:rsidR="0051128E">
              <w:rPr>
                <w:rFonts w:eastAsiaTheme="minorEastAsia"/>
                <w:noProof/>
                <w:color w:val="auto"/>
                <w:kern w:val="0"/>
                <w:sz w:val="22"/>
                <w:szCs w:val="22"/>
                <w:lang w:eastAsia="en-AU"/>
              </w:rPr>
              <w:tab/>
            </w:r>
            <w:r w:rsidR="0051128E" w:rsidRPr="005D0E7A">
              <w:rPr>
                <w:rStyle w:val="Hyperlink"/>
                <w:noProof/>
              </w:rPr>
              <w:t>Information and communication technologies (ICT) procurement</w:t>
            </w:r>
            <w:r w:rsidR="0051128E">
              <w:rPr>
                <w:noProof/>
                <w:webHidden/>
              </w:rPr>
              <w:tab/>
            </w:r>
            <w:r w:rsidR="0051128E">
              <w:rPr>
                <w:noProof/>
                <w:webHidden/>
              </w:rPr>
              <w:fldChar w:fldCharType="begin"/>
            </w:r>
            <w:r w:rsidR="0051128E">
              <w:rPr>
                <w:noProof/>
                <w:webHidden/>
              </w:rPr>
              <w:instrText xml:space="preserve"> PAGEREF _Toc140239812 \h </w:instrText>
            </w:r>
            <w:r w:rsidR="0051128E">
              <w:rPr>
                <w:noProof/>
                <w:webHidden/>
              </w:rPr>
            </w:r>
            <w:r w:rsidR="0051128E">
              <w:rPr>
                <w:noProof/>
                <w:webHidden/>
              </w:rPr>
              <w:fldChar w:fldCharType="separate"/>
            </w:r>
            <w:r w:rsidR="0051128E">
              <w:rPr>
                <w:noProof/>
                <w:webHidden/>
              </w:rPr>
              <w:t>399</w:t>
            </w:r>
            <w:r w:rsidR="0051128E">
              <w:rPr>
                <w:noProof/>
                <w:webHidden/>
              </w:rPr>
              <w:fldChar w:fldCharType="end"/>
            </w:r>
          </w:hyperlink>
        </w:p>
        <w:p w14:paraId="205161AC" w14:textId="65F756B4" w:rsidR="0051128E" w:rsidRDefault="001C7A9B">
          <w:pPr>
            <w:pStyle w:val="TOC3"/>
            <w:tabs>
              <w:tab w:val="left" w:pos="1134"/>
            </w:tabs>
            <w:rPr>
              <w:rFonts w:eastAsiaTheme="minorEastAsia"/>
              <w:noProof/>
              <w:color w:val="auto"/>
              <w:kern w:val="0"/>
              <w:sz w:val="22"/>
              <w:szCs w:val="22"/>
              <w:lang w:eastAsia="en-AU"/>
            </w:rPr>
          </w:pPr>
          <w:hyperlink w:anchor="_Toc140239813" w:history="1">
            <w:r w:rsidR="0051128E" w:rsidRPr="005D0E7A">
              <w:rPr>
                <w:rStyle w:val="Hyperlink"/>
                <w:noProof/>
              </w:rPr>
              <w:t>22.</w:t>
            </w:r>
            <w:r w:rsidR="0051128E">
              <w:rPr>
                <w:rFonts w:eastAsiaTheme="minorEastAsia"/>
                <w:noProof/>
                <w:color w:val="auto"/>
                <w:kern w:val="0"/>
                <w:sz w:val="22"/>
                <w:szCs w:val="22"/>
                <w:lang w:eastAsia="en-AU"/>
              </w:rPr>
              <w:tab/>
            </w:r>
            <w:r w:rsidR="0051128E" w:rsidRPr="005D0E7A">
              <w:rPr>
                <w:rStyle w:val="Hyperlink"/>
                <w:noProof/>
              </w:rPr>
              <w:t>Mobile web systems</w:t>
            </w:r>
            <w:r w:rsidR="0051128E">
              <w:rPr>
                <w:noProof/>
                <w:webHidden/>
              </w:rPr>
              <w:tab/>
            </w:r>
            <w:r w:rsidR="0051128E">
              <w:rPr>
                <w:noProof/>
                <w:webHidden/>
              </w:rPr>
              <w:fldChar w:fldCharType="begin"/>
            </w:r>
            <w:r w:rsidR="0051128E">
              <w:rPr>
                <w:noProof/>
                <w:webHidden/>
              </w:rPr>
              <w:instrText xml:space="preserve"> PAGEREF _Toc140239813 \h </w:instrText>
            </w:r>
            <w:r w:rsidR="0051128E">
              <w:rPr>
                <w:noProof/>
                <w:webHidden/>
              </w:rPr>
            </w:r>
            <w:r w:rsidR="0051128E">
              <w:rPr>
                <w:noProof/>
                <w:webHidden/>
              </w:rPr>
              <w:fldChar w:fldCharType="separate"/>
            </w:r>
            <w:r w:rsidR="0051128E">
              <w:rPr>
                <w:noProof/>
                <w:webHidden/>
              </w:rPr>
              <w:t>402</w:t>
            </w:r>
            <w:r w:rsidR="0051128E">
              <w:rPr>
                <w:noProof/>
                <w:webHidden/>
              </w:rPr>
              <w:fldChar w:fldCharType="end"/>
            </w:r>
          </w:hyperlink>
        </w:p>
        <w:p w14:paraId="6D1CCB1D" w14:textId="1F011D5D" w:rsidR="0051128E" w:rsidRDefault="001C7A9B">
          <w:pPr>
            <w:pStyle w:val="TOC3"/>
            <w:tabs>
              <w:tab w:val="left" w:pos="1134"/>
            </w:tabs>
            <w:rPr>
              <w:rFonts w:eastAsiaTheme="minorEastAsia"/>
              <w:noProof/>
              <w:color w:val="auto"/>
              <w:kern w:val="0"/>
              <w:sz w:val="22"/>
              <w:szCs w:val="22"/>
              <w:lang w:eastAsia="en-AU"/>
            </w:rPr>
          </w:pPr>
          <w:hyperlink w:anchor="_Toc140239814" w:history="1">
            <w:r w:rsidR="0051128E" w:rsidRPr="005D0E7A">
              <w:rPr>
                <w:rStyle w:val="Hyperlink"/>
                <w:noProof/>
              </w:rPr>
              <w:t>23.</w:t>
            </w:r>
            <w:r w:rsidR="0051128E">
              <w:rPr>
                <w:rFonts w:eastAsiaTheme="minorEastAsia"/>
                <w:noProof/>
                <w:color w:val="auto"/>
                <w:kern w:val="0"/>
                <w:sz w:val="22"/>
                <w:szCs w:val="22"/>
                <w:lang w:eastAsia="en-AU"/>
              </w:rPr>
              <w:tab/>
            </w:r>
            <w:r w:rsidR="0051128E" w:rsidRPr="005D0E7A">
              <w:rPr>
                <w:rStyle w:val="Hyperlink"/>
                <w:noProof/>
              </w:rPr>
              <w:t>Accessible fare system elements</w:t>
            </w:r>
            <w:r w:rsidR="0051128E">
              <w:rPr>
                <w:noProof/>
                <w:webHidden/>
              </w:rPr>
              <w:tab/>
            </w:r>
            <w:r w:rsidR="0051128E">
              <w:rPr>
                <w:noProof/>
                <w:webHidden/>
              </w:rPr>
              <w:fldChar w:fldCharType="begin"/>
            </w:r>
            <w:r w:rsidR="0051128E">
              <w:rPr>
                <w:noProof/>
                <w:webHidden/>
              </w:rPr>
              <w:instrText xml:space="preserve"> PAGEREF _Toc140239814 \h </w:instrText>
            </w:r>
            <w:r w:rsidR="0051128E">
              <w:rPr>
                <w:noProof/>
                <w:webHidden/>
              </w:rPr>
            </w:r>
            <w:r w:rsidR="0051128E">
              <w:rPr>
                <w:noProof/>
                <w:webHidden/>
              </w:rPr>
              <w:fldChar w:fldCharType="separate"/>
            </w:r>
            <w:r w:rsidR="0051128E">
              <w:rPr>
                <w:noProof/>
                <w:webHidden/>
              </w:rPr>
              <w:t>403</w:t>
            </w:r>
            <w:r w:rsidR="0051128E">
              <w:rPr>
                <w:noProof/>
                <w:webHidden/>
              </w:rPr>
              <w:fldChar w:fldCharType="end"/>
            </w:r>
          </w:hyperlink>
        </w:p>
        <w:p w14:paraId="04A90A41" w14:textId="0EA841C2" w:rsidR="0051128E" w:rsidRDefault="001C7A9B">
          <w:pPr>
            <w:pStyle w:val="TOC3"/>
            <w:tabs>
              <w:tab w:val="left" w:pos="1134"/>
            </w:tabs>
            <w:rPr>
              <w:rFonts w:eastAsiaTheme="minorEastAsia"/>
              <w:noProof/>
              <w:color w:val="auto"/>
              <w:kern w:val="0"/>
              <w:sz w:val="22"/>
              <w:szCs w:val="22"/>
              <w:lang w:eastAsia="en-AU"/>
            </w:rPr>
          </w:pPr>
          <w:hyperlink w:anchor="_Toc140239815" w:history="1">
            <w:r w:rsidR="0051128E" w:rsidRPr="005D0E7A">
              <w:rPr>
                <w:rStyle w:val="Hyperlink"/>
                <w:noProof/>
              </w:rPr>
              <w:t>24.</w:t>
            </w:r>
            <w:r w:rsidR="0051128E">
              <w:rPr>
                <w:rFonts w:eastAsiaTheme="minorEastAsia"/>
                <w:noProof/>
                <w:color w:val="auto"/>
                <w:kern w:val="0"/>
                <w:sz w:val="22"/>
                <w:szCs w:val="22"/>
                <w:lang w:eastAsia="en-AU"/>
              </w:rPr>
              <w:tab/>
            </w:r>
            <w:r w:rsidR="0051128E" w:rsidRPr="005D0E7A">
              <w:rPr>
                <w:rStyle w:val="Hyperlink"/>
                <w:noProof/>
              </w:rPr>
              <w:t>Doors on access paths</w:t>
            </w:r>
            <w:r w:rsidR="0051128E">
              <w:rPr>
                <w:noProof/>
                <w:webHidden/>
              </w:rPr>
              <w:tab/>
            </w:r>
            <w:r w:rsidR="0051128E">
              <w:rPr>
                <w:noProof/>
                <w:webHidden/>
              </w:rPr>
              <w:fldChar w:fldCharType="begin"/>
            </w:r>
            <w:r w:rsidR="0051128E">
              <w:rPr>
                <w:noProof/>
                <w:webHidden/>
              </w:rPr>
              <w:instrText xml:space="preserve"> PAGEREF _Toc140239815 \h </w:instrText>
            </w:r>
            <w:r w:rsidR="0051128E">
              <w:rPr>
                <w:noProof/>
                <w:webHidden/>
              </w:rPr>
            </w:r>
            <w:r w:rsidR="0051128E">
              <w:rPr>
                <w:noProof/>
                <w:webHidden/>
              </w:rPr>
              <w:fldChar w:fldCharType="separate"/>
            </w:r>
            <w:r w:rsidR="0051128E">
              <w:rPr>
                <w:noProof/>
                <w:webHidden/>
              </w:rPr>
              <w:t>407</w:t>
            </w:r>
            <w:r w:rsidR="0051128E">
              <w:rPr>
                <w:noProof/>
                <w:webHidden/>
              </w:rPr>
              <w:fldChar w:fldCharType="end"/>
            </w:r>
          </w:hyperlink>
        </w:p>
        <w:p w14:paraId="63FB16AF" w14:textId="14B858D6" w:rsidR="0051128E" w:rsidRDefault="001C7A9B">
          <w:pPr>
            <w:pStyle w:val="TOC3"/>
            <w:tabs>
              <w:tab w:val="left" w:pos="1134"/>
            </w:tabs>
            <w:rPr>
              <w:rFonts w:eastAsiaTheme="minorEastAsia"/>
              <w:noProof/>
              <w:color w:val="auto"/>
              <w:kern w:val="0"/>
              <w:sz w:val="22"/>
              <w:szCs w:val="22"/>
              <w:lang w:eastAsia="en-AU"/>
            </w:rPr>
          </w:pPr>
          <w:hyperlink w:anchor="_Toc140239816" w:history="1">
            <w:r w:rsidR="0051128E" w:rsidRPr="005D0E7A">
              <w:rPr>
                <w:rStyle w:val="Hyperlink"/>
                <w:noProof/>
              </w:rPr>
              <w:t>25.</w:t>
            </w:r>
            <w:r w:rsidR="0051128E">
              <w:rPr>
                <w:rFonts w:eastAsiaTheme="minorEastAsia"/>
                <w:noProof/>
                <w:color w:val="auto"/>
                <w:kern w:val="0"/>
                <w:sz w:val="22"/>
                <w:szCs w:val="22"/>
                <w:lang w:eastAsia="en-AU"/>
              </w:rPr>
              <w:tab/>
            </w:r>
            <w:r w:rsidR="0051128E" w:rsidRPr="005D0E7A">
              <w:rPr>
                <w:rStyle w:val="Hyperlink"/>
                <w:noProof/>
              </w:rPr>
              <w:t>Continuous accessibility on access paths</w:t>
            </w:r>
            <w:r w:rsidR="0051128E">
              <w:rPr>
                <w:noProof/>
                <w:webHidden/>
              </w:rPr>
              <w:tab/>
            </w:r>
            <w:r w:rsidR="0051128E">
              <w:rPr>
                <w:noProof/>
                <w:webHidden/>
              </w:rPr>
              <w:fldChar w:fldCharType="begin"/>
            </w:r>
            <w:r w:rsidR="0051128E">
              <w:rPr>
                <w:noProof/>
                <w:webHidden/>
              </w:rPr>
              <w:instrText xml:space="preserve"> PAGEREF _Toc140239816 \h </w:instrText>
            </w:r>
            <w:r w:rsidR="0051128E">
              <w:rPr>
                <w:noProof/>
                <w:webHidden/>
              </w:rPr>
            </w:r>
            <w:r w:rsidR="0051128E">
              <w:rPr>
                <w:noProof/>
                <w:webHidden/>
              </w:rPr>
              <w:fldChar w:fldCharType="separate"/>
            </w:r>
            <w:r w:rsidR="0051128E">
              <w:rPr>
                <w:noProof/>
                <w:webHidden/>
              </w:rPr>
              <w:t>410</w:t>
            </w:r>
            <w:r w:rsidR="0051128E">
              <w:rPr>
                <w:noProof/>
                <w:webHidden/>
              </w:rPr>
              <w:fldChar w:fldCharType="end"/>
            </w:r>
          </w:hyperlink>
        </w:p>
        <w:p w14:paraId="32A224D2" w14:textId="3697C03D" w:rsidR="0051128E" w:rsidRDefault="001C7A9B">
          <w:pPr>
            <w:pStyle w:val="TOC3"/>
            <w:tabs>
              <w:tab w:val="left" w:pos="1134"/>
            </w:tabs>
            <w:rPr>
              <w:rFonts w:eastAsiaTheme="minorEastAsia"/>
              <w:noProof/>
              <w:color w:val="auto"/>
              <w:kern w:val="0"/>
              <w:sz w:val="22"/>
              <w:szCs w:val="22"/>
              <w:lang w:eastAsia="en-AU"/>
            </w:rPr>
          </w:pPr>
          <w:hyperlink w:anchor="_Toc140239817" w:history="1">
            <w:r w:rsidR="0051128E" w:rsidRPr="005D0E7A">
              <w:rPr>
                <w:rStyle w:val="Hyperlink"/>
                <w:noProof/>
              </w:rPr>
              <w:t>26.</w:t>
            </w:r>
            <w:r w:rsidR="0051128E">
              <w:rPr>
                <w:rFonts w:eastAsiaTheme="minorEastAsia"/>
                <w:noProof/>
                <w:color w:val="auto"/>
                <w:kern w:val="0"/>
                <w:sz w:val="22"/>
                <w:szCs w:val="22"/>
                <w:lang w:eastAsia="en-AU"/>
              </w:rPr>
              <w:tab/>
            </w:r>
            <w:r w:rsidR="0051128E" w:rsidRPr="005D0E7A">
              <w:rPr>
                <w:rStyle w:val="Hyperlink"/>
                <w:noProof/>
              </w:rPr>
              <w:t>Flange gaps within access paths</w:t>
            </w:r>
            <w:r w:rsidR="0051128E">
              <w:rPr>
                <w:noProof/>
                <w:webHidden/>
              </w:rPr>
              <w:tab/>
            </w:r>
            <w:r w:rsidR="0051128E">
              <w:rPr>
                <w:noProof/>
                <w:webHidden/>
              </w:rPr>
              <w:fldChar w:fldCharType="begin"/>
            </w:r>
            <w:r w:rsidR="0051128E">
              <w:rPr>
                <w:noProof/>
                <w:webHidden/>
              </w:rPr>
              <w:instrText xml:space="preserve"> PAGEREF _Toc140239817 \h </w:instrText>
            </w:r>
            <w:r w:rsidR="0051128E">
              <w:rPr>
                <w:noProof/>
                <w:webHidden/>
              </w:rPr>
            </w:r>
            <w:r w:rsidR="0051128E">
              <w:rPr>
                <w:noProof/>
                <w:webHidden/>
              </w:rPr>
              <w:fldChar w:fldCharType="separate"/>
            </w:r>
            <w:r w:rsidR="0051128E">
              <w:rPr>
                <w:noProof/>
                <w:webHidden/>
              </w:rPr>
              <w:t>412</w:t>
            </w:r>
            <w:r w:rsidR="0051128E">
              <w:rPr>
                <w:noProof/>
                <w:webHidden/>
              </w:rPr>
              <w:fldChar w:fldCharType="end"/>
            </w:r>
          </w:hyperlink>
        </w:p>
        <w:p w14:paraId="116B5FB0" w14:textId="0C6588D3" w:rsidR="0051128E" w:rsidRDefault="001C7A9B">
          <w:pPr>
            <w:pStyle w:val="TOC3"/>
            <w:tabs>
              <w:tab w:val="left" w:pos="1134"/>
            </w:tabs>
            <w:rPr>
              <w:rFonts w:eastAsiaTheme="minorEastAsia"/>
              <w:noProof/>
              <w:color w:val="auto"/>
              <w:kern w:val="0"/>
              <w:sz w:val="22"/>
              <w:szCs w:val="22"/>
              <w:lang w:eastAsia="en-AU"/>
            </w:rPr>
          </w:pPr>
          <w:hyperlink w:anchor="_Toc140239818" w:history="1">
            <w:r w:rsidR="0051128E" w:rsidRPr="005D0E7A">
              <w:rPr>
                <w:rStyle w:val="Hyperlink"/>
                <w:noProof/>
              </w:rPr>
              <w:t>27.</w:t>
            </w:r>
            <w:r w:rsidR="0051128E">
              <w:rPr>
                <w:rFonts w:eastAsiaTheme="minorEastAsia"/>
                <w:noProof/>
                <w:color w:val="auto"/>
                <w:kern w:val="0"/>
                <w:sz w:val="22"/>
                <w:szCs w:val="22"/>
                <w:lang w:eastAsia="en-AU"/>
              </w:rPr>
              <w:tab/>
            </w:r>
            <w:r w:rsidR="0051128E" w:rsidRPr="005D0E7A">
              <w:rPr>
                <w:rStyle w:val="Hyperlink"/>
                <w:noProof/>
              </w:rPr>
              <w:t>Resting points</w:t>
            </w:r>
            <w:r w:rsidR="0051128E">
              <w:rPr>
                <w:noProof/>
                <w:webHidden/>
              </w:rPr>
              <w:tab/>
            </w:r>
            <w:r w:rsidR="0051128E">
              <w:rPr>
                <w:noProof/>
                <w:webHidden/>
              </w:rPr>
              <w:fldChar w:fldCharType="begin"/>
            </w:r>
            <w:r w:rsidR="0051128E">
              <w:rPr>
                <w:noProof/>
                <w:webHidden/>
              </w:rPr>
              <w:instrText xml:space="preserve"> PAGEREF _Toc140239818 \h </w:instrText>
            </w:r>
            <w:r w:rsidR="0051128E">
              <w:rPr>
                <w:noProof/>
                <w:webHidden/>
              </w:rPr>
            </w:r>
            <w:r w:rsidR="0051128E">
              <w:rPr>
                <w:noProof/>
                <w:webHidden/>
              </w:rPr>
              <w:fldChar w:fldCharType="separate"/>
            </w:r>
            <w:r w:rsidR="0051128E">
              <w:rPr>
                <w:noProof/>
                <w:webHidden/>
              </w:rPr>
              <w:t>413</w:t>
            </w:r>
            <w:r w:rsidR="0051128E">
              <w:rPr>
                <w:noProof/>
                <w:webHidden/>
              </w:rPr>
              <w:fldChar w:fldCharType="end"/>
            </w:r>
          </w:hyperlink>
        </w:p>
        <w:p w14:paraId="5F429CC8" w14:textId="13718F9E" w:rsidR="0051128E" w:rsidRDefault="001C7A9B">
          <w:pPr>
            <w:pStyle w:val="TOC3"/>
            <w:tabs>
              <w:tab w:val="left" w:pos="1134"/>
            </w:tabs>
            <w:rPr>
              <w:rFonts w:eastAsiaTheme="minorEastAsia"/>
              <w:noProof/>
              <w:color w:val="auto"/>
              <w:kern w:val="0"/>
              <w:sz w:val="22"/>
              <w:szCs w:val="22"/>
              <w:lang w:eastAsia="en-AU"/>
            </w:rPr>
          </w:pPr>
          <w:hyperlink w:anchor="_Toc140239819" w:history="1">
            <w:r w:rsidR="0051128E" w:rsidRPr="005D0E7A">
              <w:rPr>
                <w:rStyle w:val="Hyperlink"/>
                <w:noProof/>
              </w:rPr>
              <w:t>28.</w:t>
            </w:r>
            <w:r w:rsidR="0051128E">
              <w:rPr>
                <w:rFonts w:eastAsiaTheme="minorEastAsia"/>
                <w:noProof/>
                <w:color w:val="auto"/>
                <w:kern w:val="0"/>
                <w:sz w:val="22"/>
                <w:szCs w:val="22"/>
                <w:lang w:eastAsia="en-AU"/>
              </w:rPr>
              <w:tab/>
            </w:r>
            <w:r w:rsidR="0051128E" w:rsidRPr="005D0E7A">
              <w:rPr>
                <w:rStyle w:val="Hyperlink"/>
                <w:noProof/>
              </w:rPr>
              <w:t>Requirements for handrails in over bridges and subways</w:t>
            </w:r>
            <w:r w:rsidR="0051128E">
              <w:rPr>
                <w:noProof/>
                <w:webHidden/>
              </w:rPr>
              <w:tab/>
            </w:r>
            <w:r w:rsidR="0051128E">
              <w:rPr>
                <w:noProof/>
                <w:webHidden/>
              </w:rPr>
              <w:fldChar w:fldCharType="begin"/>
            </w:r>
            <w:r w:rsidR="0051128E">
              <w:rPr>
                <w:noProof/>
                <w:webHidden/>
              </w:rPr>
              <w:instrText xml:space="preserve"> PAGEREF _Toc140239819 \h </w:instrText>
            </w:r>
            <w:r w:rsidR="0051128E">
              <w:rPr>
                <w:noProof/>
                <w:webHidden/>
              </w:rPr>
            </w:r>
            <w:r w:rsidR="0051128E">
              <w:rPr>
                <w:noProof/>
                <w:webHidden/>
              </w:rPr>
              <w:fldChar w:fldCharType="separate"/>
            </w:r>
            <w:r w:rsidR="0051128E">
              <w:rPr>
                <w:noProof/>
                <w:webHidden/>
              </w:rPr>
              <w:t>415</w:t>
            </w:r>
            <w:r w:rsidR="0051128E">
              <w:rPr>
                <w:noProof/>
                <w:webHidden/>
              </w:rPr>
              <w:fldChar w:fldCharType="end"/>
            </w:r>
          </w:hyperlink>
        </w:p>
        <w:p w14:paraId="19858731" w14:textId="157AE990" w:rsidR="0051128E" w:rsidRDefault="001C7A9B">
          <w:pPr>
            <w:pStyle w:val="TOC3"/>
            <w:tabs>
              <w:tab w:val="left" w:pos="1134"/>
            </w:tabs>
            <w:rPr>
              <w:rFonts w:eastAsiaTheme="minorEastAsia"/>
              <w:noProof/>
              <w:color w:val="auto"/>
              <w:kern w:val="0"/>
              <w:sz w:val="22"/>
              <w:szCs w:val="22"/>
              <w:lang w:eastAsia="en-AU"/>
            </w:rPr>
          </w:pPr>
          <w:hyperlink w:anchor="_Toc140239820" w:history="1">
            <w:r w:rsidR="0051128E" w:rsidRPr="005D0E7A">
              <w:rPr>
                <w:rStyle w:val="Hyperlink"/>
                <w:noProof/>
              </w:rPr>
              <w:t>29.</w:t>
            </w:r>
            <w:r w:rsidR="0051128E">
              <w:rPr>
                <w:rFonts w:eastAsiaTheme="minorEastAsia"/>
                <w:noProof/>
                <w:color w:val="auto"/>
                <w:kern w:val="0"/>
                <w:sz w:val="22"/>
                <w:szCs w:val="22"/>
                <w:lang w:eastAsia="en-AU"/>
              </w:rPr>
              <w:tab/>
            </w:r>
            <w:r w:rsidR="0051128E" w:rsidRPr="005D0E7A">
              <w:rPr>
                <w:rStyle w:val="Hyperlink"/>
                <w:noProof/>
              </w:rPr>
              <w:t>Location of fare system elements</w:t>
            </w:r>
            <w:r w:rsidR="0051128E">
              <w:rPr>
                <w:noProof/>
                <w:webHidden/>
              </w:rPr>
              <w:tab/>
            </w:r>
            <w:r w:rsidR="0051128E">
              <w:rPr>
                <w:noProof/>
                <w:webHidden/>
              </w:rPr>
              <w:fldChar w:fldCharType="begin"/>
            </w:r>
            <w:r w:rsidR="0051128E">
              <w:rPr>
                <w:noProof/>
                <w:webHidden/>
              </w:rPr>
              <w:instrText xml:space="preserve"> PAGEREF _Toc140239820 \h </w:instrText>
            </w:r>
            <w:r w:rsidR="0051128E">
              <w:rPr>
                <w:noProof/>
                <w:webHidden/>
              </w:rPr>
            </w:r>
            <w:r w:rsidR="0051128E">
              <w:rPr>
                <w:noProof/>
                <w:webHidden/>
              </w:rPr>
              <w:fldChar w:fldCharType="separate"/>
            </w:r>
            <w:r w:rsidR="0051128E">
              <w:rPr>
                <w:noProof/>
                <w:webHidden/>
              </w:rPr>
              <w:t>416</w:t>
            </w:r>
            <w:r w:rsidR="0051128E">
              <w:rPr>
                <w:noProof/>
                <w:webHidden/>
              </w:rPr>
              <w:fldChar w:fldCharType="end"/>
            </w:r>
          </w:hyperlink>
        </w:p>
        <w:p w14:paraId="32A010CF" w14:textId="32B49C52" w:rsidR="0051128E" w:rsidRDefault="001C7A9B">
          <w:pPr>
            <w:pStyle w:val="TOC3"/>
            <w:tabs>
              <w:tab w:val="left" w:pos="1134"/>
            </w:tabs>
            <w:rPr>
              <w:rFonts w:eastAsiaTheme="minorEastAsia"/>
              <w:noProof/>
              <w:color w:val="auto"/>
              <w:kern w:val="0"/>
              <w:sz w:val="22"/>
              <w:szCs w:val="22"/>
              <w:lang w:eastAsia="en-AU"/>
            </w:rPr>
          </w:pPr>
          <w:hyperlink w:anchor="_Toc140239821" w:history="1">
            <w:r w:rsidR="0051128E" w:rsidRPr="005D0E7A">
              <w:rPr>
                <w:rStyle w:val="Hyperlink"/>
                <w:noProof/>
              </w:rPr>
              <w:t>30.</w:t>
            </w:r>
            <w:r w:rsidR="0051128E">
              <w:rPr>
                <w:rFonts w:eastAsiaTheme="minorEastAsia"/>
                <w:noProof/>
                <w:color w:val="auto"/>
                <w:kern w:val="0"/>
                <w:sz w:val="22"/>
                <w:szCs w:val="22"/>
                <w:lang w:eastAsia="en-AU"/>
              </w:rPr>
              <w:tab/>
            </w:r>
            <w:r w:rsidR="0051128E" w:rsidRPr="005D0E7A">
              <w:rPr>
                <w:rStyle w:val="Hyperlink"/>
                <w:noProof/>
              </w:rPr>
              <w:t>Allocated spaces and priority seating in waiting areas</w:t>
            </w:r>
            <w:r w:rsidR="0051128E">
              <w:rPr>
                <w:noProof/>
                <w:webHidden/>
              </w:rPr>
              <w:tab/>
            </w:r>
            <w:r w:rsidR="0051128E">
              <w:rPr>
                <w:noProof/>
                <w:webHidden/>
              </w:rPr>
              <w:fldChar w:fldCharType="begin"/>
            </w:r>
            <w:r w:rsidR="0051128E">
              <w:rPr>
                <w:noProof/>
                <w:webHidden/>
              </w:rPr>
              <w:instrText xml:space="preserve"> PAGEREF _Toc140239821 \h </w:instrText>
            </w:r>
            <w:r w:rsidR="0051128E">
              <w:rPr>
                <w:noProof/>
                <w:webHidden/>
              </w:rPr>
            </w:r>
            <w:r w:rsidR="0051128E">
              <w:rPr>
                <w:noProof/>
                <w:webHidden/>
              </w:rPr>
              <w:fldChar w:fldCharType="separate"/>
            </w:r>
            <w:r w:rsidR="0051128E">
              <w:rPr>
                <w:noProof/>
                <w:webHidden/>
              </w:rPr>
              <w:t>418</w:t>
            </w:r>
            <w:r w:rsidR="0051128E">
              <w:rPr>
                <w:noProof/>
                <w:webHidden/>
              </w:rPr>
              <w:fldChar w:fldCharType="end"/>
            </w:r>
          </w:hyperlink>
        </w:p>
        <w:p w14:paraId="41B19CE8" w14:textId="5E9249E1" w:rsidR="0051128E" w:rsidRDefault="001C7A9B">
          <w:pPr>
            <w:pStyle w:val="TOC3"/>
            <w:tabs>
              <w:tab w:val="left" w:pos="1134"/>
            </w:tabs>
            <w:rPr>
              <w:rFonts w:eastAsiaTheme="minorEastAsia"/>
              <w:noProof/>
              <w:color w:val="auto"/>
              <w:kern w:val="0"/>
              <w:sz w:val="22"/>
              <w:szCs w:val="22"/>
              <w:lang w:eastAsia="en-AU"/>
            </w:rPr>
          </w:pPr>
          <w:hyperlink w:anchor="_Toc140239822" w:history="1">
            <w:r w:rsidR="0051128E" w:rsidRPr="005D0E7A">
              <w:rPr>
                <w:rStyle w:val="Hyperlink"/>
                <w:noProof/>
              </w:rPr>
              <w:t>31.</w:t>
            </w:r>
            <w:r w:rsidR="0051128E">
              <w:rPr>
                <w:rFonts w:eastAsiaTheme="minorEastAsia"/>
                <w:noProof/>
                <w:color w:val="auto"/>
                <w:kern w:val="0"/>
                <w:sz w:val="22"/>
                <w:szCs w:val="22"/>
                <w:lang w:eastAsia="en-AU"/>
              </w:rPr>
              <w:tab/>
            </w:r>
            <w:r w:rsidR="0051128E" w:rsidRPr="005D0E7A">
              <w:rPr>
                <w:rStyle w:val="Hyperlink"/>
                <w:noProof/>
              </w:rPr>
              <w:t>Accessible toilets with equal proportion of left- and right-hand configurations</w:t>
            </w:r>
            <w:r w:rsidR="0051128E">
              <w:rPr>
                <w:noProof/>
                <w:webHidden/>
              </w:rPr>
              <w:tab/>
            </w:r>
            <w:r w:rsidR="0051128E">
              <w:rPr>
                <w:noProof/>
                <w:webHidden/>
              </w:rPr>
              <w:fldChar w:fldCharType="begin"/>
            </w:r>
            <w:r w:rsidR="0051128E">
              <w:rPr>
                <w:noProof/>
                <w:webHidden/>
              </w:rPr>
              <w:instrText xml:space="preserve"> PAGEREF _Toc140239822 \h </w:instrText>
            </w:r>
            <w:r w:rsidR="0051128E">
              <w:rPr>
                <w:noProof/>
                <w:webHidden/>
              </w:rPr>
            </w:r>
            <w:r w:rsidR="0051128E">
              <w:rPr>
                <w:noProof/>
                <w:webHidden/>
              </w:rPr>
              <w:fldChar w:fldCharType="separate"/>
            </w:r>
            <w:r w:rsidR="0051128E">
              <w:rPr>
                <w:noProof/>
                <w:webHidden/>
              </w:rPr>
              <w:t>420</w:t>
            </w:r>
            <w:r w:rsidR="0051128E">
              <w:rPr>
                <w:noProof/>
                <w:webHidden/>
              </w:rPr>
              <w:fldChar w:fldCharType="end"/>
            </w:r>
          </w:hyperlink>
        </w:p>
        <w:p w14:paraId="55DD439A" w14:textId="1E697268" w:rsidR="0051128E" w:rsidRDefault="001C7A9B">
          <w:pPr>
            <w:pStyle w:val="TOC3"/>
            <w:tabs>
              <w:tab w:val="left" w:pos="1134"/>
            </w:tabs>
            <w:rPr>
              <w:rFonts w:eastAsiaTheme="minorEastAsia"/>
              <w:noProof/>
              <w:color w:val="auto"/>
              <w:kern w:val="0"/>
              <w:sz w:val="22"/>
              <w:szCs w:val="22"/>
              <w:lang w:eastAsia="en-AU"/>
            </w:rPr>
          </w:pPr>
          <w:hyperlink w:anchor="_Toc140239823" w:history="1">
            <w:r w:rsidR="0051128E" w:rsidRPr="005D0E7A">
              <w:rPr>
                <w:rStyle w:val="Hyperlink"/>
                <w:noProof/>
              </w:rPr>
              <w:t>32.</w:t>
            </w:r>
            <w:r w:rsidR="0051128E">
              <w:rPr>
                <w:rFonts w:eastAsiaTheme="minorEastAsia"/>
                <w:noProof/>
                <w:color w:val="auto"/>
                <w:kern w:val="0"/>
                <w:sz w:val="22"/>
                <w:szCs w:val="22"/>
                <w:lang w:eastAsia="en-AU"/>
              </w:rPr>
              <w:tab/>
            </w:r>
            <w:r w:rsidR="0051128E" w:rsidRPr="005D0E7A">
              <w:rPr>
                <w:rStyle w:val="Hyperlink"/>
                <w:noProof/>
              </w:rPr>
              <w:t>Emergency call buttons in accessible toilets</w:t>
            </w:r>
            <w:r w:rsidR="0051128E">
              <w:rPr>
                <w:noProof/>
                <w:webHidden/>
              </w:rPr>
              <w:tab/>
            </w:r>
            <w:r w:rsidR="0051128E">
              <w:rPr>
                <w:noProof/>
                <w:webHidden/>
              </w:rPr>
              <w:fldChar w:fldCharType="begin"/>
            </w:r>
            <w:r w:rsidR="0051128E">
              <w:rPr>
                <w:noProof/>
                <w:webHidden/>
              </w:rPr>
              <w:instrText xml:space="preserve"> PAGEREF _Toc140239823 \h </w:instrText>
            </w:r>
            <w:r w:rsidR="0051128E">
              <w:rPr>
                <w:noProof/>
                <w:webHidden/>
              </w:rPr>
            </w:r>
            <w:r w:rsidR="0051128E">
              <w:rPr>
                <w:noProof/>
                <w:webHidden/>
              </w:rPr>
              <w:fldChar w:fldCharType="separate"/>
            </w:r>
            <w:r w:rsidR="0051128E">
              <w:rPr>
                <w:noProof/>
                <w:webHidden/>
              </w:rPr>
              <w:t>421</w:t>
            </w:r>
            <w:r w:rsidR="0051128E">
              <w:rPr>
                <w:noProof/>
                <w:webHidden/>
              </w:rPr>
              <w:fldChar w:fldCharType="end"/>
            </w:r>
          </w:hyperlink>
        </w:p>
        <w:p w14:paraId="24774430" w14:textId="2B338029" w:rsidR="0051128E" w:rsidRDefault="001C7A9B">
          <w:pPr>
            <w:pStyle w:val="TOC3"/>
            <w:tabs>
              <w:tab w:val="left" w:pos="1134"/>
            </w:tabs>
            <w:rPr>
              <w:rFonts w:eastAsiaTheme="minorEastAsia"/>
              <w:noProof/>
              <w:color w:val="auto"/>
              <w:kern w:val="0"/>
              <w:sz w:val="22"/>
              <w:szCs w:val="22"/>
              <w:lang w:eastAsia="en-AU"/>
            </w:rPr>
          </w:pPr>
          <w:hyperlink w:anchor="_Toc140239824" w:history="1">
            <w:r w:rsidR="0051128E" w:rsidRPr="005D0E7A">
              <w:rPr>
                <w:rStyle w:val="Hyperlink"/>
                <w:noProof/>
              </w:rPr>
              <w:t>33.</w:t>
            </w:r>
            <w:r w:rsidR="0051128E">
              <w:rPr>
                <w:rFonts w:eastAsiaTheme="minorEastAsia"/>
                <w:noProof/>
                <w:color w:val="auto"/>
                <w:kern w:val="0"/>
                <w:sz w:val="22"/>
                <w:szCs w:val="22"/>
                <w:lang w:eastAsia="en-AU"/>
              </w:rPr>
              <w:tab/>
            </w:r>
            <w:r w:rsidR="0051128E" w:rsidRPr="005D0E7A">
              <w:rPr>
                <w:rStyle w:val="Hyperlink"/>
                <w:noProof/>
              </w:rPr>
              <w:t>Ambulant toilets</w:t>
            </w:r>
            <w:r w:rsidR="0051128E">
              <w:rPr>
                <w:noProof/>
                <w:webHidden/>
              </w:rPr>
              <w:tab/>
            </w:r>
            <w:r w:rsidR="0051128E">
              <w:rPr>
                <w:noProof/>
                <w:webHidden/>
              </w:rPr>
              <w:fldChar w:fldCharType="begin"/>
            </w:r>
            <w:r w:rsidR="0051128E">
              <w:rPr>
                <w:noProof/>
                <w:webHidden/>
              </w:rPr>
              <w:instrText xml:space="preserve"> PAGEREF _Toc140239824 \h </w:instrText>
            </w:r>
            <w:r w:rsidR="0051128E">
              <w:rPr>
                <w:noProof/>
                <w:webHidden/>
              </w:rPr>
            </w:r>
            <w:r w:rsidR="0051128E">
              <w:rPr>
                <w:noProof/>
                <w:webHidden/>
              </w:rPr>
              <w:fldChar w:fldCharType="separate"/>
            </w:r>
            <w:r w:rsidR="0051128E">
              <w:rPr>
                <w:noProof/>
                <w:webHidden/>
              </w:rPr>
              <w:t>424</w:t>
            </w:r>
            <w:r w:rsidR="0051128E">
              <w:rPr>
                <w:noProof/>
                <w:webHidden/>
              </w:rPr>
              <w:fldChar w:fldCharType="end"/>
            </w:r>
          </w:hyperlink>
        </w:p>
        <w:p w14:paraId="0E7FA5BB" w14:textId="71EBBA75" w:rsidR="0051128E" w:rsidRDefault="001C7A9B">
          <w:pPr>
            <w:pStyle w:val="TOC3"/>
            <w:tabs>
              <w:tab w:val="left" w:pos="1134"/>
            </w:tabs>
            <w:rPr>
              <w:rFonts w:eastAsiaTheme="minorEastAsia"/>
              <w:noProof/>
              <w:color w:val="auto"/>
              <w:kern w:val="0"/>
              <w:sz w:val="22"/>
              <w:szCs w:val="22"/>
              <w:lang w:eastAsia="en-AU"/>
            </w:rPr>
          </w:pPr>
          <w:hyperlink w:anchor="_Toc140239825" w:history="1">
            <w:r w:rsidR="0051128E" w:rsidRPr="005D0E7A">
              <w:rPr>
                <w:rStyle w:val="Hyperlink"/>
                <w:noProof/>
              </w:rPr>
              <w:t>34.</w:t>
            </w:r>
            <w:r w:rsidR="0051128E">
              <w:rPr>
                <w:rFonts w:eastAsiaTheme="minorEastAsia"/>
                <w:noProof/>
                <w:color w:val="auto"/>
                <w:kern w:val="0"/>
                <w:sz w:val="22"/>
                <w:szCs w:val="22"/>
                <w:lang w:eastAsia="en-AU"/>
              </w:rPr>
              <w:tab/>
            </w:r>
            <w:r w:rsidR="0051128E" w:rsidRPr="005D0E7A">
              <w:rPr>
                <w:rStyle w:val="Hyperlink"/>
                <w:noProof/>
              </w:rPr>
              <w:t>Lift specifications and enhancements</w:t>
            </w:r>
            <w:r w:rsidR="0051128E">
              <w:rPr>
                <w:noProof/>
                <w:webHidden/>
              </w:rPr>
              <w:tab/>
            </w:r>
            <w:r w:rsidR="0051128E">
              <w:rPr>
                <w:noProof/>
                <w:webHidden/>
              </w:rPr>
              <w:fldChar w:fldCharType="begin"/>
            </w:r>
            <w:r w:rsidR="0051128E">
              <w:rPr>
                <w:noProof/>
                <w:webHidden/>
              </w:rPr>
              <w:instrText xml:space="preserve"> PAGEREF _Toc140239825 \h </w:instrText>
            </w:r>
            <w:r w:rsidR="0051128E">
              <w:rPr>
                <w:noProof/>
                <w:webHidden/>
              </w:rPr>
            </w:r>
            <w:r w:rsidR="0051128E">
              <w:rPr>
                <w:noProof/>
                <w:webHidden/>
              </w:rPr>
              <w:fldChar w:fldCharType="separate"/>
            </w:r>
            <w:r w:rsidR="0051128E">
              <w:rPr>
                <w:noProof/>
                <w:webHidden/>
              </w:rPr>
              <w:t>425</w:t>
            </w:r>
            <w:r w:rsidR="0051128E">
              <w:rPr>
                <w:noProof/>
                <w:webHidden/>
              </w:rPr>
              <w:fldChar w:fldCharType="end"/>
            </w:r>
          </w:hyperlink>
        </w:p>
        <w:p w14:paraId="5205A490" w14:textId="73B7F617" w:rsidR="0051128E" w:rsidRDefault="001C7A9B">
          <w:pPr>
            <w:pStyle w:val="TOC3"/>
            <w:tabs>
              <w:tab w:val="left" w:pos="1134"/>
            </w:tabs>
            <w:rPr>
              <w:rFonts w:eastAsiaTheme="minorEastAsia"/>
              <w:noProof/>
              <w:color w:val="auto"/>
              <w:kern w:val="0"/>
              <w:sz w:val="22"/>
              <w:szCs w:val="22"/>
              <w:lang w:eastAsia="en-AU"/>
            </w:rPr>
          </w:pPr>
          <w:hyperlink w:anchor="_Toc140239826" w:history="1">
            <w:r w:rsidR="0051128E" w:rsidRPr="005D0E7A">
              <w:rPr>
                <w:rStyle w:val="Hyperlink"/>
                <w:noProof/>
              </w:rPr>
              <w:t>35.</w:t>
            </w:r>
            <w:r w:rsidR="0051128E">
              <w:rPr>
                <w:rFonts w:eastAsiaTheme="minorEastAsia"/>
                <w:noProof/>
                <w:color w:val="auto"/>
                <w:kern w:val="0"/>
                <w:sz w:val="22"/>
                <w:szCs w:val="22"/>
                <w:lang w:eastAsia="en-AU"/>
              </w:rPr>
              <w:tab/>
            </w:r>
            <w:r w:rsidR="0051128E" w:rsidRPr="005D0E7A">
              <w:rPr>
                <w:rStyle w:val="Hyperlink"/>
                <w:noProof/>
              </w:rPr>
              <w:t>Specifications for escalators and inclined travellators</w:t>
            </w:r>
            <w:r w:rsidR="0051128E">
              <w:rPr>
                <w:noProof/>
                <w:webHidden/>
              </w:rPr>
              <w:tab/>
            </w:r>
            <w:r w:rsidR="0051128E">
              <w:rPr>
                <w:noProof/>
                <w:webHidden/>
              </w:rPr>
              <w:fldChar w:fldCharType="begin"/>
            </w:r>
            <w:r w:rsidR="0051128E">
              <w:rPr>
                <w:noProof/>
                <w:webHidden/>
              </w:rPr>
              <w:instrText xml:space="preserve"> PAGEREF _Toc140239826 \h </w:instrText>
            </w:r>
            <w:r w:rsidR="0051128E">
              <w:rPr>
                <w:noProof/>
                <w:webHidden/>
              </w:rPr>
            </w:r>
            <w:r w:rsidR="0051128E">
              <w:rPr>
                <w:noProof/>
                <w:webHidden/>
              </w:rPr>
              <w:fldChar w:fldCharType="separate"/>
            </w:r>
            <w:r w:rsidR="0051128E">
              <w:rPr>
                <w:noProof/>
                <w:webHidden/>
              </w:rPr>
              <w:t>426</w:t>
            </w:r>
            <w:r w:rsidR="0051128E">
              <w:rPr>
                <w:noProof/>
                <w:webHidden/>
              </w:rPr>
              <w:fldChar w:fldCharType="end"/>
            </w:r>
          </w:hyperlink>
        </w:p>
        <w:p w14:paraId="3D8719E7" w14:textId="66FC71E5" w:rsidR="0051128E" w:rsidRDefault="001C7A9B">
          <w:pPr>
            <w:pStyle w:val="TOC3"/>
            <w:tabs>
              <w:tab w:val="left" w:pos="1134"/>
            </w:tabs>
            <w:rPr>
              <w:rFonts w:eastAsiaTheme="minorEastAsia"/>
              <w:noProof/>
              <w:color w:val="auto"/>
              <w:kern w:val="0"/>
              <w:sz w:val="22"/>
              <w:szCs w:val="22"/>
              <w:lang w:eastAsia="en-AU"/>
            </w:rPr>
          </w:pPr>
          <w:hyperlink w:anchor="_Toc140239827" w:history="1">
            <w:r w:rsidR="0051128E" w:rsidRPr="005D0E7A">
              <w:rPr>
                <w:rStyle w:val="Hyperlink"/>
                <w:noProof/>
              </w:rPr>
              <w:t>36.</w:t>
            </w:r>
            <w:r w:rsidR="0051128E">
              <w:rPr>
                <w:rFonts w:eastAsiaTheme="minorEastAsia"/>
                <w:noProof/>
                <w:color w:val="auto"/>
                <w:kern w:val="0"/>
                <w:sz w:val="22"/>
                <w:szCs w:val="22"/>
                <w:lang w:eastAsia="en-AU"/>
              </w:rPr>
              <w:tab/>
            </w:r>
            <w:r w:rsidR="0051128E" w:rsidRPr="005D0E7A">
              <w:rPr>
                <w:rStyle w:val="Hyperlink"/>
                <w:noProof/>
              </w:rPr>
              <w:t>Poles, objects and luminous contrast</w:t>
            </w:r>
            <w:r w:rsidR="0051128E">
              <w:rPr>
                <w:noProof/>
                <w:webHidden/>
              </w:rPr>
              <w:tab/>
            </w:r>
            <w:r w:rsidR="0051128E">
              <w:rPr>
                <w:noProof/>
                <w:webHidden/>
              </w:rPr>
              <w:fldChar w:fldCharType="begin"/>
            </w:r>
            <w:r w:rsidR="0051128E">
              <w:rPr>
                <w:noProof/>
                <w:webHidden/>
              </w:rPr>
              <w:instrText xml:space="preserve"> PAGEREF _Toc140239827 \h </w:instrText>
            </w:r>
            <w:r w:rsidR="0051128E">
              <w:rPr>
                <w:noProof/>
                <w:webHidden/>
              </w:rPr>
            </w:r>
            <w:r w:rsidR="0051128E">
              <w:rPr>
                <w:noProof/>
                <w:webHidden/>
              </w:rPr>
              <w:fldChar w:fldCharType="separate"/>
            </w:r>
            <w:r w:rsidR="0051128E">
              <w:rPr>
                <w:noProof/>
                <w:webHidden/>
              </w:rPr>
              <w:t>428</w:t>
            </w:r>
            <w:r w:rsidR="0051128E">
              <w:rPr>
                <w:noProof/>
                <w:webHidden/>
              </w:rPr>
              <w:fldChar w:fldCharType="end"/>
            </w:r>
          </w:hyperlink>
        </w:p>
        <w:p w14:paraId="02F99AD9" w14:textId="5E3E6693" w:rsidR="0051128E" w:rsidRDefault="001C7A9B">
          <w:pPr>
            <w:pStyle w:val="TOC3"/>
            <w:tabs>
              <w:tab w:val="left" w:pos="1134"/>
            </w:tabs>
            <w:rPr>
              <w:rFonts w:eastAsiaTheme="minorEastAsia"/>
              <w:noProof/>
              <w:color w:val="auto"/>
              <w:kern w:val="0"/>
              <w:sz w:val="22"/>
              <w:szCs w:val="22"/>
              <w:lang w:eastAsia="en-AU"/>
            </w:rPr>
          </w:pPr>
          <w:hyperlink w:anchor="_Toc140239828" w:history="1">
            <w:r w:rsidR="0051128E" w:rsidRPr="005D0E7A">
              <w:rPr>
                <w:rStyle w:val="Hyperlink"/>
                <w:noProof/>
              </w:rPr>
              <w:t>37.</w:t>
            </w:r>
            <w:r w:rsidR="0051128E">
              <w:rPr>
                <w:rFonts w:eastAsiaTheme="minorEastAsia"/>
                <w:noProof/>
                <w:color w:val="auto"/>
                <w:kern w:val="0"/>
                <w:sz w:val="22"/>
                <w:szCs w:val="22"/>
                <w:lang w:eastAsia="en-AU"/>
              </w:rPr>
              <w:tab/>
            </w:r>
            <w:r w:rsidR="0051128E" w:rsidRPr="005D0E7A">
              <w:rPr>
                <w:rStyle w:val="Hyperlink"/>
                <w:noProof/>
              </w:rPr>
              <w:t>Lighting</w:t>
            </w:r>
            <w:r w:rsidR="0051128E">
              <w:rPr>
                <w:noProof/>
                <w:webHidden/>
              </w:rPr>
              <w:tab/>
            </w:r>
            <w:r w:rsidR="0051128E">
              <w:rPr>
                <w:noProof/>
                <w:webHidden/>
              </w:rPr>
              <w:fldChar w:fldCharType="begin"/>
            </w:r>
            <w:r w:rsidR="0051128E">
              <w:rPr>
                <w:noProof/>
                <w:webHidden/>
              </w:rPr>
              <w:instrText xml:space="preserve"> PAGEREF _Toc140239828 \h </w:instrText>
            </w:r>
            <w:r w:rsidR="0051128E">
              <w:rPr>
                <w:noProof/>
                <w:webHidden/>
              </w:rPr>
            </w:r>
            <w:r w:rsidR="0051128E">
              <w:rPr>
                <w:noProof/>
                <w:webHidden/>
              </w:rPr>
              <w:fldChar w:fldCharType="separate"/>
            </w:r>
            <w:r w:rsidR="0051128E">
              <w:rPr>
                <w:noProof/>
                <w:webHidden/>
              </w:rPr>
              <w:t>430</w:t>
            </w:r>
            <w:r w:rsidR="0051128E">
              <w:rPr>
                <w:noProof/>
                <w:webHidden/>
              </w:rPr>
              <w:fldChar w:fldCharType="end"/>
            </w:r>
          </w:hyperlink>
        </w:p>
        <w:p w14:paraId="3CB627D6" w14:textId="0B45523F" w:rsidR="0051128E" w:rsidRDefault="001C7A9B">
          <w:pPr>
            <w:pStyle w:val="TOC3"/>
            <w:tabs>
              <w:tab w:val="left" w:pos="1134"/>
            </w:tabs>
            <w:rPr>
              <w:rFonts w:eastAsiaTheme="minorEastAsia"/>
              <w:noProof/>
              <w:color w:val="auto"/>
              <w:kern w:val="0"/>
              <w:sz w:val="22"/>
              <w:szCs w:val="22"/>
              <w:lang w:eastAsia="en-AU"/>
            </w:rPr>
          </w:pPr>
          <w:hyperlink w:anchor="_Toc140239829" w:history="1">
            <w:r w:rsidR="0051128E" w:rsidRPr="005D0E7A">
              <w:rPr>
                <w:rStyle w:val="Hyperlink"/>
                <w:noProof/>
              </w:rPr>
              <w:t>38.</w:t>
            </w:r>
            <w:r w:rsidR="0051128E">
              <w:rPr>
                <w:rFonts w:eastAsiaTheme="minorEastAsia"/>
                <w:noProof/>
                <w:color w:val="auto"/>
                <w:kern w:val="0"/>
                <w:sz w:val="22"/>
                <w:szCs w:val="22"/>
                <w:lang w:eastAsia="en-AU"/>
              </w:rPr>
              <w:tab/>
            </w:r>
            <w:r w:rsidR="0051128E" w:rsidRPr="005D0E7A">
              <w:rPr>
                <w:rStyle w:val="Hyperlink"/>
                <w:noProof/>
              </w:rPr>
              <w:t>Signals and process for requesting boarding devices</w:t>
            </w:r>
            <w:r w:rsidR="0051128E">
              <w:rPr>
                <w:noProof/>
                <w:webHidden/>
              </w:rPr>
              <w:tab/>
            </w:r>
            <w:r w:rsidR="0051128E">
              <w:rPr>
                <w:noProof/>
                <w:webHidden/>
              </w:rPr>
              <w:fldChar w:fldCharType="begin"/>
            </w:r>
            <w:r w:rsidR="0051128E">
              <w:rPr>
                <w:noProof/>
                <w:webHidden/>
              </w:rPr>
              <w:instrText xml:space="preserve"> PAGEREF _Toc140239829 \h </w:instrText>
            </w:r>
            <w:r w:rsidR="0051128E">
              <w:rPr>
                <w:noProof/>
                <w:webHidden/>
              </w:rPr>
            </w:r>
            <w:r w:rsidR="0051128E">
              <w:rPr>
                <w:noProof/>
                <w:webHidden/>
              </w:rPr>
              <w:fldChar w:fldCharType="separate"/>
            </w:r>
            <w:r w:rsidR="0051128E">
              <w:rPr>
                <w:noProof/>
                <w:webHidden/>
              </w:rPr>
              <w:t>442</w:t>
            </w:r>
            <w:r w:rsidR="0051128E">
              <w:rPr>
                <w:noProof/>
                <w:webHidden/>
              </w:rPr>
              <w:fldChar w:fldCharType="end"/>
            </w:r>
          </w:hyperlink>
        </w:p>
        <w:p w14:paraId="33230EA4" w14:textId="1EF22841" w:rsidR="0051128E" w:rsidRDefault="001C7A9B">
          <w:pPr>
            <w:pStyle w:val="TOC3"/>
            <w:tabs>
              <w:tab w:val="left" w:pos="1134"/>
            </w:tabs>
            <w:rPr>
              <w:rFonts w:eastAsiaTheme="minorEastAsia"/>
              <w:noProof/>
              <w:color w:val="auto"/>
              <w:kern w:val="0"/>
              <w:sz w:val="22"/>
              <w:szCs w:val="22"/>
              <w:lang w:eastAsia="en-AU"/>
            </w:rPr>
          </w:pPr>
          <w:hyperlink w:anchor="_Toc140239830" w:history="1">
            <w:r w:rsidR="0051128E" w:rsidRPr="005D0E7A">
              <w:rPr>
                <w:rStyle w:val="Hyperlink"/>
                <w:noProof/>
              </w:rPr>
              <w:t>39.</w:t>
            </w:r>
            <w:r w:rsidR="0051128E">
              <w:rPr>
                <w:rFonts w:eastAsiaTheme="minorEastAsia"/>
                <w:noProof/>
                <w:color w:val="auto"/>
                <w:kern w:val="0"/>
                <w:sz w:val="22"/>
                <w:szCs w:val="22"/>
                <w:lang w:eastAsia="en-AU"/>
              </w:rPr>
              <w:tab/>
            </w:r>
            <w:r w:rsidR="0051128E" w:rsidRPr="005D0E7A">
              <w:rPr>
                <w:rStyle w:val="Hyperlink"/>
                <w:noProof/>
              </w:rPr>
              <w:t>Notification by passenger of need for boarding device</w:t>
            </w:r>
            <w:r w:rsidR="0051128E">
              <w:rPr>
                <w:noProof/>
                <w:webHidden/>
              </w:rPr>
              <w:tab/>
            </w:r>
            <w:r w:rsidR="0051128E">
              <w:rPr>
                <w:noProof/>
                <w:webHidden/>
              </w:rPr>
              <w:fldChar w:fldCharType="begin"/>
            </w:r>
            <w:r w:rsidR="0051128E">
              <w:rPr>
                <w:noProof/>
                <w:webHidden/>
              </w:rPr>
              <w:instrText xml:space="preserve"> PAGEREF _Toc140239830 \h </w:instrText>
            </w:r>
            <w:r w:rsidR="0051128E">
              <w:rPr>
                <w:noProof/>
                <w:webHidden/>
              </w:rPr>
            </w:r>
            <w:r w:rsidR="0051128E">
              <w:rPr>
                <w:noProof/>
                <w:webHidden/>
              </w:rPr>
              <w:fldChar w:fldCharType="separate"/>
            </w:r>
            <w:r w:rsidR="0051128E">
              <w:rPr>
                <w:noProof/>
                <w:webHidden/>
              </w:rPr>
              <w:t>444</w:t>
            </w:r>
            <w:r w:rsidR="0051128E">
              <w:rPr>
                <w:noProof/>
                <w:webHidden/>
              </w:rPr>
              <w:fldChar w:fldCharType="end"/>
            </w:r>
          </w:hyperlink>
        </w:p>
        <w:p w14:paraId="62F58883" w14:textId="0FFF2C9D" w:rsidR="0051128E" w:rsidRDefault="001C7A9B">
          <w:pPr>
            <w:pStyle w:val="TOC3"/>
            <w:tabs>
              <w:tab w:val="left" w:pos="1134"/>
            </w:tabs>
            <w:rPr>
              <w:rFonts w:eastAsiaTheme="minorEastAsia"/>
              <w:noProof/>
              <w:color w:val="auto"/>
              <w:kern w:val="0"/>
              <w:sz w:val="22"/>
              <w:szCs w:val="22"/>
              <w:lang w:eastAsia="en-AU"/>
            </w:rPr>
          </w:pPr>
          <w:hyperlink w:anchor="_Toc140239831" w:history="1">
            <w:r w:rsidR="0051128E" w:rsidRPr="005D0E7A">
              <w:rPr>
                <w:rStyle w:val="Hyperlink"/>
                <w:noProof/>
              </w:rPr>
              <w:t>40.</w:t>
            </w:r>
            <w:r w:rsidR="0051128E">
              <w:rPr>
                <w:rFonts w:eastAsiaTheme="minorEastAsia"/>
                <w:noProof/>
                <w:color w:val="auto"/>
                <w:kern w:val="0"/>
                <w:sz w:val="22"/>
                <w:szCs w:val="22"/>
                <w:lang w:eastAsia="en-AU"/>
              </w:rPr>
              <w:tab/>
            </w:r>
            <w:r w:rsidR="0051128E" w:rsidRPr="005D0E7A">
              <w:rPr>
                <w:rStyle w:val="Hyperlink"/>
                <w:noProof/>
              </w:rPr>
              <w:t>Portable boarding ramp edge barriers</w:t>
            </w:r>
            <w:r w:rsidR="0051128E">
              <w:rPr>
                <w:noProof/>
                <w:webHidden/>
              </w:rPr>
              <w:tab/>
            </w:r>
            <w:r w:rsidR="0051128E">
              <w:rPr>
                <w:noProof/>
                <w:webHidden/>
              </w:rPr>
              <w:fldChar w:fldCharType="begin"/>
            </w:r>
            <w:r w:rsidR="0051128E">
              <w:rPr>
                <w:noProof/>
                <w:webHidden/>
              </w:rPr>
              <w:instrText xml:space="preserve"> PAGEREF _Toc140239831 \h </w:instrText>
            </w:r>
            <w:r w:rsidR="0051128E">
              <w:rPr>
                <w:noProof/>
                <w:webHidden/>
              </w:rPr>
            </w:r>
            <w:r w:rsidR="0051128E">
              <w:rPr>
                <w:noProof/>
                <w:webHidden/>
              </w:rPr>
              <w:fldChar w:fldCharType="separate"/>
            </w:r>
            <w:r w:rsidR="0051128E">
              <w:rPr>
                <w:noProof/>
                <w:webHidden/>
              </w:rPr>
              <w:t>446</w:t>
            </w:r>
            <w:r w:rsidR="0051128E">
              <w:rPr>
                <w:noProof/>
                <w:webHidden/>
              </w:rPr>
              <w:fldChar w:fldCharType="end"/>
            </w:r>
          </w:hyperlink>
        </w:p>
        <w:p w14:paraId="0082E8C1" w14:textId="2798A90B" w:rsidR="0051128E" w:rsidRDefault="001C7A9B">
          <w:pPr>
            <w:pStyle w:val="TOC3"/>
            <w:tabs>
              <w:tab w:val="left" w:pos="1134"/>
            </w:tabs>
            <w:rPr>
              <w:rFonts w:eastAsiaTheme="minorEastAsia"/>
              <w:noProof/>
              <w:color w:val="auto"/>
              <w:kern w:val="0"/>
              <w:sz w:val="22"/>
              <w:szCs w:val="22"/>
              <w:lang w:eastAsia="en-AU"/>
            </w:rPr>
          </w:pPr>
          <w:hyperlink w:anchor="_Toc140239832" w:history="1">
            <w:r w:rsidR="0051128E" w:rsidRPr="005D0E7A">
              <w:rPr>
                <w:rStyle w:val="Hyperlink"/>
                <w:noProof/>
              </w:rPr>
              <w:t>41.</w:t>
            </w:r>
            <w:r w:rsidR="0051128E">
              <w:rPr>
                <w:rFonts w:eastAsiaTheme="minorEastAsia"/>
                <w:noProof/>
                <w:color w:val="auto"/>
                <w:kern w:val="0"/>
                <w:sz w:val="22"/>
                <w:szCs w:val="22"/>
                <w:lang w:eastAsia="en-AU"/>
              </w:rPr>
              <w:tab/>
            </w:r>
            <w:r w:rsidR="0051128E" w:rsidRPr="005D0E7A">
              <w:rPr>
                <w:rStyle w:val="Hyperlink"/>
                <w:noProof/>
              </w:rPr>
              <w:t>Boarding ramp and removable gangway definitions</w:t>
            </w:r>
            <w:r w:rsidR="0051128E">
              <w:rPr>
                <w:noProof/>
                <w:webHidden/>
              </w:rPr>
              <w:tab/>
            </w:r>
            <w:r w:rsidR="0051128E">
              <w:rPr>
                <w:noProof/>
                <w:webHidden/>
              </w:rPr>
              <w:fldChar w:fldCharType="begin"/>
            </w:r>
            <w:r w:rsidR="0051128E">
              <w:rPr>
                <w:noProof/>
                <w:webHidden/>
              </w:rPr>
              <w:instrText xml:space="preserve"> PAGEREF _Toc140239832 \h </w:instrText>
            </w:r>
            <w:r w:rsidR="0051128E">
              <w:rPr>
                <w:noProof/>
                <w:webHidden/>
              </w:rPr>
            </w:r>
            <w:r w:rsidR="0051128E">
              <w:rPr>
                <w:noProof/>
                <w:webHidden/>
              </w:rPr>
              <w:fldChar w:fldCharType="separate"/>
            </w:r>
            <w:r w:rsidR="0051128E">
              <w:rPr>
                <w:noProof/>
                <w:webHidden/>
              </w:rPr>
              <w:t>447</w:t>
            </w:r>
            <w:r w:rsidR="0051128E">
              <w:rPr>
                <w:noProof/>
                <w:webHidden/>
              </w:rPr>
              <w:fldChar w:fldCharType="end"/>
            </w:r>
          </w:hyperlink>
        </w:p>
        <w:p w14:paraId="3927DB74" w14:textId="1B3AA932" w:rsidR="0051128E" w:rsidRDefault="001C7A9B">
          <w:pPr>
            <w:pStyle w:val="TOC3"/>
            <w:tabs>
              <w:tab w:val="left" w:pos="1134"/>
            </w:tabs>
            <w:rPr>
              <w:rFonts w:eastAsiaTheme="minorEastAsia"/>
              <w:noProof/>
              <w:color w:val="auto"/>
              <w:kern w:val="0"/>
              <w:sz w:val="22"/>
              <w:szCs w:val="22"/>
              <w:lang w:eastAsia="en-AU"/>
            </w:rPr>
          </w:pPr>
          <w:hyperlink w:anchor="_Toc140239833" w:history="1">
            <w:r w:rsidR="0051128E" w:rsidRPr="005D0E7A">
              <w:rPr>
                <w:rStyle w:val="Hyperlink"/>
                <w:noProof/>
              </w:rPr>
              <w:t>42.</w:t>
            </w:r>
            <w:r w:rsidR="0051128E">
              <w:rPr>
                <w:rFonts w:eastAsiaTheme="minorEastAsia"/>
                <w:noProof/>
                <w:color w:val="auto"/>
                <w:kern w:val="0"/>
                <w:sz w:val="22"/>
                <w:szCs w:val="22"/>
                <w:lang w:eastAsia="en-AU"/>
              </w:rPr>
              <w:tab/>
            </w:r>
            <w:r w:rsidR="0051128E" w:rsidRPr="005D0E7A">
              <w:rPr>
                <w:rStyle w:val="Hyperlink"/>
                <w:noProof/>
              </w:rPr>
              <w:t>Removable gangway design – ferries</w:t>
            </w:r>
            <w:r w:rsidR="0051128E">
              <w:rPr>
                <w:noProof/>
                <w:webHidden/>
              </w:rPr>
              <w:tab/>
            </w:r>
            <w:r w:rsidR="0051128E">
              <w:rPr>
                <w:noProof/>
                <w:webHidden/>
              </w:rPr>
              <w:fldChar w:fldCharType="begin"/>
            </w:r>
            <w:r w:rsidR="0051128E">
              <w:rPr>
                <w:noProof/>
                <w:webHidden/>
              </w:rPr>
              <w:instrText xml:space="preserve"> PAGEREF _Toc140239833 \h </w:instrText>
            </w:r>
            <w:r w:rsidR="0051128E">
              <w:rPr>
                <w:noProof/>
                <w:webHidden/>
              </w:rPr>
            </w:r>
            <w:r w:rsidR="0051128E">
              <w:rPr>
                <w:noProof/>
                <w:webHidden/>
              </w:rPr>
              <w:fldChar w:fldCharType="separate"/>
            </w:r>
            <w:r w:rsidR="0051128E">
              <w:rPr>
                <w:noProof/>
                <w:webHidden/>
              </w:rPr>
              <w:t>448</w:t>
            </w:r>
            <w:r w:rsidR="0051128E">
              <w:rPr>
                <w:noProof/>
                <w:webHidden/>
              </w:rPr>
              <w:fldChar w:fldCharType="end"/>
            </w:r>
          </w:hyperlink>
        </w:p>
        <w:p w14:paraId="491AB27B" w14:textId="0C2ADDA5" w:rsidR="0051128E" w:rsidRDefault="001C7A9B">
          <w:pPr>
            <w:pStyle w:val="TOC3"/>
            <w:tabs>
              <w:tab w:val="left" w:pos="1134"/>
            </w:tabs>
            <w:rPr>
              <w:rFonts w:eastAsiaTheme="minorEastAsia"/>
              <w:noProof/>
              <w:color w:val="auto"/>
              <w:kern w:val="0"/>
              <w:sz w:val="22"/>
              <w:szCs w:val="22"/>
              <w:lang w:eastAsia="en-AU"/>
            </w:rPr>
          </w:pPr>
          <w:hyperlink w:anchor="_Toc140239834" w:history="1">
            <w:r w:rsidR="0051128E" w:rsidRPr="005D0E7A">
              <w:rPr>
                <w:rStyle w:val="Hyperlink"/>
                <w:noProof/>
              </w:rPr>
              <w:t>43.</w:t>
            </w:r>
            <w:r w:rsidR="0051128E">
              <w:rPr>
                <w:rFonts w:eastAsiaTheme="minorEastAsia"/>
                <w:noProof/>
                <w:color w:val="auto"/>
                <w:kern w:val="0"/>
                <w:sz w:val="22"/>
                <w:szCs w:val="22"/>
                <w:lang w:eastAsia="en-AU"/>
              </w:rPr>
              <w:tab/>
            </w:r>
            <w:r w:rsidR="0051128E" w:rsidRPr="005D0E7A">
              <w:rPr>
                <w:rStyle w:val="Hyperlink"/>
                <w:noProof/>
              </w:rPr>
              <w:t>Nominated assistance boarding points</w:t>
            </w:r>
            <w:r w:rsidR="0051128E">
              <w:rPr>
                <w:noProof/>
                <w:webHidden/>
              </w:rPr>
              <w:tab/>
            </w:r>
            <w:r w:rsidR="0051128E">
              <w:rPr>
                <w:noProof/>
                <w:webHidden/>
              </w:rPr>
              <w:fldChar w:fldCharType="begin"/>
            </w:r>
            <w:r w:rsidR="0051128E">
              <w:rPr>
                <w:noProof/>
                <w:webHidden/>
              </w:rPr>
              <w:instrText xml:space="preserve"> PAGEREF _Toc140239834 \h </w:instrText>
            </w:r>
            <w:r w:rsidR="0051128E">
              <w:rPr>
                <w:noProof/>
                <w:webHidden/>
              </w:rPr>
            </w:r>
            <w:r w:rsidR="0051128E">
              <w:rPr>
                <w:noProof/>
                <w:webHidden/>
              </w:rPr>
              <w:fldChar w:fldCharType="separate"/>
            </w:r>
            <w:r w:rsidR="0051128E">
              <w:rPr>
                <w:noProof/>
                <w:webHidden/>
              </w:rPr>
              <w:t>450</w:t>
            </w:r>
            <w:r w:rsidR="0051128E">
              <w:rPr>
                <w:noProof/>
                <w:webHidden/>
              </w:rPr>
              <w:fldChar w:fldCharType="end"/>
            </w:r>
          </w:hyperlink>
        </w:p>
        <w:p w14:paraId="203DE69C" w14:textId="5137ED88" w:rsidR="0051128E" w:rsidRDefault="001C7A9B">
          <w:pPr>
            <w:pStyle w:val="TOC3"/>
            <w:tabs>
              <w:tab w:val="left" w:pos="1134"/>
            </w:tabs>
            <w:rPr>
              <w:rFonts w:eastAsiaTheme="minorEastAsia"/>
              <w:noProof/>
              <w:color w:val="auto"/>
              <w:kern w:val="0"/>
              <w:sz w:val="22"/>
              <w:szCs w:val="22"/>
              <w:lang w:eastAsia="en-AU"/>
            </w:rPr>
          </w:pPr>
          <w:hyperlink w:anchor="_Toc140239835" w:history="1">
            <w:r w:rsidR="0051128E" w:rsidRPr="005D0E7A">
              <w:rPr>
                <w:rStyle w:val="Hyperlink"/>
                <w:noProof/>
              </w:rPr>
              <w:t>44.</w:t>
            </w:r>
            <w:r w:rsidR="0051128E">
              <w:rPr>
                <w:rFonts w:eastAsiaTheme="minorEastAsia"/>
                <w:noProof/>
                <w:color w:val="auto"/>
                <w:kern w:val="0"/>
                <w:sz w:val="22"/>
                <w:szCs w:val="22"/>
                <w:lang w:eastAsia="en-AU"/>
              </w:rPr>
              <w:tab/>
            </w:r>
            <w:r w:rsidR="0051128E" w:rsidRPr="005D0E7A">
              <w:rPr>
                <w:rStyle w:val="Hyperlink"/>
                <w:noProof/>
              </w:rPr>
              <w:t>Identification of lead stops</w:t>
            </w:r>
            <w:r w:rsidR="0051128E">
              <w:rPr>
                <w:noProof/>
                <w:webHidden/>
              </w:rPr>
              <w:tab/>
            </w:r>
            <w:r w:rsidR="0051128E">
              <w:rPr>
                <w:noProof/>
                <w:webHidden/>
              </w:rPr>
              <w:fldChar w:fldCharType="begin"/>
            </w:r>
            <w:r w:rsidR="0051128E">
              <w:rPr>
                <w:noProof/>
                <w:webHidden/>
              </w:rPr>
              <w:instrText xml:space="preserve"> PAGEREF _Toc140239835 \h </w:instrText>
            </w:r>
            <w:r w:rsidR="0051128E">
              <w:rPr>
                <w:noProof/>
                <w:webHidden/>
              </w:rPr>
            </w:r>
            <w:r w:rsidR="0051128E">
              <w:rPr>
                <w:noProof/>
                <w:webHidden/>
              </w:rPr>
              <w:fldChar w:fldCharType="separate"/>
            </w:r>
            <w:r w:rsidR="0051128E">
              <w:rPr>
                <w:noProof/>
                <w:webHidden/>
              </w:rPr>
              <w:t>453</w:t>
            </w:r>
            <w:r w:rsidR="0051128E">
              <w:rPr>
                <w:noProof/>
                <w:webHidden/>
              </w:rPr>
              <w:fldChar w:fldCharType="end"/>
            </w:r>
          </w:hyperlink>
        </w:p>
        <w:p w14:paraId="01C4C4EB" w14:textId="339A0A6B" w:rsidR="0051128E" w:rsidRDefault="001C7A9B">
          <w:pPr>
            <w:pStyle w:val="TOC3"/>
            <w:tabs>
              <w:tab w:val="left" w:pos="1134"/>
            </w:tabs>
            <w:rPr>
              <w:rFonts w:eastAsiaTheme="minorEastAsia"/>
              <w:noProof/>
              <w:color w:val="auto"/>
              <w:kern w:val="0"/>
              <w:sz w:val="22"/>
              <w:szCs w:val="22"/>
              <w:lang w:eastAsia="en-AU"/>
            </w:rPr>
          </w:pPr>
          <w:hyperlink w:anchor="_Toc140239836" w:history="1">
            <w:r w:rsidR="0051128E" w:rsidRPr="005D0E7A">
              <w:rPr>
                <w:rStyle w:val="Hyperlink"/>
                <w:noProof/>
              </w:rPr>
              <w:t>45.</w:t>
            </w:r>
            <w:r w:rsidR="0051128E">
              <w:rPr>
                <w:rFonts w:eastAsiaTheme="minorEastAsia"/>
                <w:noProof/>
                <w:color w:val="auto"/>
                <w:kern w:val="0"/>
                <w:sz w:val="22"/>
                <w:szCs w:val="22"/>
                <w:lang w:eastAsia="en-AU"/>
              </w:rPr>
              <w:tab/>
            </w:r>
            <w:r w:rsidR="0051128E" w:rsidRPr="005D0E7A">
              <w:rPr>
                <w:rStyle w:val="Hyperlink"/>
                <w:noProof/>
              </w:rPr>
              <w:t>Pontoon boarding points on infrastructure</w:t>
            </w:r>
            <w:r w:rsidR="0051128E">
              <w:rPr>
                <w:noProof/>
                <w:webHidden/>
              </w:rPr>
              <w:tab/>
            </w:r>
            <w:r w:rsidR="0051128E">
              <w:rPr>
                <w:noProof/>
                <w:webHidden/>
              </w:rPr>
              <w:fldChar w:fldCharType="begin"/>
            </w:r>
            <w:r w:rsidR="0051128E">
              <w:rPr>
                <w:noProof/>
                <w:webHidden/>
              </w:rPr>
              <w:instrText xml:space="preserve"> PAGEREF _Toc140239836 \h </w:instrText>
            </w:r>
            <w:r w:rsidR="0051128E">
              <w:rPr>
                <w:noProof/>
                <w:webHidden/>
              </w:rPr>
            </w:r>
            <w:r w:rsidR="0051128E">
              <w:rPr>
                <w:noProof/>
                <w:webHidden/>
              </w:rPr>
              <w:fldChar w:fldCharType="separate"/>
            </w:r>
            <w:r w:rsidR="0051128E">
              <w:rPr>
                <w:noProof/>
                <w:webHidden/>
              </w:rPr>
              <w:t>454</w:t>
            </w:r>
            <w:r w:rsidR="0051128E">
              <w:rPr>
                <w:noProof/>
                <w:webHidden/>
              </w:rPr>
              <w:fldChar w:fldCharType="end"/>
            </w:r>
          </w:hyperlink>
        </w:p>
        <w:p w14:paraId="74C32177" w14:textId="121D8C24" w:rsidR="0051128E" w:rsidRDefault="001C7A9B">
          <w:pPr>
            <w:pStyle w:val="TOC3"/>
            <w:tabs>
              <w:tab w:val="left" w:pos="1134"/>
            </w:tabs>
            <w:rPr>
              <w:rFonts w:eastAsiaTheme="minorEastAsia"/>
              <w:noProof/>
              <w:color w:val="auto"/>
              <w:kern w:val="0"/>
              <w:sz w:val="22"/>
              <w:szCs w:val="22"/>
              <w:lang w:eastAsia="en-AU"/>
            </w:rPr>
          </w:pPr>
          <w:hyperlink w:anchor="_Toc140239837" w:history="1">
            <w:r w:rsidR="0051128E" w:rsidRPr="005D0E7A">
              <w:rPr>
                <w:rStyle w:val="Hyperlink"/>
                <w:noProof/>
              </w:rPr>
              <w:t>46.</w:t>
            </w:r>
            <w:r w:rsidR="0051128E">
              <w:rPr>
                <w:rFonts w:eastAsiaTheme="minorEastAsia"/>
                <w:noProof/>
                <w:color w:val="auto"/>
                <w:kern w:val="0"/>
                <w:sz w:val="22"/>
                <w:szCs w:val="22"/>
                <w:lang w:eastAsia="en-AU"/>
              </w:rPr>
              <w:tab/>
            </w:r>
            <w:r w:rsidR="0051128E" w:rsidRPr="005D0E7A">
              <w:rPr>
                <w:rStyle w:val="Hyperlink"/>
                <w:noProof/>
              </w:rPr>
              <w:t>Bus, tram and light rail boarding points on infrastructure</w:t>
            </w:r>
            <w:r w:rsidR="0051128E">
              <w:rPr>
                <w:noProof/>
                <w:webHidden/>
              </w:rPr>
              <w:tab/>
            </w:r>
            <w:r w:rsidR="0051128E">
              <w:rPr>
                <w:noProof/>
                <w:webHidden/>
              </w:rPr>
              <w:fldChar w:fldCharType="begin"/>
            </w:r>
            <w:r w:rsidR="0051128E">
              <w:rPr>
                <w:noProof/>
                <w:webHidden/>
              </w:rPr>
              <w:instrText xml:space="preserve"> PAGEREF _Toc140239837 \h </w:instrText>
            </w:r>
            <w:r w:rsidR="0051128E">
              <w:rPr>
                <w:noProof/>
                <w:webHidden/>
              </w:rPr>
            </w:r>
            <w:r w:rsidR="0051128E">
              <w:rPr>
                <w:noProof/>
                <w:webHidden/>
              </w:rPr>
              <w:fldChar w:fldCharType="separate"/>
            </w:r>
            <w:r w:rsidR="0051128E">
              <w:rPr>
                <w:noProof/>
                <w:webHidden/>
              </w:rPr>
              <w:t>456</w:t>
            </w:r>
            <w:r w:rsidR="0051128E">
              <w:rPr>
                <w:noProof/>
                <w:webHidden/>
              </w:rPr>
              <w:fldChar w:fldCharType="end"/>
            </w:r>
          </w:hyperlink>
        </w:p>
        <w:p w14:paraId="7CE7D7FA" w14:textId="6CEBE459" w:rsidR="0051128E" w:rsidRDefault="001C7A9B">
          <w:pPr>
            <w:pStyle w:val="TOC3"/>
            <w:tabs>
              <w:tab w:val="left" w:pos="1134"/>
            </w:tabs>
            <w:rPr>
              <w:rFonts w:eastAsiaTheme="minorEastAsia"/>
              <w:noProof/>
              <w:color w:val="auto"/>
              <w:kern w:val="0"/>
              <w:sz w:val="22"/>
              <w:szCs w:val="22"/>
              <w:lang w:eastAsia="en-AU"/>
            </w:rPr>
          </w:pPr>
          <w:hyperlink w:anchor="_Toc140239838" w:history="1">
            <w:r w:rsidR="0051128E" w:rsidRPr="005D0E7A">
              <w:rPr>
                <w:rStyle w:val="Hyperlink"/>
                <w:noProof/>
              </w:rPr>
              <w:t>47.</w:t>
            </w:r>
            <w:r w:rsidR="0051128E">
              <w:rPr>
                <w:rFonts w:eastAsiaTheme="minorEastAsia"/>
                <w:noProof/>
                <w:color w:val="auto"/>
                <w:kern w:val="0"/>
                <w:sz w:val="22"/>
                <w:szCs w:val="22"/>
                <w:lang w:eastAsia="en-AU"/>
              </w:rPr>
              <w:tab/>
            </w:r>
            <w:r w:rsidR="0051128E" w:rsidRPr="005D0E7A">
              <w:rPr>
                <w:rStyle w:val="Hyperlink"/>
                <w:noProof/>
              </w:rPr>
              <w:t>Hail-and-ride boarding points on infrastructure</w:t>
            </w:r>
            <w:r w:rsidR="0051128E">
              <w:rPr>
                <w:noProof/>
                <w:webHidden/>
              </w:rPr>
              <w:tab/>
            </w:r>
            <w:r w:rsidR="0051128E">
              <w:rPr>
                <w:noProof/>
                <w:webHidden/>
              </w:rPr>
              <w:fldChar w:fldCharType="begin"/>
            </w:r>
            <w:r w:rsidR="0051128E">
              <w:rPr>
                <w:noProof/>
                <w:webHidden/>
              </w:rPr>
              <w:instrText xml:space="preserve"> PAGEREF _Toc140239838 \h </w:instrText>
            </w:r>
            <w:r w:rsidR="0051128E">
              <w:rPr>
                <w:noProof/>
                <w:webHidden/>
              </w:rPr>
            </w:r>
            <w:r w:rsidR="0051128E">
              <w:rPr>
                <w:noProof/>
                <w:webHidden/>
              </w:rPr>
              <w:fldChar w:fldCharType="separate"/>
            </w:r>
            <w:r w:rsidR="0051128E">
              <w:rPr>
                <w:noProof/>
                <w:webHidden/>
              </w:rPr>
              <w:t>458</w:t>
            </w:r>
            <w:r w:rsidR="0051128E">
              <w:rPr>
                <w:noProof/>
                <w:webHidden/>
              </w:rPr>
              <w:fldChar w:fldCharType="end"/>
            </w:r>
          </w:hyperlink>
        </w:p>
        <w:p w14:paraId="65558B6D" w14:textId="106EF672" w:rsidR="0051128E" w:rsidRDefault="001C7A9B">
          <w:pPr>
            <w:pStyle w:val="TOC3"/>
            <w:tabs>
              <w:tab w:val="left" w:pos="1134"/>
            </w:tabs>
            <w:rPr>
              <w:rFonts w:eastAsiaTheme="minorEastAsia"/>
              <w:noProof/>
              <w:color w:val="auto"/>
              <w:kern w:val="0"/>
              <w:sz w:val="22"/>
              <w:szCs w:val="22"/>
              <w:lang w:eastAsia="en-AU"/>
            </w:rPr>
          </w:pPr>
          <w:hyperlink w:anchor="_Toc140239839" w:history="1">
            <w:r w:rsidR="0051128E" w:rsidRPr="005D0E7A">
              <w:rPr>
                <w:rStyle w:val="Hyperlink"/>
                <w:noProof/>
              </w:rPr>
              <w:t>48.</w:t>
            </w:r>
            <w:r w:rsidR="0051128E">
              <w:rPr>
                <w:rFonts w:eastAsiaTheme="minorEastAsia"/>
                <w:noProof/>
                <w:color w:val="auto"/>
                <w:kern w:val="0"/>
                <w:sz w:val="22"/>
                <w:szCs w:val="22"/>
                <w:lang w:eastAsia="en-AU"/>
              </w:rPr>
              <w:tab/>
            </w:r>
            <w:r w:rsidR="0051128E" w:rsidRPr="005D0E7A">
              <w:rPr>
                <w:rStyle w:val="Hyperlink"/>
                <w:noProof/>
              </w:rPr>
              <w:t>Accessible taxi ranks</w:t>
            </w:r>
            <w:r w:rsidR="0051128E">
              <w:rPr>
                <w:noProof/>
                <w:webHidden/>
              </w:rPr>
              <w:tab/>
            </w:r>
            <w:r w:rsidR="0051128E">
              <w:rPr>
                <w:noProof/>
                <w:webHidden/>
              </w:rPr>
              <w:fldChar w:fldCharType="begin"/>
            </w:r>
            <w:r w:rsidR="0051128E">
              <w:rPr>
                <w:noProof/>
                <w:webHidden/>
              </w:rPr>
              <w:instrText xml:space="preserve"> PAGEREF _Toc140239839 \h </w:instrText>
            </w:r>
            <w:r w:rsidR="0051128E">
              <w:rPr>
                <w:noProof/>
                <w:webHidden/>
              </w:rPr>
            </w:r>
            <w:r w:rsidR="0051128E">
              <w:rPr>
                <w:noProof/>
                <w:webHidden/>
              </w:rPr>
              <w:fldChar w:fldCharType="separate"/>
            </w:r>
            <w:r w:rsidR="0051128E">
              <w:rPr>
                <w:noProof/>
                <w:webHidden/>
              </w:rPr>
              <w:t>459</w:t>
            </w:r>
            <w:r w:rsidR="0051128E">
              <w:rPr>
                <w:noProof/>
                <w:webHidden/>
              </w:rPr>
              <w:fldChar w:fldCharType="end"/>
            </w:r>
          </w:hyperlink>
        </w:p>
        <w:p w14:paraId="1DD2CD4F" w14:textId="7378F435" w:rsidR="0051128E" w:rsidRDefault="001C7A9B">
          <w:pPr>
            <w:pStyle w:val="TOC3"/>
            <w:tabs>
              <w:tab w:val="left" w:pos="1134"/>
            </w:tabs>
            <w:rPr>
              <w:rFonts w:eastAsiaTheme="minorEastAsia"/>
              <w:noProof/>
              <w:color w:val="auto"/>
              <w:kern w:val="0"/>
              <w:sz w:val="22"/>
              <w:szCs w:val="22"/>
              <w:lang w:eastAsia="en-AU"/>
            </w:rPr>
          </w:pPr>
          <w:hyperlink w:anchor="_Toc140239840" w:history="1">
            <w:r w:rsidR="0051128E" w:rsidRPr="005D0E7A">
              <w:rPr>
                <w:rStyle w:val="Hyperlink"/>
                <w:noProof/>
              </w:rPr>
              <w:t>49.</w:t>
            </w:r>
            <w:r w:rsidR="0051128E">
              <w:rPr>
                <w:rFonts w:eastAsiaTheme="minorEastAsia"/>
                <w:noProof/>
                <w:color w:val="auto"/>
                <w:kern w:val="0"/>
                <w:sz w:val="22"/>
                <w:szCs w:val="22"/>
                <w:lang w:eastAsia="en-AU"/>
              </w:rPr>
              <w:tab/>
            </w:r>
            <w:r w:rsidR="0051128E" w:rsidRPr="005D0E7A">
              <w:rPr>
                <w:rStyle w:val="Hyperlink"/>
                <w:noProof/>
              </w:rPr>
              <w:t>Accessible passenger loading zones on-street</w:t>
            </w:r>
            <w:r w:rsidR="0051128E">
              <w:rPr>
                <w:noProof/>
                <w:webHidden/>
              </w:rPr>
              <w:tab/>
            </w:r>
            <w:r w:rsidR="0051128E">
              <w:rPr>
                <w:noProof/>
                <w:webHidden/>
              </w:rPr>
              <w:fldChar w:fldCharType="begin"/>
            </w:r>
            <w:r w:rsidR="0051128E">
              <w:rPr>
                <w:noProof/>
                <w:webHidden/>
              </w:rPr>
              <w:instrText xml:space="preserve"> PAGEREF _Toc140239840 \h </w:instrText>
            </w:r>
            <w:r w:rsidR="0051128E">
              <w:rPr>
                <w:noProof/>
                <w:webHidden/>
              </w:rPr>
            </w:r>
            <w:r w:rsidR="0051128E">
              <w:rPr>
                <w:noProof/>
                <w:webHidden/>
              </w:rPr>
              <w:fldChar w:fldCharType="separate"/>
            </w:r>
            <w:r w:rsidR="0051128E">
              <w:rPr>
                <w:noProof/>
                <w:webHidden/>
              </w:rPr>
              <w:t>461</w:t>
            </w:r>
            <w:r w:rsidR="0051128E">
              <w:rPr>
                <w:noProof/>
                <w:webHidden/>
              </w:rPr>
              <w:fldChar w:fldCharType="end"/>
            </w:r>
          </w:hyperlink>
        </w:p>
        <w:p w14:paraId="3B1B1B14" w14:textId="2C36F416" w:rsidR="0051128E" w:rsidRDefault="001C7A9B">
          <w:pPr>
            <w:pStyle w:val="TOC3"/>
            <w:tabs>
              <w:tab w:val="left" w:pos="1134"/>
            </w:tabs>
            <w:rPr>
              <w:rFonts w:eastAsiaTheme="minorEastAsia"/>
              <w:noProof/>
              <w:color w:val="auto"/>
              <w:kern w:val="0"/>
              <w:sz w:val="22"/>
              <w:szCs w:val="22"/>
              <w:lang w:eastAsia="en-AU"/>
            </w:rPr>
          </w:pPr>
          <w:hyperlink w:anchor="_Toc140239841" w:history="1">
            <w:r w:rsidR="0051128E" w:rsidRPr="005D0E7A">
              <w:rPr>
                <w:rStyle w:val="Hyperlink"/>
                <w:noProof/>
              </w:rPr>
              <w:t>50.</w:t>
            </w:r>
            <w:r w:rsidR="0051128E">
              <w:rPr>
                <w:rFonts w:eastAsiaTheme="minorEastAsia"/>
                <w:noProof/>
                <w:color w:val="auto"/>
                <w:kern w:val="0"/>
                <w:sz w:val="22"/>
                <w:szCs w:val="22"/>
                <w:lang w:eastAsia="en-AU"/>
              </w:rPr>
              <w:tab/>
            </w:r>
            <w:r w:rsidR="0051128E" w:rsidRPr="005D0E7A">
              <w:rPr>
                <w:rStyle w:val="Hyperlink"/>
                <w:noProof/>
              </w:rPr>
              <w:t>Accessible parking spaces in infrastructure off-street carparks</w:t>
            </w:r>
            <w:r w:rsidR="0051128E">
              <w:rPr>
                <w:noProof/>
                <w:webHidden/>
              </w:rPr>
              <w:tab/>
            </w:r>
            <w:r w:rsidR="0051128E">
              <w:rPr>
                <w:noProof/>
                <w:webHidden/>
              </w:rPr>
              <w:fldChar w:fldCharType="begin"/>
            </w:r>
            <w:r w:rsidR="0051128E">
              <w:rPr>
                <w:noProof/>
                <w:webHidden/>
              </w:rPr>
              <w:instrText xml:space="preserve"> PAGEREF _Toc140239841 \h </w:instrText>
            </w:r>
            <w:r w:rsidR="0051128E">
              <w:rPr>
                <w:noProof/>
                <w:webHidden/>
              </w:rPr>
            </w:r>
            <w:r w:rsidR="0051128E">
              <w:rPr>
                <w:noProof/>
                <w:webHidden/>
              </w:rPr>
              <w:fldChar w:fldCharType="separate"/>
            </w:r>
            <w:r w:rsidR="0051128E">
              <w:rPr>
                <w:noProof/>
                <w:webHidden/>
              </w:rPr>
              <w:t>464</w:t>
            </w:r>
            <w:r w:rsidR="0051128E">
              <w:rPr>
                <w:noProof/>
                <w:webHidden/>
              </w:rPr>
              <w:fldChar w:fldCharType="end"/>
            </w:r>
          </w:hyperlink>
        </w:p>
        <w:p w14:paraId="19EA9DC4" w14:textId="76C7D392" w:rsidR="0051128E" w:rsidRDefault="001C7A9B">
          <w:pPr>
            <w:pStyle w:val="TOC3"/>
            <w:tabs>
              <w:tab w:val="left" w:pos="1134"/>
            </w:tabs>
            <w:rPr>
              <w:rFonts w:eastAsiaTheme="minorEastAsia"/>
              <w:noProof/>
              <w:color w:val="auto"/>
              <w:kern w:val="0"/>
              <w:sz w:val="22"/>
              <w:szCs w:val="22"/>
              <w:lang w:eastAsia="en-AU"/>
            </w:rPr>
          </w:pPr>
          <w:hyperlink w:anchor="_Toc140239842" w:history="1">
            <w:r w:rsidR="0051128E" w:rsidRPr="005D0E7A">
              <w:rPr>
                <w:rStyle w:val="Hyperlink"/>
                <w:noProof/>
              </w:rPr>
              <w:t>51.</w:t>
            </w:r>
            <w:r w:rsidR="0051128E">
              <w:rPr>
                <w:rFonts w:eastAsiaTheme="minorEastAsia"/>
                <w:noProof/>
                <w:color w:val="auto"/>
                <w:kern w:val="0"/>
                <w:sz w:val="22"/>
                <w:szCs w:val="22"/>
                <w:lang w:eastAsia="en-AU"/>
              </w:rPr>
              <w:tab/>
            </w:r>
            <w:r w:rsidR="0051128E" w:rsidRPr="005D0E7A">
              <w:rPr>
                <w:rStyle w:val="Hyperlink"/>
                <w:noProof/>
              </w:rPr>
              <w:t>Grabrails on access paths</w:t>
            </w:r>
            <w:r w:rsidR="0051128E">
              <w:rPr>
                <w:noProof/>
                <w:webHidden/>
              </w:rPr>
              <w:tab/>
            </w:r>
            <w:r w:rsidR="0051128E">
              <w:rPr>
                <w:noProof/>
                <w:webHidden/>
              </w:rPr>
              <w:fldChar w:fldCharType="begin"/>
            </w:r>
            <w:r w:rsidR="0051128E">
              <w:rPr>
                <w:noProof/>
                <w:webHidden/>
              </w:rPr>
              <w:instrText xml:space="preserve"> PAGEREF _Toc140239842 \h </w:instrText>
            </w:r>
            <w:r w:rsidR="0051128E">
              <w:rPr>
                <w:noProof/>
                <w:webHidden/>
              </w:rPr>
            </w:r>
            <w:r w:rsidR="0051128E">
              <w:rPr>
                <w:noProof/>
                <w:webHidden/>
              </w:rPr>
              <w:fldChar w:fldCharType="separate"/>
            </w:r>
            <w:r w:rsidR="0051128E">
              <w:rPr>
                <w:noProof/>
                <w:webHidden/>
              </w:rPr>
              <w:t>466</w:t>
            </w:r>
            <w:r w:rsidR="0051128E">
              <w:rPr>
                <w:noProof/>
                <w:webHidden/>
              </w:rPr>
              <w:fldChar w:fldCharType="end"/>
            </w:r>
          </w:hyperlink>
        </w:p>
        <w:p w14:paraId="58B33754" w14:textId="3DC944DF" w:rsidR="0051128E" w:rsidRDefault="001C7A9B">
          <w:pPr>
            <w:pStyle w:val="TOC3"/>
            <w:tabs>
              <w:tab w:val="left" w:pos="1134"/>
            </w:tabs>
            <w:rPr>
              <w:rFonts w:eastAsiaTheme="minorEastAsia"/>
              <w:noProof/>
              <w:color w:val="auto"/>
              <w:kern w:val="0"/>
              <w:sz w:val="22"/>
              <w:szCs w:val="22"/>
              <w:lang w:eastAsia="en-AU"/>
            </w:rPr>
          </w:pPr>
          <w:hyperlink w:anchor="_Toc140239843" w:history="1">
            <w:r w:rsidR="0051128E" w:rsidRPr="005D0E7A">
              <w:rPr>
                <w:rStyle w:val="Hyperlink"/>
                <w:noProof/>
              </w:rPr>
              <w:t>52.</w:t>
            </w:r>
            <w:r w:rsidR="0051128E">
              <w:rPr>
                <w:rFonts w:eastAsiaTheme="minorEastAsia"/>
                <w:noProof/>
                <w:color w:val="auto"/>
                <w:kern w:val="0"/>
                <w:sz w:val="22"/>
                <w:szCs w:val="22"/>
                <w:lang w:eastAsia="en-AU"/>
              </w:rPr>
              <w:tab/>
            </w:r>
            <w:r w:rsidR="0051128E" w:rsidRPr="005D0E7A">
              <w:rPr>
                <w:rStyle w:val="Hyperlink"/>
                <w:noProof/>
              </w:rPr>
              <w:t>Grabrails in allocated spaces</w:t>
            </w:r>
            <w:r w:rsidR="0051128E">
              <w:rPr>
                <w:noProof/>
                <w:webHidden/>
              </w:rPr>
              <w:tab/>
            </w:r>
            <w:r w:rsidR="0051128E">
              <w:rPr>
                <w:noProof/>
                <w:webHidden/>
              </w:rPr>
              <w:fldChar w:fldCharType="begin"/>
            </w:r>
            <w:r w:rsidR="0051128E">
              <w:rPr>
                <w:noProof/>
                <w:webHidden/>
              </w:rPr>
              <w:instrText xml:space="preserve"> PAGEREF _Toc140239843 \h </w:instrText>
            </w:r>
            <w:r w:rsidR="0051128E">
              <w:rPr>
                <w:noProof/>
                <w:webHidden/>
              </w:rPr>
            </w:r>
            <w:r w:rsidR="0051128E">
              <w:rPr>
                <w:noProof/>
                <w:webHidden/>
              </w:rPr>
              <w:fldChar w:fldCharType="separate"/>
            </w:r>
            <w:r w:rsidR="0051128E">
              <w:rPr>
                <w:noProof/>
                <w:webHidden/>
              </w:rPr>
              <w:t>468</w:t>
            </w:r>
            <w:r w:rsidR="0051128E">
              <w:rPr>
                <w:noProof/>
                <w:webHidden/>
              </w:rPr>
              <w:fldChar w:fldCharType="end"/>
            </w:r>
          </w:hyperlink>
        </w:p>
        <w:p w14:paraId="6E5E6429" w14:textId="418F4F87" w:rsidR="0051128E" w:rsidRDefault="001C7A9B">
          <w:pPr>
            <w:pStyle w:val="TOC3"/>
            <w:tabs>
              <w:tab w:val="left" w:pos="1134"/>
            </w:tabs>
            <w:rPr>
              <w:rFonts w:eastAsiaTheme="minorEastAsia"/>
              <w:noProof/>
              <w:color w:val="auto"/>
              <w:kern w:val="0"/>
              <w:sz w:val="22"/>
              <w:szCs w:val="22"/>
              <w:lang w:eastAsia="en-AU"/>
            </w:rPr>
          </w:pPr>
          <w:hyperlink w:anchor="_Toc140239844" w:history="1">
            <w:r w:rsidR="0051128E" w:rsidRPr="005D0E7A">
              <w:rPr>
                <w:rStyle w:val="Hyperlink"/>
                <w:noProof/>
              </w:rPr>
              <w:t>53.</w:t>
            </w:r>
            <w:r w:rsidR="0051128E">
              <w:rPr>
                <w:rFonts w:eastAsiaTheme="minorEastAsia"/>
                <w:noProof/>
                <w:color w:val="auto"/>
                <w:kern w:val="0"/>
                <w:sz w:val="22"/>
                <w:szCs w:val="22"/>
                <w:lang w:eastAsia="en-AU"/>
              </w:rPr>
              <w:tab/>
            </w:r>
            <w:r w:rsidR="0051128E" w:rsidRPr="005D0E7A">
              <w:rPr>
                <w:rStyle w:val="Hyperlink"/>
                <w:noProof/>
              </w:rPr>
              <w:t>Mobility aid movement in allocated spaces – passive restraints</w:t>
            </w:r>
            <w:r w:rsidR="0051128E">
              <w:rPr>
                <w:noProof/>
                <w:webHidden/>
              </w:rPr>
              <w:tab/>
            </w:r>
            <w:r w:rsidR="0051128E">
              <w:rPr>
                <w:noProof/>
                <w:webHidden/>
              </w:rPr>
              <w:fldChar w:fldCharType="begin"/>
            </w:r>
            <w:r w:rsidR="0051128E">
              <w:rPr>
                <w:noProof/>
                <w:webHidden/>
              </w:rPr>
              <w:instrText xml:space="preserve"> PAGEREF _Toc140239844 \h </w:instrText>
            </w:r>
            <w:r w:rsidR="0051128E">
              <w:rPr>
                <w:noProof/>
                <w:webHidden/>
              </w:rPr>
            </w:r>
            <w:r w:rsidR="0051128E">
              <w:rPr>
                <w:noProof/>
                <w:webHidden/>
              </w:rPr>
              <w:fldChar w:fldCharType="separate"/>
            </w:r>
            <w:r w:rsidR="0051128E">
              <w:rPr>
                <w:noProof/>
                <w:webHidden/>
              </w:rPr>
              <w:t>469</w:t>
            </w:r>
            <w:r w:rsidR="0051128E">
              <w:rPr>
                <w:noProof/>
                <w:webHidden/>
              </w:rPr>
              <w:fldChar w:fldCharType="end"/>
            </w:r>
          </w:hyperlink>
        </w:p>
        <w:p w14:paraId="36356026" w14:textId="65CC84E1" w:rsidR="0051128E" w:rsidRDefault="001C7A9B">
          <w:pPr>
            <w:pStyle w:val="TOC3"/>
            <w:tabs>
              <w:tab w:val="left" w:pos="1134"/>
            </w:tabs>
            <w:rPr>
              <w:rFonts w:eastAsiaTheme="minorEastAsia"/>
              <w:noProof/>
              <w:color w:val="auto"/>
              <w:kern w:val="0"/>
              <w:sz w:val="22"/>
              <w:szCs w:val="22"/>
              <w:lang w:eastAsia="en-AU"/>
            </w:rPr>
          </w:pPr>
          <w:hyperlink w:anchor="_Toc140239845" w:history="1">
            <w:r w:rsidR="0051128E" w:rsidRPr="005D0E7A">
              <w:rPr>
                <w:rStyle w:val="Hyperlink"/>
                <w:noProof/>
              </w:rPr>
              <w:t>54.</w:t>
            </w:r>
            <w:r w:rsidR="0051128E">
              <w:rPr>
                <w:rFonts w:eastAsiaTheme="minorEastAsia"/>
                <w:noProof/>
                <w:color w:val="auto"/>
                <w:kern w:val="0"/>
                <w:sz w:val="22"/>
                <w:szCs w:val="22"/>
                <w:lang w:eastAsia="en-AU"/>
              </w:rPr>
              <w:tab/>
            </w:r>
            <w:r w:rsidR="0051128E" w:rsidRPr="005D0E7A">
              <w:rPr>
                <w:rStyle w:val="Hyperlink"/>
                <w:noProof/>
              </w:rPr>
              <w:t>Mobility aid movement in allocated spaces – active restraints</w:t>
            </w:r>
            <w:r w:rsidR="0051128E">
              <w:rPr>
                <w:noProof/>
                <w:webHidden/>
              </w:rPr>
              <w:tab/>
            </w:r>
            <w:r w:rsidR="0051128E">
              <w:rPr>
                <w:noProof/>
                <w:webHidden/>
              </w:rPr>
              <w:fldChar w:fldCharType="begin"/>
            </w:r>
            <w:r w:rsidR="0051128E">
              <w:rPr>
                <w:noProof/>
                <w:webHidden/>
              </w:rPr>
              <w:instrText xml:space="preserve"> PAGEREF _Toc140239845 \h </w:instrText>
            </w:r>
            <w:r w:rsidR="0051128E">
              <w:rPr>
                <w:noProof/>
                <w:webHidden/>
              </w:rPr>
            </w:r>
            <w:r w:rsidR="0051128E">
              <w:rPr>
                <w:noProof/>
                <w:webHidden/>
              </w:rPr>
              <w:fldChar w:fldCharType="separate"/>
            </w:r>
            <w:r w:rsidR="0051128E">
              <w:rPr>
                <w:noProof/>
                <w:webHidden/>
              </w:rPr>
              <w:t>472</w:t>
            </w:r>
            <w:r w:rsidR="0051128E">
              <w:rPr>
                <w:noProof/>
                <w:webHidden/>
              </w:rPr>
              <w:fldChar w:fldCharType="end"/>
            </w:r>
          </w:hyperlink>
        </w:p>
        <w:p w14:paraId="38B650F8" w14:textId="480B05AF" w:rsidR="0051128E" w:rsidRDefault="001C7A9B">
          <w:pPr>
            <w:pStyle w:val="TOC3"/>
            <w:tabs>
              <w:tab w:val="left" w:pos="1134"/>
            </w:tabs>
            <w:rPr>
              <w:rFonts w:eastAsiaTheme="minorEastAsia"/>
              <w:noProof/>
              <w:color w:val="auto"/>
              <w:kern w:val="0"/>
              <w:sz w:val="22"/>
              <w:szCs w:val="22"/>
              <w:lang w:eastAsia="en-AU"/>
            </w:rPr>
          </w:pPr>
          <w:hyperlink w:anchor="_Toc140239846" w:history="1">
            <w:r w:rsidR="0051128E" w:rsidRPr="005D0E7A">
              <w:rPr>
                <w:rStyle w:val="Hyperlink"/>
                <w:noProof/>
              </w:rPr>
              <w:t>55.</w:t>
            </w:r>
            <w:r w:rsidR="0051128E">
              <w:rPr>
                <w:rFonts w:eastAsiaTheme="minorEastAsia"/>
                <w:noProof/>
                <w:color w:val="auto"/>
                <w:kern w:val="0"/>
                <w:sz w:val="22"/>
                <w:szCs w:val="22"/>
                <w:lang w:eastAsia="en-AU"/>
              </w:rPr>
              <w:tab/>
            </w:r>
            <w:r w:rsidR="0051128E" w:rsidRPr="005D0E7A">
              <w:rPr>
                <w:rStyle w:val="Hyperlink"/>
                <w:noProof/>
              </w:rPr>
              <w:t>Appropriate seats on booked services</w:t>
            </w:r>
            <w:r w:rsidR="0051128E">
              <w:rPr>
                <w:noProof/>
                <w:webHidden/>
              </w:rPr>
              <w:tab/>
            </w:r>
            <w:r w:rsidR="0051128E">
              <w:rPr>
                <w:noProof/>
                <w:webHidden/>
              </w:rPr>
              <w:fldChar w:fldCharType="begin"/>
            </w:r>
            <w:r w:rsidR="0051128E">
              <w:rPr>
                <w:noProof/>
                <w:webHidden/>
              </w:rPr>
              <w:instrText xml:space="preserve"> PAGEREF _Toc140239846 \h </w:instrText>
            </w:r>
            <w:r w:rsidR="0051128E">
              <w:rPr>
                <w:noProof/>
                <w:webHidden/>
              </w:rPr>
            </w:r>
            <w:r w:rsidR="0051128E">
              <w:rPr>
                <w:noProof/>
                <w:webHidden/>
              </w:rPr>
              <w:fldChar w:fldCharType="separate"/>
            </w:r>
            <w:r w:rsidR="0051128E">
              <w:rPr>
                <w:noProof/>
                <w:webHidden/>
              </w:rPr>
              <w:t>474</w:t>
            </w:r>
            <w:r w:rsidR="0051128E">
              <w:rPr>
                <w:noProof/>
                <w:webHidden/>
              </w:rPr>
              <w:fldChar w:fldCharType="end"/>
            </w:r>
          </w:hyperlink>
        </w:p>
        <w:p w14:paraId="454D18A7" w14:textId="3F18CC77" w:rsidR="0051128E" w:rsidRDefault="001C7A9B">
          <w:pPr>
            <w:pStyle w:val="TOC3"/>
            <w:tabs>
              <w:tab w:val="left" w:pos="1134"/>
            </w:tabs>
            <w:rPr>
              <w:rFonts w:eastAsiaTheme="minorEastAsia"/>
              <w:noProof/>
              <w:color w:val="auto"/>
              <w:kern w:val="0"/>
              <w:sz w:val="22"/>
              <w:szCs w:val="22"/>
              <w:lang w:eastAsia="en-AU"/>
            </w:rPr>
          </w:pPr>
          <w:hyperlink w:anchor="_Toc140239847" w:history="1">
            <w:r w:rsidR="0051128E" w:rsidRPr="005D0E7A">
              <w:rPr>
                <w:rStyle w:val="Hyperlink"/>
                <w:noProof/>
              </w:rPr>
              <w:t>56.</w:t>
            </w:r>
            <w:r w:rsidR="0051128E">
              <w:rPr>
                <w:rFonts w:eastAsiaTheme="minorEastAsia"/>
                <w:noProof/>
                <w:color w:val="auto"/>
                <w:kern w:val="0"/>
                <w:sz w:val="22"/>
                <w:szCs w:val="22"/>
                <w:lang w:eastAsia="en-AU"/>
              </w:rPr>
              <w:tab/>
            </w:r>
            <w:r w:rsidR="0051128E" w:rsidRPr="005D0E7A">
              <w:rPr>
                <w:rStyle w:val="Hyperlink"/>
                <w:noProof/>
              </w:rPr>
              <w:t>Conveyance dwell times at stops</w:t>
            </w:r>
            <w:r w:rsidR="0051128E">
              <w:rPr>
                <w:noProof/>
                <w:webHidden/>
              </w:rPr>
              <w:tab/>
            </w:r>
            <w:r w:rsidR="0051128E">
              <w:rPr>
                <w:noProof/>
                <w:webHidden/>
              </w:rPr>
              <w:fldChar w:fldCharType="begin"/>
            </w:r>
            <w:r w:rsidR="0051128E">
              <w:rPr>
                <w:noProof/>
                <w:webHidden/>
              </w:rPr>
              <w:instrText xml:space="preserve"> PAGEREF _Toc140239847 \h </w:instrText>
            </w:r>
            <w:r w:rsidR="0051128E">
              <w:rPr>
                <w:noProof/>
                <w:webHidden/>
              </w:rPr>
            </w:r>
            <w:r w:rsidR="0051128E">
              <w:rPr>
                <w:noProof/>
                <w:webHidden/>
              </w:rPr>
              <w:fldChar w:fldCharType="separate"/>
            </w:r>
            <w:r w:rsidR="0051128E">
              <w:rPr>
                <w:noProof/>
                <w:webHidden/>
              </w:rPr>
              <w:t>476</w:t>
            </w:r>
            <w:r w:rsidR="0051128E">
              <w:rPr>
                <w:noProof/>
                <w:webHidden/>
              </w:rPr>
              <w:fldChar w:fldCharType="end"/>
            </w:r>
          </w:hyperlink>
        </w:p>
        <w:p w14:paraId="39B7A159" w14:textId="5963AC62" w:rsidR="0051128E" w:rsidRDefault="001C7A9B">
          <w:pPr>
            <w:pStyle w:val="TOC3"/>
            <w:tabs>
              <w:tab w:val="left" w:pos="1134"/>
            </w:tabs>
            <w:rPr>
              <w:rFonts w:eastAsiaTheme="minorEastAsia"/>
              <w:noProof/>
              <w:color w:val="auto"/>
              <w:kern w:val="0"/>
              <w:sz w:val="22"/>
              <w:szCs w:val="22"/>
              <w:lang w:eastAsia="en-AU"/>
            </w:rPr>
          </w:pPr>
          <w:hyperlink w:anchor="_Toc140239848" w:history="1">
            <w:r w:rsidR="0051128E" w:rsidRPr="005D0E7A">
              <w:rPr>
                <w:rStyle w:val="Hyperlink"/>
                <w:noProof/>
              </w:rPr>
              <w:t>57.</w:t>
            </w:r>
            <w:r w:rsidR="0051128E">
              <w:rPr>
                <w:rFonts w:eastAsiaTheme="minorEastAsia"/>
                <w:noProof/>
                <w:color w:val="auto"/>
                <w:kern w:val="0"/>
                <w:sz w:val="22"/>
                <w:szCs w:val="22"/>
                <w:lang w:eastAsia="en-AU"/>
              </w:rPr>
              <w:tab/>
            </w:r>
            <w:r w:rsidR="0051128E" w:rsidRPr="005D0E7A">
              <w:rPr>
                <w:rStyle w:val="Hyperlink"/>
                <w:noProof/>
              </w:rPr>
              <w:t>Stairs on trains</w:t>
            </w:r>
            <w:r w:rsidR="0051128E">
              <w:rPr>
                <w:noProof/>
                <w:webHidden/>
              </w:rPr>
              <w:tab/>
            </w:r>
            <w:r w:rsidR="0051128E">
              <w:rPr>
                <w:noProof/>
                <w:webHidden/>
              </w:rPr>
              <w:fldChar w:fldCharType="begin"/>
            </w:r>
            <w:r w:rsidR="0051128E">
              <w:rPr>
                <w:noProof/>
                <w:webHidden/>
              </w:rPr>
              <w:instrText xml:space="preserve"> PAGEREF _Toc140239848 \h </w:instrText>
            </w:r>
            <w:r w:rsidR="0051128E">
              <w:rPr>
                <w:noProof/>
                <w:webHidden/>
              </w:rPr>
            </w:r>
            <w:r w:rsidR="0051128E">
              <w:rPr>
                <w:noProof/>
                <w:webHidden/>
              </w:rPr>
              <w:fldChar w:fldCharType="separate"/>
            </w:r>
            <w:r w:rsidR="0051128E">
              <w:rPr>
                <w:noProof/>
                <w:webHidden/>
              </w:rPr>
              <w:t>477</w:t>
            </w:r>
            <w:r w:rsidR="0051128E">
              <w:rPr>
                <w:noProof/>
                <w:webHidden/>
              </w:rPr>
              <w:fldChar w:fldCharType="end"/>
            </w:r>
          </w:hyperlink>
        </w:p>
        <w:p w14:paraId="54B5B5A3" w14:textId="0C605C56" w:rsidR="0051128E" w:rsidRDefault="001C7A9B">
          <w:pPr>
            <w:pStyle w:val="TOC3"/>
            <w:tabs>
              <w:tab w:val="left" w:pos="1134"/>
            </w:tabs>
            <w:rPr>
              <w:rFonts w:eastAsiaTheme="minorEastAsia"/>
              <w:noProof/>
              <w:color w:val="auto"/>
              <w:kern w:val="0"/>
              <w:sz w:val="22"/>
              <w:szCs w:val="22"/>
              <w:lang w:eastAsia="en-AU"/>
            </w:rPr>
          </w:pPr>
          <w:hyperlink w:anchor="_Toc140239849" w:history="1">
            <w:r w:rsidR="0051128E" w:rsidRPr="005D0E7A">
              <w:rPr>
                <w:rStyle w:val="Hyperlink"/>
                <w:noProof/>
              </w:rPr>
              <w:t>58.</w:t>
            </w:r>
            <w:r w:rsidR="0051128E">
              <w:rPr>
                <w:rFonts w:eastAsiaTheme="minorEastAsia"/>
                <w:noProof/>
                <w:color w:val="auto"/>
                <w:kern w:val="0"/>
                <w:sz w:val="22"/>
                <w:szCs w:val="22"/>
                <w:lang w:eastAsia="en-AU"/>
              </w:rPr>
              <w:tab/>
            </w:r>
            <w:r w:rsidR="0051128E" w:rsidRPr="005D0E7A">
              <w:rPr>
                <w:rStyle w:val="Hyperlink"/>
                <w:noProof/>
              </w:rPr>
              <w:t>Stairs on ferries</w:t>
            </w:r>
            <w:r w:rsidR="0051128E">
              <w:rPr>
                <w:noProof/>
                <w:webHidden/>
              </w:rPr>
              <w:tab/>
            </w:r>
            <w:r w:rsidR="0051128E">
              <w:rPr>
                <w:noProof/>
                <w:webHidden/>
              </w:rPr>
              <w:fldChar w:fldCharType="begin"/>
            </w:r>
            <w:r w:rsidR="0051128E">
              <w:rPr>
                <w:noProof/>
                <w:webHidden/>
              </w:rPr>
              <w:instrText xml:space="preserve"> PAGEREF _Toc140239849 \h </w:instrText>
            </w:r>
            <w:r w:rsidR="0051128E">
              <w:rPr>
                <w:noProof/>
                <w:webHidden/>
              </w:rPr>
            </w:r>
            <w:r w:rsidR="0051128E">
              <w:rPr>
                <w:noProof/>
                <w:webHidden/>
              </w:rPr>
              <w:fldChar w:fldCharType="separate"/>
            </w:r>
            <w:r w:rsidR="0051128E">
              <w:rPr>
                <w:noProof/>
                <w:webHidden/>
              </w:rPr>
              <w:t>479</w:t>
            </w:r>
            <w:r w:rsidR="0051128E">
              <w:rPr>
                <w:noProof/>
                <w:webHidden/>
              </w:rPr>
              <w:fldChar w:fldCharType="end"/>
            </w:r>
          </w:hyperlink>
        </w:p>
        <w:p w14:paraId="5A06140B" w14:textId="4EA66B43" w:rsidR="0051128E" w:rsidRDefault="001C7A9B">
          <w:pPr>
            <w:pStyle w:val="TOC3"/>
            <w:tabs>
              <w:tab w:val="left" w:pos="1134"/>
            </w:tabs>
            <w:rPr>
              <w:rFonts w:eastAsiaTheme="minorEastAsia"/>
              <w:noProof/>
              <w:color w:val="auto"/>
              <w:kern w:val="0"/>
              <w:sz w:val="22"/>
              <w:szCs w:val="22"/>
              <w:lang w:eastAsia="en-AU"/>
            </w:rPr>
          </w:pPr>
          <w:hyperlink w:anchor="_Toc140239850" w:history="1">
            <w:r w:rsidR="0051128E" w:rsidRPr="005D0E7A">
              <w:rPr>
                <w:rStyle w:val="Hyperlink"/>
                <w:noProof/>
              </w:rPr>
              <w:t>59.</w:t>
            </w:r>
            <w:r w:rsidR="0051128E">
              <w:rPr>
                <w:rFonts w:eastAsiaTheme="minorEastAsia"/>
                <w:noProof/>
                <w:color w:val="auto"/>
                <w:kern w:val="0"/>
                <w:sz w:val="22"/>
                <w:szCs w:val="22"/>
                <w:lang w:eastAsia="en-AU"/>
              </w:rPr>
              <w:tab/>
            </w:r>
            <w:r w:rsidR="0051128E" w:rsidRPr="005D0E7A">
              <w:rPr>
                <w:rStyle w:val="Hyperlink"/>
                <w:noProof/>
              </w:rPr>
              <w:t>Stairs on buses</w:t>
            </w:r>
            <w:r w:rsidR="0051128E">
              <w:rPr>
                <w:noProof/>
                <w:webHidden/>
              </w:rPr>
              <w:tab/>
            </w:r>
            <w:r w:rsidR="0051128E">
              <w:rPr>
                <w:noProof/>
                <w:webHidden/>
              </w:rPr>
              <w:fldChar w:fldCharType="begin"/>
            </w:r>
            <w:r w:rsidR="0051128E">
              <w:rPr>
                <w:noProof/>
                <w:webHidden/>
              </w:rPr>
              <w:instrText xml:space="preserve"> PAGEREF _Toc140239850 \h </w:instrText>
            </w:r>
            <w:r w:rsidR="0051128E">
              <w:rPr>
                <w:noProof/>
                <w:webHidden/>
              </w:rPr>
            </w:r>
            <w:r w:rsidR="0051128E">
              <w:rPr>
                <w:noProof/>
                <w:webHidden/>
              </w:rPr>
              <w:fldChar w:fldCharType="separate"/>
            </w:r>
            <w:r w:rsidR="0051128E">
              <w:rPr>
                <w:noProof/>
                <w:webHidden/>
              </w:rPr>
              <w:t>481</w:t>
            </w:r>
            <w:r w:rsidR="0051128E">
              <w:rPr>
                <w:noProof/>
                <w:webHidden/>
              </w:rPr>
              <w:fldChar w:fldCharType="end"/>
            </w:r>
          </w:hyperlink>
        </w:p>
        <w:p w14:paraId="363BBE11" w14:textId="08C4CFD8" w:rsidR="0051128E" w:rsidRDefault="001C7A9B">
          <w:pPr>
            <w:pStyle w:val="TOC3"/>
            <w:tabs>
              <w:tab w:val="left" w:pos="1134"/>
            </w:tabs>
            <w:rPr>
              <w:rFonts w:eastAsiaTheme="minorEastAsia"/>
              <w:noProof/>
              <w:color w:val="auto"/>
              <w:kern w:val="0"/>
              <w:sz w:val="22"/>
              <w:szCs w:val="22"/>
              <w:lang w:eastAsia="en-AU"/>
            </w:rPr>
          </w:pPr>
          <w:hyperlink w:anchor="_Toc140239851" w:history="1">
            <w:r w:rsidR="0051128E" w:rsidRPr="005D0E7A">
              <w:rPr>
                <w:rStyle w:val="Hyperlink"/>
                <w:noProof/>
              </w:rPr>
              <w:t>60.</w:t>
            </w:r>
            <w:r w:rsidR="0051128E">
              <w:rPr>
                <w:rFonts w:eastAsiaTheme="minorEastAsia"/>
                <w:noProof/>
                <w:color w:val="auto"/>
                <w:kern w:val="0"/>
                <w:sz w:val="22"/>
                <w:szCs w:val="22"/>
                <w:lang w:eastAsia="en-AU"/>
              </w:rPr>
              <w:tab/>
            </w:r>
            <w:r w:rsidR="0051128E" w:rsidRPr="005D0E7A">
              <w:rPr>
                <w:rStyle w:val="Hyperlink"/>
                <w:noProof/>
              </w:rPr>
              <w:t>Doorway contrast and height</w:t>
            </w:r>
            <w:r w:rsidR="0051128E">
              <w:rPr>
                <w:noProof/>
                <w:webHidden/>
              </w:rPr>
              <w:tab/>
            </w:r>
            <w:r w:rsidR="0051128E">
              <w:rPr>
                <w:noProof/>
                <w:webHidden/>
              </w:rPr>
              <w:fldChar w:fldCharType="begin"/>
            </w:r>
            <w:r w:rsidR="0051128E">
              <w:rPr>
                <w:noProof/>
                <w:webHidden/>
              </w:rPr>
              <w:instrText xml:space="preserve"> PAGEREF _Toc140239851 \h </w:instrText>
            </w:r>
            <w:r w:rsidR="0051128E">
              <w:rPr>
                <w:noProof/>
                <w:webHidden/>
              </w:rPr>
            </w:r>
            <w:r w:rsidR="0051128E">
              <w:rPr>
                <w:noProof/>
                <w:webHidden/>
              </w:rPr>
              <w:fldChar w:fldCharType="separate"/>
            </w:r>
            <w:r w:rsidR="0051128E">
              <w:rPr>
                <w:noProof/>
                <w:webHidden/>
              </w:rPr>
              <w:t>483</w:t>
            </w:r>
            <w:r w:rsidR="0051128E">
              <w:rPr>
                <w:noProof/>
                <w:webHidden/>
              </w:rPr>
              <w:fldChar w:fldCharType="end"/>
            </w:r>
          </w:hyperlink>
        </w:p>
        <w:p w14:paraId="2CF76460" w14:textId="0172A27A" w:rsidR="0051128E" w:rsidRDefault="001C7A9B">
          <w:pPr>
            <w:pStyle w:val="TOC3"/>
            <w:tabs>
              <w:tab w:val="left" w:pos="1134"/>
            </w:tabs>
            <w:rPr>
              <w:rFonts w:eastAsiaTheme="minorEastAsia"/>
              <w:noProof/>
              <w:color w:val="auto"/>
              <w:kern w:val="0"/>
              <w:sz w:val="22"/>
              <w:szCs w:val="22"/>
              <w:lang w:eastAsia="en-AU"/>
            </w:rPr>
          </w:pPr>
          <w:hyperlink w:anchor="_Toc140239852" w:history="1">
            <w:r w:rsidR="0051128E" w:rsidRPr="005D0E7A">
              <w:rPr>
                <w:rStyle w:val="Hyperlink"/>
                <w:noProof/>
              </w:rPr>
              <w:t>61.</w:t>
            </w:r>
            <w:r w:rsidR="0051128E">
              <w:rPr>
                <w:rFonts w:eastAsiaTheme="minorEastAsia"/>
                <w:noProof/>
                <w:color w:val="auto"/>
                <w:kern w:val="0"/>
                <w:sz w:val="22"/>
                <w:szCs w:val="22"/>
                <w:lang w:eastAsia="en-AU"/>
              </w:rPr>
              <w:tab/>
            </w:r>
            <w:r w:rsidR="0051128E" w:rsidRPr="005D0E7A">
              <w:rPr>
                <w:rStyle w:val="Hyperlink"/>
                <w:noProof/>
              </w:rPr>
              <w:t>Implementation approach</w:t>
            </w:r>
            <w:r w:rsidR="0051128E">
              <w:rPr>
                <w:noProof/>
                <w:webHidden/>
              </w:rPr>
              <w:tab/>
            </w:r>
            <w:r w:rsidR="0051128E">
              <w:rPr>
                <w:noProof/>
                <w:webHidden/>
              </w:rPr>
              <w:fldChar w:fldCharType="begin"/>
            </w:r>
            <w:r w:rsidR="0051128E">
              <w:rPr>
                <w:noProof/>
                <w:webHidden/>
              </w:rPr>
              <w:instrText xml:space="preserve"> PAGEREF _Toc140239852 \h </w:instrText>
            </w:r>
            <w:r w:rsidR="0051128E">
              <w:rPr>
                <w:noProof/>
                <w:webHidden/>
              </w:rPr>
            </w:r>
            <w:r w:rsidR="0051128E">
              <w:rPr>
                <w:noProof/>
                <w:webHidden/>
              </w:rPr>
              <w:fldChar w:fldCharType="separate"/>
            </w:r>
            <w:r w:rsidR="0051128E">
              <w:rPr>
                <w:noProof/>
                <w:webHidden/>
              </w:rPr>
              <w:t>485</w:t>
            </w:r>
            <w:r w:rsidR="0051128E">
              <w:rPr>
                <w:noProof/>
                <w:webHidden/>
              </w:rPr>
              <w:fldChar w:fldCharType="end"/>
            </w:r>
          </w:hyperlink>
        </w:p>
        <w:p w14:paraId="04F3568D" w14:textId="0EFF6B41" w:rsidR="006D6F3F" w:rsidRPr="007D162C" w:rsidRDefault="006D6F3F" w:rsidP="0051128E">
          <w:pPr>
            <w:pStyle w:val="TOC2"/>
            <w:rPr>
              <w:rFonts w:eastAsiaTheme="minorEastAsia"/>
              <w:color w:val="auto"/>
              <w:kern w:val="0"/>
              <w:sz w:val="22"/>
              <w:szCs w:val="22"/>
              <w:lang w:eastAsia="en-AU"/>
            </w:rPr>
          </w:pPr>
          <w:r w:rsidRPr="007D162C">
            <w:fldChar w:fldCharType="end"/>
          </w:r>
        </w:p>
      </w:sdtContent>
    </w:sdt>
    <w:p w14:paraId="36970F40" w14:textId="77777777" w:rsidR="009B2D8B" w:rsidRPr="007D162C" w:rsidRDefault="009B2D8B">
      <w:pPr>
        <w:spacing w:line="259" w:lineRule="auto"/>
        <w:rPr>
          <w:rFonts w:ascii="Calibri" w:eastAsia="Calibri" w:hAnsi="Calibri" w:cs="Calibri"/>
          <w:color w:val="081E3E"/>
          <w:kern w:val="12"/>
          <w:sz w:val="40"/>
          <w:szCs w:val="44"/>
        </w:rPr>
      </w:pPr>
      <w:r w:rsidRPr="007D162C">
        <w:rPr>
          <w:rFonts w:ascii="Calibri" w:eastAsia="Calibri" w:hAnsi="Calibri" w:cs="Calibri"/>
          <w:color w:val="081E3E"/>
          <w:kern w:val="12"/>
          <w:sz w:val="40"/>
          <w:szCs w:val="44"/>
        </w:rPr>
        <w:t>List of Figures and Tables</w:t>
      </w:r>
    </w:p>
    <w:p w14:paraId="6F66D2DB" w14:textId="01124D27" w:rsidR="00315D48" w:rsidRDefault="009B2D8B">
      <w:pPr>
        <w:pStyle w:val="TableofFigures"/>
        <w:tabs>
          <w:tab w:val="right" w:leader="dot" w:pos="9854"/>
        </w:tabs>
        <w:rPr>
          <w:rFonts w:eastAsiaTheme="minorEastAsia"/>
          <w:noProof/>
          <w:color w:val="auto"/>
          <w:kern w:val="0"/>
          <w:sz w:val="22"/>
          <w:szCs w:val="22"/>
          <w:lang w:eastAsia="en-AU"/>
        </w:rPr>
      </w:pPr>
      <w:r w:rsidRPr="007D162C">
        <w:rPr>
          <w:rFonts w:ascii="Calibri" w:eastAsia="Calibri" w:hAnsi="Calibri" w:cs="Calibri"/>
          <w:color w:val="081E3E"/>
          <w:sz w:val="40"/>
          <w:szCs w:val="44"/>
        </w:rPr>
        <w:fldChar w:fldCharType="begin"/>
      </w:r>
      <w:r w:rsidRPr="007D162C">
        <w:rPr>
          <w:rFonts w:ascii="Calibri" w:eastAsia="Calibri" w:hAnsi="Calibri" w:cs="Calibri"/>
          <w:color w:val="081E3E"/>
          <w:sz w:val="40"/>
          <w:szCs w:val="44"/>
        </w:rPr>
        <w:instrText xml:space="preserve"> TOC \h \z \c "Table" </w:instrText>
      </w:r>
      <w:r w:rsidRPr="007D162C">
        <w:rPr>
          <w:rFonts w:ascii="Calibri" w:eastAsia="Calibri" w:hAnsi="Calibri" w:cs="Calibri"/>
          <w:color w:val="081E3E"/>
          <w:sz w:val="40"/>
          <w:szCs w:val="44"/>
        </w:rPr>
        <w:fldChar w:fldCharType="separate"/>
      </w:r>
      <w:hyperlink w:anchor="_Toc139969159" w:history="1">
        <w:r w:rsidR="00315D48" w:rsidRPr="00D91CA2">
          <w:rPr>
            <w:rStyle w:val="Hyperlink"/>
            <w:noProof/>
          </w:rPr>
          <w:t>Table 1: Summary of Stage 2 reform areas, preferred options and implementation approach</w:t>
        </w:r>
        <w:r w:rsidR="00315D48">
          <w:rPr>
            <w:noProof/>
            <w:webHidden/>
          </w:rPr>
          <w:tab/>
        </w:r>
        <w:r w:rsidR="00315D48">
          <w:rPr>
            <w:noProof/>
            <w:webHidden/>
          </w:rPr>
          <w:fldChar w:fldCharType="begin"/>
        </w:r>
        <w:r w:rsidR="00315D48">
          <w:rPr>
            <w:noProof/>
            <w:webHidden/>
          </w:rPr>
          <w:instrText xml:space="preserve"> PAGEREF _Toc139969159 \h </w:instrText>
        </w:r>
        <w:r w:rsidR="00315D48">
          <w:rPr>
            <w:noProof/>
            <w:webHidden/>
          </w:rPr>
        </w:r>
        <w:r w:rsidR="00315D48">
          <w:rPr>
            <w:noProof/>
            <w:webHidden/>
          </w:rPr>
          <w:fldChar w:fldCharType="separate"/>
        </w:r>
        <w:r w:rsidR="00315D48">
          <w:rPr>
            <w:noProof/>
            <w:webHidden/>
          </w:rPr>
          <w:t>13</w:t>
        </w:r>
        <w:r w:rsidR="00315D48">
          <w:rPr>
            <w:noProof/>
            <w:webHidden/>
          </w:rPr>
          <w:fldChar w:fldCharType="end"/>
        </w:r>
      </w:hyperlink>
    </w:p>
    <w:p w14:paraId="56B412FE" w14:textId="7BF3B29D" w:rsidR="00315D48" w:rsidRDefault="001C7A9B">
      <w:pPr>
        <w:pStyle w:val="TableofFigures"/>
        <w:tabs>
          <w:tab w:val="right" w:leader="dot" w:pos="9854"/>
        </w:tabs>
        <w:rPr>
          <w:rFonts w:eastAsiaTheme="minorEastAsia"/>
          <w:noProof/>
          <w:color w:val="auto"/>
          <w:kern w:val="0"/>
          <w:sz w:val="22"/>
          <w:szCs w:val="22"/>
          <w:lang w:eastAsia="en-AU"/>
        </w:rPr>
      </w:pPr>
      <w:hyperlink w:anchor="_Toc139969160" w:history="1">
        <w:r w:rsidR="00315D48" w:rsidRPr="00D91CA2">
          <w:rPr>
            <w:rStyle w:val="Hyperlink"/>
            <w:noProof/>
          </w:rPr>
          <w:t>Table 2: Summary of Stage 1 reform areas, confirmed options and implementation approach</w:t>
        </w:r>
        <w:r w:rsidR="00315D48">
          <w:rPr>
            <w:noProof/>
            <w:webHidden/>
          </w:rPr>
          <w:tab/>
        </w:r>
        <w:r w:rsidR="00315D48">
          <w:rPr>
            <w:noProof/>
            <w:webHidden/>
          </w:rPr>
          <w:fldChar w:fldCharType="begin"/>
        </w:r>
        <w:r w:rsidR="00315D48">
          <w:rPr>
            <w:noProof/>
            <w:webHidden/>
          </w:rPr>
          <w:instrText xml:space="preserve"> PAGEREF _Toc139969160 \h </w:instrText>
        </w:r>
        <w:r w:rsidR="00315D48">
          <w:rPr>
            <w:noProof/>
            <w:webHidden/>
          </w:rPr>
        </w:r>
        <w:r w:rsidR="00315D48">
          <w:rPr>
            <w:noProof/>
            <w:webHidden/>
          </w:rPr>
          <w:fldChar w:fldCharType="separate"/>
        </w:r>
        <w:r w:rsidR="00315D48">
          <w:rPr>
            <w:noProof/>
            <w:webHidden/>
          </w:rPr>
          <w:t>17</w:t>
        </w:r>
        <w:r w:rsidR="00315D48">
          <w:rPr>
            <w:noProof/>
            <w:webHidden/>
          </w:rPr>
          <w:fldChar w:fldCharType="end"/>
        </w:r>
      </w:hyperlink>
    </w:p>
    <w:p w14:paraId="554988CB" w14:textId="091E9385" w:rsidR="00315D48" w:rsidRDefault="001C7A9B">
      <w:pPr>
        <w:pStyle w:val="TableofFigures"/>
        <w:tabs>
          <w:tab w:val="right" w:leader="dot" w:pos="9854"/>
        </w:tabs>
        <w:rPr>
          <w:rFonts w:eastAsiaTheme="minorEastAsia"/>
          <w:noProof/>
          <w:color w:val="auto"/>
          <w:kern w:val="0"/>
          <w:sz w:val="22"/>
          <w:szCs w:val="22"/>
          <w:lang w:eastAsia="en-AU"/>
        </w:rPr>
      </w:pPr>
      <w:hyperlink w:anchor="_Toc139969161" w:history="1">
        <w:r w:rsidR="00315D48" w:rsidRPr="00D91CA2">
          <w:rPr>
            <w:rStyle w:val="Hyperlink"/>
            <w:noProof/>
          </w:rPr>
          <w:t>Table 3: Glossary of terms and abbreviations used in the Decision RIS</w:t>
        </w:r>
        <w:r w:rsidR="00315D48">
          <w:rPr>
            <w:noProof/>
            <w:webHidden/>
          </w:rPr>
          <w:tab/>
        </w:r>
        <w:r w:rsidR="00315D48">
          <w:rPr>
            <w:noProof/>
            <w:webHidden/>
          </w:rPr>
          <w:fldChar w:fldCharType="begin"/>
        </w:r>
        <w:r w:rsidR="00315D48">
          <w:rPr>
            <w:noProof/>
            <w:webHidden/>
          </w:rPr>
          <w:instrText xml:space="preserve"> PAGEREF _Toc139969161 \h </w:instrText>
        </w:r>
        <w:r w:rsidR="00315D48">
          <w:rPr>
            <w:noProof/>
            <w:webHidden/>
          </w:rPr>
        </w:r>
        <w:r w:rsidR="00315D48">
          <w:rPr>
            <w:noProof/>
            <w:webHidden/>
          </w:rPr>
          <w:fldChar w:fldCharType="separate"/>
        </w:r>
        <w:r w:rsidR="00315D48">
          <w:rPr>
            <w:noProof/>
            <w:webHidden/>
          </w:rPr>
          <w:t>18</w:t>
        </w:r>
        <w:r w:rsidR="00315D48">
          <w:rPr>
            <w:noProof/>
            <w:webHidden/>
          </w:rPr>
          <w:fldChar w:fldCharType="end"/>
        </w:r>
      </w:hyperlink>
    </w:p>
    <w:p w14:paraId="0111AA84" w14:textId="3E8FC3F9" w:rsidR="00315D48" w:rsidRDefault="001C7A9B">
      <w:pPr>
        <w:pStyle w:val="TableofFigures"/>
        <w:tabs>
          <w:tab w:val="right" w:leader="dot" w:pos="9854"/>
        </w:tabs>
        <w:rPr>
          <w:rFonts w:eastAsiaTheme="minorEastAsia"/>
          <w:noProof/>
          <w:color w:val="auto"/>
          <w:kern w:val="0"/>
          <w:sz w:val="22"/>
          <w:szCs w:val="22"/>
          <w:lang w:eastAsia="en-AU"/>
        </w:rPr>
      </w:pPr>
      <w:hyperlink w:anchor="_Toc139969162" w:history="1">
        <w:r w:rsidR="00315D48" w:rsidRPr="00D91CA2">
          <w:rPr>
            <w:rStyle w:val="Hyperlink"/>
            <w:noProof/>
          </w:rPr>
          <w:t>Table 4: Glossary of Australian Standards and other standard references</w:t>
        </w:r>
        <w:r w:rsidR="00315D48">
          <w:rPr>
            <w:noProof/>
            <w:webHidden/>
          </w:rPr>
          <w:tab/>
        </w:r>
        <w:r w:rsidR="00315D48">
          <w:rPr>
            <w:noProof/>
            <w:webHidden/>
          </w:rPr>
          <w:fldChar w:fldCharType="begin"/>
        </w:r>
        <w:r w:rsidR="00315D48">
          <w:rPr>
            <w:noProof/>
            <w:webHidden/>
          </w:rPr>
          <w:instrText xml:space="preserve"> PAGEREF _Toc139969162 \h </w:instrText>
        </w:r>
        <w:r w:rsidR="00315D48">
          <w:rPr>
            <w:noProof/>
            <w:webHidden/>
          </w:rPr>
        </w:r>
        <w:r w:rsidR="00315D48">
          <w:rPr>
            <w:noProof/>
            <w:webHidden/>
          </w:rPr>
          <w:fldChar w:fldCharType="separate"/>
        </w:r>
        <w:r w:rsidR="00315D48">
          <w:rPr>
            <w:noProof/>
            <w:webHidden/>
          </w:rPr>
          <w:t>20</w:t>
        </w:r>
        <w:r w:rsidR="00315D48">
          <w:rPr>
            <w:noProof/>
            <w:webHidden/>
          </w:rPr>
          <w:fldChar w:fldCharType="end"/>
        </w:r>
      </w:hyperlink>
    </w:p>
    <w:p w14:paraId="1DC74A78" w14:textId="1A5B4FF7" w:rsidR="00315D48" w:rsidRDefault="001C7A9B">
      <w:pPr>
        <w:pStyle w:val="TableofFigures"/>
        <w:tabs>
          <w:tab w:val="right" w:leader="dot" w:pos="9854"/>
        </w:tabs>
        <w:rPr>
          <w:rFonts w:eastAsiaTheme="minorEastAsia"/>
          <w:noProof/>
          <w:color w:val="auto"/>
          <w:kern w:val="0"/>
          <w:sz w:val="22"/>
          <w:szCs w:val="22"/>
          <w:lang w:eastAsia="en-AU"/>
        </w:rPr>
      </w:pPr>
      <w:hyperlink w:anchor="_Toc139969163" w:history="1">
        <w:r w:rsidR="00315D48" w:rsidRPr="00D91CA2">
          <w:rPr>
            <w:rStyle w:val="Hyperlink"/>
            <w:noProof/>
          </w:rPr>
          <w:t>Table 5: Summary of submissions received by stakeholder group</w:t>
        </w:r>
        <w:r w:rsidR="00315D48">
          <w:rPr>
            <w:noProof/>
            <w:webHidden/>
          </w:rPr>
          <w:tab/>
        </w:r>
        <w:r w:rsidR="00315D48">
          <w:rPr>
            <w:noProof/>
            <w:webHidden/>
          </w:rPr>
          <w:fldChar w:fldCharType="begin"/>
        </w:r>
        <w:r w:rsidR="00315D48">
          <w:rPr>
            <w:noProof/>
            <w:webHidden/>
          </w:rPr>
          <w:instrText xml:space="preserve"> PAGEREF _Toc139969163 \h </w:instrText>
        </w:r>
        <w:r w:rsidR="00315D48">
          <w:rPr>
            <w:noProof/>
            <w:webHidden/>
          </w:rPr>
        </w:r>
        <w:r w:rsidR="00315D48">
          <w:rPr>
            <w:noProof/>
            <w:webHidden/>
          </w:rPr>
          <w:fldChar w:fldCharType="separate"/>
        </w:r>
        <w:r w:rsidR="00315D48">
          <w:rPr>
            <w:noProof/>
            <w:webHidden/>
          </w:rPr>
          <w:t>28</w:t>
        </w:r>
        <w:r w:rsidR="00315D48">
          <w:rPr>
            <w:noProof/>
            <w:webHidden/>
          </w:rPr>
          <w:fldChar w:fldCharType="end"/>
        </w:r>
      </w:hyperlink>
    </w:p>
    <w:p w14:paraId="0180A023" w14:textId="24C33E8B" w:rsidR="00315D48" w:rsidRDefault="001C7A9B">
      <w:pPr>
        <w:pStyle w:val="TableofFigures"/>
        <w:tabs>
          <w:tab w:val="right" w:leader="dot" w:pos="9854"/>
        </w:tabs>
        <w:rPr>
          <w:rFonts w:eastAsiaTheme="minorEastAsia"/>
          <w:noProof/>
          <w:color w:val="auto"/>
          <w:kern w:val="0"/>
          <w:sz w:val="22"/>
          <w:szCs w:val="22"/>
          <w:lang w:eastAsia="en-AU"/>
        </w:rPr>
      </w:pPr>
      <w:hyperlink w:anchor="_Toc139969164" w:history="1">
        <w:r w:rsidR="00315D48" w:rsidRPr="00D91CA2">
          <w:rPr>
            <w:rStyle w:val="Hyperlink"/>
            <w:noProof/>
          </w:rPr>
          <w:t>Table 6 Summary of consultation activities and engagement</w:t>
        </w:r>
        <w:r w:rsidR="00315D48">
          <w:rPr>
            <w:noProof/>
            <w:webHidden/>
          </w:rPr>
          <w:tab/>
        </w:r>
        <w:r w:rsidR="00315D48">
          <w:rPr>
            <w:noProof/>
            <w:webHidden/>
          </w:rPr>
          <w:fldChar w:fldCharType="begin"/>
        </w:r>
        <w:r w:rsidR="00315D48">
          <w:rPr>
            <w:noProof/>
            <w:webHidden/>
          </w:rPr>
          <w:instrText xml:space="preserve"> PAGEREF _Toc139969164 \h </w:instrText>
        </w:r>
        <w:r w:rsidR="00315D48">
          <w:rPr>
            <w:noProof/>
            <w:webHidden/>
          </w:rPr>
        </w:r>
        <w:r w:rsidR="00315D48">
          <w:rPr>
            <w:noProof/>
            <w:webHidden/>
          </w:rPr>
          <w:fldChar w:fldCharType="separate"/>
        </w:r>
        <w:r w:rsidR="00315D48">
          <w:rPr>
            <w:noProof/>
            <w:webHidden/>
          </w:rPr>
          <w:t>28</w:t>
        </w:r>
        <w:r w:rsidR="00315D48">
          <w:rPr>
            <w:noProof/>
            <w:webHidden/>
          </w:rPr>
          <w:fldChar w:fldCharType="end"/>
        </w:r>
      </w:hyperlink>
    </w:p>
    <w:p w14:paraId="3E8C02B8" w14:textId="319C7CBE" w:rsidR="00315D48" w:rsidRDefault="001C7A9B">
      <w:pPr>
        <w:pStyle w:val="TableofFigures"/>
        <w:tabs>
          <w:tab w:val="right" w:leader="dot" w:pos="9854"/>
        </w:tabs>
        <w:rPr>
          <w:rFonts w:eastAsiaTheme="minorEastAsia"/>
          <w:noProof/>
          <w:color w:val="auto"/>
          <w:kern w:val="0"/>
          <w:sz w:val="22"/>
          <w:szCs w:val="22"/>
          <w:lang w:eastAsia="en-AU"/>
        </w:rPr>
      </w:pPr>
      <w:hyperlink w:anchor="_Toc139969165" w:history="1">
        <w:r w:rsidR="00315D48" w:rsidRPr="00D91CA2">
          <w:rPr>
            <w:rStyle w:val="Hyperlink"/>
            <w:noProof/>
          </w:rPr>
          <w:t>Table 7: Cost benefit analysis results by reform theme</w:t>
        </w:r>
        <w:r w:rsidR="00315D48">
          <w:rPr>
            <w:noProof/>
            <w:webHidden/>
          </w:rPr>
          <w:tab/>
        </w:r>
        <w:r w:rsidR="00315D48">
          <w:rPr>
            <w:noProof/>
            <w:webHidden/>
          </w:rPr>
          <w:fldChar w:fldCharType="begin"/>
        </w:r>
        <w:r w:rsidR="00315D48">
          <w:rPr>
            <w:noProof/>
            <w:webHidden/>
          </w:rPr>
          <w:instrText xml:space="preserve"> PAGEREF _Toc139969165 \h </w:instrText>
        </w:r>
        <w:r w:rsidR="00315D48">
          <w:rPr>
            <w:noProof/>
            <w:webHidden/>
          </w:rPr>
        </w:r>
        <w:r w:rsidR="00315D48">
          <w:rPr>
            <w:noProof/>
            <w:webHidden/>
          </w:rPr>
          <w:fldChar w:fldCharType="separate"/>
        </w:r>
        <w:r w:rsidR="00315D48">
          <w:rPr>
            <w:noProof/>
            <w:webHidden/>
          </w:rPr>
          <w:t>33</w:t>
        </w:r>
        <w:r w:rsidR="00315D48">
          <w:rPr>
            <w:noProof/>
            <w:webHidden/>
          </w:rPr>
          <w:fldChar w:fldCharType="end"/>
        </w:r>
      </w:hyperlink>
    </w:p>
    <w:p w14:paraId="1C511E2F" w14:textId="229604A0" w:rsidR="00315D48" w:rsidRDefault="001C7A9B">
      <w:pPr>
        <w:pStyle w:val="TableofFigures"/>
        <w:tabs>
          <w:tab w:val="right" w:leader="dot" w:pos="9854"/>
        </w:tabs>
        <w:rPr>
          <w:rFonts w:eastAsiaTheme="minorEastAsia"/>
          <w:noProof/>
          <w:color w:val="auto"/>
          <w:kern w:val="0"/>
          <w:sz w:val="22"/>
          <w:szCs w:val="22"/>
          <w:lang w:eastAsia="en-AU"/>
        </w:rPr>
      </w:pPr>
      <w:hyperlink w:anchor="_Toc139969166" w:history="1">
        <w:r w:rsidR="00315D48" w:rsidRPr="00D91CA2">
          <w:rPr>
            <w:rStyle w:val="Hyperlink"/>
            <w:noProof/>
          </w:rPr>
          <w:t>Table 8: Reform options for Reporting</w:t>
        </w:r>
        <w:r w:rsidR="00315D48">
          <w:rPr>
            <w:noProof/>
            <w:webHidden/>
          </w:rPr>
          <w:tab/>
        </w:r>
        <w:r w:rsidR="00315D48">
          <w:rPr>
            <w:noProof/>
            <w:webHidden/>
          </w:rPr>
          <w:fldChar w:fldCharType="begin"/>
        </w:r>
        <w:r w:rsidR="00315D48">
          <w:rPr>
            <w:noProof/>
            <w:webHidden/>
          </w:rPr>
          <w:instrText xml:space="preserve"> PAGEREF _Toc139969166 \h </w:instrText>
        </w:r>
        <w:r w:rsidR="00315D48">
          <w:rPr>
            <w:noProof/>
            <w:webHidden/>
          </w:rPr>
        </w:r>
        <w:r w:rsidR="00315D48">
          <w:rPr>
            <w:noProof/>
            <w:webHidden/>
          </w:rPr>
          <w:fldChar w:fldCharType="separate"/>
        </w:r>
        <w:r w:rsidR="00315D48">
          <w:rPr>
            <w:noProof/>
            <w:webHidden/>
          </w:rPr>
          <w:t>35</w:t>
        </w:r>
        <w:r w:rsidR="00315D48">
          <w:rPr>
            <w:noProof/>
            <w:webHidden/>
          </w:rPr>
          <w:fldChar w:fldCharType="end"/>
        </w:r>
      </w:hyperlink>
    </w:p>
    <w:p w14:paraId="6EFFA36C" w14:textId="5402F5B7" w:rsidR="00315D48" w:rsidRDefault="001C7A9B">
      <w:pPr>
        <w:pStyle w:val="TableofFigures"/>
        <w:tabs>
          <w:tab w:val="right" w:leader="dot" w:pos="9854"/>
        </w:tabs>
        <w:rPr>
          <w:rFonts w:eastAsiaTheme="minorEastAsia"/>
          <w:noProof/>
          <w:color w:val="auto"/>
          <w:kern w:val="0"/>
          <w:sz w:val="22"/>
          <w:szCs w:val="22"/>
          <w:lang w:eastAsia="en-AU"/>
        </w:rPr>
      </w:pPr>
      <w:hyperlink w:anchor="_Toc139969167" w:history="1">
        <w:r w:rsidR="00315D48" w:rsidRPr="00D91CA2">
          <w:rPr>
            <w:rStyle w:val="Hyperlink"/>
            <w:noProof/>
          </w:rPr>
          <w:t>Table 9: Benefit-cost ratios for Reporting</w:t>
        </w:r>
        <w:r w:rsidR="00315D48">
          <w:rPr>
            <w:noProof/>
            <w:webHidden/>
          </w:rPr>
          <w:tab/>
        </w:r>
        <w:r w:rsidR="00315D48">
          <w:rPr>
            <w:noProof/>
            <w:webHidden/>
          </w:rPr>
          <w:fldChar w:fldCharType="begin"/>
        </w:r>
        <w:r w:rsidR="00315D48">
          <w:rPr>
            <w:noProof/>
            <w:webHidden/>
          </w:rPr>
          <w:instrText xml:space="preserve"> PAGEREF _Toc139969167 \h </w:instrText>
        </w:r>
        <w:r w:rsidR="00315D48">
          <w:rPr>
            <w:noProof/>
            <w:webHidden/>
          </w:rPr>
        </w:r>
        <w:r w:rsidR="00315D48">
          <w:rPr>
            <w:noProof/>
            <w:webHidden/>
          </w:rPr>
          <w:fldChar w:fldCharType="separate"/>
        </w:r>
        <w:r w:rsidR="00315D48">
          <w:rPr>
            <w:noProof/>
            <w:webHidden/>
          </w:rPr>
          <w:t>36</w:t>
        </w:r>
        <w:r w:rsidR="00315D48">
          <w:rPr>
            <w:noProof/>
            <w:webHidden/>
          </w:rPr>
          <w:fldChar w:fldCharType="end"/>
        </w:r>
      </w:hyperlink>
    </w:p>
    <w:p w14:paraId="602D68D5" w14:textId="48728FDB" w:rsidR="00315D48" w:rsidRDefault="001C7A9B">
      <w:pPr>
        <w:pStyle w:val="TableofFigures"/>
        <w:tabs>
          <w:tab w:val="right" w:leader="dot" w:pos="9854"/>
        </w:tabs>
        <w:rPr>
          <w:rFonts w:eastAsiaTheme="minorEastAsia"/>
          <w:noProof/>
          <w:color w:val="auto"/>
          <w:kern w:val="0"/>
          <w:sz w:val="22"/>
          <w:szCs w:val="22"/>
          <w:lang w:eastAsia="en-AU"/>
        </w:rPr>
      </w:pPr>
      <w:hyperlink w:anchor="_Toc139969168" w:history="1">
        <w:r w:rsidR="00315D48" w:rsidRPr="00D91CA2">
          <w:rPr>
            <w:rStyle w:val="Hyperlink"/>
            <w:noProof/>
          </w:rPr>
          <w:t>Table 10: Benefit-cost ratios for Equivalent Access</w:t>
        </w:r>
        <w:r w:rsidR="00315D48">
          <w:rPr>
            <w:noProof/>
            <w:webHidden/>
          </w:rPr>
          <w:tab/>
        </w:r>
        <w:r w:rsidR="00315D48">
          <w:rPr>
            <w:noProof/>
            <w:webHidden/>
          </w:rPr>
          <w:fldChar w:fldCharType="begin"/>
        </w:r>
        <w:r w:rsidR="00315D48">
          <w:rPr>
            <w:noProof/>
            <w:webHidden/>
          </w:rPr>
          <w:instrText xml:space="preserve"> PAGEREF _Toc139969168 \h </w:instrText>
        </w:r>
        <w:r w:rsidR="00315D48">
          <w:rPr>
            <w:noProof/>
            <w:webHidden/>
          </w:rPr>
        </w:r>
        <w:r w:rsidR="00315D48">
          <w:rPr>
            <w:noProof/>
            <w:webHidden/>
          </w:rPr>
          <w:fldChar w:fldCharType="separate"/>
        </w:r>
        <w:r w:rsidR="00315D48">
          <w:rPr>
            <w:noProof/>
            <w:webHidden/>
          </w:rPr>
          <w:t>42</w:t>
        </w:r>
        <w:r w:rsidR="00315D48">
          <w:rPr>
            <w:noProof/>
            <w:webHidden/>
          </w:rPr>
          <w:fldChar w:fldCharType="end"/>
        </w:r>
      </w:hyperlink>
    </w:p>
    <w:p w14:paraId="491BA44C" w14:textId="44B5EB2F" w:rsidR="00315D48" w:rsidRDefault="001C7A9B">
      <w:pPr>
        <w:pStyle w:val="TableofFigures"/>
        <w:tabs>
          <w:tab w:val="right" w:leader="dot" w:pos="9854"/>
        </w:tabs>
        <w:rPr>
          <w:rFonts w:eastAsiaTheme="minorEastAsia"/>
          <w:noProof/>
          <w:color w:val="auto"/>
          <w:kern w:val="0"/>
          <w:sz w:val="22"/>
          <w:szCs w:val="22"/>
          <w:lang w:eastAsia="en-AU"/>
        </w:rPr>
      </w:pPr>
      <w:hyperlink w:anchor="_Toc139969169" w:history="1">
        <w:r w:rsidR="00315D48" w:rsidRPr="00D91CA2">
          <w:rPr>
            <w:rStyle w:val="Hyperlink"/>
            <w:noProof/>
          </w:rPr>
          <w:t>Table 11: Qualitative benefits for Equivalent Access</w:t>
        </w:r>
        <w:r w:rsidR="00315D48">
          <w:rPr>
            <w:noProof/>
            <w:webHidden/>
          </w:rPr>
          <w:tab/>
        </w:r>
        <w:r w:rsidR="00315D48">
          <w:rPr>
            <w:noProof/>
            <w:webHidden/>
          </w:rPr>
          <w:fldChar w:fldCharType="begin"/>
        </w:r>
        <w:r w:rsidR="00315D48">
          <w:rPr>
            <w:noProof/>
            <w:webHidden/>
          </w:rPr>
          <w:instrText xml:space="preserve"> PAGEREF _Toc139969169 \h </w:instrText>
        </w:r>
        <w:r w:rsidR="00315D48">
          <w:rPr>
            <w:noProof/>
            <w:webHidden/>
          </w:rPr>
        </w:r>
        <w:r w:rsidR="00315D48">
          <w:rPr>
            <w:noProof/>
            <w:webHidden/>
          </w:rPr>
          <w:fldChar w:fldCharType="separate"/>
        </w:r>
        <w:r w:rsidR="00315D48">
          <w:rPr>
            <w:noProof/>
            <w:webHidden/>
          </w:rPr>
          <w:t>43</w:t>
        </w:r>
        <w:r w:rsidR="00315D48">
          <w:rPr>
            <w:noProof/>
            <w:webHidden/>
          </w:rPr>
          <w:fldChar w:fldCharType="end"/>
        </w:r>
      </w:hyperlink>
    </w:p>
    <w:p w14:paraId="447AC72F" w14:textId="0E1ED3D8" w:rsidR="00315D48" w:rsidRDefault="001C7A9B">
      <w:pPr>
        <w:pStyle w:val="TableofFigures"/>
        <w:tabs>
          <w:tab w:val="right" w:leader="dot" w:pos="9854"/>
        </w:tabs>
        <w:rPr>
          <w:rFonts w:eastAsiaTheme="minorEastAsia"/>
          <w:noProof/>
          <w:color w:val="auto"/>
          <w:kern w:val="0"/>
          <w:sz w:val="22"/>
          <w:szCs w:val="22"/>
          <w:lang w:eastAsia="en-AU"/>
        </w:rPr>
      </w:pPr>
      <w:hyperlink w:anchor="_Toc139969170" w:history="1">
        <w:r w:rsidR="00315D48" w:rsidRPr="00D91CA2">
          <w:rPr>
            <w:rStyle w:val="Hyperlink"/>
            <w:noProof/>
          </w:rPr>
          <w:t>Table 12: Reform options for Rideshare</w:t>
        </w:r>
        <w:r w:rsidR="00315D48">
          <w:rPr>
            <w:noProof/>
            <w:webHidden/>
          </w:rPr>
          <w:tab/>
        </w:r>
        <w:r w:rsidR="00315D48">
          <w:rPr>
            <w:noProof/>
            <w:webHidden/>
          </w:rPr>
          <w:fldChar w:fldCharType="begin"/>
        </w:r>
        <w:r w:rsidR="00315D48">
          <w:rPr>
            <w:noProof/>
            <w:webHidden/>
          </w:rPr>
          <w:instrText xml:space="preserve"> PAGEREF _Toc139969170 \h </w:instrText>
        </w:r>
        <w:r w:rsidR="00315D48">
          <w:rPr>
            <w:noProof/>
            <w:webHidden/>
          </w:rPr>
        </w:r>
        <w:r w:rsidR="00315D48">
          <w:rPr>
            <w:noProof/>
            <w:webHidden/>
          </w:rPr>
          <w:fldChar w:fldCharType="separate"/>
        </w:r>
        <w:r w:rsidR="00315D48">
          <w:rPr>
            <w:noProof/>
            <w:webHidden/>
          </w:rPr>
          <w:t>47</w:t>
        </w:r>
        <w:r w:rsidR="00315D48">
          <w:rPr>
            <w:noProof/>
            <w:webHidden/>
          </w:rPr>
          <w:fldChar w:fldCharType="end"/>
        </w:r>
      </w:hyperlink>
    </w:p>
    <w:p w14:paraId="35382C2B" w14:textId="5D42CA75" w:rsidR="00315D48" w:rsidRDefault="001C7A9B">
      <w:pPr>
        <w:pStyle w:val="TableofFigures"/>
        <w:tabs>
          <w:tab w:val="right" w:leader="dot" w:pos="9854"/>
        </w:tabs>
        <w:rPr>
          <w:rFonts w:eastAsiaTheme="minorEastAsia"/>
          <w:noProof/>
          <w:color w:val="auto"/>
          <w:kern w:val="0"/>
          <w:sz w:val="22"/>
          <w:szCs w:val="22"/>
          <w:lang w:eastAsia="en-AU"/>
        </w:rPr>
      </w:pPr>
      <w:hyperlink w:anchor="_Toc139969171" w:history="1">
        <w:r w:rsidR="00315D48" w:rsidRPr="00D91CA2">
          <w:rPr>
            <w:rStyle w:val="Hyperlink"/>
            <w:noProof/>
          </w:rPr>
          <w:t>Table 13: Benefit-cost ratios for Rideshare</w:t>
        </w:r>
        <w:r w:rsidR="00315D48">
          <w:rPr>
            <w:noProof/>
            <w:webHidden/>
          </w:rPr>
          <w:tab/>
        </w:r>
        <w:r w:rsidR="00315D48">
          <w:rPr>
            <w:noProof/>
            <w:webHidden/>
          </w:rPr>
          <w:fldChar w:fldCharType="begin"/>
        </w:r>
        <w:r w:rsidR="00315D48">
          <w:rPr>
            <w:noProof/>
            <w:webHidden/>
          </w:rPr>
          <w:instrText xml:space="preserve"> PAGEREF _Toc139969171 \h </w:instrText>
        </w:r>
        <w:r w:rsidR="00315D48">
          <w:rPr>
            <w:noProof/>
            <w:webHidden/>
          </w:rPr>
        </w:r>
        <w:r w:rsidR="00315D48">
          <w:rPr>
            <w:noProof/>
            <w:webHidden/>
          </w:rPr>
          <w:fldChar w:fldCharType="separate"/>
        </w:r>
        <w:r w:rsidR="00315D48">
          <w:rPr>
            <w:noProof/>
            <w:webHidden/>
          </w:rPr>
          <w:t>48</w:t>
        </w:r>
        <w:r w:rsidR="00315D48">
          <w:rPr>
            <w:noProof/>
            <w:webHidden/>
          </w:rPr>
          <w:fldChar w:fldCharType="end"/>
        </w:r>
      </w:hyperlink>
    </w:p>
    <w:p w14:paraId="47033C25" w14:textId="33DBE65F" w:rsidR="00315D48" w:rsidRDefault="001C7A9B">
      <w:pPr>
        <w:pStyle w:val="TableofFigures"/>
        <w:tabs>
          <w:tab w:val="right" w:leader="dot" w:pos="9854"/>
        </w:tabs>
        <w:rPr>
          <w:rFonts w:eastAsiaTheme="minorEastAsia"/>
          <w:noProof/>
          <w:color w:val="auto"/>
          <w:kern w:val="0"/>
          <w:sz w:val="22"/>
          <w:szCs w:val="22"/>
          <w:lang w:eastAsia="en-AU"/>
        </w:rPr>
      </w:pPr>
      <w:hyperlink w:anchor="_Toc139969172" w:history="1">
        <w:r w:rsidR="00315D48" w:rsidRPr="00D91CA2">
          <w:rPr>
            <w:rStyle w:val="Hyperlink"/>
            <w:noProof/>
          </w:rPr>
          <w:t>Table 14: Qualitative benefits for Rideshare</w:t>
        </w:r>
        <w:r w:rsidR="00315D48">
          <w:rPr>
            <w:noProof/>
            <w:webHidden/>
          </w:rPr>
          <w:tab/>
        </w:r>
        <w:r w:rsidR="00315D48">
          <w:rPr>
            <w:noProof/>
            <w:webHidden/>
          </w:rPr>
          <w:fldChar w:fldCharType="begin"/>
        </w:r>
        <w:r w:rsidR="00315D48">
          <w:rPr>
            <w:noProof/>
            <w:webHidden/>
          </w:rPr>
          <w:instrText xml:space="preserve"> PAGEREF _Toc139969172 \h </w:instrText>
        </w:r>
        <w:r w:rsidR="00315D48">
          <w:rPr>
            <w:noProof/>
            <w:webHidden/>
          </w:rPr>
        </w:r>
        <w:r w:rsidR="00315D48">
          <w:rPr>
            <w:noProof/>
            <w:webHidden/>
          </w:rPr>
          <w:fldChar w:fldCharType="separate"/>
        </w:r>
        <w:r w:rsidR="00315D48">
          <w:rPr>
            <w:noProof/>
            <w:webHidden/>
          </w:rPr>
          <w:t>48</w:t>
        </w:r>
        <w:r w:rsidR="00315D48">
          <w:rPr>
            <w:noProof/>
            <w:webHidden/>
          </w:rPr>
          <w:fldChar w:fldCharType="end"/>
        </w:r>
      </w:hyperlink>
    </w:p>
    <w:p w14:paraId="62273F11" w14:textId="74FE344A" w:rsidR="00315D48" w:rsidRDefault="001C7A9B">
      <w:pPr>
        <w:pStyle w:val="TableofFigures"/>
        <w:tabs>
          <w:tab w:val="right" w:leader="dot" w:pos="9854"/>
        </w:tabs>
        <w:rPr>
          <w:rFonts w:eastAsiaTheme="minorEastAsia"/>
          <w:noProof/>
          <w:color w:val="auto"/>
          <w:kern w:val="0"/>
          <w:sz w:val="22"/>
          <w:szCs w:val="22"/>
          <w:lang w:eastAsia="en-AU"/>
        </w:rPr>
      </w:pPr>
      <w:hyperlink w:anchor="_Toc139969173" w:history="1">
        <w:r w:rsidR="00315D48" w:rsidRPr="00D91CA2">
          <w:rPr>
            <w:rStyle w:val="Hyperlink"/>
            <w:noProof/>
          </w:rPr>
          <w:t>Table 15: Reform options for Dedicated school buses</w:t>
        </w:r>
        <w:r w:rsidR="00315D48">
          <w:rPr>
            <w:noProof/>
            <w:webHidden/>
          </w:rPr>
          <w:tab/>
        </w:r>
        <w:r w:rsidR="00315D48">
          <w:rPr>
            <w:noProof/>
            <w:webHidden/>
          </w:rPr>
          <w:fldChar w:fldCharType="begin"/>
        </w:r>
        <w:r w:rsidR="00315D48">
          <w:rPr>
            <w:noProof/>
            <w:webHidden/>
          </w:rPr>
          <w:instrText xml:space="preserve"> PAGEREF _Toc139969173 \h </w:instrText>
        </w:r>
        <w:r w:rsidR="00315D48">
          <w:rPr>
            <w:noProof/>
            <w:webHidden/>
          </w:rPr>
        </w:r>
        <w:r w:rsidR="00315D48">
          <w:rPr>
            <w:noProof/>
            <w:webHidden/>
          </w:rPr>
          <w:fldChar w:fldCharType="separate"/>
        </w:r>
        <w:r w:rsidR="00315D48">
          <w:rPr>
            <w:noProof/>
            <w:webHidden/>
          </w:rPr>
          <w:t>52</w:t>
        </w:r>
        <w:r w:rsidR="00315D48">
          <w:rPr>
            <w:noProof/>
            <w:webHidden/>
          </w:rPr>
          <w:fldChar w:fldCharType="end"/>
        </w:r>
      </w:hyperlink>
    </w:p>
    <w:p w14:paraId="16AB5109" w14:textId="68629714" w:rsidR="00315D48" w:rsidRDefault="001C7A9B">
      <w:pPr>
        <w:pStyle w:val="TableofFigures"/>
        <w:tabs>
          <w:tab w:val="right" w:leader="dot" w:pos="9854"/>
        </w:tabs>
        <w:rPr>
          <w:rFonts w:eastAsiaTheme="minorEastAsia"/>
          <w:noProof/>
          <w:color w:val="auto"/>
          <w:kern w:val="0"/>
          <w:sz w:val="22"/>
          <w:szCs w:val="22"/>
          <w:lang w:eastAsia="en-AU"/>
        </w:rPr>
      </w:pPr>
      <w:hyperlink w:anchor="_Toc139969174" w:history="1">
        <w:r w:rsidR="00315D48" w:rsidRPr="00D91CA2">
          <w:rPr>
            <w:rStyle w:val="Hyperlink"/>
            <w:noProof/>
          </w:rPr>
          <w:t>Table 16: Benefit-cost ratios for Dedicated school buses</w:t>
        </w:r>
        <w:r w:rsidR="00315D48">
          <w:rPr>
            <w:noProof/>
            <w:webHidden/>
          </w:rPr>
          <w:tab/>
        </w:r>
        <w:r w:rsidR="00315D48">
          <w:rPr>
            <w:noProof/>
            <w:webHidden/>
          </w:rPr>
          <w:fldChar w:fldCharType="begin"/>
        </w:r>
        <w:r w:rsidR="00315D48">
          <w:rPr>
            <w:noProof/>
            <w:webHidden/>
          </w:rPr>
          <w:instrText xml:space="preserve"> PAGEREF _Toc139969174 \h </w:instrText>
        </w:r>
        <w:r w:rsidR="00315D48">
          <w:rPr>
            <w:noProof/>
            <w:webHidden/>
          </w:rPr>
        </w:r>
        <w:r w:rsidR="00315D48">
          <w:rPr>
            <w:noProof/>
            <w:webHidden/>
          </w:rPr>
          <w:fldChar w:fldCharType="separate"/>
        </w:r>
        <w:r w:rsidR="00315D48">
          <w:rPr>
            <w:noProof/>
            <w:webHidden/>
          </w:rPr>
          <w:t>53</w:t>
        </w:r>
        <w:r w:rsidR="00315D48">
          <w:rPr>
            <w:noProof/>
            <w:webHidden/>
          </w:rPr>
          <w:fldChar w:fldCharType="end"/>
        </w:r>
      </w:hyperlink>
    </w:p>
    <w:p w14:paraId="45508249" w14:textId="53864F28" w:rsidR="00315D48" w:rsidRDefault="001C7A9B">
      <w:pPr>
        <w:pStyle w:val="TableofFigures"/>
        <w:tabs>
          <w:tab w:val="right" w:leader="dot" w:pos="9854"/>
        </w:tabs>
        <w:rPr>
          <w:rFonts w:eastAsiaTheme="minorEastAsia"/>
          <w:noProof/>
          <w:color w:val="auto"/>
          <w:kern w:val="0"/>
          <w:sz w:val="22"/>
          <w:szCs w:val="22"/>
          <w:lang w:eastAsia="en-AU"/>
        </w:rPr>
      </w:pPr>
      <w:hyperlink w:anchor="_Toc139969175" w:history="1">
        <w:r w:rsidR="00315D48" w:rsidRPr="00D91CA2">
          <w:rPr>
            <w:rStyle w:val="Hyperlink"/>
            <w:noProof/>
          </w:rPr>
          <w:t>Table 17: Qualitative benefits for Dedicated school buses</w:t>
        </w:r>
        <w:r w:rsidR="00315D48">
          <w:rPr>
            <w:noProof/>
            <w:webHidden/>
          </w:rPr>
          <w:tab/>
        </w:r>
        <w:r w:rsidR="00315D48">
          <w:rPr>
            <w:noProof/>
            <w:webHidden/>
          </w:rPr>
          <w:fldChar w:fldCharType="begin"/>
        </w:r>
        <w:r w:rsidR="00315D48">
          <w:rPr>
            <w:noProof/>
            <w:webHidden/>
          </w:rPr>
          <w:instrText xml:space="preserve"> PAGEREF _Toc139969175 \h </w:instrText>
        </w:r>
        <w:r w:rsidR="00315D48">
          <w:rPr>
            <w:noProof/>
            <w:webHidden/>
          </w:rPr>
        </w:r>
        <w:r w:rsidR="00315D48">
          <w:rPr>
            <w:noProof/>
            <w:webHidden/>
          </w:rPr>
          <w:fldChar w:fldCharType="separate"/>
        </w:r>
        <w:r w:rsidR="00315D48">
          <w:rPr>
            <w:noProof/>
            <w:webHidden/>
          </w:rPr>
          <w:t>54</w:t>
        </w:r>
        <w:r w:rsidR="00315D48">
          <w:rPr>
            <w:noProof/>
            <w:webHidden/>
          </w:rPr>
          <w:fldChar w:fldCharType="end"/>
        </w:r>
      </w:hyperlink>
    </w:p>
    <w:p w14:paraId="3CA31751" w14:textId="019C2B5F" w:rsidR="00315D48" w:rsidRDefault="001C7A9B">
      <w:pPr>
        <w:pStyle w:val="TableofFigures"/>
        <w:tabs>
          <w:tab w:val="right" w:leader="dot" w:pos="9854"/>
        </w:tabs>
        <w:rPr>
          <w:rFonts w:eastAsiaTheme="minorEastAsia"/>
          <w:noProof/>
          <w:color w:val="auto"/>
          <w:kern w:val="0"/>
          <w:sz w:val="22"/>
          <w:szCs w:val="22"/>
          <w:lang w:eastAsia="en-AU"/>
        </w:rPr>
      </w:pPr>
      <w:hyperlink w:anchor="_Toc139969176" w:history="1">
        <w:r w:rsidR="00315D48" w:rsidRPr="00D91CA2">
          <w:rPr>
            <w:rStyle w:val="Hyperlink"/>
            <w:noProof/>
          </w:rPr>
          <w:t>Table 18: Reform options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_Toc139969176 \h </w:instrText>
        </w:r>
        <w:r w:rsidR="00315D48">
          <w:rPr>
            <w:noProof/>
            <w:webHidden/>
          </w:rPr>
        </w:r>
        <w:r w:rsidR="00315D48">
          <w:rPr>
            <w:noProof/>
            <w:webHidden/>
          </w:rPr>
          <w:fldChar w:fldCharType="separate"/>
        </w:r>
        <w:r w:rsidR="00315D48">
          <w:rPr>
            <w:noProof/>
            <w:webHidden/>
          </w:rPr>
          <w:t>59</w:t>
        </w:r>
        <w:r w:rsidR="00315D48">
          <w:rPr>
            <w:noProof/>
            <w:webHidden/>
          </w:rPr>
          <w:fldChar w:fldCharType="end"/>
        </w:r>
      </w:hyperlink>
    </w:p>
    <w:p w14:paraId="57C24E60" w14:textId="14FE0F91" w:rsidR="00315D48" w:rsidRDefault="001C7A9B">
      <w:pPr>
        <w:pStyle w:val="TableofFigures"/>
        <w:tabs>
          <w:tab w:val="right" w:leader="dot" w:pos="9854"/>
        </w:tabs>
        <w:rPr>
          <w:rFonts w:eastAsiaTheme="minorEastAsia"/>
          <w:noProof/>
          <w:color w:val="auto"/>
          <w:kern w:val="0"/>
          <w:sz w:val="22"/>
          <w:szCs w:val="22"/>
          <w:lang w:eastAsia="en-AU"/>
        </w:rPr>
      </w:pPr>
      <w:hyperlink w:anchor="_Toc139969177" w:history="1">
        <w:r w:rsidR="00315D48" w:rsidRPr="00D91CA2">
          <w:rPr>
            <w:rStyle w:val="Hyperlink"/>
            <w:noProof/>
          </w:rPr>
          <w:t>Table 19: Benefit-cost ratios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_Toc139969177 \h </w:instrText>
        </w:r>
        <w:r w:rsidR="00315D48">
          <w:rPr>
            <w:noProof/>
            <w:webHidden/>
          </w:rPr>
        </w:r>
        <w:r w:rsidR="00315D48">
          <w:rPr>
            <w:noProof/>
            <w:webHidden/>
          </w:rPr>
          <w:fldChar w:fldCharType="separate"/>
        </w:r>
        <w:r w:rsidR="00315D48">
          <w:rPr>
            <w:noProof/>
            <w:webHidden/>
          </w:rPr>
          <w:t>60</w:t>
        </w:r>
        <w:r w:rsidR="00315D48">
          <w:rPr>
            <w:noProof/>
            <w:webHidden/>
          </w:rPr>
          <w:fldChar w:fldCharType="end"/>
        </w:r>
      </w:hyperlink>
    </w:p>
    <w:p w14:paraId="54458B72" w14:textId="576D3F5B" w:rsidR="00315D48" w:rsidRDefault="001C7A9B">
      <w:pPr>
        <w:pStyle w:val="TableofFigures"/>
        <w:tabs>
          <w:tab w:val="right" w:leader="dot" w:pos="9854"/>
        </w:tabs>
        <w:rPr>
          <w:rFonts w:eastAsiaTheme="minorEastAsia"/>
          <w:noProof/>
          <w:color w:val="auto"/>
          <w:kern w:val="0"/>
          <w:sz w:val="22"/>
          <w:szCs w:val="22"/>
          <w:lang w:eastAsia="en-AU"/>
        </w:rPr>
      </w:pPr>
      <w:hyperlink w:anchor="_Toc139969178" w:history="1">
        <w:r w:rsidR="00315D48" w:rsidRPr="00D91CA2">
          <w:rPr>
            <w:rStyle w:val="Hyperlink"/>
            <w:noProof/>
          </w:rPr>
          <w:t>Table 20: Qualitative benefits for Better communication of accessibility features</w:t>
        </w:r>
        <w:r w:rsidR="00315D48">
          <w:rPr>
            <w:noProof/>
            <w:webHidden/>
          </w:rPr>
          <w:tab/>
        </w:r>
        <w:r w:rsidR="00315D48">
          <w:rPr>
            <w:noProof/>
            <w:webHidden/>
          </w:rPr>
          <w:fldChar w:fldCharType="begin"/>
        </w:r>
        <w:r w:rsidR="00315D48">
          <w:rPr>
            <w:noProof/>
            <w:webHidden/>
          </w:rPr>
          <w:instrText xml:space="preserve"> PAGEREF _Toc139969178 \h </w:instrText>
        </w:r>
        <w:r w:rsidR="00315D48">
          <w:rPr>
            <w:noProof/>
            <w:webHidden/>
          </w:rPr>
        </w:r>
        <w:r w:rsidR="00315D48">
          <w:rPr>
            <w:noProof/>
            <w:webHidden/>
          </w:rPr>
          <w:fldChar w:fldCharType="separate"/>
        </w:r>
        <w:r w:rsidR="00315D48">
          <w:rPr>
            <w:noProof/>
            <w:webHidden/>
          </w:rPr>
          <w:t>61</w:t>
        </w:r>
        <w:r w:rsidR="00315D48">
          <w:rPr>
            <w:noProof/>
            <w:webHidden/>
          </w:rPr>
          <w:fldChar w:fldCharType="end"/>
        </w:r>
      </w:hyperlink>
    </w:p>
    <w:p w14:paraId="0B0374B3" w14:textId="133292A2" w:rsidR="00315D48" w:rsidRDefault="001C7A9B">
      <w:pPr>
        <w:pStyle w:val="TableofFigures"/>
        <w:tabs>
          <w:tab w:val="right" w:leader="dot" w:pos="9854"/>
        </w:tabs>
        <w:rPr>
          <w:rFonts w:eastAsiaTheme="minorEastAsia"/>
          <w:noProof/>
          <w:color w:val="auto"/>
          <w:kern w:val="0"/>
          <w:sz w:val="22"/>
          <w:szCs w:val="22"/>
          <w:lang w:eastAsia="en-AU"/>
        </w:rPr>
      </w:pPr>
      <w:hyperlink w:anchor="_Toc139969179" w:history="1">
        <w:r w:rsidR="00315D48" w:rsidRPr="00D91CA2">
          <w:rPr>
            <w:rStyle w:val="Hyperlink"/>
            <w:noProof/>
          </w:rPr>
          <w:t>Table 21 Reform options for Timely provision of information</w:t>
        </w:r>
        <w:r w:rsidR="00315D48">
          <w:rPr>
            <w:noProof/>
            <w:webHidden/>
          </w:rPr>
          <w:tab/>
        </w:r>
        <w:r w:rsidR="00315D48">
          <w:rPr>
            <w:noProof/>
            <w:webHidden/>
          </w:rPr>
          <w:fldChar w:fldCharType="begin"/>
        </w:r>
        <w:r w:rsidR="00315D48">
          <w:rPr>
            <w:noProof/>
            <w:webHidden/>
          </w:rPr>
          <w:instrText xml:space="preserve"> PAGEREF _Toc139969179 \h </w:instrText>
        </w:r>
        <w:r w:rsidR="00315D48">
          <w:rPr>
            <w:noProof/>
            <w:webHidden/>
          </w:rPr>
        </w:r>
        <w:r w:rsidR="00315D48">
          <w:rPr>
            <w:noProof/>
            <w:webHidden/>
          </w:rPr>
          <w:fldChar w:fldCharType="separate"/>
        </w:r>
        <w:r w:rsidR="00315D48">
          <w:rPr>
            <w:noProof/>
            <w:webHidden/>
          </w:rPr>
          <w:t>64</w:t>
        </w:r>
        <w:r w:rsidR="00315D48">
          <w:rPr>
            <w:noProof/>
            <w:webHidden/>
          </w:rPr>
          <w:fldChar w:fldCharType="end"/>
        </w:r>
      </w:hyperlink>
    </w:p>
    <w:p w14:paraId="1EA0BA2A" w14:textId="0B057369" w:rsidR="00315D48" w:rsidRDefault="001C7A9B">
      <w:pPr>
        <w:pStyle w:val="TableofFigures"/>
        <w:tabs>
          <w:tab w:val="right" w:leader="dot" w:pos="9854"/>
        </w:tabs>
        <w:rPr>
          <w:rFonts w:eastAsiaTheme="minorEastAsia"/>
          <w:noProof/>
          <w:color w:val="auto"/>
          <w:kern w:val="0"/>
          <w:sz w:val="22"/>
          <w:szCs w:val="22"/>
          <w:lang w:eastAsia="en-AU"/>
        </w:rPr>
      </w:pPr>
      <w:hyperlink w:anchor="_Toc139969180" w:history="1">
        <w:r w:rsidR="00315D48" w:rsidRPr="00D91CA2">
          <w:rPr>
            <w:rStyle w:val="Hyperlink"/>
            <w:noProof/>
          </w:rPr>
          <w:t>Table 22: Benefit-cost ratios for Timely provision of information</w:t>
        </w:r>
        <w:r w:rsidR="00315D48">
          <w:rPr>
            <w:noProof/>
            <w:webHidden/>
          </w:rPr>
          <w:tab/>
        </w:r>
        <w:r w:rsidR="00315D48">
          <w:rPr>
            <w:noProof/>
            <w:webHidden/>
          </w:rPr>
          <w:fldChar w:fldCharType="begin"/>
        </w:r>
        <w:r w:rsidR="00315D48">
          <w:rPr>
            <w:noProof/>
            <w:webHidden/>
          </w:rPr>
          <w:instrText xml:space="preserve"> PAGEREF _Toc139969180 \h </w:instrText>
        </w:r>
        <w:r w:rsidR="00315D48">
          <w:rPr>
            <w:noProof/>
            <w:webHidden/>
          </w:rPr>
        </w:r>
        <w:r w:rsidR="00315D48">
          <w:rPr>
            <w:noProof/>
            <w:webHidden/>
          </w:rPr>
          <w:fldChar w:fldCharType="separate"/>
        </w:r>
        <w:r w:rsidR="00315D48">
          <w:rPr>
            <w:noProof/>
            <w:webHidden/>
          </w:rPr>
          <w:t>65</w:t>
        </w:r>
        <w:r w:rsidR="00315D48">
          <w:rPr>
            <w:noProof/>
            <w:webHidden/>
          </w:rPr>
          <w:fldChar w:fldCharType="end"/>
        </w:r>
      </w:hyperlink>
    </w:p>
    <w:p w14:paraId="1712AD82" w14:textId="06C6D7FB" w:rsidR="00315D48" w:rsidRDefault="001C7A9B">
      <w:pPr>
        <w:pStyle w:val="TableofFigures"/>
        <w:tabs>
          <w:tab w:val="right" w:leader="dot" w:pos="9854"/>
        </w:tabs>
        <w:rPr>
          <w:rFonts w:eastAsiaTheme="minorEastAsia"/>
          <w:noProof/>
          <w:color w:val="auto"/>
          <w:kern w:val="0"/>
          <w:sz w:val="22"/>
          <w:szCs w:val="22"/>
          <w:lang w:eastAsia="en-AU"/>
        </w:rPr>
      </w:pPr>
      <w:hyperlink w:anchor="_Toc139969181" w:history="1">
        <w:r w:rsidR="00315D48" w:rsidRPr="00D91CA2">
          <w:rPr>
            <w:rStyle w:val="Hyperlink"/>
            <w:noProof/>
          </w:rPr>
          <w:t>Table 23: Qualitative benefits for Timely provision of information</w:t>
        </w:r>
        <w:r w:rsidR="00315D48">
          <w:rPr>
            <w:noProof/>
            <w:webHidden/>
          </w:rPr>
          <w:tab/>
        </w:r>
        <w:r w:rsidR="00315D48">
          <w:rPr>
            <w:noProof/>
            <w:webHidden/>
          </w:rPr>
          <w:fldChar w:fldCharType="begin"/>
        </w:r>
        <w:r w:rsidR="00315D48">
          <w:rPr>
            <w:noProof/>
            <w:webHidden/>
          </w:rPr>
          <w:instrText xml:space="preserve"> PAGEREF _Toc139969181 \h </w:instrText>
        </w:r>
        <w:r w:rsidR="00315D48">
          <w:rPr>
            <w:noProof/>
            <w:webHidden/>
          </w:rPr>
        </w:r>
        <w:r w:rsidR="00315D48">
          <w:rPr>
            <w:noProof/>
            <w:webHidden/>
          </w:rPr>
          <w:fldChar w:fldCharType="separate"/>
        </w:r>
        <w:r w:rsidR="00315D48">
          <w:rPr>
            <w:noProof/>
            <w:webHidden/>
          </w:rPr>
          <w:t>65</w:t>
        </w:r>
        <w:r w:rsidR="00315D48">
          <w:rPr>
            <w:noProof/>
            <w:webHidden/>
          </w:rPr>
          <w:fldChar w:fldCharType="end"/>
        </w:r>
      </w:hyperlink>
    </w:p>
    <w:p w14:paraId="42971C4F" w14:textId="3AF2C480" w:rsidR="00315D48" w:rsidRDefault="001C7A9B">
      <w:pPr>
        <w:pStyle w:val="TableofFigures"/>
        <w:tabs>
          <w:tab w:val="right" w:leader="dot" w:pos="9854"/>
        </w:tabs>
        <w:rPr>
          <w:rFonts w:eastAsiaTheme="minorEastAsia"/>
          <w:noProof/>
          <w:color w:val="auto"/>
          <w:kern w:val="0"/>
          <w:sz w:val="22"/>
          <w:szCs w:val="22"/>
          <w:lang w:eastAsia="en-AU"/>
        </w:rPr>
      </w:pPr>
      <w:hyperlink w:anchor="_Toc139969182" w:history="1">
        <w:r w:rsidR="00315D48" w:rsidRPr="00D91CA2">
          <w:rPr>
            <w:rStyle w:val="Hyperlink"/>
            <w:noProof/>
          </w:rPr>
          <w:t>Table 24: Reform options for Real time communication</w:t>
        </w:r>
        <w:r w:rsidR="00315D48">
          <w:rPr>
            <w:noProof/>
            <w:webHidden/>
          </w:rPr>
          <w:tab/>
        </w:r>
        <w:r w:rsidR="00315D48">
          <w:rPr>
            <w:noProof/>
            <w:webHidden/>
          </w:rPr>
          <w:fldChar w:fldCharType="begin"/>
        </w:r>
        <w:r w:rsidR="00315D48">
          <w:rPr>
            <w:noProof/>
            <w:webHidden/>
          </w:rPr>
          <w:instrText xml:space="preserve"> PAGEREF _Toc139969182 \h </w:instrText>
        </w:r>
        <w:r w:rsidR="00315D48">
          <w:rPr>
            <w:noProof/>
            <w:webHidden/>
          </w:rPr>
        </w:r>
        <w:r w:rsidR="00315D48">
          <w:rPr>
            <w:noProof/>
            <w:webHidden/>
          </w:rPr>
          <w:fldChar w:fldCharType="separate"/>
        </w:r>
        <w:r w:rsidR="00315D48">
          <w:rPr>
            <w:noProof/>
            <w:webHidden/>
          </w:rPr>
          <w:t>69</w:t>
        </w:r>
        <w:r w:rsidR="00315D48">
          <w:rPr>
            <w:noProof/>
            <w:webHidden/>
          </w:rPr>
          <w:fldChar w:fldCharType="end"/>
        </w:r>
      </w:hyperlink>
    </w:p>
    <w:p w14:paraId="3A25D280" w14:textId="440A592E" w:rsidR="00315D48" w:rsidRDefault="001C7A9B">
      <w:pPr>
        <w:pStyle w:val="TableofFigures"/>
        <w:tabs>
          <w:tab w:val="right" w:leader="dot" w:pos="9854"/>
        </w:tabs>
        <w:rPr>
          <w:rFonts w:eastAsiaTheme="minorEastAsia"/>
          <w:noProof/>
          <w:color w:val="auto"/>
          <w:kern w:val="0"/>
          <w:sz w:val="22"/>
          <w:szCs w:val="22"/>
          <w:lang w:eastAsia="en-AU"/>
        </w:rPr>
      </w:pPr>
      <w:hyperlink w:anchor="_Toc139969183" w:history="1">
        <w:r w:rsidR="00315D48" w:rsidRPr="00D91CA2">
          <w:rPr>
            <w:rStyle w:val="Hyperlink"/>
            <w:noProof/>
          </w:rPr>
          <w:t>Table 25: Benefit-cost ratios for Real time communication</w:t>
        </w:r>
        <w:r w:rsidR="00315D48">
          <w:rPr>
            <w:noProof/>
            <w:webHidden/>
          </w:rPr>
          <w:tab/>
        </w:r>
        <w:r w:rsidR="00315D48">
          <w:rPr>
            <w:noProof/>
            <w:webHidden/>
          </w:rPr>
          <w:fldChar w:fldCharType="begin"/>
        </w:r>
        <w:r w:rsidR="00315D48">
          <w:rPr>
            <w:noProof/>
            <w:webHidden/>
          </w:rPr>
          <w:instrText xml:space="preserve"> PAGEREF _Toc139969183 \h </w:instrText>
        </w:r>
        <w:r w:rsidR="00315D48">
          <w:rPr>
            <w:noProof/>
            <w:webHidden/>
          </w:rPr>
        </w:r>
        <w:r w:rsidR="00315D48">
          <w:rPr>
            <w:noProof/>
            <w:webHidden/>
          </w:rPr>
          <w:fldChar w:fldCharType="separate"/>
        </w:r>
        <w:r w:rsidR="00315D48">
          <w:rPr>
            <w:noProof/>
            <w:webHidden/>
          </w:rPr>
          <w:t>70</w:t>
        </w:r>
        <w:r w:rsidR="00315D48">
          <w:rPr>
            <w:noProof/>
            <w:webHidden/>
          </w:rPr>
          <w:fldChar w:fldCharType="end"/>
        </w:r>
      </w:hyperlink>
    </w:p>
    <w:p w14:paraId="58093D22" w14:textId="6BBB55CD" w:rsidR="00315D48" w:rsidRDefault="001C7A9B">
      <w:pPr>
        <w:pStyle w:val="TableofFigures"/>
        <w:tabs>
          <w:tab w:val="right" w:leader="dot" w:pos="9854"/>
        </w:tabs>
        <w:rPr>
          <w:rFonts w:eastAsiaTheme="minorEastAsia"/>
          <w:noProof/>
          <w:color w:val="auto"/>
          <w:kern w:val="0"/>
          <w:sz w:val="22"/>
          <w:szCs w:val="22"/>
          <w:lang w:eastAsia="en-AU"/>
        </w:rPr>
      </w:pPr>
      <w:hyperlink w:anchor="_Toc139969184" w:history="1">
        <w:r w:rsidR="00315D48" w:rsidRPr="00D91CA2">
          <w:rPr>
            <w:rStyle w:val="Hyperlink"/>
            <w:noProof/>
          </w:rPr>
          <w:t>Table 26: Qualitative benefits for Real time communication</w:t>
        </w:r>
        <w:r w:rsidR="00315D48">
          <w:rPr>
            <w:noProof/>
            <w:webHidden/>
          </w:rPr>
          <w:tab/>
        </w:r>
        <w:r w:rsidR="00315D48">
          <w:rPr>
            <w:noProof/>
            <w:webHidden/>
          </w:rPr>
          <w:fldChar w:fldCharType="begin"/>
        </w:r>
        <w:r w:rsidR="00315D48">
          <w:rPr>
            <w:noProof/>
            <w:webHidden/>
          </w:rPr>
          <w:instrText xml:space="preserve"> PAGEREF _Toc139969184 \h </w:instrText>
        </w:r>
        <w:r w:rsidR="00315D48">
          <w:rPr>
            <w:noProof/>
            <w:webHidden/>
          </w:rPr>
        </w:r>
        <w:r w:rsidR="00315D48">
          <w:rPr>
            <w:noProof/>
            <w:webHidden/>
          </w:rPr>
          <w:fldChar w:fldCharType="separate"/>
        </w:r>
        <w:r w:rsidR="00315D48">
          <w:rPr>
            <w:noProof/>
            <w:webHidden/>
          </w:rPr>
          <w:t>70</w:t>
        </w:r>
        <w:r w:rsidR="00315D48">
          <w:rPr>
            <w:noProof/>
            <w:webHidden/>
          </w:rPr>
          <w:fldChar w:fldCharType="end"/>
        </w:r>
      </w:hyperlink>
    </w:p>
    <w:p w14:paraId="757B29E0" w14:textId="4399EFF7" w:rsidR="00315D48" w:rsidRDefault="001C7A9B">
      <w:pPr>
        <w:pStyle w:val="TableofFigures"/>
        <w:tabs>
          <w:tab w:val="right" w:leader="dot" w:pos="9854"/>
        </w:tabs>
        <w:rPr>
          <w:rFonts w:eastAsiaTheme="minorEastAsia"/>
          <w:noProof/>
          <w:color w:val="auto"/>
          <w:kern w:val="0"/>
          <w:sz w:val="22"/>
          <w:szCs w:val="22"/>
          <w:lang w:eastAsia="en-AU"/>
        </w:rPr>
      </w:pPr>
      <w:hyperlink w:anchor="_Toc139969185" w:history="1">
        <w:r w:rsidR="00315D48" w:rsidRPr="00D91CA2">
          <w:rPr>
            <w:rStyle w:val="Hyperlink"/>
            <w:noProof/>
          </w:rPr>
          <w:t>Table 27: Reform options for Passenger location during journey</w:t>
        </w:r>
        <w:r w:rsidR="00315D48">
          <w:rPr>
            <w:noProof/>
            <w:webHidden/>
          </w:rPr>
          <w:tab/>
        </w:r>
        <w:r w:rsidR="00315D48">
          <w:rPr>
            <w:noProof/>
            <w:webHidden/>
          </w:rPr>
          <w:fldChar w:fldCharType="begin"/>
        </w:r>
        <w:r w:rsidR="00315D48">
          <w:rPr>
            <w:noProof/>
            <w:webHidden/>
          </w:rPr>
          <w:instrText xml:space="preserve"> PAGEREF _Toc139969185 \h </w:instrText>
        </w:r>
        <w:r w:rsidR="00315D48">
          <w:rPr>
            <w:noProof/>
            <w:webHidden/>
          </w:rPr>
        </w:r>
        <w:r w:rsidR="00315D48">
          <w:rPr>
            <w:noProof/>
            <w:webHidden/>
          </w:rPr>
          <w:fldChar w:fldCharType="separate"/>
        </w:r>
        <w:r w:rsidR="00315D48">
          <w:rPr>
            <w:noProof/>
            <w:webHidden/>
          </w:rPr>
          <w:t>74</w:t>
        </w:r>
        <w:r w:rsidR="00315D48">
          <w:rPr>
            <w:noProof/>
            <w:webHidden/>
          </w:rPr>
          <w:fldChar w:fldCharType="end"/>
        </w:r>
      </w:hyperlink>
    </w:p>
    <w:p w14:paraId="11025F21" w14:textId="5B2F0B4A" w:rsidR="00315D48" w:rsidRDefault="001C7A9B">
      <w:pPr>
        <w:pStyle w:val="TableofFigures"/>
        <w:tabs>
          <w:tab w:val="right" w:leader="dot" w:pos="9854"/>
        </w:tabs>
        <w:rPr>
          <w:rFonts w:eastAsiaTheme="minorEastAsia"/>
          <w:noProof/>
          <w:color w:val="auto"/>
          <w:kern w:val="0"/>
          <w:sz w:val="22"/>
          <w:szCs w:val="22"/>
          <w:lang w:eastAsia="en-AU"/>
        </w:rPr>
      </w:pPr>
      <w:hyperlink w:anchor="_Toc139969186" w:history="1">
        <w:r w:rsidR="00315D48" w:rsidRPr="00D91CA2">
          <w:rPr>
            <w:rStyle w:val="Hyperlink"/>
            <w:noProof/>
          </w:rPr>
          <w:t>Table 28: Benefit-cost ratios for Passenger location during journey</w:t>
        </w:r>
        <w:r w:rsidR="00315D48">
          <w:rPr>
            <w:noProof/>
            <w:webHidden/>
          </w:rPr>
          <w:tab/>
        </w:r>
        <w:r w:rsidR="00315D48">
          <w:rPr>
            <w:noProof/>
            <w:webHidden/>
          </w:rPr>
          <w:fldChar w:fldCharType="begin"/>
        </w:r>
        <w:r w:rsidR="00315D48">
          <w:rPr>
            <w:noProof/>
            <w:webHidden/>
          </w:rPr>
          <w:instrText xml:space="preserve"> PAGEREF _Toc139969186 \h </w:instrText>
        </w:r>
        <w:r w:rsidR="00315D48">
          <w:rPr>
            <w:noProof/>
            <w:webHidden/>
          </w:rPr>
        </w:r>
        <w:r w:rsidR="00315D48">
          <w:rPr>
            <w:noProof/>
            <w:webHidden/>
          </w:rPr>
          <w:fldChar w:fldCharType="separate"/>
        </w:r>
        <w:r w:rsidR="00315D48">
          <w:rPr>
            <w:noProof/>
            <w:webHidden/>
          </w:rPr>
          <w:t>75</w:t>
        </w:r>
        <w:r w:rsidR="00315D48">
          <w:rPr>
            <w:noProof/>
            <w:webHidden/>
          </w:rPr>
          <w:fldChar w:fldCharType="end"/>
        </w:r>
      </w:hyperlink>
    </w:p>
    <w:p w14:paraId="23082612" w14:textId="2D52B249" w:rsidR="00315D48" w:rsidRDefault="001C7A9B">
      <w:pPr>
        <w:pStyle w:val="TableofFigures"/>
        <w:tabs>
          <w:tab w:val="right" w:leader="dot" w:pos="9854"/>
        </w:tabs>
        <w:rPr>
          <w:rFonts w:eastAsiaTheme="minorEastAsia"/>
          <w:noProof/>
          <w:color w:val="auto"/>
          <w:kern w:val="0"/>
          <w:sz w:val="22"/>
          <w:szCs w:val="22"/>
          <w:lang w:eastAsia="en-AU"/>
        </w:rPr>
      </w:pPr>
      <w:hyperlink w:anchor="_Toc139969187" w:history="1">
        <w:r w:rsidR="00315D48" w:rsidRPr="00D91CA2">
          <w:rPr>
            <w:rStyle w:val="Hyperlink"/>
            <w:noProof/>
          </w:rPr>
          <w:t>Table 29: Qualitative benefits for Passenger location during journey</w:t>
        </w:r>
        <w:r w:rsidR="00315D48">
          <w:rPr>
            <w:noProof/>
            <w:webHidden/>
          </w:rPr>
          <w:tab/>
        </w:r>
        <w:r w:rsidR="00315D48">
          <w:rPr>
            <w:noProof/>
            <w:webHidden/>
          </w:rPr>
          <w:fldChar w:fldCharType="begin"/>
        </w:r>
        <w:r w:rsidR="00315D48">
          <w:rPr>
            <w:noProof/>
            <w:webHidden/>
          </w:rPr>
          <w:instrText xml:space="preserve"> PAGEREF _Toc139969187 \h </w:instrText>
        </w:r>
        <w:r w:rsidR="00315D48">
          <w:rPr>
            <w:noProof/>
            <w:webHidden/>
          </w:rPr>
        </w:r>
        <w:r w:rsidR="00315D48">
          <w:rPr>
            <w:noProof/>
            <w:webHidden/>
          </w:rPr>
          <w:fldChar w:fldCharType="separate"/>
        </w:r>
        <w:r w:rsidR="00315D48">
          <w:rPr>
            <w:noProof/>
            <w:webHidden/>
          </w:rPr>
          <w:t>75</w:t>
        </w:r>
        <w:r w:rsidR="00315D48">
          <w:rPr>
            <w:noProof/>
            <w:webHidden/>
          </w:rPr>
          <w:fldChar w:fldCharType="end"/>
        </w:r>
      </w:hyperlink>
    </w:p>
    <w:p w14:paraId="0AA9330B" w14:textId="6F7A1C0C" w:rsidR="00315D48" w:rsidRDefault="001C7A9B">
      <w:pPr>
        <w:pStyle w:val="TableofFigures"/>
        <w:tabs>
          <w:tab w:val="right" w:leader="dot" w:pos="9854"/>
        </w:tabs>
        <w:rPr>
          <w:rFonts w:eastAsiaTheme="minorEastAsia"/>
          <w:noProof/>
          <w:color w:val="auto"/>
          <w:kern w:val="0"/>
          <w:sz w:val="22"/>
          <w:szCs w:val="22"/>
          <w:lang w:eastAsia="en-AU"/>
        </w:rPr>
      </w:pPr>
      <w:hyperlink w:anchor="_Toc139969188" w:history="1">
        <w:r w:rsidR="00315D48" w:rsidRPr="00D91CA2">
          <w:rPr>
            <w:rStyle w:val="Hyperlink"/>
            <w:noProof/>
          </w:rPr>
          <w:t>Table 30: Reform options for Hearing augmentation on conveyances</w:t>
        </w:r>
        <w:r w:rsidR="00315D48">
          <w:rPr>
            <w:noProof/>
            <w:webHidden/>
          </w:rPr>
          <w:tab/>
        </w:r>
        <w:r w:rsidR="00315D48">
          <w:rPr>
            <w:noProof/>
            <w:webHidden/>
          </w:rPr>
          <w:fldChar w:fldCharType="begin"/>
        </w:r>
        <w:r w:rsidR="00315D48">
          <w:rPr>
            <w:noProof/>
            <w:webHidden/>
          </w:rPr>
          <w:instrText xml:space="preserve"> PAGEREF _Toc139969188 \h </w:instrText>
        </w:r>
        <w:r w:rsidR="00315D48">
          <w:rPr>
            <w:noProof/>
            <w:webHidden/>
          </w:rPr>
        </w:r>
        <w:r w:rsidR="00315D48">
          <w:rPr>
            <w:noProof/>
            <w:webHidden/>
          </w:rPr>
          <w:fldChar w:fldCharType="separate"/>
        </w:r>
        <w:r w:rsidR="00315D48">
          <w:rPr>
            <w:noProof/>
            <w:webHidden/>
          </w:rPr>
          <w:t>79</w:t>
        </w:r>
        <w:r w:rsidR="00315D48">
          <w:rPr>
            <w:noProof/>
            <w:webHidden/>
          </w:rPr>
          <w:fldChar w:fldCharType="end"/>
        </w:r>
      </w:hyperlink>
    </w:p>
    <w:p w14:paraId="1817F0CF" w14:textId="110E62BB" w:rsidR="00315D48" w:rsidRDefault="001C7A9B">
      <w:pPr>
        <w:pStyle w:val="TableofFigures"/>
        <w:tabs>
          <w:tab w:val="right" w:leader="dot" w:pos="9854"/>
        </w:tabs>
        <w:rPr>
          <w:rFonts w:eastAsiaTheme="minorEastAsia"/>
          <w:noProof/>
          <w:color w:val="auto"/>
          <w:kern w:val="0"/>
          <w:sz w:val="22"/>
          <w:szCs w:val="22"/>
          <w:lang w:eastAsia="en-AU"/>
        </w:rPr>
      </w:pPr>
      <w:hyperlink w:anchor="_Toc139969189" w:history="1">
        <w:r w:rsidR="00315D48" w:rsidRPr="00D91CA2">
          <w:rPr>
            <w:rStyle w:val="Hyperlink"/>
            <w:noProof/>
          </w:rPr>
          <w:t>Table 31: Benefit-cost ratios for Hearing augmentation on conveyances</w:t>
        </w:r>
        <w:r w:rsidR="00315D48">
          <w:rPr>
            <w:noProof/>
            <w:webHidden/>
          </w:rPr>
          <w:tab/>
        </w:r>
        <w:r w:rsidR="00315D48">
          <w:rPr>
            <w:noProof/>
            <w:webHidden/>
          </w:rPr>
          <w:fldChar w:fldCharType="begin"/>
        </w:r>
        <w:r w:rsidR="00315D48">
          <w:rPr>
            <w:noProof/>
            <w:webHidden/>
          </w:rPr>
          <w:instrText xml:space="preserve"> PAGEREF _Toc139969189 \h </w:instrText>
        </w:r>
        <w:r w:rsidR="00315D48">
          <w:rPr>
            <w:noProof/>
            <w:webHidden/>
          </w:rPr>
        </w:r>
        <w:r w:rsidR="00315D48">
          <w:rPr>
            <w:noProof/>
            <w:webHidden/>
          </w:rPr>
          <w:fldChar w:fldCharType="separate"/>
        </w:r>
        <w:r w:rsidR="00315D48">
          <w:rPr>
            <w:noProof/>
            <w:webHidden/>
          </w:rPr>
          <w:t>80</w:t>
        </w:r>
        <w:r w:rsidR="00315D48">
          <w:rPr>
            <w:noProof/>
            <w:webHidden/>
          </w:rPr>
          <w:fldChar w:fldCharType="end"/>
        </w:r>
      </w:hyperlink>
    </w:p>
    <w:p w14:paraId="697DF76F" w14:textId="094083AA" w:rsidR="00315D48" w:rsidRDefault="001C7A9B">
      <w:pPr>
        <w:pStyle w:val="TableofFigures"/>
        <w:tabs>
          <w:tab w:val="right" w:leader="dot" w:pos="9854"/>
        </w:tabs>
        <w:rPr>
          <w:rFonts w:eastAsiaTheme="minorEastAsia"/>
          <w:noProof/>
          <w:color w:val="auto"/>
          <w:kern w:val="0"/>
          <w:sz w:val="22"/>
          <w:szCs w:val="22"/>
          <w:lang w:eastAsia="en-AU"/>
        </w:rPr>
      </w:pPr>
      <w:hyperlink w:anchor="_Toc139969190" w:history="1">
        <w:r w:rsidR="00315D48" w:rsidRPr="00D91CA2">
          <w:rPr>
            <w:rStyle w:val="Hyperlink"/>
            <w:noProof/>
          </w:rPr>
          <w:t>Table 32: Qualitative benefits for Hearing augmentation on conveyances</w:t>
        </w:r>
        <w:r w:rsidR="00315D48">
          <w:rPr>
            <w:noProof/>
            <w:webHidden/>
          </w:rPr>
          <w:tab/>
        </w:r>
        <w:r w:rsidR="00315D48">
          <w:rPr>
            <w:noProof/>
            <w:webHidden/>
          </w:rPr>
          <w:fldChar w:fldCharType="begin"/>
        </w:r>
        <w:r w:rsidR="00315D48">
          <w:rPr>
            <w:noProof/>
            <w:webHidden/>
          </w:rPr>
          <w:instrText xml:space="preserve"> PAGEREF _Toc139969190 \h </w:instrText>
        </w:r>
        <w:r w:rsidR="00315D48">
          <w:rPr>
            <w:noProof/>
            <w:webHidden/>
          </w:rPr>
        </w:r>
        <w:r w:rsidR="00315D48">
          <w:rPr>
            <w:noProof/>
            <w:webHidden/>
          </w:rPr>
          <w:fldChar w:fldCharType="separate"/>
        </w:r>
        <w:r w:rsidR="00315D48">
          <w:rPr>
            <w:noProof/>
            <w:webHidden/>
          </w:rPr>
          <w:t>80</w:t>
        </w:r>
        <w:r w:rsidR="00315D48">
          <w:rPr>
            <w:noProof/>
            <w:webHidden/>
          </w:rPr>
          <w:fldChar w:fldCharType="end"/>
        </w:r>
      </w:hyperlink>
    </w:p>
    <w:p w14:paraId="208A4D0B" w14:textId="1251526F" w:rsidR="00315D48" w:rsidRDefault="001C7A9B">
      <w:pPr>
        <w:pStyle w:val="TableofFigures"/>
        <w:tabs>
          <w:tab w:val="right" w:leader="dot" w:pos="9854"/>
        </w:tabs>
        <w:rPr>
          <w:rFonts w:eastAsiaTheme="minorEastAsia"/>
          <w:noProof/>
          <w:color w:val="auto"/>
          <w:kern w:val="0"/>
          <w:sz w:val="22"/>
          <w:szCs w:val="22"/>
          <w:lang w:eastAsia="en-AU"/>
        </w:rPr>
      </w:pPr>
      <w:hyperlink w:anchor="_Toc139969191" w:history="1">
        <w:r w:rsidR="00315D48" w:rsidRPr="00D91CA2">
          <w:rPr>
            <w:rStyle w:val="Hyperlink"/>
            <w:noProof/>
          </w:rPr>
          <w:t>Table 33: Reform options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_Toc139969191 \h </w:instrText>
        </w:r>
        <w:r w:rsidR="00315D48">
          <w:rPr>
            <w:noProof/>
            <w:webHidden/>
          </w:rPr>
        </w:r>
        <w:r w:rsidR="00315D48">
          <w:rPr>
            <w:noProof/>
            <w:webHidden/>
          </w:rPr>
          <w:fldChar w:fldCharType="separate"/>
        </w:r>
        <w:r w:rsidR="00315D48">
          <w:rPr>
            <w:noProof/>
            <w:webHidden/>
          </w:rPr>
          <w:t>83</w:t>
        </w:r>
        <w:r w:rsidR="00315D48">
          <w:rPr>
            <w:noProof/>
            <w:webHidden/>
          </w:rPr>
          <w:fldChar w:fldCharType="end"/>
        </w:r>
      </w:hyperlink>
    </w:p>
    <w:p w14:paraId="74BA722A" w14:textId="160B6BD4" w:rsidR="00315D48" w:rsidRDefault="001C7A9B">
      <w:pPr>
        <w:pStyle w:val="TableofFigures"/>
        <w:tabs>
          <w:tab w:val="right" w:leader="dot" w:pos="9854"/>
        </w:tabs>
        <w:rPr>
          <w:rFonts w:eastAsiaTheme="minorEastAsia"/>
          <w:noProof/>
          <w:color w:val="auto"/>
          <w:kern w:val="0"/>
          <w:sz w:val="22"/>
          <w:szCs w:val="22"/>
          <w:lang w:eastAsia="en-AU"/>
        </w:rPr>
      </w:pPr>
      <w:hyperlink w:anchor="_Toc139969192" w:history="1">
        <w:r w:rsidR="00315D48" w:rsidRPr="00D91CA2">
          <w:rPr>
            <w:rStyle w:val="Hyperlink"/>
            <w:noProof/>
          </w:rPr>
          <w:t>Table 34: Benefit-cost ratios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_Toc139969192 \h </w:instrText>
        </w:r>
        <w:r w:rsidR="00315D48">
          <w:rPr>
            <w:noProof/>
            <w:webHidden/>
          </w:rPr>
        </w:r>
        <w:r w:rsidR="00315D48">
          <w:rPr>
            <w:noProof/>
            <w:webHidden/>
          </w:rPr>
          <w:fldChar w:fldCharType="separate"/>
        </w:r>
        <w:r w:rsidR="00315D48">
          <w:rPr>
            <w:noProof/>
            <w:webHidden/>
          </w:rPr>
          <w:t>84</w:t>
        </w:r>
        <w:r w:rsidR="00315D48">
          <w:rPr>
            <w:noProof/>
            <w:webHidden/>
          </w:rPr>
          <w:fldChar w:fldCharType="end"/>
        </w:r>
      </w:hyperlink>
    </w:p>
    <w:p w14:paraId="2FBAA6ED" w14:textId="2A324B68" w:rsidR="00315D48" w:rsidRDefault="001C7A9B">
      <w:pPr>
        <w:pStyle w:val="TableofFigures"/>
        <w:tabs>
          <w:tab w:val="right" w:leader="dot" w:pos="9854"/>
        </w:tabs>
        <w:rPr>
          <w:rFonts w:eastAsiaTheme="minorEastAsia"/>
          <w:noProof/>
          <w:color w:val="auto"/>
          <w:kern w:val="0"/>
          <w:sz w:val="22"/>
          <w:szCs w:val="22"/>
          <w:lang w:eastAsia="en-AU"/>
        </w:rPr>
      </w:pPr>
      <w:hyperlink w:anchor="_Toc139969193" w:history="1">
        <w:r w:rsidR="00315D48" w:rsidRPr="00D91CA2">
          <w:rPr>
            <w:rStyle w:val="Hyperlink"/>
            <w:noProof/>
          </w:rPr>
          <w:t>Table 35: Qualitative benefits for Hearing augmentation: infrastructure and premises</w:t>
        </w:r>
        <w:r w:rsidR="00315D48">
          <w:rPr>
            <w:noProof/>
            <w:webHidden/>
          </w:rPr>
          <w:tab/>
        </w:r>
        <w:r w:rsidR="00315D48">
          <w:rPr>
            <w:noProof/>
            <w:webHidden/>
          </w:rPr>
          <w:fldChar w:fldCharType="begin"/>
        </w:r>
        <w:r w:rsidR="00315D48">
          <w:rPr>
            <w:noProof/>
            <w:webHidden/>
          </w:rPr>
          <w:instrText xml:space="preserve"> PAGEREF _Toc139969193 \h </w:instrText>
        </w:r>
        <w:r w:rsidR="00315D48">
          <w:rPr>
            <w:noProof/>
            <w:webHidden/>
          </w:rPr>
        </w:r>
        <w:r w:rsidR="00315D48">
          <w:rPr>
            <w:noProof/>
            <w:webHidden/>
          </w:rPr>
          <w:fldChar w:fldCharType="separate"/>
        </w:r>
        <w:r w:rsidR="00315D48">
          <w:rPr>
            <w:noProof/>
            <w:webHidden/>
          </w:rPr>
          <w:t>84</w:t>
        </w:r>
        <w:r w:rsidR="00315D48">
          <w:rPr>
            <w:noProof/>
            <w:webHidden/>
          </w:rPr>
          <w:fldChar w:fldCharType="end"/>
        </w:r>
      </w:hyperlink>
    </w:p>
    <w:p w14:paraId="26A29AB4" w14:textId="51423FB7" w:rsidR="00315D48" w:rsidRDefault="001C7A9B">
      <w:pPr>
        <w:pStyle w:val="TableofFigures"/>
        <w:tabs>
          <w:tab w:val="right" w:leader="dot" w:pos="9854"/>
        </w:tabs>
        <w:rPr>
          <w:rFonts w:eastAsiaTheme="minorEastAsia"/>
          <w:noProof/>
          <w:color w:val="auto"/>
          <w:kern w:val="0"/>
          <w:sz w:val="22"/>
          <w:szCs w:val="22"/>
          <w:lang w:eastAsia="en-AU"/>
        </w:rPr>
      </w:pPr>
      <w:hyperlink w:anchor="_Toc139969194" w:history="1">
        <w:r w:rsidR="00315D48" w:rsidRPr="00D91CA2">
          <w:rPr>
            <w:rStyle w:val="Hyperlink"/>
            <w:noProof/>
          </w:rPr>
          <w:t>Table 36: Reform options for Print size and format</w:t>
        </w:r>
        <w:r w:rsidR="00315D48">
          <w:rPr>
            <w:noProof/>
            <w:webHidden/>
          </w:rPr>
          <w:tab/>
        </w:r>
        <w:r w:rsidR="00315D48">
          <w:rPr>
            <w:noProof/>
            <w:webHidden/>
          </w:rPr>
          <w:fldChar w:fldCharType="begin"/>
        </w:r>
        <w:r w:rsidR="00315D48">
          <w:rPr>
            <w:noProof/>
            <w:webHidden/>
          </w:rPr>
          <w:instrText xml:space="preserve"> PAGEREF _Toc139969194 \h </w:instrText>
        </w:r>
        <w:r w:rsidR="00315D48">
          <w:rPr>
            <w:noProof/>
            <w:webHidden/>
          </w:rPr>
        </w:r>
        <w:r w:rsidR="00315D48">
          <w:rPr>
            <w:noProof/>
            <w:webHidden/>
          </w:rPr>
          <w:fldChar w:fldCharType="separate"/>
        </w:r>
        <w:r w:rsidR="00315D48">
          <w:rPr>
            <w:noProof/>
            <w:webHidden/>
          </w:rPr>
          <w:t>87</w:t>
        </w:r>
        <w:r w:rsidR="00315D48">
          <w:rPr>
            <w:noProof/>
            <w:webHidden/>
          </w:rPr>
          <w:fldChar w:fldCharType="end"/>
        </w:r>
      </w:hyperlink>
    </w:p>
    <w:p w14:paraId="4715C59B" w14:textId="2D7E7B41" w:rsidR="00315D48" w:rsidRDefault="001C7A9B">
      <w:pPr>
        <w:pStyle w:val="TableofFigures"/>
        <w:tabs>
          <w:tab w:val="right" w:leader="dot" w:pos="9854"/>
        </w:tabs>
        <w:rPr>
          <w:rFonts w:eastAsiaTheme="minorEastAsia"/>
          <w:noProof/>
          <w:color w:val="auto"/>
          <w:kern w:val="0"/>
          <w:sz w:val="22"/>
          <w:szCs w:val="22"/>
          <w:lang w:eastAsia="en-AU"/>
        </w:rPr>
      </w:pPr>
      <w:hyperlink w:anchor="_Toc139969195" w:history="1">
        <w:r w:rsidR="00315D48" w:rsidRPr="00D91CA2">
          <w:rPr>
            <w:rStyle w:val="Hyperlink"/>
            <w:noProof/>
          </w:rPr>
          <w:t>Table 37: Benefit-cost ratios for Print size and format</w:t>
        </w:r>
        <w:r w:rsidR="00315D48">
          <w:rPr>
            <w:noProof/>
            <w:webHidden/>
          </w:rPr>
          <w:tab/>
        </w:r>
        <w:r w:rsidR="00315D48">
          <w:rPr>
            <w:noProof/>
            <w:webHidden/>
          </w:rPr>
          <w:fldChar w:fldCharType="begin"/>
        </w:r>
        <w:r w:rsidR="00315D48">
          <w:rPr>
            <w:noProof/>
            <w:webHidden/>
          </w:rPr>
          <w:instrText xml:space="preserve"> PAGEREF _Toc139969195 \h </w:instrText>
        </w:r>
        <w:r w:rsidR="00315D48">
          <w:rPr>
            <w:noProof/>
            <w:webHidden/>
          </w:rPr>
        </w:r>
        <w:r w:rsidR="00315D48">
          <w:rPr>
            <w:noProof/>
            <w:webHidden/>
          </w:rPr>
          <w:fldChar w:fldCharType="separate"/>
        </w:r>
        <w:r w:rsidR="00315D48">
          <w:rPr>
            <w:noProof/>
            <w:webHidden/>
          </w:rPr>
          <w:t>87</w:t>
        </w:r>
        <w:r w:rsidR="00315D48">
          <w:rPr>
            <w:noProof/>
            <w:webHidden/>
          </w:rPr>
          <w:fldChar w:fldCharType="end"/>
        </w:r>
      </w:hyperlink>
    </w:p>
    <w:p w14:paraId="294A9976" w14:textId="75DE51CA" w:rsidR="00315D48" w:rsidRDefault="001C7A9B">
      <w:pPr>
        <w:pStyle w:val="TableofFigures"/>
        <w:tabs>
          <w:tab w:val="right" w:leader="dot" w:pos="9854"/>
        </w:tabs>
        <w:rPr>
          <w:rFonts w:eastAsiaTheme="minorEastAsia"/>
          <w:noProof/>
          <w:color w:val="auto"/>
          <w:kern w:val="0"/>
          <w:sz w:val="22"/>
          <w:szCs w:val="22"/>
          <w:lang w:eastAsia="en-AU"/>
        </w:rPr>
      </w:pPr>
      <w:hyperlink w:anchor="_Toc139969196" w:history="1">
        <w:r w:rsidR="00315D48" w:rsidRPr="00D91CA2">
          <w:rPr>
            <w:rStyle w:val="Hyperlink"/>
            <w:noProof/>
          </w:rPr>
          <w:t>Table 38: Qualitative benefits for Print size and format</w:t>
        </w:r>
        <w:r w:rsidR="00315D48">
          <w:rPr>
            <w:noProof/>
            <w:webHidden/>
          </w:rPr>
          <w:tab/>
        </w:r>
        <w:r w:rsidR="00315D48">
          <w:rPr>
            <w:noProof/>
            <w:webHidden/>
          </w:rPr>
          <w:fldChar w:fldCharType="begin"/>
        </w:r>
        <w:r w:rsidR="00315D48">
          <w:rPr>
            <w:noProof/>
            <w:webHidden/>
          </w:rPr>
          <w:instrText xml:space="preserve"> PAGEREF _Toc139969196 \h </w:instrText>
        </w:r>
        <w:r w:rsidR="00315D48">
          <w:rPr>
            <w:noProof/>
            <w:webHidden/>
          </w:rPr>
        </w:r>
        <w:r w:rsidR="00315D48">
          <w:rPr>
            <w:noProof/>
            <w:webHidden/>
          </w:rPr>
          <w:fldChar w:fldCharType="separate"/>
        </w:r>
        <w:r w:rsidR="00315D48">
          <w:rPr>
            <w:noProof/>
            <w:webHidden/>
          </w:rPr>
          <w:t>88</w:t>
        </w:r>
        <w:r w:rsidR="00315D48">
          <w:rPr>
            <w:noProof/>
            <w:webHidden/>
          </w:rPr>
          <w:fldChar w:fldCharType="end"/>
        </w:r>
      </w:hyperlink>
    </w:p>
    <w:p w14:paraId="2DEE08A7" w14:textId="745E5751" w:rsidR="00315D48" w:rsidRDefault="001C7A9B">
      <w:pPr>
        <w:pStyle w:val="TableofFigures"/>
        <w:tabs>
          <w:tab w:val="right" w:leader="dot" w:pos="9854"/>
        </w:tabs>
        <w:rPr>
          <w:rFonts w:eastAsiaTheme="minorEastAsia"/>
          <w:noProof/>
          <w:color w:val="auto"/>
          <w:kern w:val="0"/>
          <w:sz w:val="22"/>
          <w:szCs w:val="22"/>
          <w:lang w:eastAsia="en-AU"/>
        </w:rPr>
      </w:pPr>
      <w:hyperlink w:anchor="_Toc139969197" w:history="1">
        <w:r w:rsidR="00315D48" w:rsidRPr="00D91CA2">
          <w:rPr>
            <w:rStyle w:val="Hyperlink"/>
            <w:noProof/>
          </w:rPr>
          <w:t>Table 39: Reform options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_Toc139969197 \h </w:instrText>
        </w:r>
        <w:r w:rsidR="00315D48">
          <w:rPr>
            <w:noProof/>
            <w:webHidden/>
          </w:rPr>
        </w:r>
        <w:r w:rsidR="00315D48">
          <w:rPr>
            <w:noProof/>
            <w:webHidden/>
          </w:rPr>
          <w:fldChar w:fldCharType="separate"/>
        </w:r>
        <w:r w:rsidR="00315D48">
          <w:rPr>
            <w:noProof/>
            <w:webHidden/>
          </w:rPr>
          <w:t>90</w:t>
        </w:r>
        <w:r w:rsidR="00315D48">
          <w:rPr>
            <w:noProof/>
            <w:webHidden/>
          </w:rPr>
          <w:fldChar w:fldCharType="end"/>
        </w:r>
      </w:hyperlink>
    </w:p>
    <w:p w14:paraId="1FCEBEC5" w14:textId="746880D0" w:rsidR="00315D48" w:rsidRDefault="001C7A9B">
      <w:pPr>
        <w:pStyle w:val="TableofFigures"/>
        <w:tabs>
          <w:tab w:val="right" w:leader="dot" w:pos="9854"/>
        </w:tabs>
        <w:rPr>
          <w:rFonts w:eastAsiaTheme="minorEastAsia"/>
          <w:noProof/>
          <w:color w:val="auto"/>
          <w:kern w:val="0"/>
          <w:sz w:val="22"/>
          <w:szCs w:val="22"/>
          <w:lang w:eastAsia="en-AU"/>
        </w:rPr>
      </w:pPr>
      <w:hyperlink w:anchor="_Toc139969198" w:history="1">
        <w:r w:rsidR="00315D48" w:rsidRPr="00D91CA2">
          <w:rPr>
            <w:rStyle w:val="Hyperlink"/>
            <w:noProof/>
          </w:rPr>
          <w:t>Table 40: Benefit-cost ratios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_Toc139969198 \h </w:instrText>
        </w:r>
        <w:r w:rsidR="00315D48">
          <w:rPr>
            <w:noProof/>
            <w:webHidden/>
          </w:rPr>
        </w:r>
        <w:r w:rsidR="00315D48">
          <w:rPr>
            <w:noProof/>
            <w:webHidden/>
          </w:rPr>
          <w:fldChar w:fldCharType="separate"/>
        </w:r>
        <w:r w:rsidR="00315D48">
          <w:rPr>
            <w:noProof/>
            <w:webHidden/>
          </w:rPr>
          <w:t>91</w:t>
        </w:r>
        <w:r w:rsidR="00315D48">
          <w:rPr>
            <w:noProof/>
            <w:webHidden/>
          </w:rPr>
          <w:fldChar w:fldCharType="end"/>
        </w:r>
      </w:hyperlink>
    </w:p>
    <w:p w14:paraId="597945B6" w14:textId="3CF36769" w:rsidR="00315D48" w:rsidRDefault="001C7A9B">
      <w:pPr>
        <w:pStyle w:val="TableofFigures"/>
        <w:tabs>
          <w:tab w:val="right" w:leader="dot" w:pos="9854"/>
        </w:tabs>
        <w:rPr>
          <w:rFonts w:eastAsiaTheme="minorEastAsia"/>
          <w:noProof/>
          <w:color w:val="auto"/>
          <w:kern w:val="0"/>
          <w:sz w:val="22"/>
          <w:szCs w:val="22"/>
          <w:lang w:eastAsia="en-AU"/>
        </w:rPr>
      </w:pPr>
      <w:hyperlink w:anchor="_Toc139969199" w:history="1">
        <w:r w:rsidR="00315D48" w:rsidRPr="00D91CA2">
          <w:rPr>
            <w:rStyle w:val="Hyperlink"/>
            <w:noProof/>
          </w:rPr>
          <w:t>Table 41: Qualitative benefits for International Symbol for Access and Deafness</w:t>
        </w:r>
        <w:r w:rsidR="00315D48">
          <w:rPr>
            <w:noProof/>
            <w:webHidden/>
          </w:rPr>
          <w:tab/>
        </w:r>
        <w:r w:rsidR="00315D48">
          <w:rPr>
            <w:noProof/>
            <w:webHidden/>
          </w:rPr>
          <w:fldChar w:fldCharType="begin"/>
        </w:r>
        <w:r w:rsidR="00315D48">
          <w:rPr>
            <w:noProof/>
            <w:webHidden/>
          </w:rPr>
          <w:instrText xml:space="preserve"> PAGEREF _Toc139969199 \h </w:instrText>
        </w:r>
        <w:r w:rsidR="00315D48">
          <w:rPr>
            <w:noProof/>
            <w:webHidden/>
          </w:rPr>
        </w:r>
        <w:r w:rsidR="00315D48">
          <w:rPr>
            <w:noProof/>
            <w:webHidden/>
          </w:rPr>
          <w:fldChar w:fldCharType="separate"/>
        </w:r>
        <w:r w:rsidR="00315D48">
          <w:rPr>
            <w:noProof/>
            <w:webHidden/>
          </w:rPr>
          <w:t>91</w:t>
        </w:r>
        <w:r w:rsidR="00315D48">
          <w:rPr>
            <w:noProof/>
            <w:webHidden/>
          </w:rPr>
          <w:fldChar w:fldCharType="end"/>
        </w:r>
      </w:hyperlink>
    </w:p>
    <w:p w14:paraId="1C742F29" w14:textId="0CC44B58" w:rsidR="00315D48" w:rsidRDefault="001C7A9B">
      <w:pPr>
        <w:pStyle w:val="TableofFigures"/>
        <w:tabs>
          <w:tab w:val="right" w:leader="dot" w:pos="9854"/>
        </w:tabs>
        <w:rPr>
          <w:rFonts w:eastAsiaTheme="minorEastAsia"/>
          <w:noProof/>
          <w:color w:val="auto"/>
          <w:kern w:val="0"/>
          <w:sz w:val="22"/>
          <w:szCs w:val="22"/>
          <w:lang w:eastAsia="en-AU"/>
        </w:rPr>
      </w:pPr>
      <w:hyperlink w:anchor="_Toc139969200" w:history="1">
        <w:r w:rsidR="00315D48" w:rsidRPr="00D91CA2">
          <w:rPr>
            <w:rStyle w:val="Hyperlink"/>
            <w:noProof/>
          </w:rPr>
          <w:t>Table 42: Reform options for letter heights and luminance contrast of signs</w:t>
        </w:r>
        <w:r w:rsidR="00315D48">
          <w:rPr>
            <w:noProof/>
            <w:webHidden/>
          </w:rPr>
          <w:tab/>
        </w:r>
        <w:r w:rsidR="00315D48">
          <w:rPr>
            <w:noProof/>
            <w:webHidden/>
          </w:rPr>
          <w:fldChar w:fldCharType="begin"/>
        </w:r>
        <w:r w:rsidR="00315D48">
          <w:rPr>
            <w:noProof/>
            <w:webHidden/>
          </w:rPr>
          <w:instrText xml:space="preserve"> PAGEREF _Toc139969200 \h </w:instrText>
        </w:r>
        <w:r w:rsidR="00315D48">
          <w:rPr>
            <w:noProof/>
            <w:webHidden/>
          </w:rPr>
        </w:r>
        <w:r w:rsidR="00315D48">
          <w:rPr>
            <w:noProof/>
            <w:webHidden/>
          </w:rPr>
          <w:fldChar w:fldCharType="separate"/>
        </w:r>
        <w:r w:rsidR="00315D48">
          <w:rPr>
            <w:noProof/>
            <w:webHidden/>
          </w:rPr>
          <w:t>94</w:t>
        </w:r>
        <w:r w:rsidR="00315D48">
          <w:rPr>
            <w:noProof/>
            <w:webHidden/>
          </w:rPr>
          <w:fldChar w:fldCharType="end"/>
        </w:r>
      </w:hyperlink>
    </w:p>
    <w:p w14:paraId="3041FBC8" w14:textId="114DD6DB" w:rsidR="00315D48" w:rsidRDefault="001C7A9B">
      <w:pPr>
        <w:pStyle w:val="TableofFigures"/>
        <w:tabs>
          <w:tab w:val="right" w:leader="dot" w:pos="9854"/>
        </w:tabs>
        <w:rPr>
          <w:rFonts w:eastAsiaTheme="minorEastAsia"/>
          <w:noProof/>
          <w:color w:val="auto"/>
          <w:kern w:val="0"/>
          <w:sz w:val="22"/>
          <w:szCs w:val="22"/>
          <w:lang w:eastAsia="en-AU"/>
        </w:rPr>
      </w:pPr>
      <w:hyperlink w:anchor="_Toc139969201" w:history="1">
        <w:r w:rsidR="00315D48" w:rsidRPr="00D91CA2">
          <w:rPr>
            <w:rStyle w:val="Hyperlink"/>
            <w:noProof/>
          </w:rPr>
          <w:t>Table 43: Reform options for Location of signs</w:t>
        </w:r>
        <w:r w:rsidR="00315D48">
          <w:rPr>
            <w:noProof/>
            <w:webHidden/>
          </w:rPr>
          <w:tab/>
        </w:r>
        <w:r w:rsidR="00315D48">
          <w:rPr>
            <w:noProof/>
            <w:webHidden/>
          </w:rPr>
          <w:fldChar w:fldCharType="begin"/>
        </w:r>
        <w:r w:rsidR="00315D48">
          <w:rPr>
            <w:noProof/>
            <w:webHidden/>
          </w:rPr>
          <w:instrText xml:space="preserve"> PAGEREF _Toc139969201 \h </w:instrText>
        </w:r>
        <w:r w:rsidR="00315D48">
          <w:rPr>
            <w:noProof/>
            <w:webHidden/>
          </w:rPr>
        </w:r>
        <w:r w:rsidR="00315D48">
          <w:rPr>
            <w:noProof/>
            <w:webHidden/>
          </w:rPr>
          <w:fldChar w:fldCharType="separate"/>
        </w:r>
        <w:r w:rsidR="00315D48">
          <w:rPr>
            <w:noProof/>
            <w:webHidden/>
          </w:rPr>
          <w:t>97</w:t>
        </w:r>
        <w:r w:rsidR="00315D48">
          <w:rPr>
            <w:noProof/>
            <w:webHidden/>
          </w:rPr>
          <w:fldChar w:fldCharType="end"/>
        </w:r>
      </w:hyperlink>
    </w:p>
    <w:p w14:paraId="6E64F0DC" w14:textId="1AD1A060" w:rsidR="00315D48" w:rsidRDefault="001C7A9B">
      <w:pPr>
        <w:pStyle w:val="TableofFigures"/>
        <w:tabs>
          <w:tab w:val="right" w:leader="dot" w:pos="9854"/>
        </w:tabs>
        <w:rPr>
          <w:rFonts w:eastAsiaTheme="minorEastAsia"/>
          <w:noProof/>
          <w:color w:val="auto"/>
          <w:kern w:val="0"/>
          <w:sz w:val="22"/>
          <w:szCs w:val="22"/>
          <w:lang w:eastAsia="en-AU"/>
        </w:rPr>
      </w:pPr>
      <w:hyperlink w:anchor="_Toc139969202" w:history="1">
        <w:r w:rsidR="00315D48" w:rsidRPr="00D91CA2">
          <w:rPr>
            <w:rStyle w:val="Hyperlink"/>
            <w:noProof/>
          </w:rPr>
          <w:t>Table 44: Reform options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_Toc139969202 \h </w:instrText>
        </w:r>
        <w:r w:rsidR="00315D48">
          <w:rPr>
            <w:noProof/>
            <w:webHidden/>
          </w:rPr>
        </w:r>
        <w:r w:rsidR="00315D48">
          <w:rPr>
            <w:noProof/>
            <w:webHidden/>
          </w:rPr>
          <w:fldChar w:fldCharType="separate"/>
        </w:r>
        <w:r w:rsidR="00315D48">
          <w:rPr>
            <w:noProof/>
            <w:webHidden/>
          </w:rPr>
          <w:t>100</w:t>
        </w:r>
        <w:r w:rsidR="00315D48">
          <w:rPr>
            <w:noProof/>
            <w:webHidden/>
          </w:rPr>
          <w:fldChar w:fldCharType="end"/>
        </w:r>
      </w:hyperlink>
    </w:p>
    <w:p w14:paraId="31791385" w14:textId="75F8C918" w:rsidR="00315D48" w:rsidRDefault="001C7A9B">
      <w:pPr>
        <w:pStyle w:val="TableofFigures"/>
        <w:tabs>
          <w:tab w:val="right" w:leader="dot" w:pos="9854"/>
        </w:tabs>
        <w:rPr>
          <w:rFonts w:eastAsiaTheme="minorEastAsia"/>
          <w:noProof/>
          <w:color w:val="auto"/>
          <w:kern w:val="0"/>
          <w:sz w:val="22"/>
          <w:szCs w:val="22"/>
          <w:lang w:eastAsia="en-AU"/>
        </w:rPr>
      </w:pPr>
      <w:hyperlink w:anchor="_Toc139969203" w:history="1">
        <w:r w:rsidR="00315D48" w:rsidRPr="00D91CA2">
          <w:rPr>
            <w:rStyle w:val="Hyperlink"/>
            <w:noProof/>
          </w:rPr>
          <w:t>Table 45: Benefit-cost ratios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_Toc139969203 \h </w:instrText>
        </w:r>
        <w:r w:rsidR="00315D48">
          <w:rPr>
            <w:noProof/>
            <w:webHidden/>
          </w:rPr>
        </w:r>
        <w:r w:rsidR="00315D48">
          <w:rPr>
            <w:noProof/>
            <w:webHidden/>
          </w:rPr>
          <w:fldChar w:fldCharType="separate"/>
        </w:r>
        <w:r w:rsidR="00315D48">
          <w:rPr>
            <w:noProof/>
            <w:webHidden/>
          </w:rPr>
          <w:t>101</w:t>
        </w:r>
        <w:r w:rsidR="00315D48">
          <w:rPr>
            <w:noProof/>
            <w:webHidden/>
          </w:rPr>
          <w:fldChar w:fldCharType="end"/>
        </w:r>
      </w:hyperlink>
    </w:p>
    <w:p w14:paraId="0CEEA8DD" w14:textId="01150425" w:rsidR="00315D48" w:rsidRDefault="001C7A9B">
      <w:pPr>
        <w:pStyle w:val="TableofFigures"/>
        <w:tabs>
          <w:tab w:val="right" w:leader="dot" w:pos="9854"/>
        </w:tabs>
        <w:rPr>
          <w:rFonts w:eastAsiaTheme="minorEastAsia"/>
          <w:noProof/>
          <w:color w:val="auto"/>
          <w:kern w:val="0"/>
          <w:sz w:val="22"/>
          <w:szCs w:val="22"/>
          <w:lang w:eastAsia="en-AU"/>
        </w:rPr>
      </w:pPr>
      <w:hyperlink w:anchor="_Toc139969204" w:history="1">
        <w:r w:rsidR="00315D48" w:rsidRPr="00D91CA2">
          <w:rPr>
            <w:rStyle w:val="Hyperlink"/>
            <w:noProof/>
          </w:rPr>
          <w:t>Table 46: Qualitative benefits for Braille embossed (printed) specifications</w:t>
        </w:r>
        <w:r w:rsidR="00315D48">
          <w:rPr>
            <w:noProof/>
            <w:webHidden/>
          </w:rPr>
          <w:tab/>
        </w:r>
        <w:r w:rsidR="00315D48">
          <w:rPr>
            <w:noProof/>
            <w:webHidden/>
          </w:rPr>
          <w:fldChar w:fldCharType="begin"/>
        </w:r>
        <w:r w:rsidR="00315D48">
          <w:rPr>
            <w:noProof/>
            <w:webHidden/>
          </w:rPr>
          <w:instrText xml:space="preserve"> PAGEREF _Toc139969204 \h </w:instrText>
        </w:r>
        <w:r w:rsidR="00315D48">
          <w:rPr>
            <w:noProof/>
            <w:webHidden/>
          </w:rPr>
        </w:r>
        <w:r w:rsidR="00315D48">
          <w:rPr>
            <w:noProof/>
            <w:webHidden/>
          </w:rPr>
          <w:fldChar w:fldCharType="separate"/>
        </w:r>
        <w:r w:rsidR="00315D48">
          <w:rPr>
            <w:noProof/>
            <w:webHidden/>
          </w:rPr>
          <w:t>101</w:t>
        </w:r>
        <w:r w:rsidR="00315D48">
          <w:rPr>
            <w:noProof/>
            <w:webHidden/>
          </w:rPr>
          <w:fldChar w:fldCharType="end"/>
        </w:r>
      </w:hyperlink>
    </w:p>
    <w:p w14:paraId="3AD0EE11" w14:textId="01B43D34" w:rsidR="00315D48" w:rsidRDefault="001C7A9B">
      <w:pPr>
        <w:pStyle w:val="TableofFigures"/>
        <w:tabs>
          <w:tab w:val="right" w:leader="dot" w:pos="9854"/>
        </w:tabs>
        <w:rPr>
          <w:rFonts w:eastAsiaTheme="minorEastAsia"/>
          <w:noProof/>
          <w:color w:val="auto"/>
          <w:kern w:val="0"/>
          <w:sz w:val="22"/>
          <w:szCs w:val="22"/>
          <w:lang w:eastAsia="en-AU"/>
        </w:rPr>
      </w:pPr>
      <w:hyperlink w:anchor="_Toc139969205" w:history="1">
        <w:r w:rsidR="00315D48" w:rsidRPr="00D91CA2">
          <w:rPr>
            <w:rStyle w:val="Hyperlink"/>
            <w:noProof/>
          </w:rPr>
          <w:t>Table 47: Reform options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_Toc139969205 \h </w:instrText>
        </w:r>
        <w:r w:rsidR="00315D48">
          <w:rPr>
            <w:noProof/>
            <w:webHidden/>
          </w:rPr>
        </w:r>
        <w:r w:rsidR="00315D48">
          <w:rPr>
            <w:noProof/>
            <w:webHidden/>
          </w:rPr>
          <w:fldChar w:fldCharType="separate"/>
        </w:r>
        <w:r w:rsidR="00315D48">
          <w:rPr>
            <w:noProof/>
            <w:webHidden/>
          </w:rPr>
          <w:t>105</w:t>
        </w:r>
        <w:r w:rsidR="00315D48">
          <w:rPr>
            <w:noProof/>
            <w:webHidden/>
          </w:rPr>
          <w:fldChar w:fldCharType="end"/>
        </w:r>
      </w:hyperlink>
    </w:p>
    <w:p w14:paraId="7C49DC76" w14:textId="4D17DE3B" w:rsidR="00315D48" w:rsidRDefault="001C7A9B">
      <w:pPr>
        <w:pStyle w:val="TableofFigures"/>
        <w:tabs>
          <w:tab w:val="right" w:leader="dot" w:pos="9854"/>
        </w:tabs>
        <w:rPr>
          <w:rFonts w:eastAsiaTheme="minorEastAsia"/>
          <w:noProof/>
          <w:color w:val="auto"/>
          <w:kern w:val="0"/>
          <w:sz w:val="22"/>
          <w:szCs w:val="22"/>
          <w:lang w:eastAsia="en-AU"/>
        </w:rPr>
      </w:pPr>
      <w:hyperlink w:anchor="_Toc139969206" w:history="1">
        <w:r w:rsidR="00315D48" w:rsidRPr="00D91CA2">
          <w:rPr>
            <w:rStyle w:val="Hyperlink"/>
            <w:noProof/>
          </w:rPr>
          <w:t>Table 48: Benefit-cost ratios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_Toc139969206 \h </w:instrText>
        </w:r>
        <w:r w:rsidR="00315D48">
          <w:rPr>
            <w:noProof/>
            <w:webHidden/>
          </w:rPr>
        </w:r>
        <w:r w:rsidR="00315D48">
          <w:rPr>
            <w:noProof/>
            <w:webHidden/>
          </w:rPr>
          <w:fldChar w:fldCharType="separate"/>
        </w:r>
        <w:r w:rsidR="00315D48">
          <w:rPr>
            <w:noProof/>
            <w:webHidden/>
          </w:rPr>
          <w:t>105</w:t>
        </w:r>
        <w:r w:rsidR="00315D48">
          <w:rPr>
            <w:noProof/>
            <w:webHidden/>
          </w:rPr>
          <w:fldChar w:fldCharType="end"/>
        </w:r>
      </w:hyperlink>
    </w:p>
    <w:p w14:paraId="389B965A" w14:textId="1C0F4BAA" w:rsidR="00315D48" w:rsidRDefault="001C7A9B">
      <w:pPr>
        <w:pStyle w:val="TableofFigures"/>
        <w:tabs>
          <w:tab w:val="right" w:leader="dot" w:pos="9854"/>
        </w:tabs>
        <w:rPr>
          <w:rFonts w:eastAsiaTheme="minorEastAsia"/>
          <w:noProof/>
          <w:color w:val="auto"/>
          <w:kern w:val="0"/>
          <w:sz w:val="22"/>
          <w:szCs w:val="22"/>
          <w:lang w:eastAsia="en-AU"/>
        </w:rPr>
      </w:pPr>
      <w:hyperlink w:anchor="_Toc139969207" w:history="1">
        <w:r w:rsidR="00315D48" w:rsidRPr="00D91CA2">
          <w:rPr>
            <w:rStyle w:val="Hyperlink"/>
            <w:noProof/>
          </w:rPr>
          <w:t>Table 49: Qualitative benefits for braille and tactile lettering for signage</w:t>
        </w:r>
        <w:r w:rsidR="00315D48">
          <w:rPr>
            <w:noProof/>
            <w:webHidden/>
          </w:rPr>
          <w:tab/>
        </w:r>
        <w:r w:rsidR="00315D48">
          <w:rPr>
            <w:noProof/>
            <w:webHidden/>
          </w:rPr>
          <w:fldChar w:fldCharType="begin"/>
        </w:r>
        <w:r w:rsidR="00315D48">
          <w:rPr>
            <w:noProof/>
            <w:webHidden/>
          </w:rPr>
          <w:instrText xml:space="preserve"> PAGEREF _Toc139969207 \h </w:instrText>
        </w:r>
        <w:r w:rsidR="00315D48">
          <w:rPr>
            <w:noProof/>
            <w:webHidden/>
          </w:rPr>
        </w:r>
        <w:r w:rsidR="00315D48">
          <w:rPr>
            <w:noProof/>
            <w:webHidden/>
          </w:rPr>
          <w:fldChar w:fldCharType="separate"/>
        </w:r>
        <w:r w:rsidR="00315D48">
          <w:rPr>
            <w:noProof/>
            <w:webHidden/>
          </w:rPr>
          <w:t>106</w:t>
        </w:r>
        <w:r w:rsidR="00315D48">
          <w:rPr>
            <w:noProof/>
            <w:webHidden/>
          </w:rPr>
          <w:fldChar w:fldCharType="end"/>
        </w:r>
      </w:hyperlink>
    </w:p>
    <w:p w14:paraId="43E3BB5C" w14:textId="70E65609" w:rsidR="00315D48" w:rsidRDefault="001C7A9B">
      <w:pPr>
        <w:pStyle w:val="TableofFigures"/>
        <w:tabs>
          <w:tab w:val="right" w:leader="dot" w:pos="9854"/>
        </w:tabs>
        <w:rPr>
          <w:rFonts w:eastAsiaTheme="minorEastAsia"/>
          <w:noProof/>
          <w:color w:val="auto"/>
          <w:kern w:val="0"/>
          <w:sz w:val="22"/>
          <w:szCs w:val="22"/>
          <w:lang w:eastAsia="en-AU"/>
        </w:rPr>
      </w:pPr>
      <w:hyperlink w:anchor="_Toc139969208" w:history="1">
        <w:r w:rsidR="00315D48" w:rsidRPr="00D91CA2">
          <w:rPr>
            <w:rStyle w:val="Hyperlink"/>
            <w:noProof/>
          </w:rPr>
          <w:t>Table 50 Reform options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_Toc139969208 \h </w:instrText>
        </w:r>
        <w:r w:rsidR="00315D48">
          <w:rPr>
            <w:noProof/>
            <w:webHidden/>
          </w:rPr>
        </w:r>
        <w:r w:rsidR="00315D48">
          <w:rPr>
            <w:noProof/>
            <w:webHidden/>
          </w:rPr>
          <w:fldChar w:fldCharType="separate"/>
        </w:r>
        <w:r w:rsidR="00315D48">
          <w:rPr>
            <w:noProof/>
            <w:webHidden/>
          </w:rPr>
          <w:t>110</w:t>
        </w:r>
        <w:r w:rsidR="00315D48">
          <w:rPr>
            <w:noProof/>
            <w:webHidden/>
          </w:rPr>
          <w:fldChar w:fldCharType="end"/>
        </w:r>
      </w:hyperlink>
    </w:p>
    <w:p w14:paraId="129788E6" w14:textId="2E31353C" w:rsidR="00315D48" w:rsidRDefault="001C7A9B">
      <w:pPr>
        <w:pStyle w:val="TableofFigures"/>
        <w:tabs>
          <w:tab w:val="right" w:leader="dot" w:pos="9854"/>
        </w:tabs>
        <w:rPr>
          <w:rFonts w:eastAsiaTheme="minorEastAsia"/>
          <w:noProof/>
          <w:color w:val="auto"/>
          <w:kern w:val="0"/>
          <w:sz w:val="22"/>
          <w:szCs w:val="22"/>
          <w:lang w:eastAsia="en-AU"/>
        </w:rPr>
      </w:pPr>
      <w:hyperlink w:anchor="_Toc139969209" w:history="1">
        <w:r w:rsidR="00315D48" w:rsidRPr="00D91CA2">
          <w:rPr>
            <w:rStyle w:val="Hyperlink"/>
            <w:noProof/>
          </w:rPr>
          <w:t>Table 51: Benefit-cost ratios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_Toc139969209 \h </w:instrText>
        </w:r>
        <w:r w:rsidR="00315D48">
          <w:rPr>
            <w:noProof/>
            <w:webHidden/>
          </w:rPr>
        </w:r>
        <w:r w:rsidR="00315D48">
          <w:rPr>
            <w:noProof/>
            <w:webHidden/>
          </w:rPr>
          <w:fldChar w:fldCharType="separate"/>
        </w:r>
        <w:r w:rsidR="00315D48">
          <w:rPr>
            <w:noProof/>
            <w:webHidden/>
          </w:rPr>
          <w:t>110</w:t>
        </w:r>
        <w:r w:rsidR="00315D48">
          <w:rPr>
            <w:noProof/>
            <w:webHidden/>
          </w:rPr>
          <w:fldChar w:fldCharType="end"/>
        </w:r>
      </w:hyperlink>
    </w:p>
    <w:p w14:paraId="5A6B962D" w14:textId="6A71DFDF" w:rsidR="00315D48" w:rsidRDefault="001C7A9B">
      <w:pPr>
        <w:pStyle w:val="TableofFigures"/>
        <w:tabs>
          <w:tab w:val="right" w:leader="dot" w:pos="9854"/>
        </w:tabs>
        <w:rPr>
          <w:rFonts w:eastAsiaTheme="minorEastAsia"/>
          <w:noProof/>
          <w:color w:val="auto"/>
          <w:kern w:val="0"/>
          <w:sz w:val="22"/>
          <w:szCs w:val="22"/>
          <w:lang w:eastAsia="en-AU"/>
        </w:rPr>
      </w:pPr>
      <w:hyperlink w:anchor="_Toc139969210" w:history="1">
        <w:r w:rsidR="00315D48" w:rsidRPr="00D91CA2">
          <w:rPr>
            <w:rStyle w:val="Hyperlink"/>
            <w:noProof/>
          </w:rPr>
          <w:t>Table 52: Qualitative benefits for Lifts - Braille and tactile information at lift landings</w:t>
        </w:r>
        <w:r w:rsidR="00315D48">
          <w:rPr>
            <w:noProof/>
            <w:webHidden/>
          </w:rPr>
          <w:tab/>
        </w:r>
        <w:r w:rsidR="00315D48">
          <w:rPr>
            <w:noProof/>
            <w:webHidden/>
          </w:rPr>
          <w:fldChar w:fldCharType="begin"/>
        </w:r>
        <w:r w:rsidR="00315D48">
          <w:rPr>
            <w:noProof/>
            <w:webHidden/>
          </w:rPr>
          <w:instrText xml:space="preserve"> PAGEREF _Toc139969210 \h </w:instrText>
        </w:r>
        <w:r w:rsidR="00315D48">
          <w:rPr>
            <w:noProof/>
            <w:webHidden/>
          </w:rPr>
        </w:r>
        <w:r w:rsidR="00315D48">
          <w:rPr>
            <w:noProof/>
            <w:webHidden/>
          </w:rPr>
          <w:fldChar w:fldCharType="separate"/>
        </w:r>
        <w:r w:rsidR="00315D48">
          <w:rPr>
            <w:noProof/>
            <w:webHidden/>
          </w:rPr>
          <w:t>111</w:t>
        </w:r>
        <w:r w:rsidR="00315D48">
          <w:rPr>
            <w:noProof/>
            <w:webHidden/>
          </w:rPr>
          <w:fldChar w:fldCharType="end"/>
        </w:r>
      </w:hyperlink>
    </w:p>
    <w:p w14:paraId="6C6D2625" w14:textId="46B444B9" w:rsidR="00315D48" w:rsidRDefault="001C7A9B">
      <w:pPr>
        <w:pStyle w:val="TableofFigures"/>
        <w:tabs>
          <w:tab w:val="right" w:leader="dot" w:pos="9854"/>
        </w:tabs>
        <w:rPr>
          <w:rFonts w:eastAsiaTheme="minorEastAsia"/>
          <w:noProof/>
          <w:color w:val="auto"/>
          <w:kern w:val="0"/>
          <w:sz w:val="22"/>
          <w:szCs w:val="22"/>
          <w:lang w:eastAsia="en-AU"/>
        </w:rPr>
      </w:pPr>
      <w:hyperlink w:anchor="_Toc139969211" w:history="1">
        <w:r w:rsidR="00315D48" w:rsidRPr="00D91CA2">
          <w:rPr>
            <w:rStyle w:val="Hyperlink"/>
            <w:noProof/>
          </w:rPr>
          <w:t>Table 53: Reform options for Lifts - Audible wayfinding</w:t>
        </w:r>
        <w:r w:rsidR="00315D48">
          <w:rPr>
            <w:noProof/>
            <w:webHidden/>
          </w:rPr>
          <w:tab/>
        </w:r>
        <w:r w:rsidR="00315D48">
          <w:rPr>
            <w:noProof/>
            <w:webHidden/>
          </w:rPr>
          <w:fldChar w:fldCharType="begin"/>
        </w:r>
        <w:r w:rsidR="00315D48">
          <w:rPr>
            <w:noProof/>
            <w:webHidden/>
          </w:rPr>
          <w:instrText xml:space="preserve"> PAGEREF _Toc139969211 \h </w:instrText>
        </w:r>
        <w:r w:rsidR="00315D48">
          <w:rPr>
            <w:noProof/>
            <w:webHidden/>
          </w:rPr>
        </w:r>
        <w:r w:rsidR="00315D48">
          <w:rPr>
            <w:noProof/>
            <w:webHidden/>
          </w:rPr>
          <w:fldChar w:fldCharType="separate"/>
        </w:r>
        <w:r w:rsidR="00315D48">
          <w:rPr>
            <w:noProof/>
            <w:webHidden/>
          </w:rPr>
          <w:t>114</w:t>
        </w:r>
        <w:r w:rsidR="00315D48">
          <w:rPr>
            <w:noProof/>
            <w:webHidden/>
          </w:rPr>
          <w:fldChar w:fldCharType="end"/>
        </w:r>
      </w:hyperlink>
    </w:p>
    <w:p w14:paraId="325D4590" w14:textId="4986D338" w:rsidR="00315D48" w:rsidRDefault="001C7A9B">
      <w:pPr>
        <w:pStyle w:val="TableofFigures"/>
        <w:tabs>
          <w:tab w:val="right" w:leader="dot" w:pos="9854"/>
        </w:tabs>
        <w:rPr>
          <w:rFonts w:eastAsiaTheme="minorEastAsia"/>
          <w:noProof/>
          <w:color w:val="auto"/>
          <w:kern w:val="0"/>
          <w:sz w:val="22"/>
          <w:szCs w:val="22"/>
          <w:lang w:eastAsia="en-AU"/>
        </w:rPr>
      </w:pPr>
      <w:hyperlink w:anchor="_Toc139969212" w:history="1">
        <w:r w:rsidR="00315D48" w:rsidRPr="00D91CA2">
          <w:rPr>
            <w:rStyle w:val="Hyperlink"/>
            <w:noProof/>
          </w:rPr>
          <w:t>Table 54: Benefit-cost ratios for Lifts - Audible wayfinding</w:t>
        </w:r>
        <w:r w:rsidR="00315D48">
          <w:rPr>
            <w:noProof/>
            <w:webHidden/>
          </w:rPr>
          <w:tab/>
        </w:r>
        <w:r w:rsidR="00315D48">
          <w:rPr>
            <w:noProof/>
            <w:webHidden/>
          </w:rPr>
          <w:fldChar w:fldCharType="begin"/>
        </w:r>
        <w:r w:rsidR="00315D48">
          <w:rPr>
            <w:noProof/>
            <w:webHidden/>
          </w:rPr>
          <w:instrText xml:space="preserve"> PAGEREF _Toc139969212 \h </w:instrText>
        </w:r>
        <w:r w:rsidR="00315D48">
          <w:rPr>
            <w:noProof/>
            <w:webHidden/>
          </w:rPr>
        </w:r>
        <w:r w:rsidR="00315D48">
          <w:rPr>
            <w:noProof/>
            <w:webHidden/>
          </w:rPr>
          <w:fldChar w:fldCharType="separate"/>
        </w:r>
        <w:r w:rsidR="00315D48">
          <w:rPr>
            <w:noProof/>
            <w:webHidden/>
          </w:rPr>
          <w:t>115</w:t>
        </w:r>
        <w:r w:rsidR="00315D48">
          <w:rPr>
            <w:noProof/>
            <w:webHidden/>
          </w:rPr>
          <w:fldChar w:fldCharType="end"/>
        </w:r>
      </w:hyperlink>
    </w:p>
    <w:p w14:paraId="3F428359" w14:textId="5F52064A" w:rsidR="00315D48" w:rsidRDefault="001C7A9B">
      <w:pPr>
        <w:pStyle w:val="TableofFigures"/>
        <w:tabs>
          <w:tab w:val="right" w:leader="dot" w:pos="9854"/>
        </w:tabs>
        <w:rPr>
          <w:rFonts w:eastAsiaTheme="minorEastAsia"/>
          <w:noProof/>
          <w:color w:val="auto"/>
          <w:kern w:val="0"/>
          <w:sz w:val="22"/>
          <w:szCs w:val="22"/>
          <w:lang w:eastAsia="en-AU"/>
        </w:rPr>
      </w:pPr>
      <w:hyperlink w:anchor="_Toc139969213" w:history="1">
        <w:r w:rsidR="00315D48" w:rsidRPr="00D91CA2">
          <w:rPr>
            <w:rStyle w:val="Hyperlink"/>
            <w:noProof/>
          </w:rPr>
          <w:t>Table 55: Qualitative benefits for Lifts - Audible wayfinding</w:t>
        </w:r>
        <w:r w:rsidR="00315D48">
          <w:rPr>
            <w:noProof/>
            <w:webHidden/>
          </w:rPr>
          <w:tab/>
        </w:r>
        <w:r w:rsidR="00315D48">
          <w:rPr>
            <w:noProof/>
            <w:webHidden/>
          </w:rPr>
          <w:fldChar w:fldCharType="begin"/>
        </w:r>
        <w:r w:rsidR="00315D48">
          <w:rPr>
            <w:noProof/>
            <w:webHidden/>
          </w:rPr>
          <w:instrText xml:space="preserve"> PAGEREF _Toc139969213 \h </w:instrText>
        </w:r>
        <w:r w:rsidR="00315D48">
          <w:rPr>
            <w:noProof/>
            <w:webHidden/>
          </w:rPr>
        </w:r>
        <w:r w:rsidR="00315D48">
          <w:rPr>
            <w:noProof/>
            <w:webHidden/>
          </w:rPr>
          <w:fldChar w:fldCharType="separate"/>
        </w:r>
        <w:r w:rsidR="00315D48">
          <w:rPr>
            <w:noProof/>
            <w:webHidden/>
          </w:rPr>
          <w:t>116</w:t>
        </w:r>
        <w:r w:rsidR="00315D48">
          <w:rPr>
            <w:noProof/>
            <w:webHidden/>
          </w:rPr>
          <w:fldChar w:fldCharType="end"/>
        </w:r>
      </w:hyperlink>
    </w:p>
    <w:p w14:paraId="75B5C598" w14:textId="79DA3471" w:rsidR="00315D48" w:rsidRDefault="001C7A9B">
      <w:pPr>
        <w:pStyle w:val="TableofFigures"/>
        <w:tabs>
          <w:tab w:val="right" w:leader="dot" w:pos="9854"/>
        </w:tabs>
        <w:rPr>
          <w:rFonts w:eastAsiaTheme="minorEastAsia"/>
          <w:noProof/>
          <w:color w:val="auto"/>
          <w:kern w:val="0"/>
          <w:sz w:val="22"/>
          <w:szCs w:val="22"/>
          <w:lang w:eastAsia="en-AU"/>
        </w:rPr>
      </w:pPr>
      <w:hyperlink w:anchor="_Toc139969214" w:history="1">
        <w:r w:rsidR="00315D48" w:rsidRPr="00D91CA2">
          <w:rPr>
            <w:rStyle w:val="Hyperlink"/>
            <w:noProof/>
          </w:rPr>
          <w:t>Table 56: Reform options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_Toc139969214 \h </w:instrText>
        </w:r>
        <w:r w:rsidR="00315D48">
          <w:rPr>
            <w:noProof/>
            <w:webHidden/>
          </w:rPr>
        </w:r>
        <w:r w:rsidR="00315D48">
          <w:rPr>
            <w:noProof/>
            <w:webHidden/>
          </w:rPr>
          <w:fldChar w:fldCharType="separate"/>
        </w:r>
        <w:r w:rsidR="00315D48">
          <w:rPr>
            <w:noProof/>
            <w:webHidden/>
          </w:rPr>
          <w:t>119</w:t>
        </w:r>
        <w:r w:rsidR="00315D48">
          <w:rPr>
            <w:noProof/>
            <w:webHidden/>
          </w:rPr>
          <w:fldChar w:fldCharType="end"/>
        </w:r>
      </w:hyperlink>
    </w:p>
    <w:p w14:paraId="596A575F" w14:textId="779AE3F9" w:rsidR="00315D48" w:rsidRDefault="001C7A9B">
      <w:pPr>
        <w:pStyle w:val="TableofFigures"/>
        <w:tabs>
          <w:tab w:val="right" w:leader="dot" w:pos="9854"/>
        </w:tabs>
        <w:rPr>
          <w:rFonts w:eastAsiaTheme="minorEastAsia"/>
          <w:noProof/>
          <w:color w:val="auto"/>
          <w:kern w:val="0"/>
          <w:sz w:val="22"/>
          <w:szCs w:val="22"/>
          <w:lang w:eastAsia="en-AU"/>
        </w:rPr>
      </w:pPr>
      <w:hyperlink w:anchor="_Toc139969215" w:history="1">
        <w:r w:rsidR="00315D48" w:rsidRPr="00D91CA2">
          <w:rPr>
            <w:rStyle w:val="Hyperlink"/>
            <w:noProof/>
          </w:rPr>
          <w:t>Table 57: Benefit-cost ratios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_Toc139969215 \h </w:instrText>
        </w:r>
        <w:r w:rsidR="00315D48">
          <w:rPr>
            <w:noProof/>
            <w:webHidden/>
          </w:rPr>
        </w:r>
        <w:r w:rsidR="00315D48">
          <w:rPr>
            <w:noProof/>
            <w:webHidden/>
          </w:rPr>
          <w:fldChar w:fldCharType="separate"/>
        </w:r>
        <w:r w:rsidR="00315D48">
          <w:rPr>
            <w:noProof/>
            <w:webHidden/>
          </w:rPr>
          <w:t>120</w:t>
        </w:r>
        <w:r w:rsidR="00315D48">
          <w:rPr>
            <w:noProof/>
            <w:webHidden/>
          </w:rPr>
          <w:fldChar w:fldCharType="end"/>
        </w:r>
      </w:hyperlink>
    </w:p>
    <w:p w14:paraId="5FA6BACA" w14:textId="4DB360D1" w:rsidR="00315D48" w:rsidRDefault="001C7A9B">
      <w:pPr>
        <w:pStyle w:val="TableofFigures"/>
        <w:tabs>
          <w:tab w:val="right" w:leader="dot" w:pos="9854"/>
        </w:tabs>
        <w:rPr>
          <w:rFonts w:eastAsiaTheme="minorEastAsia"/>
          <w:noProof/>
          <w:color w:val="auto"/>
          <w:kern w:val="0"/>
          <w:sz w:val="22"/>
          <w:szCs w:val="22"/>
          <w:lang w:eastAsia="en-AU"/>
        </w:rPr>
      </w:pPr>
      <w:hyperlink w:anchor="_Toc139969216" w:history="1">
        <w:r w:rsidR="00315D48" w:rsidRPr="00D91CA2">
          <w:rPr>
            <w:rStyle w:val="Hyperlink"/>
            <w:noProof/>
          </w:rPr>
          <w:t>Table 58: Qualitative benefits for Lifts - Emergency communication systems in lift cars</w:t>
        </w:r>
        <w:r w:rsidR="00315D48">
          <w:rPr>
            <w:noProof/>
            <w:webHidden/>
          </w:rPr>
          <w:tab/>
        </w:r>
        <w:r w:rsidR="00315D48">
          <w:rPr>
            <w:noProof/>
            <w:webHidden/>
          </w:rPr>
          <w:fldChar w:fldCharType="begin"/>
        </w:r>
        <w:r w:rsidR="00315D48">
          <w:rPr>
            <w:noProof/>
            <w:webHidden/>
          </w:rPr>
          <w:instrText xml:space="preserve"> PAGEREF _Toc139969216 \h </w:instrText>
        </w:r>
        <w:r w:rsidR="00315D48">
          <w:rPr>
            <w:noProof/>
            <w:webHidden/>
          </w:rPr>
        </w:r>
        <w:r w:rsidR="00315D48">
          <w:rPr>
            <w:noProof/>
            <w:webHidden/>
          </w:rPr>
          <w:fldChar w:fldCharType="separate"/>
        </w:r>
        <w:r w:rsidR="00315D48">
          <w:rPr>
            <w:noProof/>
            <w:webHidden/>
          </w:rPr>
          <w:t>120</w:t>
        </w:r>
        <w:r w:rsidR="00315D48">
          <w:rPr>
            <w:noProof/>
            <w:webHidden/>
          </w:rPr>
          <w:fldChar w:fldCharType="end"/>
        </w:r>
      </w:hyperlink>
    </w:p>
    <w:p w14:paraId="1A58CB13" w14:textId="60D4D1ED" w:rsidR="00315D48" w:rsidRDefault="001C7A9B">
      <w:pPr>
        <w:pStyle w:val="TableofFigures"/>
        <w:tabs>
          <w:tab w:val="right" w:leader="dot" w:pos="9854"/>
        </w:tabs>
        <w:rPr>
          <w:rFonts w:eastAsiaTheme="minorEastAsia"/>
          <w:noProof/>
          <w:color w:val="auto"/>
          <w:kern w:val="0"/>
          <w:sz w:val="22"/>
          <w:szCs w:val="22"/>
          <w:lang w:eastAsia="en-AU"/>
        </w:rPr>
      </w:pPr>
      <w:hyperlink w:anchor="_Toc139969217" w:history="1">
        <w:r w:rsidR="00315D48" w:rsidRPr="00D91CA2">
          <w:rPr>
            <w:rStyle w:val="Hyperlink"/>
            <w:noProof/>
          </w:rPr>
          <w:t>Table 59: Reform options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_Toc139969217 \h </w:instrText>
        </w:r>
        <w:r w:rsidR="00315D48">
          <w:rPr>
            <w:noProof/>
            <w:webHidden/>
          </w:rPr>
        </w:r>
        <w:r w:rsidR="00315D48">
          <w:rPr>
            <w:noProof/>
            <w:webHidden/>
          </w:rPr>
          <w:fldChar w:fldCharType="separate"/>
        </w:r>
        <w:r w:rsidR="00315D48">
          <w:rPr>
            <w:noProof/>
            <w:webHidden/>
          </w:rPr>
          <w:t>123</w:t>
        </w:r>
        <w:r w:rsidR="00315D48">
          <w:rPr>
            <w:noProof/>
            <w:webHidden/>
          </w:rPr>
          <w:fldChar w:fldCharType="end"/>
        </w:r>
      </w:hyperlink>
    </w:p>
    <w:p w14:paraId="5B735CC3" w14:textId="7EF13E3A" w:rsidR="00315D48" w:rsidRDefault="001C7A9B">
      <w:pPr>
        <w:pStyle w:val="TableofFigures"/>
        <w:tabs>
          <w:tab w:val="right" w:leader="dot" w:pos="9854"/>
        </w:tabs>
        <w:rPr>
          <w:rFonts w:eastAsiaTheme="minorEastAsia"/>
          <w:noProof/>
          <w:color w:val="auto"/>
          <w:kern w:val="0"/>
          <w:sz w:val="22"/>
          <w:szCs w:val="22"/>
          <w:lang w:eastAsia="en-AU"/>
        </w:rPr>
      </w:pPr>
      <w:hyperlink w:anchor="_Toc139969218" w:history="1">
        <w:r w:rsidR="00315D48" w:rsidRPr="00D91CA2">
          <w:rPr>
            <w:rStyle w:val="Hyperlink"/>
            <w:noProof/>
          </w:rPr>
          <w:t>Table 60: Benefit-cost ratios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_Toc139969218 \h </w:instrText>
        </w:r>
        <w:r w:rsidR="00315D48">
          <w:rPr>
            <w:noProof/>
            <w:webHidden/>
          </w:rPr>
        </w:r>
        <w:r w:rsidR="00315D48">
          <w:rPr>
            <w:noProof/>
            <w:webHidden/>
          </w:rPr>
          <w:fldChar w:fldCharType="separate"/>
        </w:r>
        <w:r w:rsidR="00315D48">
          <w:rPr>
            <w:noProof/>
            <w:webHidden/>
          </w:rPr>
          <w:t>124</w:t>
        </w:r>
        <w:r w:rsidR="00315D48">
          <w:rPr>
            <w:noProof/>
            <w:webHidden/>
          </w:rPr>
          <w:fldChar w:fldCharType="end"/>
        </w:r>
      </w:hyperlink>
    </w:p>
    <w:p w14:paraId="73BA7BE7" w14:textId="44ACDD67" w:rsidR="00315D48" w:rsidRDefault="001C7A9B">
      <w:pPr>
        <w:pStyle w:val="TableofFigures"/>
        <w:tabs>
          <w:tab w:val="right" w:leader="dot" w:pos="9854"/>
        </w:tabs>
        <w:rPr>
          <w:rFonts w:eastAsiaTheme="minorEastAsia"/>
          <w:noProof/>
          <w:color w:val="auto"/>
          <w:kern w:val="0"/>
          <w:sz w:val="22"/>
          <w:szCs w:val="22"/>
          <w:lang w:eastAsia="en-AU"/>
        </w:rPr>
      </w:pPr>
      <w:hyperlink w:anchor="_Toc139969219" w:history="1">
        <w:r w:rsidR="00315D48" w:rsidRPr="00D91CA2">
          <w:rPr>
            <w:rStyle w:val="Hyperlink"/>
            <w:noProof/>
          </w:rPr>
          <w:t>Table 61: Qualitative benefits for Lifts - Reference for lift car communication and information systems</w:t>
        </w:r>
        <w:r w:rsidR="00315D48">
          <w:rPr>
            <w:noProof/>
            <w:webHidden/>
          </w:rPr>
          <w:tab/>
        </w:r>
        <w:r w:rsidR="00315D48">
          <w:rPr>
            <w:noProof/>
            <w:webHidden/>
          </w:rPr>
          <w:fldChar w:fldCharType="begin"/>
        </w:r>
        <w:r w:rsidR="00315D48">
          <w:rPr>
            <w:noProof/>
            <w:webHidden/>
          </w:rPr>
          <w:instrText xml:space="preserve"> PAGEREF _Toc139969219 \h </w:instrText>
        </w:r>
        <w:r w:rsidR="00315D48">
          <w:rPr>
            <w:noProof/>
            <w:webHidden/>
          </w:rPr>
        </w:r>
        <w:r w:rsidR="00315D48">
          <w:rPr>
            <w:noProof/>
            <w:webHidden/>
          </w:rPr>
          <w:fldChar w:fldCharType="separate"/>
        </w:r>
        <w:r w:rsidR="00315D48">
          <w:rPr>
            <w:noProof/>
            <w:webHidden/>
          </w:rPr>
          <w:t>125</w:t>
        </w:r>
        <w:r w:rsidR="00315D48">
          <w:rPr>
            <w:noProof/>
            <w:webHidden/>
          </w:rPr>
          <w:fldChar w:fldCharType="end"/>
        </w:r>
      </w:hyperlink>
    </w:p>
    <w:p w14:paraId="54304FAB" w14:textId="0010E39D" w:rsidR="00315D48" w:rsidRDefault="001C7A9B">
      <w:pPr>
        <w:pStyle w:val="TableofFigures"/>
        <w:tabs>
          <w:tab w:val="right" w:leader="dot" w:pos="9854"/>
        </w:tabs>
        <w:rPr>
          <w:rFonts w:eastAsiaTheme="minorEastAsia"/>
          <w:noProof/>
          <w:color w:val="auto"/>
          <w:kern w:val="0"/>
          <w:sz w:val="22"/>
          <w:szCs w:val="22"/>
          <w:lang w:eastAsia="en-AU"/>
        </w:rPr>
      </w:pPr>
      <w:hyperlink w:anchor="_Toc139969220" w:history="1">
        <w:r w:rsidR="00315D48" w:rsidRPr="00D91CA2">
          <w:rPr>
            <w:rStyle w:val="Hyperlink"/>
            <w:rFonts w:ascii="Calibri" w:eastAsia="Calibri" w:hAnsi="Calibri" w:cs="Times New Roman"/>
            <w:b/>
            <w:noProof/>
          </w:rPr>
          <w:t>Table 62: Reform options for ICT procurement</w:t>
        </w:r>
        <w:r w:rsidR="00315D48">
          <w:rPr>
            <w:noProof/>
            <w:webHidden/>
          </w:rPr>
          <w:tab/>
        </w:r>
        <w:r w:rsidR="00315D48">
          <w:rPr>
            <w:noProof/>
            <w:webHidden/>
          </w:rPr>
          <w:fldChar w:fldCharType="begin"/>
        </w:r>
        <w:r w:rsidR="00315D48">
          <w:rPr>
            <w:noProof/>
            <w:webHidden/>
          </w:rPr>
          <w:instrText xml:space="preserve"> PAGEREF _Toc139969220 \h </w:instrText>
        </w:r>
        <w:r w:rsidR="00315D48">
          <w:rPr>
            <w:noProof/>
            <w:webHidden/>
          </w:rPr>
        </w:r>
        <w:r w:rsidR="00315D48">
          <w:rPr>
            <w:noProof/>
            <w:webHidden/>
          </w:rPr>
          <w:fldChar w:fldCharType="separate"/>
        </w:r>
        <w:r w:rsidR="00315D48">
          <w:rPr>
            <w:noProof/>
            <w:webHidden/>
          </w:rPr>
          <w:t>128</w:t>
        </w:r>
        <w:r w:rsidR="00315D48">
          <w:rPr>
            <w:noProof/>
            <w:webHidden/>
          </w:rPr>
          <w:fldChar w:fldCharType="end"/>
        </w:r>
      </w:hyperlink>
    </w:p>
    <w:p w14:paraId="5C6D2B9C" w14:textId="1E8FD60A" w:rsidR="00315D48" w:rsidRDefault="001C7A9B">
      <w:pPr>
        <w:pStyle w:val="TableofFigures"/>
        <w:tabs>
          <w:tab w:val="right" w:leader="dot" w:pos="9854"/>
        </w:tabs>
        <w:rPr>
          <w:rFonts w:eastAsiaTheme="minorEastAsia"/>
          <w:noProof/>
          <w:color w:val="auto"/>
          <w:kern w:val="0"/>
          <w:sz w:val="22"/>
          <w:szCs w:val="22"/>
          <w:lang w:eastAsia="en-AU"/>
        </w:rPr>
      </w:pPr>
      <w:hyperlink w:anchor="_Toc139969221" w:history="1">
        <w:r w:rsidR="00315D48" w:rsidRPr="00D91CA2">
          <w:rPr>
            <w:rStyle w:val="Hyperlink"/>
            <w:rFonts w:ascii="Calibri" w:eastAsia="Calibri" w:hAnsi="Calibri" w:cs="Times New Roman"/>
            <w:b/>
            <w:noProof/>
          </w:rPr>
          <w:t>Table 63: Benefit-cost ratios for ICT procurement</w:t>
        </w:r>
        <w:r w:rsidR="00315D48">
          <w:rPr>
            <w:noProof/>
            <w:webHidden/>
          </w:rPr>
          <w:tab/>
        </w:r>
        <w:r w:rsidR="00315D48">
          <w:rPr>
            <w:noProof/>
            <w:webHidden/>
          </w:rPr>
          <w:fldChar w:fldCharType="begin"/>
        </w:r>
        <w:r w:rsidR="00315D48">
          <w:rPr>
            <w:noProof/>
            <w:webHidden/>
          </w:rPr>
          <w:instrText xml:space="preserve"> PAGEREF _Toc139969221 \h </w:instrText>
        </w:r>
        <w:r w:rsidR="00315D48">
          <w:rPr>
            <w:noProof/>
            <w:webHidden/>
          </w:rPr>
        </w:r>
        <w:r w:rsidR="00315D48">
          <w:rPr>
            <w:noProof/>
            <w:webHidden/>
          </w:rPr>
          <w:fldChar w:fldCharType="separate"/>
        </w:r>
        <w:r w:rsidR="00315D48">
          <w:rPr>
            <w:noProof/>
            <w:webHidden/>
          </w:rPr>
          <w:t>129</w:t>
        </w:r>
        <w:r w:rsidR="00315D48">
          <w:rPr>
            <w:noProof/>
            <w:webHidden/>
          </w:rPr>
          <w:fldChar w:fldCharType="end"/>
        </w:r>
      </w:hyperlink>
    </w:p>
    <w:p w14:paraId="632EED5D" w14:textId="7CC262D3" w:rsidR="00315D48" w:rsidRDefault="001C7A9B">
      <w:pPr>
        <w:pStyle w:val="TableofFigures"/>
        <w:tabs>
          <w:tab w:val="right" w:leader="dot" w:pos="9854"/>
        </w:tabs>
        <w:rPr>
          <w:rFonts w:eastAsiaTheme="minorEastAsia"/>
          <w:noProof/>
          <w:color w:val="auto"/>
          <w:kern w:val="0"/>
          <w:sz w:val="22"/>
          <w:szCs w:val="22"/>
          <w:lang w:eastAsia="en-AU"/>
        </w:rPr>
      </w:pPr>
      <w:hyperlink w:anchor="_Toc139969222" w:history="1">
        <w:r w:rsidR="00315D48" w:rsidRPr="00D91CA2">
          <w:rPr>
            <w:rStyle w:val="Hyperlink"/>
            <w:rFonts w:ascii="Calibri" w:eastAsia="Calibri" w:hAnsi="Calibri" w:cs="Times New Roman"/>
            <w:b/>
            <w:noProof/>
          </w:rPr>
          <w:t>Table 64: Qualitative benefits for ICT procurement</w:t>
        </w:r>
        <w:r w:rsidR="00315D48">
          <w:rPr>
            <w:noProof/>
            <w:webHidden/>
          </w:rPr>
          <w:tab/>
        </w:r>
        <w:r w:rsidR="00315D48">
          <w:rPr>
            <w:noProof/>
            <w:webHidden/>
          </w:rPr>
          <w:fldChar w:fldCharType="begin"/>
        </w:r>
        <w:r w:rsidR="00315D48">
          <w:rPr>
            <w:noProof/>
            <w:webHidden/>
          </w:rPr>
          <w:instrText xml:space="preserve"> PAGEREF _Toc139969222 \h </w:instrText>
        </w:r>
        <w:r w:rsidR="00315D48">
          <w:rPr>
            <w:noProof/>
            <w:webHidden/>
          </w:rPr>
        </w:r>
        <w:r w:rsidR="00315D48">
          <w:rPr>
            <w:noProof/>
            <w:webHidden/>
          </w:rPr>
          <w:fldChar w:fldCharType="separate"/>
        </w:r>
        <w:r w:rsidR="00315D48">
          <w:rPr>
            <w:noProof/>
            <w:webHidden/>
          </w:rPr>
          <w:t>131</w:t>
        </w:r>
        <w:r w:rsidR="00315D48">
          <w:rPr>
            <w:noProof/>
            <w:webHidden/>
          </w:rPr>
          <w:fldChar w:fldCharType="end"/>
        </w:r>
      </w:hyperlink>
    </w:p>
    <w:p w14:paraId="1A5505FE" w14:textId="5FBEAB91" w:rsidR="00315D48" w:rsidRDefault="001C7A9B">
      <w:pPr>
        <w:pStyle w:val="TableofFigures"/>
        <w:tabs>
          <w:tab w:val="right" w:leader="dot" w:pos="9854"/>
        </w:tabs>
        <w:rPr>
          <w:rFonts w:eastAsiaTheme="minorEastAsia"/>
          <w:noProof/>
          <w:color w:val="auto"/>
          <w:kern w:val="0"/>
          <w:sz w:val="22"/>
          <w:szCs w:val="22"/>
          <w:lang w:eastAsia="en-AU"/>
        </w:rPr>
      </w:pPr>
      <w:hyperlink w:anchor="_Toc139969223" w:history="1">
        <w:r w:rsidR="00315D48" w:rsidRPr="00D91CA2">
          <w:rPr>
            <w:rStyle w:val="Hyperlink"/>
            <w:noProof/>
          </w:rPr>
          <w:t>Table 65: Reform options for accessible fare system elements</w:t>
        </w:r>
        <w:r w:rsidR="00315D48">
          <w:rPr>
            <w:noProof/>
            <w:webHidden/>
          </w:rPr>
          <w:tab/>
        </w:r>
        <w:r w:rsidR="00315D48">
          <w:rPr>
            <w:noProof/>
            <w:webHidden/>
          </w:rPr>
          <w:fldChar w:fldCharType="begin"/>
        </w:r>
        <w:r w:rsidR="00315D48">
          <w:rPr>
            <w:noProof/>
            <w:webHidden/>
          </w:rPr>
          <w:instrText xml:space="preserve"> PAGEREF _Toc139969223 \h </w:instrText>
        </w:r>
        <w:r w:rsidR="00315D48">
          <w:rPr>
            <w:noProof/>
            <w:webHidden/>
          </w:rPr>
        </w:r>
        <w:r w:rsidR="00315D48">
          <w:rPr>
            <w:noProof/>
            <w:webHidden/>
          </w:rPr>
          <w:fldChar w:fldCharType="separate"/>
        </w:r>
        <w:r w:rsidR="00315D48">
          <w:rPr>
            <w:noProof/>
            <w:webHidden/>
          </w:rPr>
          <w:t>140</w:t>
        </w:r>
        <w:r w:rsidR="00315D48">
          <w:rPr>
            <w:noProof/>
            <w:webHidden/>
          </w:rPr>
          <w:fldChar w:fldCharType="end"/>
        </w:r>
      </w:hyperlink>
    </w:p>
    <w:p w14:paraId="4AD3A8C1" w14:textId="6F1ED114" w:rsidR="00315D48" w:rsidRDefault="001C7A9B">
      <w:pPr>
        <w:pStyle w:val="TableofFigures"/>
        <w:tabs>
          <w:tab w:val="right" w:leader="dot" w:pos="9854"/>
        </w:tabs>
        <w:rPr>
          <w:rFonts w:eastAsiaTheme="minorEastAsia"/>
          <w:noProof/>
          <w:color w:val="auto"/>
          <w:kern w:val="0"/>
          <w:sz w:val="22"/>
          <w:szCs w:val="22"/>
          <w:lang w:eastAsia="en-AU"/>
        </w:rPr>
      </w:pPr>
      <w:hyperlink w:anchor="_Toc139969224" w:history="1">
        <w:r w:rsidR="00315D48" w:rsidRPr="00D91CA2">
          <w:rPr>
            <w:rStyle w:val="Hyperlink"/>
            <w:noProof/>
          </w:rPr>
          <w:t>Table 66: Benefit-cost ratios for accessible fare system elements</w:t>
        </w:r>
        <w:r w:rsidR="00315D48">
          <w:rPr>
            <w:noProof/>
            <w:webHidden/>
          </w:rPr>
          <w:tab/>
        </w:r>
        <w:r w:rsidR="00315D48">
          <w:rPr>
            <w:noProof/>
            <w:webHidden/>
          </w:rPr>
          <w:fldChar w:fldCharType="begin"/>
        </w:r>
        <w:r w:rsidR="00315D48">
          <w:rPr>
            <w:noProof/>
            <w:webHidden/>
          </w:rPr>
          <w:instrText xml:space="preserve"> PAGEREF _Toc139969224 \h </w:instrText>
        </w:r>
        <w:r w:rsidR="00315D48">
          <w:rPr>
            <w:noProof/>
            <w:webHidden/>
          </w:rPr>
        </w:r>
        <w:r w:rsidR="00315D48">
          <w:rPr>
            <w:noProof/>
            <w:webHidden/>
          </w:rPr>
          <w:fldChar w:fldCharType="separate"/>
        </w:r>
        <w:r w:rsidR="00315D48">
          <w:rPr>
            <w:noProof/>
            <w:webHidden/>
          </w:rPr>
          <w:t>141</w:t>
        </w:r>
        <w:r w:rsidR="00315D48">
          <w:rPr>
            <w:noProof/>
            <w:webHidden/>
          </w:rPr>
          <w:fldChar w:fldCharType="end"/>
        </w:r>
      </w:hyperlink>
    </w:p>
    <w:p w14:paraId="34FDD8E5" w14:textId="65EC1B09" w:rsidR="00315D48" w:rsidRDefault="001C7A9B">
      <w:pPr>
        <w:pStyle w:val="TableofFigures"/>
        <w:tabs>
          <w:tab w:val="right" w:leader="dot" w:pos="9854"/>
        </w:tabs>
        <w:rPr>
          <w:rFonts w:eastAsiaTheme="minorEastAsia"/>
          <w:noProof/>
          <w:color w:val="auto"/>
          <w:kern w:val="0"/>
          <w:sz w:val="22"/>
          <w:szCs w:val="22"/>
          <w:lang w:eastAsia="en-AU"/>
        </w:rPr>
      </w:pPr>
      <w:hyperlink w:anchor="_Toc139969225" w:history="1">
        <w:r w:rsidR="00315D48" w:rsidRPr="00D91CA2">
          <w:rPr>
            <w:rStyle w:val="Hyperlink"/>
            <w:noProof/>
          </w:rPr>
          <w:t>Table 67: Qualitative benefits for accessible fare system elements</w:t>
        </w:r>
        <w:r w:rsidR="00315D48">
          <w:rPr>
            <w:noProof/>
            <w:webHidden/>
          </w:rPr>
          <w:tab/>
        </w:r>
        <w:r w:rsidR="00315D48">
          <w:rPr>
            <w:noProof/>
            <w:webHidden/>
          </w:rPr>
          <w:fldChar w:fldCharType="begin"/>
        </w:r>
        <w:r w:rsidR="00315D48">
          <w:rPr>
            <w:noProof/>
            <w:webHidden/>
          </w:rPr>
          <w:instrText xml:space="preserve"> PAGEREF _Toc139969225 \h </w:instrText>
        </w:r>
        <w:r w:rsidR="00315D48">
          <w:rPr>
            <w:noProof/>
            <w:webHidden/>
          </w:rPr>
        </w:r>
        <w:r w:rsidR="00315D48">
          <w:rPr>
            <w:noProof/>
            <w:webHidden/>
          </w:rPr>
          <w:fldChar w:fldCharType="separate"/>
        </w:r>
        <w:r w:rsidR="00315D48">
          <w:rPr>
            <w:noProof/>
            <w:webHidden/>
          </w:rPr>
          <w:t>142</w:t>
        </w:r>
        <w:r w:rsidR="00315D48">
          <w:rPr>
            <w:noProof/>
            <w:webHidden/>
          </w:rPr>
          <w:fldChar w:fldCharType="end"/>
        </w:r>
      </w:hyperlink>
    </w:p>
    <w:p w14:paraId="0976886F" w14:textId="473BFA9E" w:rsidR="00315D48" w:rsidRDefault="001C7A9B">
      <w:pPr>
        <w:pStyle w:val="TableofFigures"/>
        <w:tabs>
          <w:tab w:val="right" w:leader="dot" w:pos="9854"/>
        </w:tabs>
        <w:rPr>
          <w:rFonts w:eastAsiaTheme="minorEastAsia"/>
          <w:noProof/>
          <w:color w:val="auto"/>
          <w:kern w:val="0"/>
          <w:sz w:val="22"/>
          <w:szCs w:val="22"/>
          <w:lang w:eastAsia="en-AU"/>
        </w:rPr>
      </w:pPr>
      <w:hyperlink w:anchor="_Toc139969226" w:history="1">
        <w:r w:rsidR="00315D48" w:rsidRPr="00D91CA2">
          <w:rPr>
            <w:rStyle w:val="Hyperlink"/>
            <w:noProof/>
          </w:rPr>
          <w:t>Table 68: Reform options for Doors on access paths</w:t>
        </w:r>
        <w:r w:rsidR="00315D48">
          <w:rPr>
            <w:noProof/>
            <w:webHidden/>
          </w:rPr>
          <w:tab/>
        </w:r>
        <w:r w:rsidR="00315D48">
          <w:rPr>
            <w:noProof/>
            <w:webHidden/>
          </w:rPr>
          <w:fldChar w:fldCharType="begin"/>
        </w:r>
        <w:r w:rsidR="00315D48">
          <w:rPr>
            <w:noProof/>
            <w:webHidden/>
          </w:rPr>
          <w:instrText xml:space="preserve"> PAGEREF _Toc139969226 \h </w:instrText>
        </w:r>
        <w:r w:rsidR="00315D48">
          <w:rPr>
            <w:noProof/>
            <w:webHidden/>
          </w:rPr>
        </w:r>
        <w:r w:rsidR="00315D48">
          <w:rPr>
            <w:noProof/>
            <w:webHidden/>
          </w:rPr>
          <w:fldChar w:fldCharType="separate"/>
        </w:r>
        <w:r w:rsidR="00315D48">
          <w:rPr>
            <w:noProof/>
            <w:webHidden/>
          </w:rPr>
          <w:t>147</w:t>
        </w:r>
        <w:r w:rsidR="00315D48">
          <w:rPr>
            <w:noProof/>
            <w:webHidden/>
          </w:rPr>
          <w:fldChar w:fldCharType="end"/>
        </w:r>
      </w:hyperlink>
    </w:p>
    <w:p w14:paraId="235CC97E" w14:textId="6C472A27" w:rsidR="00315D48" w:rsidRDefault="001C7A9B">
      <w:pPr>
        <w:pStyle w:val="TableofFigures"/>
        <w:tabs>
          <w:tab w:val="right" w:leader="dot" w:pos="9854"/>
        </w:tabs>
        <w:rPr>
          <w:rFonts w:eastAsiaTheme="minorEastAsia"/>
          <w:noProof/>
          <w:color w:val="auto"/>
          <w:kern w:val="0"/>
          <w:sz w:val="22"/>
          <w:szCs w:val="22"/>
          <w:lang w:eastAsia="en-AU"/>
        </w:rPr>
      </w:pPr>
      <w:hyperlink w:anchor="_Toc139969227" w:history="1">
        <w:r w:rsidR="00315D48" w:rsidRPr="00D91CA2">
          <w:rPr>
            <w:rStyle w:val="Hyperlink"/>
            <w:noProof/>
          </w:rPr>
          <w:t>Table 69: Benefit-cost ratios for Doors on access paths</w:t>
        </w:r>
        <w:r w:rsidR="00315D48">
          <w:rPr>
            <w:noProof/>
            <w:webHidden/>
          </w:rPr>
          <w:tab/>
        </w:r>
        <w:r w:rsidR="00315D48">
          <w:rPr>
            <w:noProof/>
            <w:webHidden/>
          </w:rPr>
          <w:fldChar w:fldCharType="begin"/>
        </w:r>
        <w:r w:rsidR="00315D48">
          <w:rPr>
            <w:noProof/>
            <w:webHidden/>
          </w:rPr>
          <w:instrText xml:space="preserve"> PAGEREF _Toc139969227 \h </w:instrText>
        </w:r>
        <w:r w:rsidR="00315D48">
          <w:rPr>
            <w:noProof/>
            <w:webHidden/>
          </w:rPr>
        </w:r>
        <w:r w:rsidR="00315D48">
          <w:rPr>
            <w:noProof/>
            <w:webHidden/>
          </w:rPr>
          <w:fldChar w:fldCharType="separate"/>
        </w:r>
        <w:r w:rsidR="00315D48">
          <w:rPr>
            <w:noProof/>
            <w:webHidden/>
          </w:rPr>
          <w:t>148</w:t>
        </w:r>
        <w:r w:rsidR="00315D48">
          <w:rPr>
            <w:noProof/>
            <w:webHidden/>
          </w:rPr>
          <w:fldChar w:fldCharType="end"/>
        </w:r>
      </w:hyperlink>
    </w:p>
    <w:p w14:paraId="39AA9EF8" w14:textId="77322181" w:rsidR="00315D48" w:rsidRDefault="001C7A9B">
      <w:pPr>
        <w:pStyle w:val="TableofFigures"/>
        <w:tabs>
          <w:tab w:val="right" w:leader="dot" w:pos="9854"/>
        </w:tabs>
        <w:rPr>
          <w:rFonts w:eastAsiaTheme="minorEastAsia"/>
          <w:noProof/>
          <w:color w:val="auto"/>
          <w:kern w:val="0"/>
          <w:sz w:val="22"/>
          <w:szCs w:val="22"/>
          <w:lang w:eastAsia="en-AU"/>
        </w:rPr>
      </w:pPr>
      <w:hyperlink w:anchor="_Toc139969228" w:history="1">
        <w:r w:rsidR="00315D48" w:rsidRPr="00D91CA2">
          <w:rPr>
            <w:rStyle w:val="Hyperlink"/>
            <w:noProof/>
          </w:rPr>
          <w:t>Table 70: Qualitative benefits for Doors on access paths</w:t>
        </w:r>
        <w:r w:rsidR="00315D48">
          <w:rPr>
            <w:noProof/>
            <w:webHidden/>
          </w:rPr>
          <w:tab/>
        </w:r>
        <w:r w:rsidR="00315D48">
          <w:rPr>
            <w:noProof/>
            <w:webHidden/>
          </w:rPr>
          <w:fldChar w:fldCharType="begin"/>
        </w:r>
        <w:r w:rsidR="00315D48">
          <w:rPr>
            <w:noProof/>
            <w:webHidden/>
          </w:rPr>
          <w:instrText xml:space="preserve"> PAGEREF _Toc139969228 \h </w:instrText>
        </w:r>
        <w:r w:rsidR="00315D48">
          <w:rPr>
            <w:noProof/>
            <w:webHidden/>
          </w:rPr>
        </w:r>
        <w:r w:rsidR="00315D48">
          <w:rPr>
            <w:noProof/>
            <w:webHidden/>
          </w:rPr>
          <w:fldChar w:fldCharType="separate"/>
        </w:r>
        <w:r w:rsidR="00315D48">
          <w:rPr>
            <w:noProof/>
            <w:webHidden/>
          </w:rPr>
          <w:t>149</w:t>
        </w:r>
        <w:r w:rsidR="00315D48">
          <w:rPr>
            <w:noProof/>
            <w:webHidden/>
          </w:rPr>
          <w:fldChar w:fldCharType="end"/>
        </w:r>
      </w:hyperlink>
    </w:p>
    <w:p w14:paraId="61A172C6" w14:textId="5C7CFF71" w:rsidR="00315D48" w:rsidRDefault="001C7A9B">
      <w:pPr>
        <w:pStyle w:val="TableofFigures"/>
        <w:tabs>
          <w:tab w:val="right" w:leader="dot" w:pos="9854"/>
        </w:tabs>
        <w:rPr>
          <w:rFonts w:eastAsiaTheme="minorEastAsia"/>
          <w:noProof/>
          <w:color w:val="auto"/>
          <w:kern w:val="0"/>
          <w:sz w:val="22"/>
          <w:szCs w:val="22"/>
          <w:lang w:eastAsia="en-AU"/>
        </w:rPr>
      </w:pPr>
      <w:hyperlink w:anchor="_Toc139969229" w:history="1">
        <w:r w:rsidR="00315D48" w:rsidRPr="00D91CA2">
          <w:rPr>
            <w:rStyle w:val="Hyperlink"/>
            <w:noProof/>
          </w:rPr>
          <w:t>Table 71: Reform options for continuous accessibility on access paths</w:t>
        </w:r>
        <w:r w:rsidR="00315D48">
          <w:rPr>
            <w:noProof/>
            <w:webHidden/>
          </w:rPr>
          <w:tab/>
        </w:r>
        <w:r w:rsidR="00315D48">
          <w:rPr>
            <w:noProof/>
            <w:webHidden/>
          </w:rPr>
          <w:fldChar w:fldCharType="begin"/>
        </w:r>
        <w:r w:rsidR="00315D48">
          <w:rPr>
            <w:noProof/>
            <w:webHidden/>
          </w:rPr>
          <w:instrText xml:space="preserve"> PAGEREF _Toc139969229 \h </w:instrText>
        </w:r>
        <w:r w:rsidR="00315D48">
          <w:rPr>
            <w:noProof/>
            <w:webHidden/>
          </w:rPr>
        </w:r>
        <w:r w:rsidR="00315D48">
          <w:rPr>
            <w:noProof/>
            <w:webHidden/>
          </w:rPr>
          <w:fldChar w:fldCharType="separate"/>
        </w:r>
        <w:r w:rsidR="00315D48">
          <w:rPr>
            <w:noProof/>
            <w:webHidden/>
          </w:rPr>
          <w:t>153</w:t>
        </w:r>
        <w:r w:rsidR="00315D48">
          <w:rPr>
            <w:noProof/>
            <w:webHidden/>
          </w:rPr>
          <w:fldChar w:fldCharType="end"/>
        </w:r>
      </w:hyperlink>
    </w:p>
    <w:p w14:paraId="09BCF83D" w14:textId="36CFFBB1" w:rsidR="00315D48" w:rsidRDefault="001C7A9B">
      <w:pPr>
        <w:pStyle w:val="TableofFigures"/>
        <w:tabs>
          <w:tab w:val="right" w:leader="dot" w:pos="9854"/>
        </w:tabs>
        <w:rPr>
          <w:rFonts w:eastAsiaTheme="minorEastAsia"/>
          <w:noProof/>
          <w:color w:val="auto"/>
          <w:kern w:val="0"/>
          <w:sz w:val="22"/>
          <w:szCs w:val="22"/>
          <w:lang w:eastAsia="en-AU"/>
        </w:rPr>
      </w:pPr>
      <w:hyperlink w:anchor="_Toc139969230" w:history="1">
        <w:r w:rsidR="00315D48" w:rsidRPr="00D91CA2">
          <w:rPr>
            <w:rStyle w:val="Hyperlink"/>
            <w:noProof/>
          </w:rPr>
          <w:t>Table 72: Reform options for flange gaps within access paths</w:t>
        </w:r>
        <w:r w:rsidR="00315D48">
          <w:rPr>
            <w:noProof/>
            <w:webHidden/>
          </w:rPr>
          <w:tab/>
        </w:r>
        <w:r w:rsidR="00315D48">
          <w:rPr>
            <w:noProof/>
            <w:webHidden/>
          </w:rPr>
          <w:fldChar w:fldCharType="begin"/>
        </w:r>
        <w:r w:rsidR="00315D48">
          <w:rPr>
            <w:noProof/>
            <w:webHidden/>
          </w:rPr>
          <w:instrText xml:space="preserve"> PAGEREF _Toc139969230 \h </w:instrText>
        </w:r>
        <w:r w:rsidR="00315D48">
          <w:rPr>
            <w:noProof/>
            <w:webHidden/>
          </w:rPr>
        </w:r>
        <w:r w:rsidR="00315D48">
          <w:rPr>
            <w:noProof/>
            <w:webHidden/>
          </w:rPr>
          <w:fldChar w:fldCharType="separate"/>
        </w:r>
        <w:r w:rsidR="00315D48">
          <w:rPr>
            <w:noProof/>
            <w:webHidden/>
          </w:rPr>
          <w:t>157</w:t>
        </w:r>
        <w:r w:rsidR="00315D48">
          <w:rPr>
            <w:noProof/>
            <w:webHidden/>
          </w:rPr>
          <w:fldChar w:fldCharType="end"/>
        </w:r>
      </w:hyperlink>
    </w:p>
    <w:p w14:paraId="318BFBA0" w14:textId="50697DB7" w:rsidR="00315D48" w:rsidRDefault="001C7A9B">
      <w:pPr>
        <w:pStyle w:val="TableofFigures"/>
        <w:tabs>
          <w:tab w:val="right" w:leader="dot" w:pos="9854"/>
        </w:tabs>
        <w:rPr>
          <w:rFonts w:eastAsiaTheme="minorEastAsia"/>
          <w:noProof/>
          <w:color w:val="auto"/>
          <w:kern w:val="0"/>
          <w:sz w:val="22"/>
          <w:szCs w:val="22"/>
          <w:lang w:eastAsia="en-AU"/>
        </w:rPr>
      </w:pPr>
      <w:hyperlink w:anchor="_Toc139969231" w:history="1">
        <w:r w:rsidR="00315D48" w:rsidRPr="00D91CA2">
          <w:rPr>
            <w:rStyle w:val="Hyperlink"/>
            <w:noProof/>
          </w:rPr>
          <w:t>Table 73: Benefit-cost ratios for flange gaps within access paths</w:t>
        </w:r>
        <w:r w:rsidR="00315D48">
          <w:rPr>
            <w:noProof/>
            <w:webHidden/>
          </w:rPr>
          <w:tab/>
        </w:r>
        <w:r w:rsidR="00315D48">
          <w:rPr>
            <w:noProof/>
            <w:webHidden/>
          </w:rPr>
          <w:fldChar w:fldCharType="begin"/>
        </w:r>
        <w:r w:rsidR="00315D48">
          <w:rPr>
            <w:noProof/>
            <w:webHidden/>
          </w:rPr>
          <w:instrText xml:space="preserve"> PAGEREF _Toc139969231 \h </w:instrText>
        </w:r>
        <w:r w:rsidR="00315D48">
          <w:rPr>
            <w:noProof/>
            <w:webHidden/>
          </w:rPr>
        </w:r>
        <w:r w:rsidR="00315D48">
          <w:rPr>
            <w:noProof/>
            <w:webHidden/>
          </w:rPr>
          <w:fldChar w:fldCharType="separate"/>
        </w:r>
        <w:r w:rsidR="00315D48">
          <w:rPr>
            <w:noProof/>
            <w:webHidden/>
          </w:rPr>
          <w:t>158</w:t>
        </w:r>
        <w:r w:rsidR="00315D48">
          <w:rPr>
            <w:noProof/>
            <w:webHidden/>
          </w:rPr>
          <w:fldChar w:fldCharType="end"/>
        </w:r>
      </w:hyperlink>
    </w:p>
    <w:p w14:paraId="6240FD31" w14:textId="0E4C1B08" w:rsidR="00315D48" w:rsidRDefault="001C7A9B">
      <w:pPr>
        <w:pStyle w:val="TableofFigures"/>
        <w:tabs>
          <w:tab w:val="right" w:leader="dot" w:pos="9854"/>
        </w:tabs>
        <w:rPr>
          <w:rFonts w:eastAsiaTheme="minorEastAsia"/>
          <w:noProof/>
          <w:color w:val="auto"/>
          <w:kern w:val="0"/>
          <w:sz w:val="22"/>
          <w:szCs w:val="22"/>
          <w:lang w:eastAsia="en-AU"/>
        </w:rPr>
      </w:pPr>
      <w:hyperlink w:anchor="_Toc139969232" w:history="1">
        <w:r w:rsidR="00315D48" w:rsidRPr="00D91CA2">
          <w:rPr>
            <w:rStyle w:val="Hyperlink"/>
            <w:noProof/>
          </w:rPr>
          <w:t>Table 74: Qualitative benefits for flange gaps within access paths</w:t>
        </w:r>
        <w:r w:rsidR="00315D48">
          <w:rPr>
            <w:noProof/>
            <w:webHidden/>
          </w:rPr>
          <w:tab/>
        </w:r>
        <w:r w:rsidR="00315D48">
          <w:rPr>
            <w:noProof/>
            <w:webHidden/>
          </w:rPr>
          <w:fldChar w:fldCharType="begin"/>
        </w:r>
        <w:r w:rsidR="00315D48">
          <w:rPr>
            <w:noProof/>
            <w:webHidden/>
          </w:rPr>
          <w:instrText xml:space="preserve"> PAGEREF _Toc139969232 \h </w:instrText>
        </w:r>
        <w:r w:rsidR="00315D48">
          <w:rPr>
            <w:noProof/>
            <w:webHidden/>
          </w:rPr>
        </w:r>
        <w:r w:rsidR="00315D48">
          <w:rPr>
            <w:noProof/>
            <w:webHidden/>
          </w:rPr>
          <w:fldChar w:fldCharType="separate"/>
        </w:r>
        <w:r w:rsidR="00315D48">
          <w:rPr>
            <w:noProof/>
            <w:webHidden/>
          </w:rPr>
          <w:t>158</w:t>
        </w:r>
        <w:r w:rsidR="00315D48">
          <w:rPr>
            <w:noProof/>
            <w:webHidden/>
          </w:rPr>
          <w:fldChar w:fldCharType="end"/>
        </w:r>
      </w:hyperlink>
    </w:p>
    <w:p w14:paraId="723E395C" w14:textId="148B3750" w:rsidR="00315D48" w:rsidRDefault="001C7A9B">
      <w:pPr>
        <w:pStyle w:val="TableofFigures"/>
        <w:tabs>
          <w:tab w:val="right" w:leader="dot" w:pos="9854"/>
        </w:tabs>
        <w:rPr>
          <w:rFonts w:eastAsiaTheme="minorEastAsia"/>
          <w:noProof/>
          <w:color w:val="auto"/>
          <w:kern w:val="0"/>
          <w:sz w:val="22"/>
          <w:szCs w:val="22"/>
          <w:lang w:eastAsia="en-AU"/>
        </w:rPr>
      </w:pPr>
      <w:hyperlink w:anchor="_Toc139969233" w:history="1">
        <w:r w:rsidR="00315D48" w:rsidRPr="00D91CA2">
          <w:rPr>
            <w:rStyle w:val="Hyperlink"/>
            <w:noProof/>
          </w:rPr>
          <w:t>Table 75: Reform options for Resting points</w:t>
        </w:r>
        <w:r w:rsidR="00315D48">
          <w:rPr>
            <w:noProof/>
            <w:webHidden/>
          </w:rPr>
          <w:tab/>
        </w:r>
        <w:r w:rsidR="00315D48">
          <w:rPr>
            <w:noProof/>
            <w:webHidden/>
          </w:rPr>
          <w:fldChar w:fldCharType="begin"/>
        </w:r>
        <w:r w:rsidR="00315D48">
          <w:rPr>
            <w:noProof/>
            <w:webHidden/>
          </w:rPr>
          <w:instrText xml:space="preserve"> PAGEREF _Toc139969233 \h </w:instrText>
        </w:r>
        <w:r w:rsidR="00315D48">
          <w:rPr>
            <w:noProof/>
            <w:webHidden/>
          </w:rPr>
        </w:r>
        <w:r w:rsidR="00315D48">
          <w:rPr>
            <w:noProof/>
            <w:webHidden/>
          </w:rPr>
          <w:fldChar w:fldCharType="separate"/>
        </w:r>
        <w:r w:rsidR="00315D48">
          <w:rPr>
            <w:noProof/>
            <w:webHidden/>
          </w:rPr>
          <w:t>163</w:t>
        </w:r>
        <w:r w:rsidR="00315D48">
          <w:rPr>
            <w:noProof/>
            <w:webHidden/>
          </w:rPr>
          <w:fldChar w:fldCharType="end"/>
        </w:r>
      </w:hyperlink>
    </w:p>
    <w:p w14:paraId="582B623A" w14:textId="1D7C4A8C" w:rsidR="00315D48" w:rsidRDefault="001C7A9B">
      <w:pPr>
        <w:pStyle w:val="TableofFigures"/>
        <w:tabs>
          <w:tab w:val="right" w:leader="dot" w:pos="9854"/>
        </w:tabs>
        <w:rPr>
          <w:rFonts w:eastAsiaTheme="minorEastAsia"/>
          <w:noProof/>
          <w:color w:val="auto"/>
          <w:kern w:val="0"/>
          <w:sz w:val="22"/>
          <w:szCs w:val="22"/>
          <w:lang w:eastAsia="en-AU"/>
        </w:rPr>
      </w:pPr>
      <w:hyperlink w:anchor="_Toc139969234" w:history="1">
        <w:r w:rsidR="00315D48" w:rsidRPr="00D91CA2">
          <w:rPr>
            <w:rStyle w:val="Hyperlink"/>
            <w:noProof/>
          </w:rPr>
          <w:t>Table 76: Benefit-cost ratios for Resting points</w:t>
        </w:r>
        <w:r w:rsidR="00315D48">
          <w:rPr>
            <w:noProof/>
            <w:webHidden/>
          </w:rPr>
          <w:tab/>
        </w:r>
        <w:r w:rsidR="00315D48">
          <w:rPr>
            <w:noProof/>
            <w:webHidden/>
          </w:rPr>
          <w:fldChar w:fldCharType="begin"/>
        </w:r>
        <w:r w:rsidR="00315D48">
          <w:rPr>
            <w:noProof/>
            <w:webHidden/>
          </w:rPr>
          <w:instrText xml:space="preserve"> PAGEREF _Toc139969234 \h </w:instrText>
        </w:r>
        <w:r w:rsidR="00315D48">
          <w:rPr>
            <w:noProof/>
            <w:webHidden/>
          </w:rPr>
        </w:r>
        <w:r w:rsidR="00315D48">
          <w:rPr>
            <w:noProof/>
            <w:webHidden/>
          </w:rPr>
          <w:fldChar w:fldCharType="separate"/>
        </w:r>
        <w:r w:rsidR="00315D48">
          <w:rPr>
            <w:noProof/>
            <w:webHidden/>
          </w:rPr>
          <w:t>164</w:t>
        </w:r>
        <w:r w:rsidR="00315D48">
          <w:rPr>
            <w:noProof/>
            <w:webHidden/>
          </w:rPr>
          <w:fldChar w:fldCharType="end"/>
        </w:r>
      </w:hyperlink>
    </w:p>
    <w:p w14:paraId="136422D0" w14:textId="107FA7CB" w:rsidR="00315D48" w:rsidRDefault="001C7A9B">
      <w:pPr>
        <w:pStyle w:val="TableofFigures"/>
        <w:tabs>
          <w:tab w:val="right" w:leader="dot" w:pos="9854"/>
        </w:tabs>
        <w:rPr>
          <w:rFonts w:eastAsiaTheme="minorEastAsia"/>
          <w:noProof/>
          <w:color w:val="auto"/>
          <w:kern w:val="0"/>
          <w:sz w:val="22"/>
          <w:szCs w:val="22"/>
          <w:lang w:eastAsia="en-AU"/>
        </w:rPr>
      </w:pPr>
      <w:hyperlink w:anchor="_Toc139969235" w:history="1">
        <w:r w:rsidR="00315D48" w:rsidRPr="00D91CA2">
          <w:rPr>
            <w:rStyle w:val="Hyperlink"/>
            <w:noProof/>
          </w:rPr>
          <w:t>Table 77: Qualitative benefits for resting points</w:t>
        </w:r>
        <w:r w:rsidR="00315D48">
          <w:rPr>
            <w:noProof/>
            <w:webHidden/>
          </w:rPr>
          <w:tab/>
        </w:r>
        <w:r w:rsidR="00315D48">
          <w:rPr>
            <w:noProof/>
            <w:webHidden/>
          </w:rPr>
          <w:fldChar w:fldCharType="begin"/>
        </w:r>
        <w:r w:rsidR="00315D48">
          <w:rPr>
            <w:noProof/>
            <w:webHidden/>
          </w:rPr>
          <w:instrText xml:space="preserve"> PAGEREF _Toc139969235 \h </w:instrText>
        </w:r>
        <w:r w:rsidR="00315D48">
          <w:rPr>
            <w:noProof/>
            <w:webHidden/>
          </w:rPr>
        </w:r>
        <w:r w:rsidR="00315D48">
          <w:rPr>
            <w:noProof/>
            <w:webHidden/>
          </w:rPr>
          <w:fldChar w:fldCharType="separate"/>
        </w:r>
        <w:r w:rsidR="00315D48">
          <w:rPr>
            <w:noProof/>
            <w:webHidden/>
          </w:rPr>
          <w:t>164</w:t>
        </w:r>
        <w:r w:rsidR="00315D48">
          <w:rPr>
            <w:noProof/>
            <w:webHidden/>
          </w:rPr>
          <w:fldChar w:fldCharType="end"/>
        </w:r>
      </w:hyperlink>
    </w:p>
    <w:p w14:paraId="039853F1" w14:textId="0D0B25A1" w:rsidR="00315D48" w:rsidRDefault="001C7A9B">
      <w:pPr>
        <w:pStyle w:val="TableofFigures"/>
        <w:tabs>
          <w:tab w:val="right" w:leader="dot" w:pos="9854"/>
        </w:tabs>
        <w:rPr>
          <w:rFonts w:eastAsiaTheme="minorEastAsia"/>
          <w:noProof/>
          <w:color w:val="auto"/>
          <w:kern w:val="0"/>
          <w:sz w:val="22"/>
          <w:szCs w:val="22"/>
          <w:lang w:eastAsia="en-AU"/>
        </w:rPr>
      </w:pPr>
      <w:hyperlink w:anchor="_Toc139969236" w:history="1">
        <w:r w:rsidR="00315D48" w:rsidRPr="00D91CA2">
          <w:rPr>
            <w:rStyle w:val="Hyperlink"/>
            <w:noProof/>
          </w:rPr>
          <w:t>Table 78: Reform options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_Toc139969236 \h </w:instrText>
        </w:r>
        <w:r w:rsidR="00315D48">
          <w:rPr>
            <w:noProof/>
            <w:webHidden/>
          </w:rPr>
        </w:r>
        <w:r w:rsidR="00315D48">
          <w:rPr>
            <w:noProof/>
            <w:webHidden/>
          </w:rPr>
          <w:fldChar w:fldCharType="separate"/>
        </w:r>
        <w:r w:rsidR="00315D48">
          <w:rPr>
            <w:noProof/>
            <w:webHidden/>
          </w:rPr>
          <w:t>168</w:t>
        </w:r>
        <w:r w:rsidR="00315D48">
          <w:rPr>
            <w:noProof/>
            <w:webHidden/>
          </w:rPr>
          <w:fldChar w:fldCharType="end"/>
        </w:r>
      </w:hyperlink>
    </w:p>
    <w:p w14:paraId="05D8F7E1" w14:textId="0E461F70" w:rsidR="00315D48" w:rsidRDefault="001C7A9B">
      <w:pPr>
        <w:pStyle w:val="TableofFigures"/>
        <w:tabs>
          <w:tab w:val="right" w:leader="dot" w:pos="9854"/>
        </w:tabs>
        <w:rPr>
          <w:rFonts w:eastAsiaTheme="minorEastAsia"/>
          <w:noProof/>
          <w:color w:val="auto"/>
          <w:kern w:val="0"/>
          <w:sz w:val="22"/>
          <w:szCs w:val="22"/>
          <w:lang w:eastAsia="en-AU"/>
        </w:rPr>
      </w:pPr>
      <w:hyperlink w:anchor="_Toc139969237" w:history="1">
        <w:r w:rsidR="00315D48" w:rsidRPr="00D91CA2">
          <w:rPr>
            <w:rStyle w:val="Hyperlink"/>
            <w:noProof/>
          </w:rPr>
          <w:t>Table 79: Benefit-cost ratios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_Toc139969237 \h </w:instrText>
        </w:r>
        <w:r w:rsidR="00315D48">
          <w:rPr>
            <w:noProof/>
            <w:webHidden/>
          </w:rPr>
        </w:r>
        <w:r w:rsidR="00315D48">
          <w:rPr>
            <w:noProof/>
            <w:webHidden/>
          </w:rPr>
          <w:fldChar w:fldCharType="separate"/>
        </w:r>
        <w:r w:rsidR="00315D48">
          <w:rPr>
            <w:noProof/>
            <w:webHidden/>
          </w:rPr>
          <w:t>169</w:t>
        </w:r>
        <w:r w:rsidR="00315D48">
          <w:rPr>
            <w:noProof/>
            <w:webHidden/>
          </w:rPr>
          <w:fldChar w:fldCharType="end"/>
        </w:r>
      </w:hyperlink>
    </w:p>
    <w:p w14:paraId="6FAA3679" w14:textId="719263F1" w:rsidR="00315D48" w:rsidRDefault="001C7A9B">
      <w:pPr>
        <w:pStyle w:val="TableofFigures"/>
        <w:tabs>
          <w:tab w:val="right" w:leader="dot" w:pos="9854"/>
        </w:tabs>
        <w:rPr>
          <w:rFonts w:eastAsiaTheme="minorEastAsia"/>
          <w:noProof/>
          <w:color w:val="auto"/>
          <w:kern w:val="0"/>
          <w:sz w:val="22"/>
          <w:szCs w:val="22"/>
          <w:lang w:eastAsia="en-AU"/>
        </w:rPr>
      </w:pPr>
      <w:hyperlink w:anchor="_Toc139969238" w:history="1">
        <w:r w:rsidR="00315D48" w:rsidRPr="00D91CA2">
          <w:rPr>
            <w:rStyle w:val="Hyperlink"/>
            <w:noProof/>
          </w:rPr>
          <w:t>Table 80: Qualitative benefits for requirements for handrails in overbridges and subways</w:t>
        </w:r>
        <w:r w:rsidR="00315D48">
          <w:rPr>
            <w:noProof/>
            <w:webHidden/>
          </w:rPr>
          <w:tab/>
        </w:r>
        <w:r w:rsidR="00315D48">
          <w:rPr>
            <w:noProof/>
            <w:webHidden/>
          </w:rPr>
          <w:fldChar w:fldCharType="begin"/>
        </w:r>
        <w:r w:rsidR="00315D48">
          <w:rPr>
            <w:noProof/>
            <w:webHidden/>
          </w:rPr>
          <w:instrText xml:space="preserve"> PAGEREF _Toc139969238 \h </w:instrText>
        </w:r>
        <w:r w:rsidR="00315D48">
          <w:rPr>
            <w:noProof/>
            <w:webHidden/>
          </w:rPr>
        </w:r>
        <w:r w:rsidR="00315D48">
          <w:rPr>
            <w:noProof/>
            <w:webHidden/>
          </w:rPr>
          <w:fldChar w:fldCharType="separate"/>
        </w:r>
        <w:r w:rsidR="00315D48">
          <w:rPr>
            <w:noProof/>
            <w:webHidden/>
          </w:rPr>
          <w:t>169</w:t>
        </w:r>
        <w:r w:rsidR="00315D48">
          <w:rPr>
            <w:noProof/>
            <w:webHidden/>
          </w:rPr>
          <w:fldChar w:fldCharType="end"/>
        </w:r>
      </w:hyperlink>
    </w:p>
    <w:p w14:paraId="6FF8A196" w14:textId="1E274331" w:rsidR="00315D48" w:rsidRDefault="001C7A9B">
      <w:pPr>
        <w:pStyle w:val="TableofFigures"/>
        <w:tabs>
          <w:tab w:val="right" w:leader="dot" w:pos="9854"/>
        </w:tabs>
        <w:rPr>
          <w:rFonts w:eastAsiaTheme="minorEastAsia"/>
          <w:noProof/>
          <w:color w:val="auto"/>
          <w:kern w:val="0"/>
          <w:sz w:val="22"/>
          <w:szCs w:val="22"/>
          <w:lang w:eastAsia="en-AU"/>
        </w:rPr>
      </w:pPr>
      <w:hyperlink w:anchor="_Toc139969239" w:history="1">
        <w:r w:rsidR="00315D48" w:rsidRPr="00D91CA2">
          <w:rPr>
            <w:rStyle w:val="Hyperlink"/>
            <w:noProof/>
          </w:rPr>
          <w:t>Table 81: Reform options for location of fare system elements</w:t>
        </w:r>
        <w:r w:rsidR="00315D48">
          <w:rPr>
            <w:noProof/>
            <w:webHidden/>
          </w:rPr>
          <w:tab/>
        </w:r>
        <w:r w:rsidR="00315D48">
          <w:rPr>
            <w:noProof/>
            <w:webHidden/>
          </w:rPr>
          <w:fldChar w:fldCharType="begin"/>
        </w:r>
        <w:r w:rsidR="00315D48">
          <w:rPr>
            <w:noProof/>
            <w:webHidden/>
          </w:rPr>
          <w:instrText xml:space="preserve"> PAGEREF _Toc139969239 \h </w:instrText>
        </w:r>
        <w:r w:rsidR="00315D48">
          <w:rPr>
            <w:noProof/>
            <w:webHidden/>
          </w:rPr>
        </w:r>
        <w:r w:rsidR="00315D48">
          <w:rPr>
            <w:noProof/>
            <w:webHidden/>
          </w:rPr>
          <w:fldChar w:fldCharType="separate"/>
        </w:r>
        <w:r w:rsidR="00315D48">
          <w:rPr>
            <w:noProof/>
            <w:webHidden/>
          </w:rPr>
          <w:t>172</w:t>
        </w:r>
        <w:r w:rsidR="00315D48">
          <w:rPr>
            <w:noProof/>
            <w:webHidden/>
          </w:rPr>
          <w:fldChar w:fldCharType="end"/>
        </w:r>
      </w:hyperlink>
    </w:p>
    <w:p w14:paraId="305BEB68" w14:textId="4A281BAA" w:rsidR="00315D48" w:rsidRDefault="001C7A9B">
      <w:pPr>
        <w:pStyle w:val="TableofFigures"/>
        <w:tabs>
          <w:tab w:val="right" w:leader="dot" w:pos="9854"/>
        </w:tabs>
        <w:rPr>
          <w:rFonts w:eastAsiaTheme="minorEastAsia"/>
          <w:noProof/>
          <w:color w:val="auto"/>
          <w:kern w:val="0"/>
          <w:sz w:val="22"/>
          <w:szCs w:val="22"/>
          <w:lang w:eastAsia="en-AU"/>
        </w:rPr>
      </w:pPr>
      <w:hyperlink w:anchor="_Toc139969240" w:history="1">
        <w:r w:rsidR="00315D48" w:rsidRPr="00D91CA2">
          <w:rPr>
            <w:rStyle w:val="Hyperlink"/>
            <w:noProof/>
          </w:rPr>
          <w:t>Table 82: Benefit-cost ratios for location of fare system elements</w:t>
        </w:r>
        <w:r w:rsidR="00315D48">
          <w:rPr>
            <w:noProof/>
            <w:webHidden/>
          </w:rPr>
          <w:tab/>
        </w:r>
        <w:r w:rsidR="00315D48">
          <w:rPr>
            <w:noProof/>
            <w:webHidden/>
          </w:rPr>
          <w:fldChar w:fldCharType="begin"/>
        </w:r>
        <w:r w:rsidR="00315D48">
          <w:rPr>
            <w:noProof/>
            <w:webHidden/>
          </w:rPr>
          <w:instrText xml:space="preserve"> PAGEREF _Toc139969240 \h </w:instrText>
        </w:r>
        <w:r w:rsidR="00315D48">
          <w:rPr>
            <w:noProof/>
            <w:webHidden/>
          </w:rPr>
        </w:r>
        <w:r w:rsidR="00315D48">
          <w:rPr>
            <w:noProof/>
            <w:webHidden/>
          </w:rPr>
          <w:fldChar w:fldCharType="separate"/>
        </w:r>
        <w:r w:rsidR="00315D48">
          <w:rPr>
            <w:noProof/>
            <w:webHidden/>
          </w:rPr>
          <w:t>173</w:t>
        </w:r>
        <w:r w:rsidR="00315D48">
          <w:rPr>
            <w:noProof/>
            <w:webHidden/>
          </w:rPr>
          <w:fldChar w:fldCharType="end"/>
        </w:r>
      </w:hyperlink>
    </w:p>
    <w:p w14:paraId="5162CE9F" w14:textId="5BC8247E" w:rsidR="00315D48" w:rsidRDefault="001C7A9B">
      <w:pPr>
        <w:pStyle w:val="TableofFigures"/>
        <w:tabs>
          <w:tab w:val="right" w:leader="dot" w:pos="9854"/>
        </w:tabs>
        <w:rPr>
          <w:rFonts w:eastAsiaTheme="minorEastAsia"/>
          <w:noProof/>
          <w:color w:val="auto"/>
          <w:kern w:val="0"/>
          <w:sz w:val="22"/>
          <w:szCs w:val="22"/>
          <w:lang w:eastAsia="en-AU"/>
        </w:rPr>
      </w:pPr>
      <w:hyperlink w:anchor="_Toc139969241" w:history="1">
        <w:r w:rsidR="00315D48" w:rsidRPr="00D91CA2">
          <w:rPr>
            <w:rStyle w:val="Hyperlink"/>
            <w:noProof/>
          </w:rPr>
          <w:t>Table 83: Qualitative benefits for location of fare system elements</w:t>
        </w:r>
        <w:r w:rsidR="00315D48">
          <w:rPr>
            <w:noProof/>
            <w:webHidden/>
          </w:rPr>
          <w:tab/>
        </w:r>
        <w:r w:rsidR="00315D48">
          <w:rPr>
            <w:noProof/>
            <w:webHidden/>
          </w:rPr>
          <w:fldChar w:fldCharType="begin"/>
        </w:r>
        <w:r w:rsidR="00315D48">
          <w:rPr>
            <w:noProof/>
            <w:webHidden/>
          </w:rPr>
          <w:instrText xml:space="preserve"> PAGEREF _Toc139969241 \h </w:instrText>
        </w:r>
        <w:r w:rsidR="00315D48">
          <w:rPr>
            <w:noProof/>
            <w:webHidden/>
          </w:rPr>
        </w:r>
        <w:r w:rsidR="00315D48">
          <w:rPr>
            <w:noProof/>
            <w:webHidden/>
          </w:rPr>
          <w:fldChar w:fldCharType="separate"/>
        </w:r>
        <w:r w:rsidR="00315D48">
          <w:rPr>
            <w:noProof/>
            <w:webHidden/>
          </w:rPr>
          <w:t>173</w:t>
        </w:r>
        <w:r w:rsidR="00315D48">
          <w:rPr>
            <w:noProof/>
            <w:webHidden/>
          </w:rPr>
          <w:fldChar w:fldCharType="end"/>
        </w:r>
      </w:hyperlink>
    </w:p>
    <w:p w14:paraId="569D7B6F" w14:textId="610373C0" w:rsidR="00315D48" w:rsidRDefault="001C7A9B">
      <w:pPr>
        <w:pStyle w:val="TableofFigures"/>
        <w:tabs>
          <w:tab w:val="right" w:leader="dot" w:pos="9854"/>
        </w:tabs>
        <w:rPr>
          <w:rFonts w:eastAsiaTheme="minorEastAsia"/>
          <w:noProof/>
          <w:color w:val="auto"/>
          <w:kern w:val="0"/>
          <w:sz w:val="22"/>
          <w:szCs w:val="22"/>
          <w:lang w:eastAsia="en-AU"/>
        </w:rPr>
      </w:pPr>
      <w:hyperlink w:anchor="_Toc139969242" w:history="1">
        <w:r w:rsidR="00315D48" w:rsidRPr="00D91CA2">
          <w:rPr>
            <w:rStyle w:val="Hyperlink"/>
            <w:noProof/>
          </w:rPr>
          <w:t>Table 84: Reform options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_Toc139969242 \h </w:instrText>
        </w:r>
        <w:r w:rsidR="00315D48">
          <w:rPr>
            <w:noProof/>
            <w:webHidden/>
          </w:rPr>
        </w:r>
        <w:r w:rsidR="00315D48">
          <w:rPr>
            <w:noProof/>
            <w:webHidden/>
          </w:rPr>
          <w:fldChar w:fldCharType="separate"/>
        </w:r>
        <w:r w:rsidR="00315D48">
          <w:rPr>
            <w:noProof/>
            <w:webHidden/>
          </w:rPr>
          <w:t>177</w:t>
        </w:r>
        <w:r w:rsidR="00315D48">
          <w:rPr>
            <w:noProof/>
            <w:webHidden/>
          </w:rPr>
          <w:fldChar w:fldCharType="end"/>
        </w:r>
      </w:hyperlink>
    </w:p>
    <w:p w14:paraId="72952AB6" w14:textId="5E8DCEB6" w:rsidR="00315D48" w:rsidRDefault="001C7A9B">
      <w:pPr>
        <w:pStyle w:val="TableofFigures"/>
        <w:tabs>
          <w:tab w:val="right" w:leader="dot" w:pos="9854"/>
        </w:tabs>
        <w:rPr>
          <w:rFonts w:eastAsiaTheme="minorEastAsia"/>
          <w:noProof/>
          <w:color w:val="auto"/>
          <w:kern w:val="0"/>
          <w:sz w:val="22"/>
          <w:szCs w:val="22"/>
          <w:lang w:eastAsia="en-AU"/>
        </w:rPr>
      </w:pPr>
      <w:hyperlink w:anchor="_Toc139969243" w:history="1">
        <w:r w:rsidR="00315D48" w:rsidRPr="00D91CA2">
          <w:rPr>
            <w:rStyle w:val="Hyperlink"/>
            <w:noProof/>
          </w:rPr>
          <w:t>Table 85: Benefit-cost ratios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_Toc139969243 \h </w:instrText>
        </w:r>
        <w:r w:rsidR="00315D48">
          <w:rPr>
            <w:noProof/>
            <w:webHidden/>
          </w:rPr>
        </w:r>
        <w:r w:rsidR="00315D48">
          <w:rPr>
            <w:noProof/>
            <w:webHidden/>
          </w:rPr>
          <w:fldChar w:fldCharType="separate"/>
        </w:r>
        <w:r w:rsidR="00315D48">
          <w:rPr>
            <w:noProof/>
            <w:webHidden/>
          </w:rPr>
          <w:t>178</w:t>
        </w:r>
        <w:r w:rsidR="00315D48">
          <w:rPr>
            <w:noProof/>
            <w:webHidden/>
          </w:rPr>
          <w:fldChar w:fldCharType="end"/>
        </w:r>
      </w:hyperlink>
    </w:p>
    <w:p w14:paraId="5F947CB4" w14:textId="1D2FBB3F" w:rsidR="00315D48" w:rsidRDefault="001C7A9B">
      <w:pPr>
        <w:pStyle w:val="TableofFigures"/>
        <w:tabs>
          <w:tab w:val="right" w:leader="dot" w:pos="9854"/>
        </w:tabs>
        <w:rPr>
          <w:rFonts w:eastAsiaTheme="minorEastAsia"/>
          <w:noProof/>
          <w:color w:val="auto"/>
          <w:kern w:val="0"/>
          <w:sz w:val="22"/>
          <w:szCs w:val="22"/>
          <w:lang w:eastAsia="en-AU"/>
        </w:rPr>
      </w:pPr>
      <w:hyperlink w:anchor="_Toc139969244" w:history="1">
        <w:r w:rsidR="00315D48" w:rsidRPr="00D91CA2">
          <w:rPr>
            <w:rStyle w:val="Hyperlink"/>
            <w:noProof/>
          </w:rPr>
          <w:t>Table 86: Qualitative benefits for allocated spaces and priority seating in waiting areas</w:t>
        </w:r>
        <w:r w:rsidR="00315D48">
          <w:rPr>
            <w:noProof/>
            <w:webHidden/>
          </w:rPr>
          <w:tab/>
        </w:r>
        <w:r w:rsidR="00315D48">
          <w:rPr>
            <w:noProof/>
            <w:webHidden/>
          </w:rPr>
          <w:fldChar w:fldCharType="begin"/>
        </w:r>
        <w:r w:rsidR="00315D48">
          <w:rPr>
            <w:noProof/>
            <w:webHidden/>
          </w:rPr>
          <w:instrText xml:space="preserve"> PAGEREF _Toc139969244 \h </w:instrText>
        </w:r>
        <w:r w:rsidR="00315D48">
          <w:rPr>
            <w:noProof/>
            <w:webHidden/>
          </w:rPr>
        </w:r>
        <w:r w:rsidR="00315D48">
          <w:rPr>
            <w:noProof/>
            <w:webHidden/>
          </w:rPr>
          <w:fldChar w:fldCharType="separate"/>
        </w:r>
        <w:r w:rsidR="00315D48">
          <w:rPr>
            <w:noProof/>
            <w:webHidden/>
          </w:rPr>
          <w:t>178</w:t>
        </w:r>
        <w:r w:rsidR="00315D48">
          <w:rPr>
            <w:noProof/>
            <w:webHidden/>
          </w:rPr>
          <w:fldChar w:fldCharType="end"/>
        </w:r>
      </w:hyperlink>
    </w:p>
    <w:p w14:paraId="5E80F781" w14:textId="67241FBF" w:rsidR="00315D48" w:rsidRDefault="001C7A9B">
      <w:pPr>
        <w:pStyle w:val="TableofFigures"/>
        <w:tabs>
          <w:tab w:val="right" w:leader="dot" w:pos="9854"/>
        </w:tabs>
        <w:rPr>
          <w:rFonts w:eastAsiaTheme="minorEastAsia"/>
          <w:noProof/>
          <w:color w:val="auto"/>
          <w:kern w:val="0"/>
          <w:sz w:val="22"/>
          <w:szCs w:val="22"/>
          <w:lang w:eastAsia="en-AU"/>
        </w:rPr>
      </w:pPr>
      <w:hyperlink w:anchor="_Toc139969245" w:history="1">
        <w:r w:rsidR="00315D48" w:rsidRPr="00D91CA2">
          <w:rPr>
            <w:rStyle w:val="Hyperlink"/>
            <w:noProof/>
          </w:rPr>
          <w:t>Table 87: Reform options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_Toc139969245 \h </w:instrText>
        </w:r>
        <w:r w:rsidR="00315D48">
          <w:rPr>
            <w:noProof/>
            <w:webHidden/>
          </w:rPr>
        </w:r>
        <w:r w:rsidR="00315D48">
          <w:rPr>
            <w:noProof/>
            <w:webHidden/>
          </w:rPr>
          <w:fldChar w:fldCharType="separate"/>
        </w:r>
        <w:r w:rsidR="00315D48">
          <w:rPr>
            <w:noProof/>
            <w:webHidden/>
          </w:rPr>
          <w:t>181</w:t>
        </w:r>
        <w:r w:rsidR="00315D48">
          <w:rPr>
            <w:noProof/>
            <w:webHidden/>
          </w:rPr>
          <w:fldChar w:fldCharType="end"/>
        </w:r>
      </w:hyperlink>
    </w:p>
    <w:p w14:paraId="14A40235" w14:textId="30B886DA" w:rsidR="00315D48" w:rsidRDefault="001C7A9B">
      <w:pPr>
        <w:pStyle w:val="TableofFigures"/>
        <w:tabs>
          <w:tab w:val="right" w:leader="dot" w:pos="9854"/>
        </w:tabs>
        <w:rPr>
          <w:rFonts w:eastAsiaTheme="minorEastAsia"/>
          <w:noProof/>
          <w:color w:val="auto"/>
          <w:kern w:val="0"/>
          <w:sz w:val="22"/>
          <w:szCs w:val="22"/>
          <w:lang w:eastAsia="en-AU"/>
        </w:rPr>
      </w:pPr>
      <w:hyperlink w:anchor="_Toc139969246" w:history="1">
        <w:r w:rsidR="00315D48" w:rsidRPr="00D91CA2">
          <w:rPr>
            <w:rStyle w:val="Hyperlink"/>
            <w:noProof/>
          </w:rPr>
          <w:t>Table 88: Benefit-cost ratios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_Toc139969246 \h </w:instrText>
        </w:r>
        <w:r w:rsidR="00315D48">
          <w:rPr>
            <w:noProof/>
            <w:webHidden/>
          </w:rPr>
        </w:r>
        <w:r w:rsidR="00315D48">
          <w:rPr>
            <w:noProof/>
            <w:webHidden/>
          </w:rPr>
          <w:fldChar w:fldCharType="separate"/>
        </w:r>
        <w:r w:rsidR="00315D48">
          <w:rPr>
            <w:noProof/>
            <w:webHidden/>
          </w:rPr>
          <w:t>182</w:t>
        </w:r>
        <w:r w:rsidR="00315D48">
          <w:rPr>
            <w:noProof/>
            <w:webHidden/>
          </w:rPr>
          <w:fldChar w:fldCharType="end"/>
        </w:r>
      </w:hyperlink>
    </w:p>
    <w:p w14:paraId="72F565C5" w14:textId="7CA7430A" w:rsidR="00315D48" w:rsidRDefault="001C7A9B">
      <w:pPr>
        <w:pStyle w:val="TableofFigures"/>
        <w:tabs>
          <w:tab w:val="right" w:leader="dot" w:pos="9854"/>
        </w:tabs>
        <w:rPr>
          <w:rFonts w:eastAsiaTheme="minorEastAsia"/>
          <w:noProof/>
          <w:color w:val="auto"/>
          <w:kern w:val="0"/>
          <w:sz w:val="22"/>
          <w:szCs w:val="22"/>
          <w:lang w:eastAsia="en-AU"/>
        </w:rPr>
      </w:pPr>
      <w:hyperlink w:anchor="_Toc139969247" w:history="1">
        <w:r w:rsidR="00315D48" w:rsidRPr="00D91CA2">
          <w:rPr>
            <w:rStyle w:val="Hyperlink"/>
            <w:noProof/>
          </w:rPr>
          <w:t>Table 89: Qualitative benefits for accessible toilets with equal proportion of left- and right-hand configurations</w:t>
        </w:r>
        <w:r w:rsidR="00315D48">
          <w:rPr>
            <w:noProof/>
            <w:webHidden/>
          </w:rPr>
          <w:tab/>
        </w:r>
        <w:r w:rsidR="00315D48">
          <w:rPr>
            <w:noProof/>
            <w:webHidden/>
          </w:rPr>
          <w:fldChar w:fldCharType="begin"/>
        </w:r>
        <w:r w:rsidR="00315D48">
          <w:rPr>
            <w:noProof/>
            <w:webHidden/>
          </w:rPr>
          <w:instrText xml:space="preserve"> PAGEREF _Toc139969247 \h </w:instrText>
        </w:r>
        <w:r w:rsidR="00315D48">
          <w:rPr>
            <w:noProof/>
            <w:webHidden/>
          </w:rPr>
        </w:r>
        <w:r w:rsidR="00315D48">
          <w:rPr>
            <w:noProof/>
            <w:webHidden/>
          </w:rPr>
          <w:fldChar w:fldCharType="separate"/>
        </w:r>
        <w:r w:rsidR="00315D48">
          <w:rPr>
            <w:noProof/>
            <w:webHidden/>
          </w:rPr>
          <w:t>182</w:t>
        </w:r>
        <w:r w:rsidR="00315D48">
          <w:rPr>
            <w:noProof/>
            <w:webHidden/>
          </w:rPr>
          <w:fldChar w:fldCharType="end"/>
        </w:r>
      </w:hyperlink>
    </w:p>
    <w:p w14:paraId="4B4E3173" w14:textId="77171026" w:rsidR="00315D48" w:rsidRDefault="001C7A9B">
      <w:pPr>
        <w:pStyle w:val="TableofFigures"/>
        <w:tabs>
          <w:tab w:val="right" w:leader="dot" w:pos="9854"/>
        </w:tabs>
        <w:rPr>
          <w:rFonts w:eastAsiaTheme="minorEastAsia"/>
          <w:noProof/>
          <w:color w:val="auto"/>
          <w:kern w:val="0"/>
          <w:sz w:val="22"/>
          <w:szCs w:val="22"/>
          <w:lang w:eastAsia="en-AU"/>
        </w:rPr>
      </w:pPr>
      <w:hyperlink w:anchor="_Toc139969248" w:history="1">
        <w:r w:rsidR="00315D48" w:rsidRPr="00D91CA2">
          <w:rPr>
            <w:rStyle w:val="Hyperlink"/>
            <w:noProof/>
          </w:rPr>
          <w:t>Table 90: Reform options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_Toc139969248 \h </w:instrText>
        </w:r>
        <w:r w:rsidR="00315D48">
          <w:rPr>
            <w:noProof/>
            <w:webHidden/>
          </w:rPr>
        </w:r>
        <w:r w:rsidR="00315D48">
          <w:rPr>
            <w:noProof/>
            <w:webHidden/>
          </w:rPr>
          <w:fldChar w:fldCharType="separate"/>
        </w:r>
        <w:r w:rsidR="00315D48">
          <w:rPr>
            <w:noProof/>
            <w:webHidden/>
          </w:rPr>
          <w:t>185</w:t>
        </w:r>
        <w:r w:rsidR="00315D48">
          <w:rPr>
            <w:noProof/>
            <w:webHidden/>
          </w:rPr>
          <w:fldChar w:fldCharType="end"/>
        </w:r>
      </w:hyperlink>
    </w:p>
    <w:p w14:paraId="11CBDE6C" w14:textId="0AD436CE" w:rsidR="00315D48" w:rsidRDefault="001C7A9B">
      <w:pPr>
        <w:pStyle w:val="TableofFigures"/>
        <w:tabs>
          <w:tab w:val="right" w:leader="dot" w:pos="9854"/>
        </w:tabs>
        <w:rPr>
          <w:rFonts w:eastAsiaTheme="minorEastAsia"/>
          <w:noProof/>
          <w:color w:val="auto"/>
          <w:kern w:val="0"/>
          <w:sz w:val="22"/>
          <w:szCs w:val="22"/>
          <w:lang w:eastAsia="en-AU"/>
        </w:rPr>
      </w:pPr>
      <w:hyperlink w:anchor="_Toc139969249" w:history="1">
        <w:r w:rsidR="00315D48" w:rsidRPr="00D91CA2">
          <w:rPr>
            <w:rStyle w:val="Hyperlink"/>
            <w:noProof/>
          </w:rPr>
          <w:t>Table 91: Benefit-cost ratios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_Toc139969249 \h </w:instrText>
        </w:r>
        <w:r w:rsidR="00315D48">
          <w:rPr>
            <w:noProof/>
            <w:webHidden/>
          </w:rPr>
        </w:r>
        <w:r w:rsidR="00315D48">
          <w:rPr>
            <w:noProof/>
            <w:webHidden/>
          </w:rPr>
          <w:fldChar w:fldCharType="separate"/>
        </w:r>
        <w:r w:rsidR="00315D48">
          <w:rPr>
            <w:noProof/>
            <w:webHidden/>
          </w:rPr>
          <w:t>186</w:t>
        </w:r>
        <w:r w:rsidR="00315D48">
          <w:rPr>
            <w:noProof/>
            <w:webHidden/>
          </w:rPr>
          <w:fldChar w:fldCharType="end"/>
        </w:r>
      </w:hyperlink>
    </w:p>
    <w:p w14:paraId="5520A050" w14:textId="62B23490" w:rsidR="00315D48" w:rsidRDefault="001C7A9B">
      <w:pPr>
        <w:pStyle w:val="TableofFigures"/>
        <w:tabs>
          <w:tab w:val="right" w:leader="dot" w:pos="9854"/>
        </w:tabs>
        <w:rPr>
          <w:rFonts w:eastAsiaTheme="minorEastAsia"/>
          <w:noProof/>
          <w:color w:val="auto"/>
          <w:kern w:val="0"/>
          <w:sz w:val="22"/>
          <w:szCs w:val="22"/>
          <w:lang w:eastAsia="en-AU"/>
        </w:rPr>
      </w:pPr>
      <w:hyperlink w:anchor="_Toc139969250" w:history="1">
        <w:r w:rsidR="00315D48" w:rsidRPr="00D91CA2">
          <w:rPr>
            <w:rStyle w:val="Hyperlink"/>
            <w:noProof/>
          </w:rPr>
          <w:t>Table 92: Qualitative benefits for emergency call buttons in accessible toilets</w:t>
        </w:r>
        <w:r w:rsidR="00315D48">
          <w:rPr>
            <w:noProof/>
            <w:webHidden/>
          </w:rPr>
          <w:tab/>
        </w:r>
        <w:r w:rsidR="00315D48">
          <w:rPr>
            <w:noProof/>
            <w:webHidden/>
          </w:rPr>
          <w:fldChar w:fldCharType="begin"/>
        </w:r>
        <w:r w:rsidR="00315D48">
          <w:rPr>
            <w:noProof/>
            <w:webHidden/>
          </w:rPr>
          <w:instrText xml:space="preserve"> PAGEREF _Toc139969250 \h </w:instrText>
        </w:r>
        <w:r w:rsidR="00315D48">
          <w:rPr>
            <w:noProof/>
            <w:webHidden/>
          </w:rPr>
        </w:r>
        <w:r w:rsidR="00315D48">
          <w:rPr>
            <w:noProof/>
            <w:webHidden/>
          </w:rPr>
          <w:fldChar w:fldCharType="separate"/>
        </w:r>
        <w:r w:rsidR="00315D48">
          <w:rPr>
            <w:noProof/>
            <w:webHidden/>
          </w:rPr>
          <w:t>186</w:t>
        </w:r>
        <w:r w:rsidR="00315D48">
          <w:rPr>
            <w:noProof/>
            <w:webHidden/>
          </w:rPr>
          <w:fldChar w:fldCharType="end"/>
        </w:r>
      </w:hyperlink>
    </w:p>
    <w:p w14:paraId="5FB2F70D" w14:textId="58971B46" w:rsidR="00315D48" w:rsidRDefault="001C7A9B">
      <w:pPr>
        <w:pStyle w:val="TableofFigures"/>
        <w:tabs>
          <w:tab w:val="right" w:leader="dot" w:pos="9854"/>
        </w:tabs>
        <w:rPr>
          <w:rFonts w:eastAsiaTheme="minorEastAsia"/>
          <w:noProof/>
          <w:color w:val="auto"/>
          <w:kern w:val="0"/>
          <w:sz w:val="22"/>
          <w:szCs w:val="22"/>
          <w:lang w:eastAsia="en-AU"/>
        </w:rPr>
      </w:pPr>
      <w:hyperlink w:anchor="_Toc139969251" w:history="1">
        <w:r w:rsidR="00315D48" w:rsidRPr="00D91CA2">
          <w:rPr>
            <w:rStyle w:val="Hyperlink"/>
            <w:noProof/>
          </w:rPr>
          <w:t>Table 93: Reform options for ambulant toilets</w:t>
        </w:r>
        <w:r w:rsidR="00315D48">
          <w:rPr>
            <w:noProof/>
            <w:webHidden/>
          </w:rPr>
          <w:tab/>
        </w:r>
        <w:r w:rsidR="00315D48">
          <w:rPr>
            <w:noProof/>
            <w:webHidden/>
          </w:rPr>
          <w:fldChar w:fldCharType="begin"/>
        </w:r>
        <w:r w:rsidR="00315D48">
          <w:rPr>
            <w:noProof/>
            <w:webHidden/>
          </w:rPr>
          <w:instrText xml:space="preserve"> PAGEREF _Toc139969251 \h </w:instrText>
        </w:r>
        <w:r w:rsidR="00315D48">
          <w:rPr>
            <w:noProof/>
            <w:webHidden/>
          </w:rPr>
        </w:r>
        <w:r w:rsidR="00315D48">
          <w:rPr>
            <w:noProof/>
            <w:webHidden/>
          </w:rPr>
          <w:fldChar w:fldCharType="separate"/>
        </w:r>
        <w:r w:rsidR="00315D48">
          <w:rPr>
            <w:noProof/>
            <w:webHidden/>
          </w:rPr>
          <w:t>189</w:t>
        </w:r>
        <w:r w:rsidR="00315D48">
          <w:rPr>
            <w:noProof/>
            <w:webHidden/>
          </w:rPr>
          <w:fldChar w:fldCharType="end"/>
        </w:r>
      </w:hyperlink>
    </w:p>
    <w:p w14:paraId="6FBC8D54" w14:textId="60632727" w:rsidR="00315D48" w:rsidRDefault="001C7A9B">
      <w:pPr>
        <w:pStyle w:val="TableofFigures"/>
        <w:tabs>
          <w:tab w:val="right" w:leader="dot" w:pos="9854"/>
        </w:tabs>
        <w:rPr>
          <w:rFonts w:eastAsiaTheme="minorEastAsia"/>
          <w:noProof/>
          <w:color w:val="auto"/>
          <w:kern w:val="0"/>
          <w:sz w:val="22"/>
          <w:szCs w:val="22"/>
          <w:lang w:eastAsia="en-AU"/>
        </w:rPr>
      </w:pPr>
      <w:hyperlink w:anchor="_Toc139969252" w:history="1">
        <w:r w:rsidR="00315D48" w:rsidRPr="00D91CA2">
          <w:rPr>
            <w:rStyle w:val="Hyperlink"/>
            <w:noProof/>
          </w:rPr>
          <w:t>Table 94: Benefit-cost ratios for ambulant toilets</w:t>
        </w:r>
        <w:r w:rsidR="00315D48">
          <w:rPr>
            <w:noProof/>
            <w:webHidden/>
          </w:rPr>
          <w:tab/>
        </w:r>
        <w:r w:rsidR="00315D48">
          <w:rPr>
            <w:noProof/>
            <w:webHidden/>
          </w:rPr>
          <w:fldChar w:fldCharType="begin"/>
        </w:r>
        <w:r w:rsidR="00315D48">
          <w:rPr>
            <w:noProof/>
            <w:webHidden/>
          </w:rPr>
          <w:instrText xml:space="preserve"> PAGEREF _Toc139969252 \h </w:instrText>
        </w:r>
        <w:r w:rsidR="00315D48">
          <w:rPr>
            <w:noProof/>
            <w:webHidden/>
          </w:rPr>
        </w:r>
        <w:r w:rsidR="00315D48">
          <w:rPr>
            <w:noProof/>
            <w:webHidden/>
          </w:rPr>
          <w:fldChar w:fldCharType="separate"/>
        </w:r>
        <w:r w:rsidR="00315D48">
          <w:rPr>
            <w:noProof/>
            <w:webHidden/>
          </w:rPr>
          <w:t>190</w:t>
        </w:r>
        <w:r w:rsidR="00315D48">
          <w:rPr>
            <w:noProof/>
            <w:webHidden/>
          </w:rPr>
          <w:fldChar w:fldCharType="end"/>
        </w:r>
      </w:hyperlink>
    </w:p>
    <w:p w14:paraId="2F86C707" w14:textId="790C4E42" w:rsidR="00315D48" w:rsidRDefault="001C7A9B">
      <w:pPr>
        <w:pStyle w:val="TableofFigures"/>
        <w:tabs>
          <w:tab w:val="right" w:leader="dot" w:pos="9854"/>
        </w:tabs>
        <w:rPr>
          <w:rFonts w:eastAsiaTheme="minorEastAsia"/>
          <w:noProof/>
          <w:color w:val="auto"/>
          <w:kern w:val="0"/>
          <w:sz w:val="22"/>
          <w:szCs w:val="22"/>
          <w:lang w:eastAsia="en-AU"/>
        </w:rPr>
      </w:pPr>
      <w:hyperlink w:anchor="_Toc139969253" w:history="1">
        <w:r w:rsidR="00315D48" w:rsidRPr="00D91CA2">
          <w:rPr>
            <w:rStyle w:val="Hyperlink"/>
            <w:noProof/>
          </w:rPr>
          <w:t>Table 95: Qualitative benefits for ambulant toilets</w:t>
        </w:r>
        <w:r w:rsidR="00315D48">
          <w:rPr>
            <w:noProof/>
            <w:webHidden/>
          </w:rPr>
          <w:tab/>
        </w:r>
        <w:r w:rsidR="00315D48">
          <w:rPr>
            <w:noProof/>
            <w:webHidden/>
          </w:rPr>
          <w:fldChar w:fldCharType="begin"/>
        </w:r>
        <w:r w:rsidR="00315D48">
          <w:rPr>
            <w:noProof/>
            <w:webHidden/>
          </w:rPr>
          <w:instrText xml:space="preserve"> PAGEREF _Toc139969253 \h </w:instrText>
        </w:r>
        <w:r w:rsidR="00315D48">
          <w:rPr>
            <w:noProof/>
            <w:webHidden/>
          </w:rPr>
        </w:r>
        <w:r w:rsidR="00315D48">
          <w:rPr>
            <w:noProof/>
            <w:webHidden/>
          </w:rPr>
          <w:fldChar w:fldCharType="separate"/>
        </w:r>
        <w:r w:rsidR="00315D48">
          <w:rPr>
            <w:noProof/>
            <w:webHidden/>
          </w:rPr>
          <w:t>190</w:t>
        </w:r>
        <w:r w:rsidR="00315D48">
          <w:rPr>
            <w:noProof/>
            <w:webHidden/>
          </w:rPr>
          <w:fldChar w:fldCharType="end"/>
        </w:r>
      </w:hyperlink>
    </w:p>
    <w:p w14:paraId="608E2697" w14:textId="34747864" w:rsidR="00315D48" w:rsidRDefault="001C7A9B">
      <w:pPr>
        <w:pStyle w:val="TableofFigures"/>
        <w:tabs>
          <w:tab w:val="right" w:leader="dot" w:pos="9854"/>
        </w:tabs>
        <w:rPr>
          <w:rFonts w:eastAsiaTheme="minorEastAsia"/>
          <w:noProof/>
          <w:color w:val="auto"/>
          <w:kern w:val="0"/>
          <w:sz w:val="22"/>
          <w:szCs w:val="22"/>
          <w:lang w:eastAsia="en-AU"/>
        </w:rPr>
      </w:pPr>
      <w:hyperlink w:anchor="_Toc139969254" w:history="1">
        <w:r w:rsidR="00315D48" w:rsidRPr="00D91CA2">
          <w:rPr>
            <w:rStyle w:val="Hyperlink"/>
            <w:noProof/>
          </w:rPr>
          <w:t>Table 96: Reform options for lift specifications and enhancements</w:t>
        </w:r>
        <w:r w:rsidR="00315D48">
          <w:rPr>
            <w:noProof/>
            <w:webHidden/>
          </w:rPr>
          <w:tab/>
        </w:r>
        <w:r w:rsidR="00315D48">
          <w:rPr>
            <w:noProof/>
            <w:webHidden/>
          </w:rPr>
          <w:fldChar w:fldCharType="begin"/>
        </w:r>
        <w:r w:rsidR="00315D48">
          <w:rPr>
            <w:noProof/>
            <w:webHidden/>
          </w:rPr>
          <w:instrText xml:space="preserve"> PAGEREF _Toc139969254 \h </w:instrText>
        </w:r>
        <w:r w:rsidR="00315D48">
          <w:rPr>
            <w:noProof/>
            <w:webHidden/>
          </w:rPr>
        </w:r>
        <w:r w:rsidR="00315D48">
          <w:rPr>
            <w:noProof/>
            <w:webHidden/>
          </w:rPr>
          <w:fldChar w:fldCharType="separate"/>
        </w:r>
        <w:r w:rsidR="00315D48">
          <w:rPr>
            <w:noProof/>
            <w:webHidden/>
          </w:rPr>
          <w:t>193</w:t>
        </w:r>
        <w:r w:rsidR="00315D48">
          <w:rPr>
            <w:noProof/>
            <w:webHidden/>
          </w:rPr>
          <w:fldChar w:fldCharType="end"/>
        </w:r>
      </w:hyperlink>
    </w:p>
    <w:p w14:paraId="486B60E5" w14:textId="64D970B0" w:rsidR="00315D48" w:rsidRDefault="001C7A9B">
      <w:pPr>
        <w:pStyle w:val="TableofFigures"/>
        <w:tabs>
          <w:tab w:val="right" w:leader="dot" w:pos="9854"/>
        </w:tabs>
        <w:rPr>
          <w:rFonts w:eastAsiaTheme="minorEastAsia"/>
          <w:noProof/>
          <w:color w:val="auto"/>
          <w:kern w:val="0"/>
          <w:sz w:val="22"/>
          <w:szCs w:val="22"/>
          <w:lang w:eastAsia="en-AU"/>
        </w:rPr>
      </w:pPr>
      <w:hyperlink w:anchor="_Toc139969255" w:history="1">
        <w:r w:rsidR="00315D48" w:rsidRPr="00D91CA2">
          <w:rPr>
            <w:rStyle w:val="Hyperlink"/>
            <w:noProof/>
          </w:rPr>
          <w:t>Table 97: Benefit-cost ratios for lift specifications and enhancements</w:t>
        </w:r>
        <w:r w:rsidR="00315D48">
          <w:rPr>
            <w:noProof/>
            <w:webHidden/>
          </w:rPr>
          <w:tab/>
        </w:r>
        <w:r w:rsidR="00315D48">
          <w:rPr>
            <w:noProof/>
            <w:webHidden/>
          </w:rPr>
          <w:fldChar w:fldCharType="begin"/>
        </w:r>
        <w:r w:rsidR="00315D48">
          <w:rPr>
            <w:noProof/>
            <w:webHidden/>
          </w:rPr>
          <w:instrText xml:space="preserve"> PAGEREF _Toc139969255 \h </w:instrText>
        </w:r>
        <w:r w:rsidR="00315D48">
          <w:rPr>
            <w:noProof/>
            <w:webHidden/>
          </w:rPr>
        </w:r>
        <w:r w:rsidR="00315D48">
          <w:rPr>
            <w:noProof/>
            <w:webHidden/>
          </w:rPr>
          <w:fldChar w:fldCharType="separate"/>
        </w:r>
        <w:r w:rsidR="00315D48">
          <w:rPr>
            <w:noProof/>
            <w:webHidden/>
          </w:rPr>
          <w:t>194</w:t>
        </w:r>
        <w:r w:rsidR="00315D48">
          <w:rPr>
            <w:noProof/>
            <w:webHidden/>
          </w:rPr>
          <w:fldChar w:fldCharType="end"/>
        </w:r>
      </w:hyperlink>
    </w:p>
    <w:p w14:paraId="5A711C90" w14:textId="2C50D347" w:rsidR="00315D48" w:rsidRDefault="001C7A9B">
      <w:pPr>
        <w:pStyle w:val="TableofFigures"/>
        <w:tabs>
          <w:tab w:val="right" w:leader="dot" w:pos="9854"/>
        </w:tabs>
        <w:rPr>
          <w:rFonts w:eastAsiaTheme="minorEastAsia"/>
          <w:noProof/>
          <w:color w:val="auto"/>
          <w:kern w:val="0"/>
          <w:sz w:val="22"/>
          <w:szCs w:val="22"/>
          <w:lang w:eastAsia="en-AU"/>
        </w:rPr>
      </w:pPr>
      <w:hyperlink w:anchor="_Toc139969256" w:history="1">
        <w:r w:rsidR="00315D48" w:rsidRPr="00D91CA2">
          <w:rPr>
            <w:rStyle w:val="Hyperlink"/>
            <w:noProof/>
          </w:rPr>
          <w:t>Table 98: Qualitative benefits for lift specifications and enhancements</w:t>
        </w:r>
        <w:r w:rsidR="00315D48">
          <w:rPr>
            <w:noProof/>
            <w:webHidden/>
          </w:rPr>
          <w:tab/>
        </w:r>
        <w:r w:rsidR="00315D48">
          <w:rPr>
            <w:noProof/>
            <w:webHidden/>
          </w:rPr>
          <w:fldChar w:fldCharType="begin"/>
        </w:r>
        <w:r w:rsidR="00315D48">
          <w:rPr>
            <w:noProof/>
            <w:webHidden/>
          </w:rPr>
          <w:instrText xml:space="preserve"> PAGEREF _Toc139969256 \h </w:instrText>
        </w:r>
        <w:r w:rsidR="00315D48">
          <w:rPr>
            <w:noProof/>
            <w:webHidden/>
          </w:rPr>
        </w:r>
        <w:r w:rsidR="00315D48">
          <w:rPr>
            <w:noProof/>
            <w:webHidden/>
          </w:rPr>
          <w:fldChar w:fldCharType="separate"/>
        </w:r>
        <w:r w:rsidR="00315D48">
          <w:rPr>
            <w:noProof/>
            <w:webHidden/>
          </w:rPr>
          <w:t>195</w:t>
        </w:r>
        <w:r w:rsidR="00315D48">
          <w:rPr>
            <w:noProof/>
            <w:webHidden/>
          </w:rPr>
          <w:fldChar w:fldCharType="end"/>
        </w:r>
      </w:hyperlink>
    </w:p>
    <w:p w14:paraId="4061A551" w14:textId="445326A7" w:rsidR="00315D48" w:rsidRDefault="001C7A9B">
      <w:pPr>
        <w:pStyle w:val="TableofFigures"/>
        <w:tabs>
          <w:tab w:val="right" w:leader="dot" w:pos="9854"/>
        </w:tabs>
        <w:rPr>
          <w:rFonts w:eastAsiaTheme="minorEastAsia"/>
          <w:noProof/>
          <w:color w:val="auto"/>
          <w:kern w:val="0"/>
          <w:sz w:val="22"/>
          <w:szCs w:val="22"/>
          <w:lang w:eastAsia="en-AU"/>
        </w:rPr>
      </w:pPr>
      <w:hyperlink w:anchor="_Toc139969257" w:history="1">
        <w:r w:rsidR="00315D48" w:rsidRPr="00D91CA2">
          <w:rPr>
            <w:rStyle w:val="Hyperlink"/>
            <w:noProof/>
          </w:rPr>
          <w:t>Table 99: Reform options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_Toc139969257 \h </w:instrText>
        </w:r>
        <w:r w:rsidR="00315D48">
          <w:rPr>
            <w:noProof/>
            <w:webHidden/>
          </w:rPr>
        </w:r>
        <w:r w:rsidR="00315D48">
          <w:rPr>
            <w:noProof/>
            <w:webHidden/>
          </w:rPr>
          <w:fldChar w:fldCharType="separate"/>
        </w:r>
        <w:r w:rsidR="00315D48">
          <w:rPr>
            <w:noProof/>
            <w:webHidden/>
          </w:rPr>
          <w:t>197</w:t>
        </w:r>
        <w:r w:rsidR="00315D48">
          <w:rPr>
            <w:noProof/>
            <w:webHidden/>
          </w:rPr>
          <w:fldChar w:fldCharType="end"/>
        </w:r>
      </w:hyperlink>
    </w:p>
    <w:p w14:paraId="7D0FE891" w14:textId="7422665E" w:rsidR="00315D48" w:rsidRDefault="001C7A9B">
      <w:pPr>
        <w:pStyle w:val="TableofFigures"/>
        <w:tabs>
          <w:tab w:val="right" w:leader="dot" w:pos="9854"/>
        </w:tabs>
        <w:rPr>
          <w:rFonts w:eastAsiaTheme="minorEastAsia"/>
          <w:noProof/>
          <w:color w:val="auto"/>
          <w:kern w:val="0"/>
          <w:sz w:val="22"/>
          <w:szCs w:val="22"/>
          <w:lang w:eastAsia="en-AU"/>
        </w:rPr>
      </w:pPr>
      <w:hyperlink w:anchor="_Toc139969258" w:history="1">
        <w:r w:rsidR="00315D48" w:rsidRPr="00D91CA2">
          <w:rPr>
            <w:rStyle w:val="Hyperlink"/>
            <w:noProof/>
          </w:rPr>
          <w:t>Table 100: Benefit-cost ratios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_Toc139969258 \h </w:instrText>
        </w:r>
        <w:r w:rsidR="00315D48">
          <w:rPr>
            <w:noProof/>
            <w:webHidden/>
          </w:rPr>
        </w:r>
        <w:r w:rsidR="00315D48">
          <w:rPr>
            <w:noProof/>
            <w:webHidden/>
          </w:rPr>
          <w:fldChar w:fldCharType="separate"/>
        </w:r>
        <w:r w:rsidR="00315D48">
          <w:rPr>
            <w:noProof/>
            <w:webHidden/>
          </w:rPr>
          <w:t>198</w:t>
        </w:r>
        <w:r w:rsidR="00315D48">
          <w:rPr>
            <w:noProof/>
            <w:webHidden/>
          </w:rPr>
          <w:fldChar w:fldCharType="end"/>
        </w:r>
      </w:hyperlink>
    </w:p>
    <w:p w14:paraId="665A0234" w14:textId="7B836D45" w:rsidR="00315D48" w:rsidRDefault="001C7A9B">
      <w:pPr>
        <w:pStyle w:val="TableofFigures"/>
        <w:tabs>
          <w:tab w:val="right" w:leader="dot" w:pos="9854"/>
        </w:tabs>
        <w:rPr>
          <w:rFonts w:eastAsiaTheme="minorEastAsia"/>
          <w:noProof/>
          <w:color w:val="auto"/>
          <w:kern w:val="0"/>
          <w:sz w:val="22"/>
          <w:szCs w:val="22"/>
          <w:lang w:eastAsia="en-AU"/>
        </w:rPr>
      </w:pPr>
      <w:hyperlink w:anchor="_Toc139969259" w:history="1">
        <w:r w:rsidR="00315D48" w:rsidRPr="00D91CA2">
          <w:rPr>
            <w:rStyle w:val="Hyperlink"/>
            <w:noProof/>
          </w:rPr>
          <w:t>Table 101: Qualitative benefits for specifications for escalators and inclined travellators</w:t>
        </w:r>
        <w:r w:rsidR="00315D48">
          <w:rPr>
            <w:noProof/>
            <w:webHidden/>
          </w:rPr>
          <w:tab/>
        </w:r>
        <w:r w:rsidR="00315D48">
          <w:rPr>
            <w:noProof/>
            <w:webHidden/>
          </w:rPr>
          <w:fldChar w:fldCharType="begin"/>
        </w:r>
        <w:r w:rsidR="00315D48">
          <w:rPr>
            <w:noProof/>
            <w:webHidden/>
          </w:rPr>
          <w:instrText xml:space="preserve"> PAGEREF _Toc139969259 \h </w:instrText>
        </w:r>
        <w:r w:rsidR="00315D48">
          <w:rPr>
            <w:noProof/>
            <w:webHidden/>
          </w:rPr>
        </w:r>
        <w:r w:rsidR="00315D48">
          <w:rPr>
            <w:noProof/>
            <w:webHidden/>
          </w:rPr>
          <w:fldChar w:fldCharType="separate"/>
        </w:r>
        <w:r w:rsidR="00315D48">
          <w:rPr>
            <w:noProof/>
            <w:webHidden/>
          </w:rPr>
          <w:t>198</w:t>
        </w:r>
        <w:r w:rsidR="00315D48">
          <w:rPr>
            <w:noProof/>
            <w:webHidden/>
          </w:rPr>
          <w:fldChar w:fldCharType="end"/>
        </w:r>
      </w:hyperlink>
    </w:p>
    <w:p w14:paraId="261364BA" w14:textId="1A0F5EA1" w:rsidR="00315D48" w:rsidRDefault="001C7A9B">
      <w:pPr>
        <w:pStyle w:val="TableofFigures"/>
        <w:tabs>
          <w:tab w:val="right" w:leader="dot" w:pos="9854"/>
        </w:tabs>
        <w:rPr>
          <w:rFonts w:eastAsiaTheme="minorEastAsia"/>
          <w:noProof/>
          <w:color w:val="auto"/>
          <w:kern w:val="0"/>
          <w:sz w:val="22"/>
          <w:szCs w:val="22"/>
          <w:lang w:eastAsia="en-AU"/>
        </w:rPr>
      </w:pPr>
      <w:hyperlink w:anchor="_Toc139969260" w:history="1">
        <w:r w:rsidR="00315D48" w:rsidRPr="00D91CA2">
          <w:rPr>
            <w:rStyle w:val="Hyperlink"/>
            <w:noProof/>
          </w:rPr>
          <w:t>Table 102: Reform options for poles, objects and luminance contrast</w:t>
        </w:r>
        <w:r w:rsidR="00315D48">
          <w:rPr>
            <w:noProof/>
            <w:webHidden/>
          </w:rPr>
          <w:tab/>
        </w:r>
        <w:r w:rsidR="00315D48">
          <w:rPr>
            <w:noProof/>
            <w:webHidden/>
          </w:rPr>
          <w:fldChar w:fldCharType="begin"/>
        </w:r>
        <w:r w:rsidR="00315D48">
          <w:rPr>
            <w:noProof/>
            <w:webHidden/>
          </w:rPr>
          <w:instrText xml:space="preserve"> PAGEREF _Toc139969260 \h </w:instrText>
        </w:r>
        <w:r w:rsidR="00315D48">
          <w:rPr>
            <w:noProof/>
            <w:webHidden/>
          </w:rPr>
        </w:r>
        <w:r w:rsidR="00315D48">
          <w:rPr>
            <w:noProof/>
            <w:webHidden/>
          </w:rPr>
          <w:fldChar w:fldCharType="separate"/>
        </w:r>
        <w:r w:rsidR="00315D48">
          <w:rPr>
            <w:noProof/>
            <w:webHidden/>
          </w:rPr>
          <w:t>201</w:t>
        </w:r>
        <w:r w:rsidR="00315D48">
          <w:rPr>
            <w:noProof/>
            <w:webHidden/>
          </w:rPr>
          <w:fldChar w:fldCharType="end"/>
        </w:r>
      </w:hyperlink>
    </w:p>
    <w:p w14:paraId="510BF342" w14:textId="0D415D25" w:rsidR="00315D48" w:rsidRDefault="001C7A9B">
      <w:pPr>
        <w:pStyle w:val="TableofFigures"/>
        <w:tabs>
          <w:tab w:val="right" w:leader="dot" w:pos="9854"/>
        </w:tabs>
        <w:rPr>
          <w:rFonts w:eastAsiaTheme="minorEastAsia"/>
          <w:noProof/>
          <w:color w:val="auto"/>
          <w:kern w:val="0"/>
          <w:sz w:val="22"/>
          <w:szCs w:val="22"/>
          <w:lang w:eastAsia="en-AU"/>
        </w:rPr>
      </w:pPr>
      <w:hyperlink w:anchor="_Toc139969261" w:history="1">
        <w:r w:rsidR="00315D48" w:rsidRPr="00D91CA2">
          <w:rPr>
            <w:rStyle w:val="Hyperlink"/>
            <w:noProof/>
          </w:rPr>
          <w:t>Table 103: Reform options for lighting</w:t>
        </w:r>
        <w:r w:rsidR="00315D48">
          <w:rPr>
            <w:noProof/>
            <w:webHidden/>
          </w:rPr>
          <w:tab/>
        </w:r>
        <w:r w:rsidR="00315D48">
          <w:rPr>
            <w:noProof/>
            <w:webHidden/>
          </w:rPr>
          <w:fldChar w:fldCharType="begin"/>
        </w:r>
        <w:r w:rsidR="00315D48">
          <w:rPr>
            <w:noProof/>
            <w:webHidden/>
          </w:rPr>
          <w:instrText xml:space="preserve"> PAGEREF _Toc139969261 \h </w:instrText>
        </w:r>
        <w:r w:rsidR="00315D48">
          <w:rPr>
            <w:noProof/>
            <w:webHidden/>
          </w:rPr>
        </w:r>
        <w:r w:rsidR="00315D48">
          <w:rPr>
            <w:noProof/>
            <w:webHidden/>
          </w:rPr>
          <w:fldChar w:fldCharType="separate"/>
        </w:r>
        <w:r w:rsidR="00315D48">
          <w:rPr>
            <w:noProof/>
            <w:webHidden/>
          </w:rPr>
          <w:t>205</w:t>
        </w:r>
        <w:r w:rsidR="00315D48">
          <w:rPr>
            <w:noProof/>
            <w:webHidden/>
          </w:rPr>
          <w:fldChar w:fldCharType="end"/>
        </w:r>
      </w:hyperlink>
    </w:p>
    <w:p w14:paraId="528013F3" w14:textId="0DA18466" w:rsidR="00315D48" w:rsidRDefault="001C7A9B">
      <w:pPr>
        <w:pStyle w:val="TableofFigures"/>
        <w:tabs>
          <w:tab w:val="right" w:leader="dot" w:pos="9854"/>
        </w:tabs>
        <w:rPr>
          <w:rFonts w:eastAsiaTheme="minorEastAsia"/>
          <w:noProof/>
          <w:color w:val="auto"/>
          <w:kern w:val="0"/>
          <w:sz w:val="22"/>
          <w:szCs w:val="22"/>
          <w:lang w:eastAsia="en-AU"/>
        </w:rPr>
      </w:pPr>
      <w:hyperlink w:anchor="_Toc139969262" w:history="1">
        <w:r w:rsidR="00315D48" w:rsidRPr="00D91CA2">
          <w:rPr>
            <w:rStyle w:val="Hyperlink"/>
            <w:noProof/>
          </w:rPr>
          <w:t>Table 104: Benefit-cost ratios for lighting</w:t>
        </w:r>
        <w:r w:rsidR="00315D48">
          <w:rPr>
            <w:noProof/>
            <w:webHidden/>
          </w:rPr>
          <w:tab/>
        </w:r>
        <w:r w:rsidR="00315D48">
          <w:rPr>
            <w:noProof/>
            <w:webHidden/>
          </w:rPr>
          <w:fldChar w:fldCharType="begin"/>
        </w:r>
        <w:r w:rsidR="00315D48">
          <w:rPr>
            <w:noProof/>
            <w:webHidden/>
          </w:rPr>
          <w:instrText xml:space="preserve"> PAGEREF _Toc139969262 \h </w:instrText>
        </w:r>
        <w:r w:rsidR="00315D48">
          <w:rPr>
            <w:noProof/>
            <w:webHidden/>
          </w:rPr>
        </w:r>
        <w:r w:rsidR="00315D48">
          <w:rPr>
            <w:noProof/>
            <w:webHidden/>
          </w:rPr>
          <w:fldChar w:fldCharType="separate"/>
        </w:r>
        <w:r w:rsidR="00315D48">
          <w:rPr>
            <w:noProof/>
            <w:webHidden/>
          </w:rPr>
          <w:t>206</w:t>
        </w:r>
        <w:r w:rsidR="00315D48">
          <w:rPr>
            <w:noProof/>
            <w:webHidden/>
          </w:rPr>
          <w:fldChar w:fldCharType="end"/>
        </w:r>
      </w:hyperlink>
    </w:p>
    <w:p w14:paraId="168A3D7A" w14:textId="4ECA2DA2" w:rsidR="00315D48" w:rsidRDefault="001C7A9B">
      <w:pPr>
        <w:pStyle w:val="TableofFigures"/>
        <w:tabs>
          <w:tab w:val="right" w:leader="dot" w:pos="9854"/>
        </w:tabs>
        <w:rPr>
          <w:rFonts w:eastAsiaTheme="minorEastAsia"/>
          <w:noProof/>
          <w:color w:val="auto"/>
          <w:kern w:val="0"/>
          <w:sz w:val="22"/>
          <w:szCs w:val="22"/>
          <w:lang w:eastAsia="en-AU"/>
        </w:rPr>
      </w:pPr>
      <w:hyperlink w:anchor="_Toc139969263" w:history="1">
        <w:r w:rsidR="00315D48" w:rsidRPr="00D91CA2">
          <w:rPr>
            <w:rStyle w:val="Hyperlink"/>
            <w:noProof/>
          </w:rPr>
          <w:t>Table 105: Qualitative benefits for lighting</w:t>
        </w:r>
        <w:r w:rsidR="00315D48">
          <w:rPr>
            <w:noProof/>
            <w:webHidden/>
          </w:rPr>
          <w:tab/>
        </w:r>
        <w:r w:rsidR="00315D48">
          <w:rPr>
            <w:noProof/>
            <w:webHidden/>
          </w:rPr>
          <w:fldChar w:fldCharType="begin"/>
        </w:r>
        <w:r w:rsidR="00315D48">
          <w:rPr>
            <w:noProof/>
            <w:webHidden/>
          </w:rPr>
          <w:instrText xml:space="preserve"> PAGEREF _Toc139969263 \h </w:instrText>
        </w:r>
        <w:r w:rsidR="00315D48">
          <w:rPr>
            <w:noProof/>
            <w:webHidden/>
          </w:rPr>
        </w:r>
        <w:r w:rsidR="00315D48">
          <w:rPr>
            <w:noProof/>
            <w:webHidden/>
          </w:rPr>
          <w:fldChar w:fldCharType="separate"/>
        </w:r>
        <w:r w:rsidR="00315D48">
          <w:rPr>
            <w:noProof/>
            <w:webHidden/>
          </w:rPr>
          <w:t>207</w:t>
        </w:r>
        <w:r w:rsidR="00315D48">
          <w:rPr>
            <w:noProof/>
            <w:webHidden/>
          </w:rPr>
          <w:fldChar w:fldCharType="end"/>
        </w:r>
      </w:hyperlink>
    </w:p>
    <w:p w14:paraId="50652FE2" w14:textId="54A95A54" w:rsidR="00315D48" w:rsidRDefault="001C7A9B">
      <w:pPr>
        <w:pStyle w:val="TableofFigures"/>
        <w:tabs>
          <w:tab w:val="right" w:leader="dot" w:pos="9854"/>
        </w:tabs>
        <w:rPr>
          <w:rFonts w:eastAsiaTheme="minorEastAsia"/>
          <w:noProof/>
          <w:color w:val="auto"/>
          <w:kern w:val="0"/>
          <w:sz w:val="22"/>
          <w:szCs w:val="22"/>
          <w:lang w:eastAsia="en-AU"/>
        </w:rPr>
      </w:pPr>
      <w:hyperlink w:anchor="_Toc139969264" w:history="1">
        <w:r w:rsidR="00315D48" w:rsidRPr="00D91CA2">
          <w:rPr>
            <w:rStyle w:val="Hyperlink"/>
            <w:noProof/>
          </w:rPr>
          <w:t>Table 106: Reform options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_Toc139969264 \h </w:instrText>
        </w:r>
        <w:r w:rsidR="00315D48">
          <w:rPr>
            <w:noProof/>
            <w:webHidden/>
          </w:rPr>
        </w:r>
        <w:r w:rsidR="00315D48">
          <w:rPr>
            <w:noProof/>
            <w:webHidden/>
          </w:rPr>
          <w:fldChar w:fldCharType="separate"/>
        </w:r>
        <w:r w:rsidR="00315D48">
          <w:rPr>
            <w:noProof/>
            <w:webHidden/>
          </w:rPr>
          <w:t>211</w:t>
        </w:r>
        <w:r w:rsidR="00315D48">
          <w:rPr>
            <w:noProof/>
            <w:webHidden/>
          </w:rPr>
          <w:fldChar w:fldCharType="end"/>
        </w:r>
      </w:hyperlink>
    </w:p>
    <w:p w14:paraId="54EAE4A4" w14:textId="58B5B7BB" w:rsidR="00315D48" w:rsidRDefault="001C7A9B">
      <w:pPr>
        <w:pStyle w:val="TableofFigures"/>
        <w:tabs>
          <w:tab w:val="right" w:leader="dot" w:pos="9854"/>
        </w:tabs>
        <w:rPr>
          <w:rFonts w:eastAsiaTheme="minorEastAsia"/>
          <w:noProof/>
          <w:color w:val="auto"/>
          <w:kern w:val="0"/>
          <w:sz w:val="22"/>
          <w:szCs w:val="22"/>
          <w:lang w:eastAsia="en-AU"/>
        </w:rPr>
      </w:pPr>
      <w:hyperlink w:anchor="_Toc139969265" w:history="1">
        <w:r w:rsidR="00315D48" w:rsidRPr="00D91CA2">
          <w:rPr>
            <w:rStyle w:val="Hyperlink"/>
            <w:noProof/>
          </w:rPr>
          <w:t>Table 107: Benefit-cost ratios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_Toc139969265 \h </w:instrText>
        </w:r>
        <w:r w:rsidR="00315D48">
          <w:rPr>
            <w:noProof/>
            <w:webHidden/>
          </w:rPr>
        </w:r>
        <w:r w:rsidR="00315D48">
          <w:rPr>
            <w:noProof/>
            <w:webHidden/>
          </w:rPr>
          <w:fldChar w:fldCharType="separate"/>
        </w:r>
        <w:r w:rsidR="00315D48">
          <w:rPr>
            <w:noProof/>
            <w:webHidden/>
          </w:rPr>
          <w:t>212</w:t>
        </w:r>
        <w:r w:rsidR="00315D48">
          <w:rPr>
            <w:noProof/>
            <w:webHidden/>
          </w:rPr>
          <w:fldChar w:fldCharType="end"/>
        </w:r>
      </w:hyperlink>
    </w:p>
    <w:p w14:paraId="525244DD" w14:textId="6BB291FB" w:rsidR="00315D48" w:rsidRDefault="001C7A9B">
      <w:pPr>
        <w:pStyle w:val="TableofFigures"/>
        <w:tabs>
          <w:tab w:val="right" w:leader="dot" w:pos="9854"/>
        </w:tabs>
        <w:rPr>
          <w:rFonts w:eastAsiaTheme="minorEastAsia"/>
          <w:noProof/>
          <w:color w:val="auto"/>
          <w:kern w:val="0"/>
          <w:sz w:val="22"/>
          <w:szCs w:val="22"/>
          <w:lang w:eastAsia="en-AU"/>
        </w:rPr>
      </w:pPr>
      <w:hyperlink w:anchor="_Toc139969266" w:history="1">
        <w:r w:rsidR="00315D48" w:rsidRPr="00D91CA2">
          <w:rPr>
            <w:rStyle w:val="Hyperlink"/>
            <w:noProof/>
          </w:rPr>
          <w:t>Table 108: Qualitative benefits for signals and process for requesting boarding devices</w:t>
        </w:r>
        <w:r w:rsidR="00315D48">
          <w:rPr>
            <w:noProof/>
            <w:webHidden/>
          </w:rPr>
          <w:tab/>
        </w:r>
        <w:r w:rsidR="00315D48">
          <w:rPr>
            <w:noProof/>
            <w:webHidden/>
          </w:rPr>
          <w:fldChar w:fldCharType="begin"/>
        </w:r>
        <w:r w:rsidR="00315D48">
          <w:rPr>
            <w:noProof/>
            <w:webHidden/>
          </w:rPr>
          <w:instrText xml:space="preserve"> PAGEREF _Toc139969266 \h </w:instrText>
        </w:r>
        <w:r w:rsidR="00315D48">
          <w:rPr>
            <w:noProof/>
            <w:webHidden/>
          </w:rPr>
        </w:r>
        <w:r w:rsidR="00315D48">
          <w:rPr>
            <w:noProof/>
            <w:webHidden/>
          </w:rPr>
          <w:fldChar w:fldCharType="separate"/>
        </w:r>
        <w:r w:rsidR="00315D48">
          <w:rPr>
            <w:noProof/>
            <w:webHidden/>
          </w:rPr>
          <w:t>213</w:t>
        </w:r>
        <w:r w:rsidR="00315D48">
          <w:rPr>
            <w:noProof/>
            <w:webHidden/>
          </w:rPr>
          <w:fldChar w:fldCharType="end"/>
        </w:r>
      </w:hyperlink>
    </w:p>
    <w:p w14:paraId="3928B198" w14:textId="6081A326" w:rsidR="00315D48" w:rsidRDefault="001C7A9B">
      <w:pPr>
        <w:pStyle w:val="TableofFigures"/>
        <w:tabs>
          <w:tab w:val="right" w:leader="dot" w:pos="9854"/>
        </w:tabs>
        <w:rPr>
          <w:rFonts w:eastAsiaTheme="minorEastAsia"/>
          <w:noProof/>
          <w:color w:val="auto"/>
          <w:kern w:val="0"/>
          <w:sz w:val="22"/>
          <w:szCs w:val="22"/>
          <w:lang w:eastAsia="en-AU"/>
        </w:rPr>
      </w:pPr>
      <w:hyperlink w:anchor="_Toc139969267" w:history="1">
        <w:r w:rsidR="00315D48" w:rsidRPr="00D91CA2">
          <w:rPr>
            <w:rStyle w:val="Hyperlink"/>
            <w:noProof/>
          </w:rPr>
          <w:t>Table 109: Reform options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_Toc139969267 \h </w:instrText>
        </w:r>
        <w:r w:rsidR="00315D48">
          <w:rPr>
            <w:noProof/>
            <w:webHidden/>
          </w:rPr>
        </w:r>
        <w:r w:rsidR="00315D48">
          <w:rPr>
            <w:noProof/>
            <w:webHidden/>
          </w:rPr>
          <w:fldChar w:fldCharType="separate"/>
        </w:r>
        <w:r w:rsidR="00315D48">
          <w:rPr>
            <w:noProof/>
            <w:webHidden/>
          </w:rPr>
          <w:t>217</w:t>
        </w:r>
        <w:r w:rsidR="00315D48">
          <w:rPr>
            <w:noProof/>
            <w:webHidden/>
          </w:rPr>
          <w:fldChar w:fldCharType="end"/>
        </w:r>
      </w:hyperlink>
    </w:p>
    <w:p w14:paraId="6931EFDB" w14:textId="1078DF75" w:rsidR="00315D48" w:rsidRDefault="001C7A9B">
      <w:pPr>
        <w:pStyle w:val="TableofFigures"/>
        <w:tabs>
          <w:tab w:val="right" w:leader="dot" w:pos="9854"/>
        </w:tabs>
        <w:rPr>
          <w:rFonts w:eastAsiaTheme="minorEastAsia"/>
          <w:noProof/>
          <w:color w:val="auto"/>
          <w:kern w:val="0"/>
          <w:sz w:val="22"/>
          <w:szCs w:val="22"/>
          <w:lang w:eastAsia="en-AU"/>
        </w:rPr>
      </w:pPr>
      <w:hyperlink w:anchor="_Toc139969268" w:history="1">
        <w:r w:rsidR="00315D48" w:rsidRPr="00D91CA2">
          <w:rPr>
            <w:rStyle w:val="Hyperlink"/>
            <w:noProof/>
          </w:rPr>
          <w:t>Table 110: Benefit-cost ratios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_Toc139969268 \h </w:instrText>
        </w:r>
        <w:r w:rsidR="00315D48">
          <w:rPr>
            <w:noProof/>
            <w:webHidden/>
          </w:rPr>
        </w:r>
        <w:r w:rsidR="00315D48">
          <w:rPr>
            <w:noProof/>
            <w:webHidden/>
          </w:rPr>
          <w:fldChar w:fldCharType="separate"/>
        </w:r>
        <w:r w:rsidR="00315D48">
          <w:rPr>
            <w:noProof/>
            <w:webHidden/>
          </w:rPr>
          <w:t>218</w:t>
        </w:r>
        <w:r w:rsidR="00315D48">
          <w:rPr>
            <w:noProof/>
            <w:webHidden/>
          </w:rPr>
          <w:fldChar w:fldCharType="end"/>
        </w:r>
      </w:hyperlink>
    </w:p>
    <w:p w14:paraId="3BCB8405" w14:textId="2DF3F384" w:rsidR="00315D48" w:rsidRDefault="001C7A9B">
      <w:pPr>
        <w:pStyle w:val="TableofFigures"/>
        <w:tabs>
          <w:tab w:val="right" w:leader="dot" w:pos="9854"/>
        </w:tabs>
        <w:rPr>
          <w:rFonts w:eastAsiaTheme="minorEastAsia"/>
          <w:noProof/>
          <w:color w:val="auto"/>
          <w:kern w:val="0"/>
          <w:sz w:val="22"/>
          <w:szCs w:val="22"/>
          <w:lang w:eastAsia="en-AU"/>
        </w:rPr>
      </w:pPr>
      <w:hyperlink w:anchor="_Toc139969269" w:history="1">
        <w:r w:rsidR="00315D48" w:rsidRPr="00D91CA2">
          <w:rPr>
            <w:rStyle w:val="Hyperlink"/>
            <w:noProof/>
          </w:rPr>
          <w:t>Table 111: Qualitative benefits for notification by passenger of need for boarding device</w:t>
        </w:r>
        <w:r w:rsidR="00315D48">
          <w:rPr>
            <w:noProof/>
            <w:webHidden/>
          </w:rPr>
          <w:tab/>
        </w:r>
        <w:r w:rsidR="00315D48">
          <w:rPr>
            <w:noProof/>
            <w:webHidden/>
          </w:rPr>
          <w:fldChar w:fldCharType="begin"/>
        </w:r>
        <w:r w:rsidR="00315D48">
          <w:rPr>
            <w:noProof/>
            <w:webHidden/>
          </w:rPr>
          <w:instrText xml:space="preserve"> PAGEREF _Toc139969269 \h </w:instrText>
        </w:r>
        <w:r w:rsidR="00315D48">
          <w:rPr>
            <w:noProof/>
            <w:webHidden/>
          </w:rPr>
        </w:r>
        <w:r w:rsidR="00315D48">
          <w:rPr>
            <w:noProof/>
            <w:webHidden/>
          </w:rPr>
          <w:fldChar w:fldCharType="separate"/>
        </w:r>
        <w:r w:rsidR="00315D48">
          <w:rPr>
            <w:noProof/>
            <w:webHidden/>
          </w:rPr>
          <w:t>219</w:t>
        </w:r>
        <w:r w:rsidR="00315D48">
          <w:rPr>
            <w:noProof/>
            <w:webHidden/>
          </w:rPr>
          <w:fldChar w:fldCharType="end"/>
        </w:r>
      </w:hyperlink>
    </w:p>
    <w:p w14:paraId="09947708" w14:textId="644B7CBF" w:rsidR="00315D48" w:rsidRDefault="001C7A9B">
      <w:pPr>
        <w:pStyle w:val="TableofFigures"/>
        <w:tabs>
          <w:tab w:val="right" w:leader="dot" w:pos="9854"/>
        </w:tabs>
        <w:rPr>
          <w:rFonts w:eastAsiaTheme="minorEastAsia"/>
          <w:noProof/>
          <w:color w:val="auto"/>
          <w:kern w:val="0"/>
          <w:sz w:val="22"/>
          <w:szCs w:val="22"/>
          <w:lang w:eastAsia="en-AU"/>
        </w:rPr>
      </w:pPr>
      <w:hyperlink w:anchor="_Toc139969270" w:history="1">
        <w:r w:rsidR="00315D48" w:rsidRPr="00D91CA2">
          <w:rPr>
            <w:rStyle w:val="Hyperlink"/>
            <w:noProof/>
          </w:rPr>
          <w:t>Table 112: Reform options for portable boarding ramp edge barriers</w:t>
        </w:r>
        <w:r w:rsidR="00315D48">
          <w:rPr>
            <w:noProof/>
            <w:webHidden/>
          </w:rPr>
          <w:tab/>
        </w:r>
        <w:r w:rsidR="00315D48">
          <w:rPr>
            <w:noProof/>
            <w:webHidden/>
          </w:rPr>
          <w:fldChar w:fldCharType="begin"/>
        </w:r>
        <w:r w:rsidR="00315D48">
          <w:rPr>
            <w:noProof/>
            <w:webHidden/>
          </w:rPr>
          <w:instrText xml:space="preserve"> PAGEREF _Toc139969270 \h </w:instrText>
        </w:r>
        <w:r w:rsidR="00315D48">
          <w:rPr>
            <w:noProof/>
            <w:webHidden/>
          </w:rPr>
        </w:r>
        <w:r w:rsidR="00315D48">
          <w:rPr>
            <w:noProof/>
            <w:webHidden/>
          </w:rPr>
          <w:fldChar w:fldCharType="separate"/>
        </w:r>
        <w:r w:rsidR="00315D48">
          <w:rPr>
            <w:noProof/>
            <w:webHidden/>
          </w:rPr>
          <w:t>222</w:t>
        </w:r>
        <w:r w:rsidR="00315D48">
          <w:rPr>
            <w:noProof/>
            <w:webHidden/>
          </w:rPr>
          <w:fldChar w:fldCharType="end"/>
        </w:r>
      </w:hyperlink>
    </w:p>
    <w:p w14:paraId="1FA71EC3" w14:textId="73A3DC71" w:rsidR="00315D48" w:rsidRDefault="001C7A9B">
      <w:pPr>
        <w:pStyle w:val="TableofFigures"/>
        <w:tabs>
          <w:tab w:val="right" w:leader="dot" w:pos="9854"/>
        </w:tabs>
        <w:rPr>
          <w:rFonts w:eastAsiaTheme="minorEastAsia"/>
          <w:noProof/>
          <w:color w:val="auto"/>
          <w:kern w:val="0"/>
          <w:sz w:val="22"/>
          <w:szCs w:val="22"/>
          <w:lang w:eastAsia="en-AU"/>
        </w:rPr>
      </w:pPr>
      <w:hyperlink w:anchor="_Toc139969271" w:history="1">
        <w:r w:rsidR="00315D48" w:rsidRPr="00D91CA2">
          <w:rPr>
            <w:rStyle w:val="Hyperlink"/>
            <w:noProof/>
          </w:rPr>
          <w:t>Table 113: Benefit-cost ratios for portable boarding ramp edge barriers</w:t>
        </w:r>
        <w:r w:rsidR="00315D48">
          <w:rPr>
            <w:noProof/>
            <w:webHidden/>
          </w:rPr>
          <w:tab/>
        </w:r>
        <w:r w:rsidR="00315D48">
          <w:rPr>
            <w:noProof/>
            <w:webHidden/>
          </w:rPr>
          <w:fldChar w:fldCharType="begin"/>
        </w:r>
        <w:r w:rsidR="00315D48">
          <w:rPr>
            <w:noProof/>
            <w:webHidden/>
          </w:rPr>
          <w:instrText xml:space="preserve"> PAGEREF _Toc139969271 \h </w:instrText>
        </w:r>
        <w:r w:rsidR="00315D48">
          <w:rPr>
            <w:noProof/>
            <w:webHidden/>
          </w:rPr>
        </w:r>
        <w:r w:rsidR="00315D48">
          <w:rPr>
            <w:noProof/>
            <w:webHidden/>
          </w:rPr>
          <w:fldChar w:fldCharType="separate"/>
        </w:r>
        <w:r w:rsidR="00315D48">
          <w:rPr>
            <w:noProof/>
            <w:webHidden/>
          </w:rPr>
          <w:t>223</w:t>
        </w:r>
        <w:r w:rsidR="00315D48">
          <w:rPr>
            <w:noProof/>
            <w:webHidden/>
          </w:rPr>
          <w:fldChar w:fldCharType="end"/>
        </w:r>
      </w:hyperlink>
    </w:p>
    <w:p w14:paraId="6953E2CC" w14:textId="512C6C6F" w:rsidR="00315D48" w:rsidRDefault="001C7A9B">
      <w:pPr>
        <w:pStyle w:val="TableofFigures"/>
        <w:tabs>
          <w:tab w:val="right" w:leader="dot" w:pos="9854"/>
        </w:tabs>
        <w:rPr>
          <w:rFonts w:eastAsiaTheme="minorEastAsia"/>
          <w:noProof/>
          <w:color w:val="auto"/>
          <w:kern w:val="0"/>
          <w:sz w:val="22"/>
          <w:szCs w:val="22"/>
          <w:lang w:eastAsia="en-AU"/>
        </w:rPr>
      </w:pPr>
      <w:hyperlink w:anchor="_Toc139969272" w:history="1">
        <w:r w:rsidR="00315D48" w:rsidRPr="00D91CA2">
          <w:rPr>
            <w:rStyle w:val="Hyperlink"/>
            <w:noProof/>
          </w:rPr>
          <w:t>Table 114: Qualitative benefits for portable boarding ramp edge barriers</w:t>
        </w:r>
        <w:r w:rsidR="00315D48">
          <w:rPr>
            <w:noProof/>
            <w:webHidden/>
          </w:rPr>
          <w:tab/>
        </w:r>
        <w:r w:rsidR="00315D48">
          <w:rPr>
            <w:noProof/>
            <w:webHidden/>
          </w:rPr>
          <w:fldChar w:fldCharType="begin"/>
        </w:r>
        <w:r w:rsidR="00315D48">
          <w:rPr>
            <w:noProof/>
            <w:webHidden/>
          </w:rPr>
          <w:instrText xml:space="preserve"> PAGEREF _Toc139969272 \h </w:instrText>
        </w:r>
        <w:r w:rsidR="00315D48">
          <w:rPr>
            <w:noProof/>
            <w:webHidden/>
          </w:rPr>
        </w:r>
        <w:r w:rsidR="00315D48">
          <w:rPr>
            <w:noProof/>
            <w:webHidden/>
          </w:rPr>
          <w:fldChar w:fldCharType="separate"/>
        </w:r>
        <w:r w:rsidR="00315D48">
          <w:rPr>
            <w:noProof/>
            <w:webHidden/>
          </w:rPr>
          <w:t>224</w:t>
        </w:r>
        <w:r w:rsidR="00315D48">
          <w:rPr>
            <w:noProof/>
            <w:webHidden/>
          </w:rPr>
          <w:fldChar w:fldCharType="end"/>
        </w:r>
      </w:hyperlink>
    </w:p>
    <w:p w14:paraId="5230A2A5" w14:textId="6C64A04F" w:rsidR="00315D48" w:rsidRDefault="001C7A9B">
      <w:pPr>
        <w:pStyle w:val="TableofFigures"/>
        <w:tabs>
          <w:tab w:val="right" w:leader="dot" w:pos="9854"/>
        </w:tabs>
        <w:rPr>
          <w:rFonts w:eastAsiaTheme="minorEastAsia"/>
          <w:noProof/>
          <w:color w:val="auto"/>
          <w:kern w:val="0"/>
          <w:sz w:val="22"/>
          <w:szCs w:val="22"/>
          <w:lang w:eastAsia="en-AU"/>
        </w:rPr>
      </w:pPr>
      <w:hyperlink w:anchor="_Toc139969273" w:history="1">
        <w:r w:rsidR="00315D48" w:rsidRPr="00D91CA2">
          <w:rPr>
            <w:rStyle w:val="Hyperlink"/>
            <w:noProof/>
          </w:rPr>
          <w:t>Table 115: Reform options for Boarding ramp and removable gangway definitions</w:t>
        </w:r>
        <w:r w:rsidR="00315D48">
          <w:rPr>
            <w:noProof/>
            <w:webHidden/>
          </w:rPr>
          <w:tab/>
        </w:r>
        <w:r w:rsidR="00315D48">
          <w:rPr>
            <w:noProof/>
            <w:webHidden/>
          </w:rPr>
          <w:fldChar w:fldCharType="begin"/>
        </w:r>
        <w:r w:rsidR="00315D48">
          <w:rPr>
            <w:noProof/>
            <w:webHidden/>
          </w:rPr>
          <w:instrText xml:space="preserve"> PAGEREF _Toc139969273 \h </w:instrText>
        </w:r>
        <w:r w:rsidR="00315D48">
          <w:rPr>
            <w:noProof/>
            <w:webHidden/>
          </w:rPr>
        </w:r>
        <w:r w:rsidR="00315D48">
          <w:rPr>
            <w:noProof/>
            <w:webHidden/>
          </w:rPr>
          <w:fldChar w:fldCharType="separate"/>
        </w:r>
        <w:r w:rsidR="00315D48">
          <w:rPr>
            <w:noProof/>
            <w:webHidden/>
          </w:rPr>
          <w:t>228</w:t>
        </w:r>
        <w:r w:rsidR="00315D48">
          <w:rPr>
            <w:noProof/>
            <w:webHidden/>
          </w:rPr>
          <w:fldChar w:fldCharType="end"/>
        </w:r>
      </w:hyperlink>
    </w:p>
    <w:p w14:paraId="2EDC7B6B" w14:textId="1115B7B3" w:rsidR="00315D48" w:rsidRDefault="001C7A9B">
      <w:pPr>
        <w:pStyle w:val="TableofFigures"/>
        <w:tabs>
          <w:tab w:val="right" w:leader="dot" w:pos="9854"/>
        </w:tabs>
        <w:rPr>
          <w:rFonts w:eastAsiaTheme="minorEastAsia"/>
          <w:noProof/>
          <w:color w:val="auto"/>
          <w:kern w:val="0"/>
          <w:sz w:val="22"/>
          <w:szCs w:val="22"/>
          <w:lang w:eastAsia="en-AU"/>
        </w:rPr>
      </w:pPr>
      <w:hyperlink w:anchor="_Toc139969274" w:history="1">
        <w:r w:rsidR="00315D48" w:rsidRPr="00D91CA2">
          <w:rPr>
            <w:rStyle w:val="Hyperlink"/>
            <w:noProof/>
          </w:rPr>
          <w:t>Table 116: Reform options for removable gangway design – ferries</w:t>
        </w:r>
        <w:r w:rsidR="00315D48">
          <w:rPr>
            <w:noProof/>
            <w:webHidden/>
          </w:rPr>
          <w:tab/>
        </w:r>
        <w:r w:rsidR="00315D48">
          <w:rPr>
            <w:noProof/>
            <w:webHidden/>
          </w:rPr>
          <w:fldChar w:fldCharType="begin"/>
        </w:r>
        <w:r w:rsidR="00315D48">
          <w:rPr>
            <w:noProof/>
            <w:webHidden/>
          </w:rPr>
          <w:instrText xml:space="preserve"> PAGEREF _Toc139969274 \h </w:instrText>
        </w:r>
        <w:r w:rsidR="00315D48">
          <w:rPr>
            <w:noProof/>
            <w:webHidden/>
          </w:rPr>
        </w:r>
        <w:r w:rsidR="00315D48">
          <w:rPr>
            <w:noProof/>
            <w:webHidden/>
          </w:rPr>
          <w:fldChar w:fldCharType="separate"/>
        </w:r>
        <w:r w:rsidR="00315D48">
          <w:rPr>
            <w:noProof/>
            <w:webHidden/>
          </w:rPr>
          <w:t>232</w:t>
        </w:r>
        <w:r w:rsidR="00315D48">
          <w:rPr>
            <w:noProof/>
            <w:webHidden/>
          </w:rPr>
          <w:fldChar w:fldCharType="end"/>
        </w:r>
      </w:hyperlink>
    </w:p>
    <w:p w14:paraId="5B778BCA" w14:textId="7FDF16ED" w:rsidR="00315D48" w:rsidRDefault="001C7A9B">
      <w:pPr>
        <w:pStyle w:val="TableofFigures"/>
        <w:tabs>
          <w:tab w:val="right" w:leader="dot" w:pos="9854"/>
        </w:tabs>
        <w:rPr>
          <w:rFonts w:eastAsiaTheme="minorEastAsia"/>
          <w:noProof/>
          <w:color w:val="auto"/>
          <w:kern w:val="0"/>
          <w:sz w:val="22"/>
          <w:szCs w:val="22"/>
          <w:lang w:eastAsia="en-AU"/>
        </w:rPr>
      </w:pPr>
      <w:hyperlink w:anchor="_Toc139969275" w:history="1">
        <w:r w:rsidR="00315D48" w:rsidRPr="00D91CA2">
          <w:rPr>
            <w:rStyle w:val="Hyperlink"/>
            <w:noProof/>
          </w:rPr>
          <w:t>Table 117: Benefit-cost ratios for removable gangway design – ferries</w:t>
        </w:r>
        <w:r w:rsidR="00315D48">
          <w:rPr>
            <w:noProof/>
            <w:webHidden/>
          </w:rPr>
          <w:tab/>
        </w:r>
        <w:r w:rsidR="00315D48">
          <w:rPr>
            <w:noProof/>
            <w:webHidden/>
          </w:rPr>
          <w:fldChar w:fldCharType="begin"/>
        </w:r>
        <w:r w:rsidR="00315D48">
          <w:rPr>
            <w:noProof/>
            <w:webHidden/>
          </w:rPr>
          <w:instrText xml:space="preserve"> PAGEREF _Toc139969275 \h </w:instrText>
        </w:r>
        <w:r w:rsidR="00315D48">
          <w:rPr>
            <w:noProof/>
            <w:webHidden/>
          </w:rPr>
        </w:r>
        <w:r w:rsidR="00315D48">
          <w:rPr>
            <w:noProof/>
            <w:webHidden/>
          </w:rPr>
          <w:fldChar w:fldCharType="separate"/>
        </w:r>
        <w:r w:rsidR="00315D48">
          <w:rPr>
            <w:noProof/>
            <w:webHidden/>
          </w:rPr>
          <w:t>233</w:t>
        </w:r>
        <w:r w:rsidR="00315D48">
          <w:rPr>
            <w:noProof/>
            <w:webHidden/>
          </w:rPr>
          <w:fldChar w:fldCharType="end"/>
        </w:r>
      </w:hyperlink>
    </w:p>
    <w:p w14:paraId="143AAF02" w14:textId="6E8346FA" w:rsidR="00315D48" w:rsidRDefault="001C7A9B">
      <w:pPr>
        <w:pStyle w:val="TableofFigures"/>
        <w:tabs>
          <w:tab w:val="right" w:leader="dot" w:pos="9854"/>
        </w:tabs>
        <w:rPr>
          <w:rFonts w:eastAsiaTheme="minorEastAsia"/>
          <w:noProof/>
          <w:color w:val="auto"/>
          <w:kern w:val="0"/>
          <w:sz w:val="22"/>
          <w:szCs w:val="22"/>
          <w:lang w:eastAsia="en-AU"/>
        </w:rPr>
      </w:pPr>
      <w:hyperlink w:anchor="_Toc139969276" w:history="1">
        <w:r w:rsidR="00315D48" w:rsidRPr="00D91CA2">
          <w:rPr>
            <w:rStyle w:val="Hyperlink"/>
            <w:noProof/>
          </w:rPr>
          <w:t>Table 118: Qualitative benefits for removable gangway design – ferries</w:t>
        </w:r>
        <w:r w:rsidR="00315D48">
          <w:rPr>
            <w:noProof/>
            <w:webHidden/>
          </w:rPr>
          <w:tab/>
        </w:r>
        <w:r w:rsidR="00315D48">
          <w:rPr>
            <w:noProof/>
            <w:webHidden/>
          </w:rPr>
          <w:fldChar w:fldCharType="begin"/>
        </w:r>
        <w:r w:rsidR="00315D48">
          <w:rPr>
            <w:noProof/>
            <w:webHidden/>
          </w:rPr>
          <w:instrText xml:space="preserve"> PAGEREF _Toc139969276 \h </w:instrText>
        </w:r>
        <w:r w:rsidR="00315D48">
          <w:rPr>
            <w:noProof/>
            <w:webHidden/>
          </w:rPr>
        </w:r>
        <w:r w:rsidR="00315D48">
          <w:rPr>
            <w:noProof/>
            <w:webHidden/>
          </w:rPr>
          <w:fldChar w:fldCharType="separate"/>
        </w:r>
        <w:r w:rsidR="00315D48">
          <w:rPr>
            <w:noProof/>
            <w:webHidden/>
          </w:rPr>
          <w:t>233</w:t>
        </w:r>
        <w:r w:rsidR="00315D48">
          <w:rPr>
            <w:noProof/>
            <w:webHidden/>
          </w:rPr>
          <w:fldChar w:fldCharType="end"/>
        </w:r>
      </w:hyperlink>
    </w:p>
    <w:p w14:paraId="2A58A569" w14:textId="7323F51A" w:rsidR="00315D48" w:rsidRDefault="001C7A9B">
      <w:pPr>
        <w:pStyle w:val="TableofFigures"/>
        <w:tabs>
          <w:tab w:val="right" w:leader="dot" w:pos="9854"/>
        </w:tabs>
        <w:rPr>
          <w:rFonts w:eastAsiaTheme="minorEastAsia"/>
          <w:noProof/>
          <w:color w:val="auto"/>
          <w:kern w:val="0"/>
          <w:sz w:val="22"/>
          <w:szCs w:val="22"/>
          <w:lang w:eastAsia="en-AU"/>
        </w:rPr>
      </w:pPr>
      <w:hyperlink w:anchor="_Toc139969277" w:history="1">
        <w:r w:rsidR="00315D48" w:rsidRPr="00D91CA2">
          <w:rPr>
            <w:rStyle w:val="Hyperlink"/>
            <w:noProof/>
          </w:rPr>
          <w:t>Table 119: Reform options for nominated assistance boarding points</w:t>
        </w:r>
        <w:r w:rsidR="00315D48">
          <w:rPr>
            <w:noProof/>
            <w:webHidden/>
          </w:rPr>
          <w:tab/>
        </w:r>
        <w:r w:rsidR="00315D48">
          <w:rPr>
            <w:noProof/>
            <w:webHidden/>
          </w:rPr>
          <w:fldChar w:fldCharType="begin"/>
        </w:r>
        <w:r w:rsidR="00315D48">
          <w:rPr>
            <w:noProof/>
            <w:webHidden/>
          </w:rPr>
          <w:instrText xml:space="preserve"> PAGEREF _Toc139969277 \h </w:instrText>
        </w:r>
        <w:r w:rsidR="00315D48">
          <w:rPr>
            <w:noProof/>
            <w:webHidden/>
          </w:rPr>
        </w:r>
        <w:r w:rsidR="00315D48">
          <w:rPr>
            <w:noProof/>
            <w:webHidden/>
          </w:rPr>
          <w:fldChar w:fldCharType="separate"/>
        </w:r>
        <w:r w:rsidR="00315D48">
          <w:rPr>
            <w:noProof/>
            <w:webHidden/>
          </w:rPr>
          <w:t>238</w:t>
        </w:r>
        <w:r w:rsidR="00315D48">
          <w:rPr>
            <w:noProof/>
            <w:webHidden/>
          </w:rPr>
          <w:fldChar w:fldCharType="end"/>
        </w:r>
      </w:hyperlink>
    </w:p>
    <w:p w14:paraId="25CE8423" w14:textId="7570380C" w:rsidR="00315D48" w:rsidRDefault="001C7A9B">
      <w:pPr>
        <w:pStyle w:val="TableofFigures"/>
        <w:tabs>
          <w:tab w:val="right" w:leader="dot" w:pos="9854"/>
        </w:tabs>
        <w:rPr>
          <w:rFonts w:eastAsiaTheme="minorEastAsia"/>
          <w:noProof/>
          <w:color w:val="auto"/>
          <w:kern w:val="0"/>
          <w:sz w:val="22"/>
          <w:szCs w:val="22"/>
          <w:lang w:eastAsia="en-AU"/>
        </w:rPr>
      </w:pPr>
      <w:hyperlink w:anchor="_Toc139969278" w:history="1">
        <w:r w:rsidR="00315D48" w:rsidRPr="00D91CA2">
          <w:rPr>
            <w:rStyle w:val="Hyperlink"/>
            <w:noProof/>
          </w:rPr>
          <w:t>Table 120: Benefit-cost ratios for nominated assistance boarding points</w:t>
        </w:r>
        <w:r w:rsidR="00315D48">
          <w:rPr>
            <w:noProof/>
            <w:webHidden/>
          </w:rPr>
          <w:tab/>
        </w:r>
        <w:r w:rsidR="00315D48">
          <w:rPr>
            <w:noProof/>
            <w:webHidden/>
          </w:rPr>
          <w:fldChar w:fldCharType="begin"/>
        </w:r>
        <w:r w:rsidR="00315D48">
          <w:rPr>
            <w:noProof/>
            <w:webHidden/>
          </w:rPr>
          <w:instrText xml:space="preserve"> PAGEREF _Toc139969278 \h </w:instrText>
        </w:r>
        <w:r w:rsidR="00315D48">
          <w:rPr>
            <w:noProof/>
            <w:webHidden/>
          </w:rPr>
        </w:r>
        <w:r w:rsidR="00315D48">
          <w:rPr>
            <w:noProof/>
            <w:webHidden/>
          </w:rPr>
          <w:fldChar w:fldCharType="separate"/>
        </w:r>
        <w:r w:rsidR="00315D48">
          <w:rPr>
            <w:noProof/>
            <w:webHidden/>
          </w:rPr>
          <w:t>239</w:t>
        </w:r>
        <w:r w:rsidR="00315D48">
          <w:rPr>
            <w:noProof/>
            <w:webHidden/>
          </w:rPr>
          <w:fldChar w:fldCharType="end"/>
        </w:r>
      </w:hyperlink>
    </w:p>
    <w:p w14:paraId="7EB00821" w14:textId="4A50F20D" w:rsidR="00315D48" w:rsidRDefault="001C7A9B">
      <w:pPr>
        <w:pStyle w:val="TableofFigures"/>
        <w:tabs>
          <w:tab w:val="right" w:leader="dot" w:pos="9854"/>
        </w:tabs>
        <w:rPr>
          <w:rFonts w:eastAsiaTheme="minorEastAsia"/>
          <w:noProof/>
          <w:color w:val="auto"/>
          <w:kern w:val="0"/>
          <w:sz w:val="22"/>
          <w:szCs w:val="22"/>
          <w:lang w:eastAsia="en-AU"/>
        </w:rPr>
      </w:pPr>
      <w:hyperlink w:anchor="_Toc139969279" w:history="1">
        <w:r w:rsidR="00315D48" w:rsidRPr="00D91CA2">
          <w:rPr>
            <w:rStyle w:val="Hyperlink"/>
            <w:noProof/>
          </w:rPr>
          <w:t>Table 121: Qualitative benefits for nominated assistance boarding points</w:t>
        </w:r>
        <w:r w:rsidR="00315D48">
          <w:rPr>
            <w:noProof/>
            <w:webHidden/>
          </w:rPr>
          <w:tab/>
        </w:r>
        <w:r w:rsidR="00315D48">
          <w:rPr>
            <w:noProof/>
            <w:webHidden/>
          </w:rPr>
          <w:fldChar w:fldCharType="begin"/>
        </w:r>
        <w:r w:rsidR="00315D48">
          <w:rPr>
            <w:noProof/>
            <w:webHidden/>
          </w:rPr>
          <w:instrText xml:space="preserve"> PAGEREF _Toc139969279 \h </w:instrText>
        </w:r>
        <w:r w:rsidR="00315D48">
          <w:rPr>
            <w:noProof/>
            <w:webHidden/>
          </w:rPr>
        </w:r>
        <w:r w:rsidR="00315D48">
          <w:rPr>
            <w:noProof/>
            <w:webHidden/>
          </w:rPr>
          <w:fldChar w:fldCharType="separate"/>
        </w:r>
        <w:r w:rsidR="00315D48">
          <w:rPr>
            <w:noProof/>
            <w:webHidden/>
          </w:rPr>
          <w:t>240</w:t>
        </w:r>
        <w:r w:rsidR="00315D48">
          <w:rPr>
            <w:noProof/>
            <w:webHidden/>
          </w:rPr>
          <w:fldChar w:fldCharType="end"/>
        </w:r>
      </w:hyperlink>
    </w:p>
    <w:p w14:paraId="4234DCE3" w14:textId="2DAB3157" w:rsidR="00315D48" w:rsidRDefault="001C7A9B">
      <w:pPr>
        <w:pStyle w:val="TableofFigures"/>
        <w:tabs>
          <w:tab w:val="right" w:leader="dot" w:pos="9854"/>
        </w:tabs>
        <w:rPr>
          <w:rFonts w:eastAsiaTheme="minorEastAsia"/>
          <w:noProof/>
          <w:color w:val="auto"/>
          <w:kern w:val="0"/>
          <w:sz w:val="22"/>
          <w:szCs w:val="22"/>
          <w:lang w:eastAsia="en-AU"/>
        </w:rPr>
      </w:pPr>
      <w:hyperlink w:anchor="_Toc139969280" w:history="1">
        <w:r w:rsidR="00315D48" w:rsidRPr="00D91CA2">
          <w:rPr>
            <w:rStyle w:val="Hyperlink"/>
            <w:noProof/>
          </w:rPr>
          <w:t>Table 122: Reform options for identification of lead stops</w:t>
        </w:r>
        <w:r w:rsidR="00315D48">
          <w:rPr>
            <w:noProof/>
            <w:webHidden/>
          </w:rPr>
          <w:tab/>
        </w:r>
        <w:r w:rsidR="00315D48">
          <w:rPr>
            <w:noProof/>
            <w:webHidden/>
          </w:rPr>
          <w:fldChar w:fldCharType="begin"/>
        </w:r>
        <w:r w:rsidR="00315D48">
          <w:rPr>
            <w:noProof/>
            <w:webHidden/>
          </w:rPr>
          <w:instrText xml:space="preserve"> PAGEREF _Toc139969280 \h </w:instrText>
        </w:r>
        <w:r w:rsidR="00315D48">
          <w:rPr>
            <w:noProof/>
            <w:webHidden/>
          </w:rPr>
        </w:r>
        <w:r w:rsidR="00315D48">
          <w:rPr>
            <w:noProof/>
            <w:webHidden/>
          </w:rPr>
          <w:fldChar w:fldCharType="separate"/>
        </w:r>
        <w:r w:rsidR="00315D48">
          <w:rPr>
            <w:noProof/>
            <w:webHidden/>
          </w:rPr>
          <w:t>245</w:t>
        </w:r>
        <w:r w:rsidR="00315D48">
          <w:rPr>
            <w:noProof/>
            <w:webHidden/>
          </w:rPr>
          <w:fldChar w:fldCharType="end"/>
        </w:r>
      </w:hyperlink>
    </w:p>
    <w:p w14:paraId="010AD6E5" w14:textId="270B96C1" w:rsidR="00315D48" w:rsidRDefault="001C7A9B">
      <w:pPr>
        <w:pStyle w:val="TableofFigures"/>
        <w:tabs>
          <w:tab w:val="right" w:leader="dot" w:pos="9854"/>
        </w:tabs>
        <w:rPr>
          <w:rFonts w:eastAsiaTheme="minorEastAsia"/>
          <w:noProof/>
          <w:color w:val="auto"/>
          <w:kern w:val="0"/>
          <w:sz w:val="22"/>
          <w:szCs w:val="22"/>
          <w:lang w:eastAsia="en-AU"/>
        </w:rPr>
      </w:pPr>
      <w:hyperlink w:anchor="_Toc139969281" w:history="1">
        <w:r w:rsidR="00315D48" w:rsidRPr="00D91CA2">
          <w:rPr>
            <w:rStyle w:val="Hyperlink"/>
            <w:noProof/>
          </w:rPr>
          <w:t>Table 123: Benefit-cost ratios for identification of lead stops</w:t>
        </w:r>
        <w:r w:rsidR="00315D48">
          <w:rPr>
            <w:noProof/>
            <w:webHidden/>
          </w:rPr>
          <w:tab/>
        </w:r>
        <w:r w:rsidR="00315D48">
          <w:rPr>
            <w:noProof/>
            <w:webHidden/>
          </w:rPr>
          <w:fldChar w:fldCharType="begin"/>
        </w:r>
        <w:r w:rsidR="00315D48">
          <w:rPr>
            <w:noProof/>
            <w:webHidden/>
          </w:rPr>
          <w:instrText xml:space="preserve"> PAGEREF _Toc139969281 \h </w:instrText>
        </w:r>
        <w:r w:rsidR="00315D48">
          <w:rPr>
            <w:noProof/>
            <w:webHidden/>
          </w:rPr>
        </w:r>
        <w:r w:rsidR="00315D48">
          <w:rPr>
            <w:noProof/>
            <w:webHidden/>
          </w:rPr>
          <w:fldChar w:fldCharType="separate"/>
        </w:r>
        <w:r w:rsidR="00315D48">
          <w:rPr>
            <w:noProof/>
            <w:webHidden/>
          </w:rPr>
          <w:t>246</w:t>
        </w:r>
        <w:r w:rsidR="00315D48">
          <w:rPr>
            <w:noProof/>
            <w:webHidden/>
          </w:rPr>
          <w:fldChar w:fldCharType="end"/>
        </w:r>
      </w:hyperlink>
    </w:p>
    <w:p w14:paraId="17E2CE49" w14:textId="45A132A3" w:rsidR="00315D48" w:rsidRDefault="001C7A9B">
      <w:pPr>
        <w:pStyle w:val="TableofFigures"/>
        <w:tabs>
          <w:tab w:val="right" w:leader="dot" w:pos="9854"/>
        </w:tabs>
        <w:rPr>
          <w:rFonts w:eastAsiaTheme="minorEastAsia"/>
          <w:noProof/>
          <w:color w:val="auto"/>
          <w:kern w:val="0"/>
          <w:sz w:val="22"/>
          <w:szCs w:val="22"/>
          <w:lang w:eastAsia="en-AU"/>
        </w:rPr>
      </w:pPr>
      <w:hyperlink w:anchor="_Toc139969282" w:history="1">
        <w:r w:rsidR="00315D48" w:rsidRPr="00D91CA2">
          <w:rPr>
            <w:rStyle w:val="Hyperlink"/>
            <w:noProof/>
          </w:rPr>
          <w:t>Table 124: Qualitative benefits for identification of lead stops</w:t>
        </w:r>
        <w:r w:rsidR="00315D48">
          <w:rPr>
            <w:noProof/>
            <w:webHidden/>
          </w:rPr>
          <w:tab/>
        </w:r>
        <w:r w:rsidR="00315D48">
          <w:rPr>
            <w:noProof/>
            <w:webHidden/>
          </w:rPr>
          <w:fldChar w:fldCharType="begin"/>
        </w:r>
        <w:r w:rsidR="00315D48">
          <w:rPr>
            <w:noProof/>
            <w:webHidden/>
          </w:rPr>
          <w:instrText xml:space="preserve"> PAGEREF _Toc139969282 \h </w:instrText>
        </w:r>
        <w:r w:rsidR="00315D48">
          <w:rPr>
            <w:noProof/>
            <w:webHidden/>
          </w:rPr>
        </w:r>
        <w:r w:rsidR="00315D48">
          <w:rPr>
            <w:noProof/>
            <w:webHidden/>
          </w:rPr>
          <w:fldChar w:fldCharType="separate"/>
        </w:r>
        <w:r w:rsidR="00315D48">
          <w:rPr>
            <w:noProof/>
            <w:webHidden/>
          </w:rPr>
          <w:t>247</w:t>
        </w:r>
        <w:r w:rsidR="00315D48">
          <w:rPr>
            <w:noProof/>
            <w:webHidden/>
          </w:rPr>
          <w:fldChar w:fldCharType="end"/>
        </w:r>
      </w:hyperlink>
    </w:p>
    <w:p w14:paraId="731077BF" w14:textId="68EFC33B" w:rsidR="00315D48" w:rsidRDefault="001C7A9B">
      <w:pPr>
        <w:pStyle w:val="TableofFigures"/>
        <w:tabs>
          <w:tab w:val="right" w:leader="dot" w:pos="9854"/>
        </w:tabs>
        <w:rPr>
          <w:rFonts w:eastAsiaTheme="minorEastAsia"/>
          <w:noProof/>
          <w:color w:val="auto"/>
          <w:kern w:val="0"/>
          <w:sz w:val="22"/>
          <w:szCs w:val="22"/>
          <w:lang w:eastAsia="en-AU"/>
        </w:rPr>
      </w:pPr>
      <w:hyperlink w:anchor="_Toc139969283" w:history="1">
        <w:r w:rsidR="00315D48" w:rsidRPr="00D91CA2">
          <w:rPr>
            <w:rStyle w:val="Hyperlink"/>
            <w:noProof/>
          </w:rPr>
          <w:t>Table 125: Reform options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_Toc139969283 \h </w:instrText>
        </w:r>
        <w:r w:rsidR="00315D48">
          <w:rPr>
            <w:noProof/>
            <w:webHidden/>
          </w:rPr>
        </w:r>
        <w:r w:rsidR="00315D48">
          <w:rPr>
            <w:noProof/>
            <w:webHidden/>
          </w:rPr>
          <w:fldChar w:fldCharType="separate"/>
        </w:r>
        <w:r w:rsidR="00315D48">
          <w:rPr>
            <w:noProof/>
            <w:webHidden/>
          </w:rPr>
          <w:t>249</w:t>
        </w:r>
        <w:r w:rsidR="00315D48">
          <w:rPr>
            <w:noProof/>
            <w:webHidden/>
          </w:rPr>
          <w:fldChar w:fldCharType="end"/>
        </w:r>
      </w:hyperlink>
    </w:p>
    <w:p w14:paraId="59CECCB0" w14:textId="34C33DF0" w:rsidR="00315D48" w:rsidRDefault="001C7A9B">
      <w:pPr>
        <w:pStyle w:val="TableofFigures"/>
        <w:tabs>
          <w:tab w:val="right" w:leader="dot" w:pos="9854"/>
        </w:tabs>
        <w:rPr>
          <w:rFonts w:eastAsiaTheme="minorEastAsia"/>
          <w:noProof/>
          <w:color w:val="auto"/>
          <w:kern w:val="0"/>
          <w:sz w:val="22"/>
          <w:szCs w:val="22"/>
          <w:lang w:eastAsia="en-AU"/>
        </w:rPr>
      </w:pPr>
      <w:hyperlink w:anchor="_Toc139969284" w:history="1">
        <w:r w:rsidR="00315D48" w:rsidRPr="00D91CA2">
          <w:rPr>
            <w:rStyle w:val="Hyperlink"/>
            <w:noProof/>
          </w:rPr>
          <w:t>Table 126: Benefit-cost ratios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_Toc139969284 \h </w:instrText>
        </w:r>
        <w:r w:rsidR="00315D48">
          <w:rPr>
            <w:noProof/>
            <w:webHidden/>
          </w:rPr>
        </w:r>
        <w:r w:rsidR="00315D48">
          <w:rPr>
            <w:noProof/>
            <w:webHidden/>
          </w:rPr>
          <w:fldChar w:fldCharType="separate"/>
        </w:r>
        <w:r w:rsidR="00315D48">
          <w:rPr>
            <w:noProof/>
            <w:webHidden/>
          </w:rPr>
          <w:t>250</w:t>
        </w:r>
        <w:r w:rsidR="00315D48">
          <w:rPr>
            <w:noProof/>
            <w:webHidden/>
          </w:rPr>
          <w:fldChar w:fldCharType="end"/>
        </w:r>
      </w:hyperlink>
    </w:p>
    <w:p w14:paraId="6D8F6C8D" w14:textId="0E28684B" w:rsidR="00315D48" w:rsidRDefault="001C7A9B">
      <w:pPr>
        <w:pStyle w:val="TableofFigures"/>
        <w:tabs>
          <w:tab w:val="right" w:leader="dot" w:pos="9854"/>
        </w:tabs>
        <w:rPr>
          <w:rFonts w:eastAsiaTheme="minorEastAsia"/>
          <w:noProof/>
          <w:color w:val="auto"/>
          <w:kern w:val="0"/>
          <w:sz w:val="22"/>
          <w:szCs w:val="22"/>
          <w:lang w:eastAsia="en-AU"/>
        </w:rPr>
      </w:pPr>
      <w:hyperlink w:anchor="_Toc139969285" w:history="1">
        <w:r w:rsidR="00315D48" w:rsidRPr="00D91CA2">
          <w:rPr>
            <w:rStyle w:val="Hyperlink"/>
            <w:noProof/>
          </w:rPr>
          <w:t>Table 127: Qualitative benefits for pontoon boarding points on infrastructure</w:t>
        </w:r>
        <w:r w:rsidR="00315D48">
          <w:rPr>
            <w:noProof/>
            <w:webHidden/>
          </w:rPr>
          <w:tab/>
        </w:r>
        <w:r w:rsidR="00315D48">
          <w:rPr>
            <w:noProof/>
            <w:webHidden/>
          </w:rPr>
          <w:fldChar w:fldCharType="begin"/>
        </w:r>
        <w:r w:rsidR="00315D48">
          <w:rPr>
            <w:noProof/>
            <w:webHidden/>
          </w:rPr>
          <w:instrText xml:space="preserve"> PAGEREF _Toc139969285 \h </w:instrText>
        </w:r>
        <w:r w:rsidR="00315D48">
          <w:rPr>
            <w:noProof/>
            <w:webHidden/>
          </w:rPr>
        </w:r>
        <w:r w:rsidR="00315D48">
          <w:rPr>
            <w:noProof/>
            <w:webHidden/>
          </w:rPr>
          <w:fldChar w:fldCharType="separate"/>
        </w:r>
        <w:r w:rsidR="00315D48">
          <w:rPr>
            <w:noProof/>
            <w:webHidden/>
          </w:rPr>
          <w:t>250</w:t>
        </w:r>
        <w:r w:rsidR="00315D48">
          <w:rPr>
            <w:noProof/>
            <w:webHidden/>
          </w:rPr>
          <w:fldChar w:fldCharType="end"/>
        </w:r>
      </w:hyperlink>
    </w:p>
    <w:p w14:paraId="32445DA7" w14:textId="1ED41792" w:rsidR="00315D48" w:rsidRDefault="001C7A9B">
      <w:pPr>
        <w:pStyle w:val="TableofFigures"/>
        <w:tabs>
          <w:tab w:val="right" w:leader="dot" w:pos="9854"/>
        </w:tabs>
        <w:rPr>
          <w:rFonts w:eastAsiaTheme="minorEastAsia"/>
          <w:noProof/>
          <w:color w:val="auto"/>
          <w:kern w:val="0"/>
          <w:sz w:val="22"/>
          <w:szCs w:val="22"/>
          <w:lang w:eastAsia="en-AU"/>
        </w:rPr>
      </w:pPr>
      <w:hyperlink w:anchor="_Toc139969286" w:history="1">
        <w:r w:rsidR="00315D48" w:rsidRPr="00D91CA2">
          <w:rPr>
            <w:rStyle w:val="Hyperlink"/>
            <w:noProof/>
          </w:rPr>
          <w:t>Table 128: Reform options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_Toc139969286 \h </w:instrText>
        </w:r>
        <w:r w:rsidR="00315D48">
          <w:rPr>
            <w:noProof/>
            <w:webHidden/>
          </w:rPr>
        </w:r>
        <w:r w:rsidR="00315D48">
          <w:rPr>
            <w:noProof/>
            <w:webHidden/>
          </w:rPr>
          <w:fldChar w:fldCharType="separate"/>
        </w:r>
        <w:r w:rsidR="00315D48">
          <w:rPr>
            <w:noProof/>
            <w:webHidden/>
          </w:rPr>
          <w:t>254</w:t>
        </w:r>
        <w:r w:rsidR="00315D48">
          <w:rPr>
            <w:noProof/>
            <w:webHidden/>
          </w:rPr>
          <w:fldChar w:fldCharType="end"/>
        </w:r>
      </w:hyperlink>
    </w:p>
    <w:p w14:paraId="03C99009" w14:textId="58438D41" w:rsidR="00315D48" w:rsidRDefault="001C7A9B">
      <w:pPr>
        <w:pStyle w:val="TableofFigures"/>
        <w:tabs>
          <w:tab w:val="right" w:leader="dot" w:pos="9854"/>
        </w:tabs>
        <w:rPr>
          <w:rFonts w:eastAsiaTheme="minorEastAsia"/>
          <w:noProof/>
          <w:color w:val="auto"/>
          <w:kern w:val="0"/>
          <w:sz w:val="22"/>
          <w:szCs w:val="22"/>
          <w:lang w:eastAsia="en-AU"/>
        </w:rPr>
      </w:pPr>
      <w:hyperlink w:anchor="_Toc139969287" w:history="1">
        <w:r w:rsidR="00315D48" w:rsidRPr="00D91CA2">
          <w:rPr>
            <w:rStyle w:val="Hyperlink"/>
            <w:noProof/>
          </w:rPr>
          <w:t>Table 129: Benefit-cost ratios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_Toc139969287 \h </w:instrText>
        </w:r>
        <w:r w:rsidR="00315D48">
          <w:rPr>
            <w:noProof/>
            <w:webHidden/>
          </w:rPr>
        </w:r>
        <w:r w:rsidR="00315D48">
          <w:rPr>
            <w:noProof/>
            <w:webHidden/>
          </w:rPr>
          <w:fldChar w:fldCharType="separate"/>
        </w:r>
        <w:r w:rsidR="00315D48">
          <w:rPr>
            <w:noProof/>
            <w:webHidden/>
          </w:rPr>
          <w:t>255</w:t>
        </w:r>
        <w:r w:rsidR="00315D48">
          <w:rPr>
            <w:noProof/>
            <w:webHidden/>
          </w:rPr>
          <w:fldChar w:fldCharType="end"/>
        </w:r>
      </w:hyperlink>
    </w:p>
    <w:p w14:paraId="66A75DDE" w14:textId="49A39714" w:rsidR="00315D48" w:rsidRDefault="001C7A9B">
      <w:pPr>
        <w:pStyle w:val="TableofFigures"/>
        <w:tabs>
          <w:tab w:val="right" w:leader="dot" w:pos="9854"/>
        </w:tabs>
        <w:rPr>
          <w:rFonts w:eastAsiaTheme="minorEastAsia"/>
          <w:noProof/>
          <w:color w:val="auto"/>
          <w:kern w:val="0"/>
          <w:sz w:val="22"/>
          <w:szCs w:val="22"/>
          <w:lang w:eastAsia="en-AU"/>
        </w:rPr>
      </w:pPr>
      <w:hyperlink w:anchor="_Toc139969288" w:history="1">
        <w:r w:rsidR="00315D48" w:rsidRPr="00D91CA2">
          <w:rPr>
            <w:rStyle w:val="Hyperlink"/>
            <w:noProof/>
          </w:rPr>
          <w:t>Table 130: Qualitative benefits for bus, tram and light rail boarding points on infrastructure</w:t>
        </w:r>
        <w:r w:rsidR="00315D48">
          <w:rPr>
            <w:noProof/>
            <w:webHidden/>
          </w:rPr>
          <w:tab/>
        </w:r>
        <w:r w:rsidR="00315D48">
          <w:rPr>
            <w:noProof/>
            <w:webHidden/>
          </w:rPr>
          <w:fldChar w:fldCharType="begin"/>
        </w:r>
        <w:r w:rsidR="00315D48">
          <w:rPr>
            <w:noProof/>
            <w:webHidden/>
          </w:rPr>
          <w:instrText xml:space="preserve"> PAGEREF _Toc139969288 \h </w:instrText>
        </w:r>
        <w:r w:rsidR="00315D48">
          <w:rPr>
            <w:noProof/>
            <w:webHidden/>
          </w:rPr>
        </w:r>
        <w:r w:rsidR="00315D48">
          <w:rPr>
            <w:noProof/>
            <w:webHidden/>
          </w:rPr>
          <w:fldChar w:fldCharType="separate"/>
        </w:r>
        <w:r w:rsidR="00315D48">
          <w:rPr>
            <w:noProof/>
            <w:webHidden/>
          </w:rPr>
          <w:t>256</w:t>
        </w:r>
        <w:r w:rsidR="00315D48">
          <w:rPr>
            <w:noProof/>
            <w:webHidden/>
          </w:rPr>
          <w:fldChar w:fldCharType="end"/>
        </w:r>
      </w:hyperlink>
    </w:p>
    <w:p w14:paraId="3DC8FB1E" w14:textId="06E0CD0B" w:rsidR="00315D48" w:rsidRDefault="001C7A9B">
      <w:pPr>
        <w:pStyle w:val="TableofFigures"/>
        <w:tabs>
          <w:tab w:val="right" w:leader="dot" w:pos="9854"/>
        </w:tabs>
        <w:rPr>
          <w:rFonts w:eastAsiaTheme="minorEastAsia"/>
          <w:noProof/>
          <w:color w:val="auto"/>
          <w:kern w:val="0"/>
          <w:sz w:val="22"/>
          <w:szCs w:val="22"/>
          <w:lang w:eastAsia="en-AU"/>
        </w:rPr>
      </w:pPr>
      <w:hyperlink w:anchor="_Toc139969289" w:history="1">
        <w:r w:rsidR="00315D48" w:rsidRPr="00D91CA2">
          <w:rPr>
            <w:rStyle w:val="Hyperlink"/>
            <w:noProof/>
          </w:rPr>
          <w:t>Table 131: Reform options for hail-and-ride boarding points on infrastructure</w:t>
        </w:r>
        <w:r w:rsidR="00315D48">
          <w:rPr>
            <w:noProof/>
            <w:webHidden/>
          </w:rPr>
          <w:tab/>
        </w:r>
        <w:r w:rsidR="00315D48">
          <w:rPr>
            <w:noProof/>
            <w:webHidden/>
          </w:rPr>
          <w:fldChar w:fldCharType="begin"/>
        </w:r>
        <w:r w:rsidR="00315D48">
          <w:rPr>
            <w:noProof/>
            <w:webHidden/>
          </w:rPr>
          <w:instrText xml:space="preserve"> PAGEREF _Toc139969289 \h </w:instrText>
        </w:r>
        <w:r w:rsidR="00315D48">
          <w:rPr>
            <w:noProof/>
            <w:webHidden/>
          </w:rPr>
        </w:r>
        <w:r w:rsidR="00315D48">
          <w:rPr>
            <w:noProof/>
            <w:webHidden/>
          </w:rPr>
          <w:fldChar w:fldCharType="separate"/>
        </w:r>
        <w:r w:rsidR="00315D48">
          <w:rPr>
            <w:noProof/>
            <w:webHidden/>
          </w:rPr>
          <w:t>259</w:t>
        </w:r>
        <w:r w:rsidR="00315D48">
          <w:rPr>
            <w:noProof/>
            <w:webHidden/>
          </w:rPr>
          <w:fldChar w:fldCharType="end"/>
        </w:r>
      </w:hyperlink>
    </w:p>
    <w:p w14:paraId="62569632" w14:textId="71A802CC" w:rsidR="00315D48" w:rsidRDefault="001C7A9B">
      <w:pPr>
        <w:pStyle w:val="TableofFigures"/>
        <w:tabs>
          <w:tab w:val="right" w:leader="dot" w:pos="9854"/>
        </w:tabs>
        <w:rPr>
          <w:rFonts w:eastAsiaTheme="minorEastAsia"/>
          <w:noProof/>
          <w:color w:val="auto"/>
          <w:kern w:val="0"/>
          <w:sz w:val="22"/>
          <w:szCs w:val="22"/>
          <w:lang w:eastAsia="en-AU"/>
        </w:rPr>
      </w:pPr>
      <w:hyperlink w:anchor="_Toc139969290" w:history="1">
        <w:r w:rsidR="00315D48" w:rsidRPr="00D91CA2">
          <w:rPr>
            <w:rStyle w:val="Hyperlink"/>
            <w:noProof/>
          </w:rPr>
          <w:t>Table 132: Reform options for accessible taxi ranks</w:t>
        </w:r>
        <w:r w:rsidR="00315D48">
          <w:rPr>
            <w:noProof/>
            <w:webHidden/>
          </w:rPr>
          <w:tab/>
        </w:r>
        <w:r w:rsidR="00315D48">
          <w:rPr>
            <w:noProof/>
            <w:webHidden/>
          </w:rPr>
          <w:fldChar w:fldCharType="begin"/>
        </w:r>
        <w:r w:rsidR="00315D48">
          <w:rPr>
            <w:noProof/>
            <w:webHidden/>
          </w:rPr>
          <w:instrText xml:space="preserve"> PAGEREF _Toc139969290 \h </w:instrText>
        </w:r>
        <w:r w:rsidR="00315D48">
          <w:rPr>
            <w:noProof/>
            <w:webHidden/>
          </w:rPr>
        </w:r>
        <w:r w:rsidR="00315D48">
          <w:rPr>
            <w:noProof/>
            <w:webHidden/>
          </w:rPr>
          <w:fldChar w:fldCharType="separate"/>
        </w:r>
        <w:r w:rsidR="00315D48">
          <w:rPr>
            <w:noProof/>
            <w:webHidden/>
          </w:rPr>
          <w:t>264</w:t>
        </w:r>
        <w:r w:rsidR="00315D48">
          <w:rPr>
            <w:noProof/>
            <w:webHidden/>
          </w:rPr>
          <w:fldChar w:fldCharType="end"/>
        </w:r>
      </w:hyperlink>
    </w:p>
    <w:p w14:paraId="2ECCF660" w14:textId="0BB9FF0F" w:rsidR="00315D48" w:rsidRDefault="001C7A9B">
      <w:pPr>
        <w:pStyle w:val="TableofFigures"/>
        <w:tabs>
          <w:tab w:val="right" w:leader="dot" w:pos="9854"/>
        </w:tabs>
        <w:rPr>
          <w:rFonts w:eastAsiaTheme="minorEastAsia"/>
          <w:noProof/>
          <w:color w:val="auto"/>
          <w:kern w:val="0"/>
          <w:sz w:val="22"/>
          <w:szCs w:val="22"/>
          <w:lang w:eastAsia="en-AU"/>
        </w:rPr>
      </w:pPr>
      <w:hyperlink w:anchor="_Toc139969291" w:history="1">
        <w:r w:rsidR="00315D48" w:rsidRPr="00D91CA2">
          <w:rPr>
            <w:rStyle w:val="Hyperlink"/>
            <w:noProof/>
          </w:rPr>
          <w:t>Table 133: Benefit-cost ratios for accessible taxi ranks</w:t>
        </w:r>
        <w:r w:rsidR="00315D48">
          <w:rPr>
            <w:noProof/>
            <w:webHidden/>
          </w:rPr>
          <w:tab/>
        </w:r>
        <w:r w:rsidR="00315D48">
          <w:rPr>
            <w:noProof/>
            <w:webHidden/>
          </w:rPr>
          <w:fldChar w:fldCharType="begin"/>
        </w:r>
        <w:r w:rsidR="00315D48">
          <w:rPr>
            <w:noProof/>
            <w:webHidden/>
          </w:rPr>
          <w:instrText xml:space="preserve"> PAGEREF _Toc139969291 \h </w:instrText>
        </w:r>
        <w:r w:rsidR="00315D48">
          <w:rPr>
            <w:noProof/>
            <w:webHidden/>
          </w:rPr>
        </w:r>
        <w:r w:rsidR="00315D48">
          <w:rPr>
            <w:noProof/>
            <w:webHidden/>
          </w:rPr>
          <w:fldChar w:fldCharType="separate"/>
        </w:r>
        <w:r w:rsidR="00315D48">
          <w:rPr>
            <w:noProof/>
            <w:webHidden/>
          </w:rPr>
          <w:t>265</w:t>
        </w:r>
        <w:r w:rsidR="00315D48">
          <w:rPr>
            <w:noProof/>
            <w:webHidden/>
          </w:rPr>
          <w:fldChar w:fldCharType="end"/>
        </w:r>
      </w:hyperlink>
    </w:p>
    <w:p w14:paraId="08147E2C" w14:textId="726E0166" w:rsidR="00315D48" w:rsidRDefault="001C7A9B">
      <w:pPr>
        <w:pStyle w:val="TableofFigures"/>
        <w:tabs>
          <w:tab w:val="right" w:leader="dot" w:pos="9854"/>
        </w:tabs>
        <w:rPr>
          <w:rFonts w:eastAsiaTheme="minorEastAsia"/>
          <w:noProof/>
          <w:color w:val="auto"/>
          <w:kern w:val="0"/>
          <w:sz w:val="22"/>
          <w:szCs w:val="22"/>
          <w:lang w:eastAsia="en-AU"/>
        </w:rPr>
      </w:pPr>
      <w:hyperlink w:anchor="_Toc139969292" w:history="1">
        <w:r w:rsidR="00315D48" w:rsidRPr="00D91CA2">
          <w:rPr>
            <w:rStyle w:val="Hyperlink"/>
            <w:noProof/>
          </w:rPr>
          <w:t>Table 134: Qualitative benefits for accessible taxi ranks</w:t>
        </w:r>
        <w:r w:rsidR="00315D48">
          <w:rPr>
            <w:noProof/>
            <w:webHidden/>
          </w:rPr>
          <w:tab/>
        </w:r>
        <w:r w:rsidR="00315D48">
          <w:rPr>
            <w:noProof/>
            <w:webHidden/>
          </w:rPr>
          <w:fldChar w:fldCharType="begin"/>
        </w:r>
        <w:r w:rsidR="00315D48">
          <w:rPr>
            <w:noProof/>
            <w:webHidden/>
          </w:rPr>
          <w:instrText xml:space="preserve"> PAGEREF _Toc139969292 \h </w:instrText>
        </w:r>
        <w:r w:rsidR="00315D48">
          <w:rPr>
            <w:noProof/>
            <w:webHidden/>
          </w:rPr>
        </w:r>
        <w:r w:rsidR="00315D48">
          <w:rPr>
            <w:noProof/>
            <w:webHidden/>
          </w:rPr>
          <w:fldChar w:fldCharType="separate"/>
        </w:r>
        <w:r w:rsidR="00315D48">
          <w:rPr>
            <w:noProof/>
            <w:webHidden/>
          </w:rPr>
          <w:t>266</w:t>
        </w:r>
        <w:r w:rsidR="00315D48">
          <w:rPr>
            <w:noProof/>
            <w:webHidden/>
          </w:rPr>
          <w:fldChar w:fldCharType="end"/>
        </w:r>
      </w:hyperlink>
    </w:p>
    <w:p w14:paraId="1539016E" w14:textId="6018F1D9" w:rsidR="00315D48" w:rsidRDefault="001C7A9B">
      <w:pPr>
        <w:pStyle w:val="TableofFigures"/>
        <w:tabs>
          <w:tab w:val="right" w:leader="dot" w:pos="9854"/>
        </w:tabs>
        <w:rPr>
          <w:rFonts w:eastAsiaTheme="minorEastAsia"/>
          <w:noProof/>
          <w:color w:val="auto"/>
          <w:kern w:val="0"/>
          <w:sz w:val="22"/>
          <w:szCs w:val="22"/>
          <w:lang w:eastAsia="en-AU"/>
        </w:rPr>
      </w:pPr>
      <w:hyperlink w:anchor="_Toc139969293" w:history="1">
        <w:r w:rsidR="00315D48" w:rsidRPr="00D91CA2">
          <w:rPr>
            <w:rStyle w:val="Hyperlink"/>
            <w:noProof/>
          </w:rPr>
          <w:t>Table 135: Interactions with Stage 1 for Accessible taxi ranks</w:t>
        </w:r>
        <w:r w:rsidR="00315D48">
          <w:rPr>
            <w:noProof/>
            <w:webHidden/>
          </w:rPr>
          <w:tab/>
        </w:r>
        <w:r w:rsidR="00315D48">
          <w:rPr>
            <w:noProof/>
            <w:webHidden/>
          </w:rPr>
          <w:fldChar w:fldCharType="begin"/>
        </w:r>
        <w:r w:rsidR="00315D48">
          <w:rPr>
            <w:noProof/>
            <w:webHidden/>
          </w:rPr>
          <w:instrText xml:space="preserve"> PAGEREF _Toc139969293 \h </w:instrText>
        </w:r>
        <w:r w:rsidR="00315D48">
          <w:rPr>
            <w:noProof/>
            <w:webHidden/>
          </w:rPr>
        </w:r>
        <w:r w:rsidR="00315D48">
          <w:rPr>
            <w:noProof/>
            <w:webHidden/>
          </w:rPr>
          <w:fldChar w:fldCharType="separate"/>
        </w:r>
        <w:r w:rsidR="00315D48">
          <w:rPr>
            <w:noProof/>
            <w:webHidden/>
          </w:rPr>
          <w:t>269</w:t>
        </w:r>
        <w:r w:rsidR="00315D48">
          <w:rPr>
            <w:noProof/>
            <w:webHidden/>
          </w:rPr>
          <w:fldChar w:fldCharType="end"/>
        </w:r>
      </w:hyperlink>
    </w:p>
    <w:p w14:paraId="46F88937" w14:textId="7DEDBE7C" w:rsidR="00315D48" w:rsidRDefault="001C7A9B">
      <w:pPr>
        <w:pStyle w:val="TableofFigures"/>
        <w:tabs>
          <w:tab w:val="right" w:leader="dot" w:pos="9854"/>
        </w:tabs>
        <w:rPr>
          <w:rFonts w:eastAsiaTheme="minorEastAsia"/>
          <w:noProof/>
          <w:color w:val="auto"/>
          <w:kern w:val="0"/>
          <w:sz w:val="22"/>
          <w:szCs w:val="22"/>
          <w:lang w:eastAsia="en-AU"/>
        </w:rPr>
      </w:pPr>
      <w:hyperlink w:anchor="_Toc139969294" w:history="1">
        <w:r w:rsidR="00315D48" w:rsidRPr="00D91CA2">
          <w:rPr>
            <w:rStyle w:val="Hyperlink"/>
            <w:noProof/>
          </w:rPr>
          <w:t>Table 136: Reform options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_Toc139969294 \h </w:instrText>
        </w:r>
        <w:r w:rsidR="00315D48">
          <w:rPr>
            <w:noProof/>
            <w:webHidden/>
          </w:rPr>
        </w:r>
        <w:r w:rsidR="00315D48">
          <w:rPr>
            <w:noProof/>
            <w:webHidden/>
          </w:rPr>
          <w:fldChar w:fldCharType="separate"/>
        </w:r>
        <w:r w:rsidR="00315D48">
          <w:rPr>
            <w:noProof/>
            <w:webHidden/>
          </w:rPr>
          <w:t>270</w:t>
        </w:r>
        <w:r w:rsidR="00315D48">
          <w:rPr>
            <w:noProof/>
            <w:webHidden/>
          </w:rPr>
          <w:fldChar w:fldCharType="end"/>
        </w:r>
      </w:hyperlink>
    </w:p>
    <w:p w14:paraId="47B4DBEC" w14:textId="10FF6975" w:rsidR="00315D48" w:rsidRDefault="001C7A9B">
      <w:pPr>
        <w:pStyle w:val="TableofFigures"/>
        <w:tabs>
          <w:tab w:val="right" w:leader="dot" w:pos="9854"/>
        </w:tabs>
        <w:rPr>
          <w:rFonts w:eastAsiaTheme="minorEastAsia"/>
          <w:noProof/>
          <w:color w:val="auto"/>
          <w:kern w:val="0"/>
          <w:sz w:val="22"/>
          <w:szCs w:val="22"/>
          <w:lang w:eastAsia="en-AU"/>
        </w:rPr>
      </w:pPr>
      <w:hyperlink w:anchor="_Toc139969295" w:history="1">
        <w:r w:rsidR="00315D48" w:rsidRPr="00D91CA2">
          <w:rPr>
            <w:rStyle w:val="Hyperlink"/>
            <w:noProof/>
          </w:rPr>
          <w:t>Table 137: Benefit-cost ratios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_Toc139969295 \h </w:instrText>
        </w:r>
        <w:r w:rsidR="00315D48">
          <w:rPr>
            <w:noProof/>
            <w:webHidden/>
          </w:rPr>
        </w:r>
        <w:r w:rsidR="00315D48">
          <w:rPr>
            <w:noProof/>
            <w:webHidden/>
          </w:rPr>
          <w:fldChar w:fldCharType="separate"/>
        </w:r>
        <w:r w:rsidR="00315D48">
          <w:rPr>
            <w:noProof/>
            <w:webHidden/>
          </w:rPr>
          <w:t>271</w:t>
        </w:r>
        <w:r w:rsidR="00315D48">
          <w:rPr>
            <w:noProof/>
            <w:webHidden/>
          </w:rPr>
          <w:fldChar w:fldCharType="end"/>
        </w:r>
      </w:hyperlink>
    </w:p>
    <w:p w14:paraId="0065B784" w14:textId="3ED816A8" w:rsidR="00315D48" w:rsidRDefault="001C7A9B">
      <w:pPr>
        <w:pStyle w:val="TableofFigures"/>
        <w:tabs>
          <w:tab w:val="right" w:leader="dot" w:pos="9854"/>
        </w:tabs>
        <w:rPr>
          <w:rFonts w:eastAsiaTheme="minorEastAsia"/>
          <w:noProof/>
          <w:color w:val="auto"/>
          <w:kern w:val="0"/>
          <w:sz w:val="22"/>
          <w:szCs w:val="22"/>
          <w:lang w:eastAsia="en-AU"/>
        </w:rPr>
      </w:pPr>
      <w:hyperlink w:anchor="_Toc139969296" w:history="1">
        <w:r w:rsidR="00315D48" w:rsidRPr="00D91CA2">
          <w:rPr>
            <w:rStyle w:val="Hyperlink"/>
            <w:noProof/>
          </w:rPr>
          <w:t>Table 138: Qualitative benefits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_Toc139969296 \h </w:instrText>
        </w:r>
        <w:r w:rsidR="00315D48">
          <w:rPr>
            <w:noProof/>
            <w:webHidden/>
          </w:rPr>
        </w:r>
        <w:r w:rsidR="00315D48">
          <w:rPr>
            <w:noProof/>
            <w:webHidden/>
          </w:rPr>
          <w:fldChar w:fldCharType="separate"/>
        </w:r>
        <w:r w:rsidR="00315D48">
          <w:rPr>
            <w:noProof/>
            <w:webHidden/>
          </w:rPr>
          <w:t>272</w:t>
        </w:r>
        <w:r w:rsidR="00315D48">
          <w:rPr>
            <w:noProof/>
            <w:webHidden/>
          </w:rPr>
          <w:fldChar w:fldCharType="end"/>
        </w:r>
      </w:hyperlink>
    </w:p>
    <w:p w14:paraId="593E0111" w14:textId="0B1986C4" w:rsidR="00315D48" w:rsidRDefault="001C7A9B">
      <w:pPr>
        <w:pStyle w:val="TableofFigures"/>
        <w:tabs>
          <w:tab w:val="right" w:leader="dot" w:pos="9854"/>
        </w:tabs>
        <w:rPr>
          <w:rFonts w:eastAsiaTheme="minorEastAsia"/>
          <w:noProof/>
          <w:color w:val="auto"/>
          <w:kern w:val="0"/>
          <w:sz w:val="22"/>
          <w:szCs w:val="22"/>
          <w:lang w:eastAsia="en-AU"/>
        </w:rPr>
      </w:pPr>
      <w:hyperlink w:anchor="_Toc139969297" w:history="1">
        <w:r w:rsidR="00315D48" w:rsidRPr="00D91CA2">
          <w:rPr>
            <w:rStyle w:val="Hyperlink"/>
            <w:noProof/>
          </w:rPr>
          <w:t>Table 139: Interactions with Stage 1 for Accessible passenger loading zones on-street</w:t>
        </w:r>
        <w:r w:rsidR="00315D48">
          <w:rPr>
            <w:noProof/>
            <w:webHidden/>
          </w:rPr>
          <w:tab/>
        </w:r>
        <w:r w:rsidR="00315D48">
          <w:rPr>
            <w:noProof/>
            <w:webHidden/>
          </w:rPr>
          <w:fldChar w:fldCharType="begin"/>
        </w:r>
        <w:r w:rsidR="00315D48">
          <w:rPr>
            <w:noProof/>
            <w:webHidden/>
          </w:rPr>
          <w:instrText xml:space="preserve"> PAGEREF _Toc139969297 \h </w:instrText>
        </w:r>
        <w:r w:rsidR="00315D48">
          <w:rPr>
            <w:noProof/>
            <w:webHidden/>
          </w:rPr>
        </w:r>
        <w:r w:rsidR="00315D48">
          <w:rPr>
            <w:noProof/>
            <w:webHidden/>
          </w:rPr>
          <w:fldChar w:fldCharType="separate"/>
        </w:r>
        <w:r w:rsidR="00315D48">
          <w:rPr>
            <w:noProof/>
            <w:webHidden/>
          </w:rPr>
          <w:t>274</w:t>
        </w:r>
        <w:r w:rsidR="00315D48">
          <w:rPr>
            <w:noProof/>
            <w:webHidden/>
          </w:rPr>
          <w:fldChar w:fldCharType="end"/>
        </w:r>
      </w:hyperlink>
    </w:p>
    <w:p w14:paraId="3ABBD945" w14:textId="2853FBBD" w:rsidR="00315D48" w:rsidRDefault="001C7A9B">
      <w:pPr>
        <w:pStyle w:val="TableofFigures"/>
        <w:tabs>
          <w:tab w:val="right" w:leader="dot" w:pos="9854"/>
        </w:tabs>
        <w:rPr>
          <w:rFonts w:eastAsiaTheme="minorEastAsia"/>
          <w:noProof/>
          <w:color w:val="auto"/>
          <w:kern w:val="0"/>
          <w:sz w:val="22"/>
          <w:szCs w:val="22"/>
          <w:lang w:eastAsia="en-AU"/>
        </w:rPr>
      </w:pPr>
      <w:hyperlink w:anchor="_Toc139969298" w:history="1">
        <w:r w:rsidR="00315D48" w:rsidRPr="00D91CA2">
          <w:rPr>
            <w:rStyle w:val="Hyperlink"/>
            <w:noProof/>
          </w:rPr>
          <w:t>Table 140: Reform options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_Toc139969298 \h </w:instrText>
        </w:r>
        <w:r w:rsidR="00315D48">
          <w:rPr>
            <w:noProof/>
            <w:webHidden/>
          </w:rPr>
        </w:r>
        <w:r w:rsidR="00315D48">
          <w:rPr>
            <w:noProof/>
            <w:webHidden/>
          </w:rPr>
          <w:fldChar w:fldCharType="separate"/>
        </w:r>
        <w:r w:rsidR="00315D48">
          <w:rPr>
            <w:noProof/>
            <w:webHidden/>
          </w:rPr>
          <w:t>275</w:t>
        </w:r>
        <w:r w:rsidR="00315D48">
          <w:rPr>
            <w:noProof/>
            <w:webHidden/>
          </w:rPr>
          <w:fldChar w:fldCharType="end"/>
        </w:r>
      </w:hyperlink>
    </w:p>
    <w:p w14:paraId="538B0A1A" w14:textId="3BA5554B" w:rsidR="00315D48" w:rsidRDefault="001C7A9B">
      <w:pPr>
        <w:pStyle w:val="TableofFigures"/>
        <w:tabs>
          <w:tab w:val="right" w:leader="dot" w:pos="9854"/>
        </w:tabs>
        <w:rPr>
          <w:rFonts w:eastAsiaTheme="minorEastAsia"/>
          <w:noProof/>
          <w:color w:val="auto"/>
          <w:kern w:val="0"/>
          <w:sz w:val="22"/>
          <w:szCs w:val="22"/>
          <w:lang w:eastAsia="en-AU"/>
        </w:rPr>
      </w:pPr>
      <w:hyperlink w:anchor="_Toc139969299" w:history="1">
        <w:r w:rsidR="00315D48" w:rsidRPr="00D91CA2">
          <w:rPr>
            <w:rStyle w:val="Hyperlink"/>
            <w:noProof/>
          </w:rPr>
          <w:t>Table 141: Benefit-cost ratios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_Toc139969299 \h </w:instrText>
        </w:r>
        <w:r w:rsidR="00315D48">
          <w:rPr>
            <w:noProof/>
            <w:webHidden/>
          </w:rPr>
        </w:r>
        <w:r w:rsidR="00315D48">
          <w:rPr>
            <w:noProof/>
            <w:webHidden/>
          </w:rPr>
          <w:fldChar w:fldCharType="separate"/>
        </w:r>
        <w:r w:rsidR="00315D48">
          <w:rPr>
            <w:noProof/>
            <w:webHidden/>
          </w:rPr>
          <w:t>276</w:t>
        </w:r>
        <w:r w:rsidR="00315D48">
          <w:rPr>
            <w:noProof/>
            <w:webHidden/>
          </w:rPr>
          <w:fldChar w:fldCharType="end"/>
        </w:r>
      </w:hyperlink>
    </w:p>
    <w:p w14:paraId="180F5FB7" w14:textId="305EDF09" w:rsidR="00315D48" w:rsidRDefault="001C7A9B">
      <w:pPr>
        <w:pStyle w:val="TableofFigures"/>
        <w:tabs>
          <w:tab w:val="right" w:leader="dot" w:pos="9854"/>
        </w:tabs>
        <w:rPr>
          <w:rFonts w:eastAsiaTheme="minorEastAsia"/>
          <w:noProof/>
          <w:color w:val="auto"/>
          <w:kern w:val="0"/>
          <w:sz w:val="22"/>
          <w:szCs w:val="22"/>
          <w:lang w:eastAsia="en-AU"/>
        </w:rPr>
      </w:pPr>
      <w:hyperlink w:anchor="_Toc139969300" w:history="1">
        <w:r w:rsidR="00315D48" w:rsidRPr="00D91CA2">
          <w:rPr>
            <w:rStyle w:val="Hyperlink"/>
            <w:noProof/>
          </w:rPr>
          <w:t>Table 142: Qualitative benefits for accessible parking spaces in infrastructure off-street carparks</w:t>
        </w:r>
        <w:r w:rsidR="00315D48">
          <w:rPr>
            <w:noProof/>
            <w:webHidden/>
          </w:rPr>
          <w:tab/>
        </w:r>
        <w:r w:rsidR="00315D48">
          <w:rPr>
            <w:noProof/>
            <w:webHidden/>
          </w:rPr>
          <w:fldChar w:fldCharType="begin"/>
        </w:r>
        <w:r w:rsidR="00315D48">
          <w:rPr>
            <w:noProof/>
            <w:webHidden/>
          </w:rPr>
          <w:instrText xml:space="preserve"> PAGEREF _Toc139969300 \h </w:instrText>
        </w:r>
        <w:r w:rsidR="00315D48">
          <w:rPr>
            <w:noProof/>
            <w:webHidden/>
          </w:rPr>
        </w:r>
        <w:r w:rsidR="00315D48">
          <w:rPr>
            <w:noProof/>
            <w:webHidden/>
          </w:rPr>
          <w:fldChar w:fldCharType="separate"/>
        </w:r>
        <w:r w:rsidR="00315D48">
          <w:rPr>
            <w:noProof/>
            <w:webHidden/>
          </w:rPr>
          <w:t>277</w:t>
        </w:r>
        <w:r w:rsidR="00315D48">
          <w:rPr>
            <w:noProof/>
            <w:webHidden/>
          </w:rPr>
          <w:fldChar w:fldCharType="end"/>
        </w:r>
      </w:hyperlink>
    </w:p>
    <w:p w14:paraId="20D7A1E9" w14:textId="29471BD5" w:rsidR="00315D48" w:rsidRDefault="001C7A9B">
      <w:pPr>
        <w:pStyle w:val="TableofFigures"/>
        <w:tabs>
          <w:tab w:val="right" w:leader="dot" w:pos="9854"/>
        </w:tabs>
        <w:rPr>
          <w:rFonts w:eastAsiaTheme="minorEastAsia"/>
          <w:noProof/>
          <w:color w:val="auto"/>
          <w:kern w:val="0"/>
          <w:sz w:val="22"/>
          <w:szCs w:val="22"/>
          <w:lang w:eastAsia="en-AU"/>
        </w:rPr>
      </w:pPr>
      <w:hyperlink w:anchor="_Toc139969301" w:history="1">
        <w:r w:rsidR="00315D48" w:rsidRPr="00D91CA2">
          <w:rPr>
            <w:rStyle w:val="Hyperlink"/>
            <w:noProof/>
          </w:rPr>
          <w:t>Table 143: Reform options for grabrails on access paths</w:t>
        </w:r>
        <w:r w:rsidR="00315D48">
          <w:rPr>
            <w:noProof/>
            <w:webHidden/>
          </w:rPr>
          <w:tab/>
        </w:r>
        <w:r w:rsidR="00315D48">
          <w:rPr>
            <w:noProof/>
            <w:webHidden/>
          </w:rPr>
          <w:fldChar w:fldCharType="begin"/>
        </w:r>
        <w:r w:rsidR="00315D48">
          <w:rPr>
            <w:noProof/>
            <w:webHidden/>
          </w:rPr>
          <w:instrText xml:space="preserve"> PAGEREF _Toc139969301 \h </w:instrText>
        </w:r>
        <w:r w:rsidR="00315D48">
          <w:rPr>
            <w:noProof/>
            <w:webHidden/>
          </w:rPr>
        </w:r>
        <w:r w:rsidR="00315D48">
          <w:rPr>
            <w:noProof/>
            <w:webHidden/>
          </w:rPr>
          <w:fldChar w:fldCharType="separate"/>
        </w:r>
        <w:r w:rsidR="00315D48">
          <w:rPr>
            <w:noProof/>
            <w:webHidden/>
          </w:rPr>
          <w:t>281</w:t>
        </w:r>
        <w:r w:rsidR="00315D48">
          <w:rPr>
            <w:noProof/>
            <w:webHidden/>
          </w:rPr>
          <w:fldChar w:fldCharType="end"/>
        </w:r>
      </w:hyperlink>
    </w:p>
    <w:p w14:paraId="0B6B247D" w14:textId="55D5A256" w:rsidR="00315D48" w:rsidRDefault="001C7A9B">
      <w:pPr>
        <w:pStyle w:val="TableofFigures"/>
        <w:tabs>
          <w:tab w:val="right" w:leader="dot" w:pos="9854"/>
        </w:tabs>
        <w:rPr>
          <w:rFonts w:eastAsiaTheme="minorEastAsia"/>
          <w:noProof/>
          <w:color w:val="auto"/>
          <w:kern w:val="0"/>
          <w:sz w:val="22"/>
          <w:szCs w:val="22"/>
          <w:lang w:eastAsia="en-AU"/>
        </w:rPr>
      </w:pPr>
      <w:hyperlink w:anchor="_Toc139969302" w:history="1">
        <w:r w:rsidR="00315D48" w:rsidRPr="00D91CA2">
          <w:rPr>
            <w:rStyle w:val="Hyperlink"/>
            <w:noProof/>
          </w:rPr>
          <w:t>Table 144: Benefit-cost ratios for grabrails on access paths</w:t>
        </w:r>
        <w:r w:rsidR="00315D48">
          <w:rPr>
            <w:noProof/>
            <w:webHidden/>
          </w:rPr>
          <w:tab/>
        </w:r>
        <w:r w:rsidR="00315D48">
          <w:rPr>
            <w:noProof/>
            <w:webHidden/>
          </w:rPr>
          <w:fldChar w:fldCharType="begin"/>
        </w:r>
        <w:r w:rsidR="00315D48">
          <w:rPr>
            <w:noProof/>
            <w:webHidden/>
          </w:rPr>
          <w:instrText xml:space="preserve"> PAGEREF _Toc139969302 \h </w:instrText>
        </w:r>
        <w:r w:rsidR="00315D48">
          <w:rPr>
            <w:noProof/>
            <w:webHidden/>
          </w:rPr>
        </w:r>
        <w:r w:rsidR="00315D48">
          <w:rPr>
            <w:noProof/>
            <w:webHidden/>
          </w:rPr>
          <w:fldChar w:fldCharType="separate"/>
        </w:r>
        <w:r w:rsidR="00315D48">
          <w:rPr>
            <w:noProof/>
            <w:webHidden/>
          </w:rPr>
          <w:t>282</w:t>
        </w:r>
        <w:r w:rsidR="00315D48">
          <w:rPr>
            <w:noProof/>
            <w:webHidden/>
          </w:rPr>
          <w:fldChar w:fldCharType="end"/>
        </w:r>
      </w:hyperlink>
    </w:p>
    <w:p w14:paraId="286395C5" w14:textId="73CDC5C7" w:rsidR="00315D48" w:rsidRDefault="001C7A9B">
      <w:pPr>
        <w:pStyle w:val="TableofFigures"/>
        <w:tabs>
          <w:tab w:val="right" w:leader="dot" w:pos="9854"/>
        </w:tabs>
        <w:rPr>
          <w:rFonts w:eastAsiaTheme="minorEastAsia"/>
          <w:noProof/>
          <w:color w:val="auto"/>
          <w:kern w:val="0"/>
          <w:sz w:val="22"/>
          <w:szCs w:val="22"/>
          <w:lang w:eastAsia="en-AU"/>
        </w:rPr>
      </w:pPr>
      <w:hyperlink w:anchor="_Toc139969303" w:history="1">
        <w:r w:rsidR="00315D48" w:rsidRPr="00D91CA2">
          <w:rPr>
            <w:rStyle w:val="Hyperlink"/>
            <w:noProof/>
          </w:rPr>
          <w:t>Table 145: Qualitative benefits for grabrails on access paths</w:t>
        </w:r>
        <w:r w:rsidR="00315D48">
          <w:rPr>
            <w:noProof/>
            <w:webHidden/>
          </w:rPr>
          <w:tab/>
        </w:r>
        <w:r w:rsidR="00315D48">
          <w:rPr>
            <w:noProof/>
            <w:webHidden/>
          </w:rPr>
          <w:fldChar w:fldCharType="begin"/>
        </w:r>
        <w:r w:rsidR="00315D48">
          <w:rPr>
            <w:noProof/>
            <w:webHidden/>
          </w:rPr>
          <w:instrText xml:space="preserve"> PAGEREF _Toc139969303 \h </w:instrText>
        </w:r>
        <w:r w:rsidR="00315D48">
          <w:rPr>
            <w:noProof/>
            <w:webHidden/>
          </w:rPr>
        </w:r>
        <w:r w:rsidR="00315D48">
          <w:rPr>
            <w:noProof/>
            <w:webHidden/>
          </w:rPr>
          <w:fldChar w:fldCharType="separate"/>
        </w:r>
        <w:r w:rsidR="00315D48">
          <w:rPr>
            <w:noProof/>
            <w:webHidden/>
          </w:rPr>
          <w:t>283</w:t>
        </w:r>
        <w:r w:rsidR="00315D48">
          <w:rPr>
            <w:noProof/>
            <w:webHidden/>
          </w:rPr>
          <w:fldChar w:fldCharType="end"/>
        </w:r>
      </w:hyperlink>
    </w:p>
    <w:p w14:paraId="0F756F8D" w14:textId="27CC7776" w:rsidR="00315D48" w:rsidRDefault="001C7A9B">
      <w:pPr>
        <w:pStyle w:val="TableofFigures"/>
        <w:tabs>
          <w:tab w:val="right" w:leader="dot" w:pos="9854"/>
        </w:tabs>
        <w:rPr>
          <w:rFonts w:eastAsiaTheme="minorEastAsia"/>
          <w:noProof/>
          <w:color w:val="auto"/>
          <w:kern w:val="0"/>
          <w:sz w:val="22"/>
          <w:szCs w:val="22"/>
          <w:lang w:eastAsia="en-AU"/>
        </w:rPr>
      </w:pPr>
      <w:hyperlink w:anchor="_Toc139969304" w:history="1">
        <w:r w:rsidR="00315D48" w:rsidRPr="00D91CA2">
          <w:rPr>
            <w:rStyle w:val="Hyperlink"/>
            <w:noProof/>
          </w:rPr>
          <w:t>Table 146: Reform options for grabrails in allocated spaces</w:t>
        </w:r>
        <w:r w:rsidR="00315D48">
          <w:rPr>
            <w:noProof/>
            <w:webHidden/>
          </w:rPr>
          <w:tab/>
        </w:r>
        <w:r w:rsidR="00315D48">
          <w:rPr>
            <w:noProof/>
            <w:webHidden/>
          </w:rPr>
          <w:fldChar w:fldCharType="begin"/>
        </w:r>
        <w:r w:rsidR="00315D48">
          <w:rPr>
            <w:noProof/>
            <w:webHidden/>
          </w:rPr>
          <w:instrText xml:space="preserve"> PAGEREF _Toc139969304 \h </w:instrText>
        </w:r>
        <w:r w:rsidR="00315D48">
          <w:rPr>
            <w:noProof/>
            <w:webHidden/>
          </w:rPr>
        </w:r>
        <w:r w:rsidR="00315D48">
          <w:rPr>
            <w:noProof/>
            <w:webHidden/>
          </w:rPr>
          <w:fldChar w:fldCharType="separate"/>
        </w:r>
        <w:r w:rsidR="00315D48">
          <w:rPr>
            <w:noProof/>
            <w:webHidden/>
          </w:rPr>
          <w:t>287</w:t>
        </w:r>
        <w:r w:rsidR="00315D48">
          <w:rPr>
            <w:noProof/>
            <w:webHidden/>
          </w:rPr>
          <w:fldChar w:fldCharType="end"/>
        </w:r>
      </w:hyperlink>
    </w:p>
    <w:p w14:paraId="2745248E" w14:textId="3E9AE307" w:rsidR="00315D48" w:rsidRDefault="001C7A9B">
      <w:pPr>
        <w:pStyle w:val="TableofFigures"/>
        <w:tabs>
          <w:tab w:val="right" w:leader="dot" w:pos="9854"/>
        </w:tabs>
        <w:rPr>
          <w:rFonts w:eastAsiaTheme="minorEastAsia"/>
          <w:noProof/>
          <w:color w:val="auto"/>
          <w:kern w:val="0"/>
          <w:sz w:val="22"/>
          <w:szCs w:val="22"/>
          <w:lang w:eastAsia="en-AU"/>
        </w:rPr>
      </w:pPr>
      <w:hyperlink w:anchor="_Toc139969305" w:history="1">
        <w:r w:rsidR="00315D48" w:rsidRPr="00D91CA2">
          <w:rPr>
            <w:rStyle w:val="Hyperlink"/>
            <w:noProof/>
          </w:rPr>
          <w:t>Table 147: Benefit-cost ratios for grabrails in allocated spaces</w:t>
        </w:r>
        <w:r w:rsidR="00315D48">
          <w:rPr>
            <w:noProof/>
            <w:webHidden/>
          </w:rPr>
          <w:tab/>
        </w:r>
        <w:r w:rsidR="00315D48">
          <w:rPr>
            <w:noProof/>
            <w:webHidden/>
          </w:rPr>
          <w:fldChar w:fldCharType="begin"/>
        </w:r>
        <w:r w:rsidR="00315D48">
          <w:rPr>
            <w:noProof/>
            <w:webHidden/>
          </w:rPr>
          <w:instrText xml:space="preserve"> PAGEREF _Toc139969305 \h </w:instrText>
        </w:r>
        <w:r w:rsidR="00315D48">
          <w:rPr>
            <w:noProof/>
            <w:webHidden/>
          </w:rPr>
        </w:r>
        <w:r w:rsidR="00315D48">
          <w:rPr>
            <w:noProof/>
            <w:webHidden/>
          </w:rPr>
          <w:fldChar w:fldCharType="separate"/>
        </w:r>
        <w:r w:rsidR="00315D48">
          <w:rPr>
            <w:noProof/>
            <w:webHidden/>
          </w:rPr>
          <w:t>288</w:t>
        </w:r>
        <w:r w:rsidR="00315D48">
          <w:rPr>
            <w:noProof/>
            <w:webHidden/>
          </w:rPr>
          <w:fldChar w:fldCharType="end"/>
        </w:r>
      </w:hyperlink>
    </w:p>
    <w:p w14:paraId="22981522" w14:textId="0BFA473B" w:rsidR="00315D48" w:rsidRDefault="001C7A9B">
      <w:pPr>
        <w:pStyle w:val="TableofFigures"/>
        <w:tabs>
          <w:tab w:val="right" w:leader="dot" w:pos="9854"/>
        </w:tabs>
        <w:rPr>
          <w:rFonts w:eastAsiaTheme="minorEastAsia"/>
          <w:noProof/>
          <w:color w:val="auto"/>
          <w:kern w:val="0"/>
          <w:sz w:val="22"/>
          <w:szCs w:val="22"/>
          <w:lang w:eastAsia="en-AU"/>
        </w:rPr>
      </w:pPr>
      <w:hyperlink w:anchor="_Toc139969306" w:history="1">
        <w:r w:rsidR="00315D48" w:rsidRPr="00D91CA2">
          <w:rPr>
            <w:rStyle w:val="Hyperlink"/>
            <w:noProof/>
          </w:rPr>
          <w:t>Table 148: Qualitative benefits for grabrails in allocated spaces</w:t>
        </w:r>
        <w:r w:rsidR="00315D48">
          <w:rPr>
            <w:noProof/>
            <w:webHidden/>
          </w:rPr>
          <w:tab/>
        </w:r>
        <w:r w:rsidR="00315D48">
          <w:rPr>
            <w:noProof/>
            <w:webHidden/>
          </w:rPr>
          <w:fldChar w:fldCharType="begin"/>
        </w:r>
        <w:r w:rsidR="00315D48">
          <w:rPr>
            <w:noProof/>
            <w:webHidden/>
          </w:rPr>
          <w:instrText xml:space="preserve"> PAGEREF _Toc139969306 \h </w:instrText>
        </w:r>
        <w:r w:rsidR="00315D48">
          <w:rPr>
            <w:noProof/>
            <w:webHidden/>
          </w:rPr>
        </w:r>
        <w:r w:rsidR="00315D48">
          <w:rPr>
            <w:noProof/>
            <w:webHidden/>
          </w:rPr>
          <w:fldChar w:fldCharType="separate"/>
        </w:r>
        <w:r w:rsidR="00315D48">
          <w:rPr>
            <w:noProof/>
            <w:webHidden/>
          </w:rPr>
          <w:t>289</w:t>
        </w:r>
        <w:r w:rsidR="00315D48">
          <w:rPr>
            <w:noProof/>
            <w:webHidden/>
          </w:rPr>
          <w:fldChar w:fldCharType="end"/>
        </w:r>
      </w:hyperlink>
    </w:p>
    <w:p w14:paraId="3F6F8002" w14:textId="5618038F" w:rsidR="00315D48" w:rsidRDefault="001C7A9B">
      <w:pPr>
        <w:pStyle w:val="TableofFigures"/>
        <w:tabs>
          <w:tab w:val="right" w:leader="dot" w:pos="9854"/>
        </w:tabs>
        <w:rPr>
          <w:rFonts w:eastAsiaTheme="minorEastAsia"/>
          <w:noProof/>
          <w:color w:val="auto"/>
          <w:kern w:val="0"/>
          <w:sz w:val="22"/>
          <w:szCs w:val="22"/>
          <w:lang w:eastAsia="en-AU"/>
        </w:rPr>
      </w:pPr>
      <w:hyperlink w:anchor="_Toc139969307" w:history="1">
        <w:r w:rsidR="00315D48" w:rsidRPr="00D91CA2">
          <w:rPr>
            <w:rStyle w:val="Hyperlink"/>
            <w:noProof/>
          </w:rPr>
          <w:t>Table 149: Reform options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_Toc139969307 \h </w:instrText>
        </w:r>
        <w:r w:rsidR="00315D48">
          <w:rPr>
            <w:noProof/>
            <w:webHidden/>
          </w:rPr>
        </w:r>
        <w:r w:rsidR="00315D48">
          <w:rPr>
            <w:noProof/>
            <w:webHidden/>
          </w:rPr>
          <w:fldChar w:fldCharType="separate"/>
        </w:r>
        <w:r w:rsidR="00315D48">
          <w:rPr>
            <w:noProof/>
            <w:webHidden/>
          </w:rPr>
          <w:t>293</w:t>
        </w:r>
        <w:r w:rsidR="00315D48">
          <w:rPr>
            <w:noProof/>
            <w:webHidden/>
          </w:rPr>
          <w:fldChar w:fldCharType="end"/>
        </w:r>
      </w:hyperlink>
    </w:p>
    <w:p w14:paraId="338EB195" w14:textId="30D2A31A" w:rsidR="00315D48" w:rsidRDefault="001C7A9B">
      <w:pPr>
        <w:pStyle w:val="TableofFigures"/>
        <w:tabs>
          <w:tab w:val="right" w:leader="dot" w:pos="9854"/>
        </w:tabs>
        <w:rPr>
          <w:rFonts w:eastAsiaTheme="minorEastAsia"/>
          <w:noProof/>
          <w:color w:val="auto"/>
          <w:kern w:val="0"/>
          <w:sz w:val="22"/>
          <w:szCs w:val="22"/>
          <w:lang w:eastAsia="en-AU"/>
        </w:rPr>
      </w:pPr>
      <w:hyperlink w:anchor="_Toc139969308" w:history="1">
        <w:r w:rsidR="00315D48" w:rsidRPr="00D91CA2">
          <w:rPr>
            <w:rStyle w:val="Hyperlink"/>
            <w:noProof/>
          </w:rPr>
          <w:t>Table 150: Benefit-cost ratios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_Toc139969308 \h </w:instrText>
        </w:r>
        <w:r w:rsidR="00315D48">
          <w:rPr>
            <w:noProof/>
            <w:webHidden/>
          </w:rPr>
        </w:r>
        <w:r w:rsidR="00315D48">
          <w:rPr>
            <w:noProof/>
            <w:webHidden/>
          </w:rPr>
          <w:fldChar w:fldCharType="separate"/>
        </w:r>
        <w:r w:rsidR="00315D48">
          <w:rPr>
            <w:noProof/>
            <w:webHidden/>
          </w:rPr>
          <w:t>294</w:t>
        </w:r>
        <w:r w:rsidR="00315D48">
          <w:rPr>
            <w:noProof/>
            <w:webHidden/>
          </w:rPr>
          <w:fldChar w:fldCharType="end"/>
        </w:r>
      </w:hyperlink>
    </w:p>
    <w:p w14:paraId="043F6757" w14:textId="7CA94937" w:rsidR="00315D48" w:rsidRDefault="001C7A9B">
      <w:pPr>
        <w:pStyle w:val="TableofFigures"/>
        <w:tabs>
          <w:tab w:val="right" w:leader="dot" w:pos="9854"/>
        </w:tabs>
        <w:rPr>
          <w:rFonts w:eastAsiaTheme="minorEastAsia"/>
          <w:noProof/>
          <w:color w:val="auto"/>
          <w:kern w:val="0"/>
          <w:sz w:val="22"/>
          <w:szCs w:val="22"/>
          <w:lang w:eastAsia="en-AU"/>
        </w:rPr>
      </w:pPr>
      <w:hyperlink w:anchor="_Toc139969309" w:history="1">
        <w:r w:rsidR="00315D48" w:rsidRPr="00D91CA2">
          <w:rPr>
            <w:rStyle w:val="Hyperlink"/>
            <w:noProof/>
          </w:rPr>
          <w:t>Table 151: Qualitative benefits for mobility aid movement in allocated spaces – passive restraints</w:t>
        </w:r>
        <w:r w:rsidR="00315D48">
          <w:rPr>
            <w:noProof/>
            <w:webHidden/>
          </w:rPr>
          <w:tab/>
        </w:r>
        <w:r w:rsidR="00315D48">
          <w:rPr>
            <w:noProof/>
            <w:webHidden/>
          </w:rPr>
          <w:fldChar w:fldCharType="begin"/>
        </w:r>
        <w:r w:rsidR="00315D48">
          <w:rPr>
            <w:noProof/>
            <w:webHidden/>
          </w:rPr>
          <w:instrText xml:space="preserve"> PAGEREF _Toc139969309 \h </w:instrText>
        </w:r>
        <w:r w:rsidR="00315D48">
          <w:rPr>
            <w:noProof/>
            <w:webHidden/>
          </w:rPr>
        </w:r>
        <w:r w:rsidR="00315D48">
          <w:rPr>
            <w:noProof/>
            <w:webHidden/>
          </w:rPr>
          <w:fldChar w:fldCharType="separate"/>
        </w:r>
        <w:r w:rsidR="00315D48">
          <w:rPr>
            <w:noProof/>
            <w:webHidden/>
          </w:rPr>
          <w:t>295</w:t>
        </w:r>
        <w:r w:rsidR="00315D48">
          <w:rPr>
            <w:noProof/>
            <w:webHidden/>
          </w:rPr>
          <w:fldChar w:fldCharType="end"/>
        </w:r>
      </w:hyperlink>
    </w:p>
    <w:p w14:paraId="0F6C2FA7" w14:textId="475F3F51" w:rsidR="00315D48" w:rsidRDefault="001C7A9B">
      <w:pPr>
        <w:pStyle w:val="TableofFigures"/>
        <w:tabs>
          <w:tab w:val="right" w:leader="dot" w:pos="9854"/>
        </w:tabs>
        <w:rPr>
          <w:rFonts w:eastAsiaTheme="minorEastAsia"/>
          <w:noProof/>
          <w:color w:val="auto"/>
          <w:kern w:val="0"/>
          <w:sz w:val="22"/>
          <w:szCs w:val="22"/>
          <w:lang w:eastAsia="en-AU"/>
        </w:rPr>
      </w:pPr>
      <w:hyperlink w:anchor="_Toc139969310" w:history="1">
        <w:r w:rsidR="00315D48" w:rsidRPr="00D91CA2">
          <w:rPr>
            <w:rStyle w:val="Hyperlink"/>
            <w:noProof/>
          </w:rPr>
          <w:t>Table 152: Reform options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_Toc139969310 \h </w:instrText>
        </w:r>
        <w:r w:rsidR="00315D48">
          <w:rPr>
            <w:noProof/>
            <w:webHidden/>
          </w:rPr>
        </w:r>
        <w:r w:rsidR="00315D48">
          <w:rPr>
            <w:noProof/>
            <w:webHidden/>
          </w:rPr>
          <w:fldChar w:fldCharType="separate"/>
        </w:r>
        <w:r w:rsidR="00315D48">
          <w:rPr>
            <w:noProof/>
            <w:webHidden/>
          </w:rPr>
          <w:t>299</w:t>
        </w:r>
        <w:r w:rsidR="00315D48">
          <w:rPr>
            <w:noProof/>
            <w:webHidden/>
          </w:rPr>
          <w:fldChar w:fldCharType="end"/>
        </w:r>
      </w:hyperlink>
    </w:p>
    <w:p w14:paraId="446CD23D" w14:textId="0AC98936" w:rsidR="00315D48" w:rsidRDefault="001C7A9B">
      <w:pPr>
        <w:pStyle w:val="TableofFigures"/>
        <w:tabs>
          <w:tab w:val="right" w:leader="dot" w:pos="9854"/>
        </w:tabs>
        <w:rPr>
          <w:rFonts w:eastAsiaTheme="minorEastAsia"/>
          <w:noProof/>
          <w:color w:val="auto"/>
          <w:kern w:val="0"/>
          <w:sz w:val="22"/>
          <w:szCs w:val="22"/>
          <w:lang w:eastAsia="en-AU"/>
        </w:rPr>
      </w:pPr>
      <w:hyperlink w:anchor="_Toc139969311" w:history="1">
        <w:r w:rsidR="00315D48" w:rsidRPr="00D91CA2">
          <w:rPr>
            <w:rStyle w:val="Hyperlink"/>
            <w:noProof/>
          </w:rPr>
          <w:t>Table 153: Benefit-cost ratios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_Toc139969311 \h </w:instrText>
        </w:r>
        <w:r w:rsidR="00315D48">
          <w:rPr>
            <w:noProof/>
            <w:webHidden/>
          </w:rPr>
        </w:r>
        <w:r w:rsidR="00315D48">
          <w:rPr>
            <w:noProof/>
            <w:webHidden/>
          </w:rPr>
          <w:fldChar w:fldCharType="separate"/>
        </w:r>
        <w:r w:rsidR="00315D48">
          <w:rPr>
            <w:noProof/>
            <w:webHidden/>
          </w:rPr>
          <w:t>300</w:t>
        </w:r>
        <w:r w:rsidR="00315D48">
          <w:rPr>
            <w:noProof/>
            <w:webHidden/>
          </w:rPr>
          <w:fldChar w:fldCharType="end"/>
        </w:r>
      </w:hyperlink>
    </w:p>
    <w:p w14:paraId="1DCA4D52" w14:textId="2916D663" w:rsidR="00315D48" w:rsidRDefault="001C7A9B">
      <w:pPr>
        <w:pStyle w:val="TableofFigures"/>
        <w:tabs>
          <w:tab w:val="right" w:leader="dot" w:pos="9854"/>
        </w:tabs>
        <w:rPr>
          <w:rFonts w:eastAsiaTheme="minorEastAsia"/>
          <w:noProof/>
          <w:color w:val="auto"/>
          <w:kern w:val="0"/>
          <w:sz w:val="22"/>
          <w:szCs w:val="22"/>
          <w:lang w:eastAsia="en-AU"/>
        </w:rPr>
      </w:pPr>
      <w:hyperlink w:anchor="_Toc139969312" w:history="1">
        <w:r w:rsidR="00315D48" w:rsidRPr="00D91CA2">
          <w:rPr>
            <w:rStyle w:val="Hyperlink"/>
            <w:noProof/>
          </w:rPr>
          <w:t>Table 154: Qualitative benefits for mobility aid movement in allocated spaces – active restraints</w:t>
        </w:r>
        <w:r w:rsidR="00315D48">
          <w:rPr>
            <w:noProof/>
            <w:webHidden/>
          </w:rPr>
          <w:tab/>
        </w:r>
        <w:r w:rsidR="00315D48">
          <w:rPr>
            <w:noProof/>
            <w:webHidden/>
          </w:rPr>
          <w:fldChar w:fldCharType="begin"/>
        </w:r>
        <w:r w:rsidR="00315D48">
          <w:rPr>
            <w:noProof/>
            <w:webHidden/>
          </w:rPr>
          <w:instrText xml:space="preserve"> PAGEREF _Toc139969312 \h </w:instrText>
        </w:r>
        <w:r w:rsidR="00315D48">
          <w:rPr>
            <w:noProof/>
            <w:webHidden/>
          </w:rPr>
        </w:r>
        <w:r w:rsidR="00315D48">
          <w:rPr>
            <w:noProof/>
            <w:webHidden/>
          </w:rPr>
          <w:fldChar w:fldCharType="separate"/>
        </w:r>
        <w:r w:rsidR="00315D48">
          <w:rPr>
            <w:noProof/>
            <w:webHidden/>
          </w:rPr>
          <w:t>301</w:t>
        </w:r>
        <w:r w:rsidR="00315D48">
          <w:rPr>
            <w:noProof/>
            <w:webHidden/>
          </w:rPr>
          <w:fldChar w:fldCharType="end"/>
        </w:r>
      </w:hyperlink>
    </w:p>
    <w:p w14:paraId="7505107D" w14:textId="453F8F59" w:rsidR="00315D48" w:rsidRDefault="001C7A9B">
      <w:pPr>
        <w:pStyle w:val="TableofFigures"/>
        <w:tabs>
          <w:tab w:val="right" w:leader="dot" w:pos="9854"/>
        </w:tabs>
        <w:rPr>
          <w:rFonts w:eastAsiaTheme="minorEastAsia"/>
          <w:noProof/>
          <w:color w:val="auto"/>
          <w:kern w:val="0"/>
          <w:sz w:val="22"/>
          <w:szCs w:val="22"/>
          <w:lang w:eastAsia="en-AU"/>
        </w:rPr>
      </w:pPr>
      <w:hyperlink w:anchor="_Toc139969313" w:history="1">
        <w:r w:rsidR="00315D48" w:rsidRPr="00D91CA2">
          <w:rPr>
            <w:rStyle w:val="Hyperlink"/>
            <w:noProof/>
          </w:rPr>
          <w:t>Table 155: Reform options for appropriate seats on booked services</w:t>
        </w:r>
        <w:r w:rsidR="00315D48">
          <w:rPr>
            <w:noProof/>
            <w:webHidden/>
          </w:rPr>
          <w:tab/>
        </w:r>
        <w:r w:rsidR="00315D48">
          <w:rPr>
            <w:noProof/>
            <w:webHidden/>
          </w:rPr>
          <w:fldChar w:fldCharType="begin"/>
        </w:r>
        <w:r w:rsidR="00315D48">
          <w:rPr>
            <w:noProof/>
            <w:webHidden/>
          </w:rPr>
          <w:instrText xml:space="preserve"> PAGEREF _Toc139969313 \h </w:instrText>
        </w:r>
        <w:r w:rsidR="00315D48">
          <w:rPr>
            <w:noProof/>
            <w:webHidden/>
          </w:rPr>
        </w:r>
        <w:r w:rsidR="00315D48">
          <w:rPr>
            <w:noProof/>
            <w:webHidden/>
          </w:rPr>
          <w:fldChar w:fldCharType="separate"/>
        </w:r>
        <w:r w:rsidR="00315D48">
          <w:rPr>
            <w:noProof/>
            <w:webHidden/>
          </w:rPr>
          <w:t>304</w:t>
        </w:r>
        <w:r w:rsidR="00315D48">
          <w:rPr>
            <w:noProof/>
            <w:webHidden/>
          </w:rPr>
          <w:fldChar w:fldCharType="end"/>
        </w:r>
      </w:hyperlink>
    </w:p>
    <w:p w14:paraId="5E56731C" w14:textId="6531BA5C" w:rsidR="00315D48" w:rsidRDefault="001C7A9B">
      <w:pPr>
        <w:pStyle w:val="TableofFigures"/>
        <w:tabs>
          <w:tab w:val="right" w:leader="dot" w:pos="9854"/>
        </w:tabs>
        <w:rPr>
          <w:rFonts w:eastAsiaTheme="minorEastAsia"/>
          <w:noProof/>
          <w:color w:val="auto"/>
          <w:kern w:val="0"/>
          <w:sz w:val="22"/>
          <w:szCs w:val="22"/>
          <w:lang w:eastAsia="en-AU"/>
        </w:rPr>
      </w:pPr>
      <w:hyperlink w:anchor="_Toc139969314" w:history="1">
        <w:r w:rsidR="00315D48" w:rsidRPr="00D91CA2">
          <w:rPr>
            <w:rStyle w:val="Hyperlink"/>
            <w:noProof/>
          </w:rPr>
          <w:t>Table 156: Benefit-cost ratios for appropriate seats on booked services</w:t>
        </w:r>
        <w:r w:rsidR="00315D48">
          <w:rPr>
            <w:noProof/>
            <w:webHidden/>
          </w:rPr>
          <w:tab/>
        </w:r>
        <w:r w:rsidR="00315D48">
          <w:rPr>
            <w:noProof/>
            <w:webHidden/>
          </w:rPr>
          <w:fldChar w:fldCharType="begin"/>
        </w:r>
        <w:r w:rsidR="00315D48">
          <w:rPr>
            <w:noProof/>
            <w:webHidden/>
          </w:rPr>
          <w:instrText xml:space="preserve"> PAGEREF _Toc139969314 \h </w:instrText>
        </w:r>
        <w:r w:rsidR="00315D48">
          <w:rPr>
            <w:noProof/>
            <w:webHidden/>
          </w:rPr>
        </w:r>
        <w:r w:rsidR="00315D48">
          <w:rPr>
            <w:noProof/>
            <w:webHidden/>
          </w:rPr>
          <w:fldChar w:fldCharType="separate"/>
        </w:r>
        <w:r w:rsidR="00315D48">
          <w:rPr>
            <w:noProof/>
            <w:webHidden/>
          </w:rPr>
          <w:t>305</w:t>
        </w:r>
        <w:r w:rsidR="00315D48">
          <w:rPr>
            <w:noProof/>
            <w:webHidden/>
          </w:rPr>
          <w:fldChar w:fldCharType="end"/>
        </w:r>
      </w:hyperlink>
    </w:p>
    <w:p w14:paraId="358AE1FF" w14:textId="06FEC544" w:rsidR="00315D48" w:rsidRDefault="001C7A9B">
      <w:pPr>
        <w:pStyle w:val="TableofFigures"/>
        <w:tabs>
          <w:tab w:val="right" w:leader="dot" w:pos="9854"/>
        </w:tabs>
        <w:rPr>
          <w:rFonts w:eastAsiaTheme="minorEastAsia"/>
          <w:noProof/>
          <w:color w:val="auto"/>
          <w:kern w:val="0"/>
          <w:sz w:val="22"/>
          <w:szCs w:val="22"/>
          <w:lang w:eastAsia="en-AU"/>
        </w:rPr>
      </w:pPr>
      <w:hyperlink w:anchor="_Toc139969315" w:history="1">
        <w:r w:rsidR="00315D48" w:rsidRPr="00D91CA2">
          <w:rPr>
            <w:rStyle w:val="Hyperlink"/>
            <w:noProof/>
          </w:rPr>
          <w:t>Table 157: Qualitative benefits for appropriate seats on booked services</w:t>
        </w:r>
        <w:r w:rsidR="00315D48">
          <w:rPr>
            <w:noProof/>
            <w:webHidden/>
          </w:rPr>
          <w:tab/>
        </w:r>
        <w:r w:rsidR="00315D48">
          <w:rPr>
            <w:noProof/>
            <w:webHidden/>
          </w:rPr>
          <w:fldChar w:fldCharType="begin"/>
        </w:r>
        <w:r w:rsidR="00315D48">
          <w:rPr>
            <w:noProof/>
            <w:webHidden/>
          </w:rPr>
          <w:instrText xml:space="preserve"> PAGEREF _Toc139969315 \h </w:instrText>
        </w:r>
        <w:r w:rsidR="00315D48">
          <w:rPr>
            <w:noProof/>
            <w:webHidden/>
          </w:rPr>
        </w:r>
        <w:r w:rsidR="00315D48">
          <w:rPr>
            <w:noProof/>
            <w:webHidden/>
          </w:rPr>
          <w:fldChar w:fldCharType="separate"/>
        </w:r>
        <w:r w:rsidR="00315D48">
          <w:rPr>
            <w:noProof/>
            <w:webHidden/>
          </w:rPr>
          <w:t>306</w:t>
        </w:r>
        <w:r w:rsidR="00315D48">
          <w:rPr>
            <w:noProof/>
            <w:webHidden/>
          </w:rPr>
          <w:fldChar w:fldCharType="end"/>
        </w:r>
      </w:hyperlink>
    </w:p>
    <w:p w14:paraId="2C0CD1E6" w14:textId="6F7ED0BF" w:rsidR="00315D48" w:rsidRDefault="001C7A9B">
      <w:pPr>
        <w:pStyle w:val="TableofFigures"/>
        <w:tabs>
          <w:tab w:val="right" w:leader="dot" w:pos="9854"/>
        </w:tabs>
        <w:rPr>
          <w:rFonts w:eastAsiaTheme="minorEastAsia"/>
          <w:noProof/>
          <w:color w:val="auto"/>
          <w:kern w:val="0"/>
          <w:sz w:val="22"/>
          <w:szCs w:val="22"/>
          <w:lang w:eastAsia="en-AU"/>
        </w:rPr>
      </w:pPr>
      <w:hyperlink w:anchor="_Toc139969316" w:history="1">
        <w:r w:rsidR="00315D48" w:rsidRPr="00D91CA2">
          <w:rPr>
            <w:rStyle w:val="Hyperlink"/>
            <w:noProof/>
          </w:rPr>
          <w:t>Table 158: Reform options for conveyance dwell times at stops</w:t>
        </w:r>
        <w:r w:rsidR="00315D48">
          <w:rPr>
            <w:noProof/>
            <w:webHidden/>
          </w:rPr>
          <w:tab/>
        </w:r>
        <w:r w:rsidR="00315D48">
          <w:rPr>
            <w:noProof/>
            <w:webHidden/>
          </w:rPr>
          <w:fldChar w:fldCharType="begin"/>
        </w:r>
        <w:r w:rsidR="00315D48">
          <w:rPr>
            <w:noProof/>
            <w:webHidden/>
          </w:rPr>
          <w:instrText xml:space="preserve"> PAGEREF _Toc139969316 \h </w:instrText>
        </w:r>
        <w:r w:rsidR="00315D48">
          <w:rPr>
            <w:noProof/>
            <w:webHidden/>
          </w:rPr>
        </w:r>
        <w:r w:rsidR="00315D48">
          <w:rPr>
            <w:noProof/>
            <w:webHidden/>
          </w:rPr>
          <w:fldChar w:fldCharType="separate"/>
        </w:r>
        <w:r w:rsidR="00315D48">
          <w:rPr>
            <w:noProof/>
            <w:webHidden/>
          </w:rPr>
          <w:t>309</w:t>
        </w:r>
        <w:r w:rsidR="00315D48">
          <w:rPr>
            <w:noProof/>
            <w:webHidden/>
          </w:rPr>
          <w:fldChar w:fldCharType="end"/>
        </w:r>
      </w:hyperlink>
    </w:p>
    <w:p w14:paraId="02DD2B5E" w14:textId="2A14DD76" w:rsidR="00315D48" w:rsidRDefault="001C7A9B">
      <w:pPr>
        <w:pStyle w:val="TableofFigures"/>
        <w:tabs>
          <w:tab w:val="right" w:leader="dot" w:pos="9854"/>
        </w:tabs>
        <w:rPr>
          <w:rFonts w:eastAsiaTheme="minorEastAsia"/>
          <w:noProof/>
          <w:color w:val="auto"/>
          <w:kern w:val="0"/>
          <w:sz w:val="22"/>
          <w:szCs w:val="22"/>
          <w:lang w:eastAsia="en-AU"/>
        </w:rPr>
      </w:pPr>
      <w:hyperlink w:anchor="_Toc139969317" w:history="1">
        <w:r w:rsidR="00315D48" w:rsidRPr="00D91CA2">
          <w:rPr>
            <w:rStyle w:val="Hyperlink"/>
            <w:noProof/>
          </w:rPr>
          <w:t>Table 159: Qualitative benefits for conveyance dwell times at stops</w:t>
        </w:r>
        <w:r w:rsidR="00315D48">
          <w:rPr>
            <w:noProof/>
            <w:webHidden/>
          </w:rPr>
          <w:tab/>
        </w:r>
        <w:r w:rsidR="00315D48">
          <w:rPr>
            <w:noProof/>
            <w:webHidden/>
          </w:rPr>
          <w:fldChar w:fldCharType="begin"/>
        </w:r>
        <w:r w:rsidR="00315D48">
          <w:rPr>
            <w:noProof/>
            <w:webHidden/>
          </w:rPr>
          <w:instrText xml:space="preserve"> PAGEREF _Toc139969317 \h </w:instrText>
        </w:r>
        <w:r w:rsidR="00315D48">
          <w:rPr>
            <w:noProof/>
            <w:webHidden/>
          </w:rPr>
        </w:r>
        <w:r w:rsidR="00315D48">
          <w:rPr>
            <w:noProof/>
            <w:webHidden/>
          </w:rPr>
          <w:fldChar w:fldCharType="separate"/>
        </w:r>
        <w:r w:rsidR="00315D48">
          <w:rPr>
            <w:noProof/>
            <w:webHidden/>
          </w:rPr>
          <w:t>310</w:t>
        </w:r>
        <w:r w:rsidR="00315D48">
          <w:rPr>
            <w:noProof/>
            <w:webHidden/>
          </w:rPr>
          <w:fldChar w:fldCharType="end"/>
        </w:r>
      </w:hyperlink>
    </w:p>
    <w:p w14:paraId="79D55B35" w14:textId="3CC4A282" w:rsidR="00315D48" w:rsidRDefault="001C7A9B">
      <w:pPr>
        <w:pStyle w:val="TableofFigures"/>
        <w:tabs>
          <w:tab w:val="right" w:leader="dot" w:pos="9854"/>
        </w:tabs>
        <w:rPr>
          <w:rFonts w:eastAsiaTheme="minorEastAsia"/>
          <w:noProof/>
          <w:color w:val="auto"/>
          <w:kern w:val="0"/>
          <w:sz w:val="22"/>
          <w:szCs w:val="22"/>
          <w:lang w:eastAsia="en-AU"/>
        </w:rPr>
      </w:pPr>
      <w:hyperlink w:anchor="_Toc139969318" w:history="1">
        <w:r w:rsidR="00315D48" w:rsidRPr="00D91CA2">
          <w:rPr>
            <w:rStyle w:val="Hyperlink"/>
            <w:noProof/>
          </w:rPr>
          <w:t>Table 160: Reform options for stairs on trains</w:t>
        </w:r>
        <w:r w:rsidR="00315D48">
          <w:rPr>
            <w:noProof/>
            <w:webHidden/>
          </w:rPr>
          <w:tab/>
        </w:r>
        <w:r w:rsidR="00315D48">
          <w:rPr>
            <w:noProof/>
            <w:webHidden/>
          </w:rPr>
          <w:fldChar w:fldCharType="begin"/>
        </w:r>
        <w:r w:rsidR="00315D48">
          <w:rPr>
            <w:noProof/>
            <w:webHidden/>
          </w:rPr>
          <w:instrText xml:space="preserve"> PAGEREF _Toc139969318 \h </w:instrText>
        </w:r>
        <w:r w:rsidR="00315D48">
          <w:rPr>
            <w:noProof/>
            <w:webHidden/>
          </w:rPr>
        </w:r>
        <w:r w:rsidR="00315D48">
          <w:rPr>
            <w:noProof/>
            <w:webHidden/>
          </w:rPr>
          <w:fldChar w:fldCharType="separate"/>
        </w:r>
        <w:r w:rsidR="00315D48">
          <w:rPr>
            <w:noProof/>
            <w:webHidden/>
          </w:rPr>
          <w:t>313</w:t>
        </w:r>
        <w:r w:rsidR="00315D48">
          <w:rPr>
            <w:noProof/>
            <w:webHidden/>
          </w:rPr>
          <w:fldChar w:fldCharType="end"/>
        </w:r>
      </w:hyperlink>
    </w:p>
    <w:p w14:paraId="09190AF4" w14:textId="52D40F37" w:rsidR="00315D48" w:rsidRDefault="001C7A9B">
      <w:pPr>
        <w:pStyle w:val="TableofFigures"/>
        <w:tabs>
          <w:tab w:val="right" w:leader="dot" w:pos="9854"/>
        </w:tabs>
        <w:rPr>
          <w:rFonts w:eastAsiaTheme="minorEastAsia"/>
          <w:noProof/>
          <w:color w:val="auto"/>
          <w:kern w:val="0"/>
          <w:sz w:val="22"/>
          <w:szCs w:val="22"/>
          <w:lang w:eastAsia="en-AU"/>
        </w:rPr>
      </w:pPr>
      <w:hyperlink w:anchor="_Toc139969319" w:history="1">
        <w:r w:rsidR="00315D48" w:rsidRPr="00D91CA2">
          <w:rPr>
            <w:rStyle w:val="Hyperlink"/>
            <w:noProof/>
          </w:rPr>
          <w:t>Table 161: Benefit-cost ratios for stairs on trains</w:t>
        </w:r>
        <w:r w:rsidR="00315D48">
          <w:rPr>
            <w:noProof/>
            <w:webHidden/>
          </w:rPr>
          <w:tab/>
        </w:r>
        <w:r w:rsidR="00315D48">
          <w:rPr>
            <w:noProof/>
            <w:webHidden/>
          </w:rPr>
          <w:fldChar w:fldCharType="begin"/>
        </w:r>
        <w:r w:rsidR="00315D48">
          <w:rPr>
            <w:noProof/>
            <w:webHidden/>
          </w:rPr>
          <w:instrText xml:space="preserve"> PAGEREF _Toc139969319 \h </w:instrText>
        </w:r>
        <w:r w:rsidR="00315D48">
          <w:rPr>
            <w:noProof/>
            <w:webHidden/>
          </w:rPr>
        </w:r>
        <w:r w:rsidR="00315D48">
          <w:rPr>
            <w:noProof/>
            <w:webHidden/>
          </w:rPr>
          <w:fldChar w:fldCharType="separate"/>
        </w:r>
        <w:r w:rsidR="00315D48">
          <w:rPr>
            <w:noProof/>
            <w:webHidden/>
          </w:rPr>
          <w:t>314</w:t>
        </w:r>
        <w:r w:rsidR="00315D48">
          <w:rPr>
            <w:noProof/>
            <w:webHidden/>
          </w:rPr>
          <w:fldChar w:fldCharType="end"/>
        </w:r>
      </w:hyperlink>
    </w:p>
    <w:p w14:paraId="20C5DF13" w14:textId="52366373" w:rsidR="00315D48" w:rsidRDefault="001C7A9B">
      <w:pPr>
        <w:pStyle w:val="TableofFigures"/>
        <w:tabs>
          <w:tab w:val="right" w:leader="dot" w:pos="9854"/>
        </w:tabs>
        <w:rPr>
          <w:rFonts w:eastAsiaTheme="minorEastAsia"/>
          <w:noProof/>
          <w:color w:val="auto"/>
          <w:kern w:val="0"/>
          <w:sz w:val="22"/>
          <w:szCs w:val="22"/>
          <w:lang w:eastAsia="en-AU"/>
        </w:rPr>
      </w:pPr>
      <w:hyperlink w:anchor="_Toc139969320" w:history="1">
        <w:r w:rsidR="00315D48" w:rsidRPr="00D91CA2">
          <w:rPr>
            <w:rStyle w:val="Hyperlink"/>
            <w:noProof/>
          </w:rPr>
          <w:t>Table 162: Qualitative benefits for stairs on trains</w:t>
        </w:r>
        <w:r w:rsidR="00315D48">
          <w:rPr>
            <w:noProof/>
            <w:webHidden/>
          </w:rPr>
          <w:tab/>
        </w:r>
        <w:r w:rsidR="00315D48">
          <w:rPr>
            <w:noProof/>
            <w:webHidden/>
          </w:rPr>
          <w:fldChar w:fldCharType="begin"/>
        </w:r>
        <w:r w:rsidR="00315D48">
          <w:rPr>
            <w:noProof/>
            <w:webHidden/>
          </w:rPr>
          <w:instrText xml:space="preserve"> PAGEREF _Toc139969320 \h </w:instrText>
        </w:r>
        <w:r w:rsidR="00315D48">
          <w:rPr>
            <w:noProof/>
            <w:webHidden/>
          </w:rPr>
        </w:r>
        <w:r w:rsidR="00315D48">
          <w:rPr>
            <w:noProof/>
            <w:webHidden/>
          </w:rPr>
          <w:fldChar w:fldCharType="separate"/>
        </w:r>
        <w:r w:rsidR="00315D48">
          <w:rPr>
            <w:noProof/>
            <w:webHidden/>
          </w:rPr>
          <w:t>315</w:t>
        </w:r>
        <w:r w:rsidR="00315D48">
          <w:rPr>
            <w:noProof/>
            <w:webHidden/>
          </w:rPr>
          <w:fldChar w:fldCharType="end"/>
        </w:r>
      </w:hyperlink>
    </w:p>
    <w:p w14:paraId="620BAABA" w14:textId="1BDBA824" w:rsidR="00315D48" w:rsidRDefault="001C7A9B">
      <w:pPr>
        <w:pStyle w:val="TableofFigures"/>
        <w:tabs>
          <w:tab w:val="right" w:leader="dot" w:pos="9854"/>
        </w:tabs>
        <w:rPr>
          <w:rFonts w:eastAsiaTheme="minorEastAsia"/>
          <w:noProof/>
          <w:color w:val="auto"/>
          <w:kern w:val="0"/>
          <w:sz w:val="22"/>
          <w:szCs w:val="22"/>
          <w:lang w:eastAsia="en-AU"/>
        </w:rPr>
      </w:pPr>
      <w:hyperlink w:anchor="_Toc139969321" w:history="1">
        <w:r w:rsidR="00315D48" w:rsidRPr="00D91CA2">
          <w:rPr>
            <w:rStyle w:val="Hyperlink"/>
            <w:noProof/>
          </w:rPr>
          <w:t>Table 163: Reform options for stairs on ferries</w:t>
        </w:r>
        <w:r w:rsidR="00315D48">
          <w:rPr>
            <w:noProof/>
            <w:webHidden/>
          </w:rPr>
          <w:tab/>
        </w:r>
        <w:r w:rsidR="00315D48">
          <w:rPr>
            <w:noProof/>
            <w:webHidden/>
          </w:rPr>
          <w:fldChar w:fldCharType="begin"/>
        </w:r>
        <w:r w:rsidR="00315D48">
          <w:rPr>
            <w:noProof/>
            <w:webHidden/>
          </w:rPr>
          <w:instrText xml:space="preserve"> PAGEREF _Toc139969321 \h </w:instrText>
        </w:r>
        <w:r w:rsidR="00315D48">
          <w:rPr>
            <w:noProof/>
            <w:webHidden/>
          </w:rPr>
        </w:r>
        <w:r w:rsidR="00315D48">
          <w:rPr>
            <w:noProof/>
            <w:webHidden/>
          </w:rPr>
          <w:fldChar w:fldCharType="separate"/>
        </w:r>
        <w:r w:rsidR="00315D48">
          <w:rPr>
            <w:noProof/>
            <w:webHidden/>
          </w:rPr>
          <w:t>318</w:t>
        </w:r>
        <w:r w:rsidR="00315D48">
          <w:rPr>
            <w:noProof/>
            <w:webHidden/>
          </w:rPr>
          <w:fldChar w:fldCharType="end"/>
        </w:r>
      </w:hyperlink>
    </w:p>
    <w:p w14:paraId="74A17EB4" w14:textId="7D26F6FC" w:rsidR="00315D48" w:rsidRDefault="001C7A9B">
      <w:pPr>
        <w:pStyle w:val="TableofFigures"/>
        <w:tabs>
          <w:tab w:val="right" w:leader="dot" w:pos="9854"/>
        </w:tabs>
        <w:rPr>
          <w:rFonts w:eastAsiaTheme="minorEastAsia"/>
          <w:noProof/>
          <w:color w:val="auto"/>
          <w:kern w:val="0"/>
          <w:sz w:val="22"/>
          <w:szCs w:val="22"/>
          <w:lang w:eastAsia="en-AU"/>
        </w:rPr>
      </w:pPr>
      <w:hyperlink w:anchor="_Toc139969322" w:history="1">
        <w:r w:rsidR="00315D48" w:rsidRPr="00D91CA2">
          <w:rPr>
            <w:rStyle w:val="Hyperlink"/>
            <w:noProof/>
          </w:rPr>
          <w:t>Table 164: Benefit-cost ratios for stairs on ferries</w:t>
        </w:r>
        <w:r w:rsidR="00315D48">
          <w:rPr>
            <w:noProof/>
            <w:webHidden/>
          </w:rPr>
          <w:tab/>
        </w:r>
        <w:r w:rsidR="00315D48">
          <w:rPr>
            <w:noProof/>
            <w:webHidden/>
          </w:rPr>
          <w:fldChar w:fldCharType="begin"/>
        </w:r>
        <w:r w:rsidR="00315D48">
          <w:rPr>
            <w:noProof/>
            <w:webHidden/>
          </w:rPr>
          <w:instrText xml:space="preserve"> PAGEREF _Toc139969322 \h </w:instrText>
        </w:r>
        <w:r w:rsidR="00315D48">
          <w:rPr>
            <w:noProof/>
            <w:webHidden/>
          </w:rPr>
        </w:r>
        <w:r w:rsidR="00315D48">
          <w:rPr>
            <w:noProof/>
            <w:webHidden/>
          </w:rPr>
          <w:fldChar w:fldCharType="separate"/>
        </w:r>
        <w:r w:rsidR="00315D48">
          <w:rPr>
            <w:noProof/>
            <w:webHidden/>
          </w:rPr>
          <w:t>319</w:t>
        </w:r>
        <w:r w:rsidR="00315D48">
          <w:rPr>
            <w:noProof/>
            <w:webHidden/>
          </w:rPr>
          <w:fldChar w:fldCharType="end"/>
        </w:r>
      </w:hyperlink>
    </w:p>
    <w:p w14:paraId="7286B720" w14:textId="392CB5EF" w:rsidR="00315D48" w:rsidRDefault="001C7A9B">
      <w:pPr>
        <w:pStyle w:val="TableofFigures"/>
        <w:tabs>
          <w:tab w:val="right" w:leader="dot" w:pos="9854"/>
        </w:tabs>
        <w:rPr>
          <w:rFonts w:eastAsiaTheme="minorEastAsia"/>
          <w:noProof/>
          <w:color w:val="auto"/>
          <w:kern w:val="0"/>
          <w:sz w:val="22"/>
          <w:szCs w:val="22"/>
          <w:lang w:eastAsia="en-AU"/>
        </w:rPr>
      </w:pPr>
      <w:hyperlink w:anchor="_Toc139969323" w:history="1">
        <w:r w:rsidR="00315D48" w:rsidRPr="00D91CA2">
          <w:rPr>
            <w:rStyle w:val="Hyperlink"/>
            <w:noProof/>
          </w:rPr>
          <w:t>Table 165: Qualitative benefits for stairs on ferries</w:t>
        </w:r>
        <w:r w:rsidR="00315D48">
          <w:rPr>
            <w:noProof/>
            <w:webHidden/>
          </w:rPr>
          <w:tab/>
        </w:r>
        <w:r w:rsidR="00315D48">
          <w:rPr>
            <w:noProof/>
            <w:webHidden/>
          </w:rPr>
          <w:fldChar w:fldCharType="begin"/>
        </w:r>
        <w:r w:rsidR="00315D48">
          <w:rPr>
            <w:noProof/>
            <w:webHidden/>
          </w:rPr>
          <w:instrText xml:space="preserve"> PAGEREF _Toc139969323 \h </w:instrText>
        </w:r>
        <w:r w:rsidR="00315D48">
          <w:rPr>
            <w:noProof/>
            <w:webHidden/>
          </w:rPr>
        </w:r>
        <w:r w:rsidR="00315D48">
          <w:rPr>
            <w:noProof/>
            <w:webHidden/>
          </w:rPr>
          <w:fldChar w:fldCharType="separate"/>
        </w:r>
        <w:r w:rsidR="00315D48">
          <w:rPr>
            <w:noProof/>
            <w:webHidden/>
          </w:rPr>
          <w:t>320</w:t>
        </w:r>
        <w:r w:rsidR="00315D48">
          <w:rPr>
            <w:noProof/>
            <w:webHidden/>
          </w:rPr>
          <w:fldChar w:fldCharType="end"/>
        </w:r>
      </w:hyperlink>
    </w:p>
    <w:p w14:paraId="352C2AA8" w14:textId="1A96EEA3" w:rsidR="00315D48" w:rsidRDefault="001C7A9B">
      <w:pPr>
        <w:pStyle w:val="TableofFigures"/>
        <w:tabs>
          <w:tab w:val="right" w:leader="dot" w:pos="9854"/>
        </w:tabs>
        <w:rPr>
          <w:rFonts w:eastAsiaTheme="minorEastAsia"/>
          <w:noProof/>
          <w:color w:val="auto"/>
          <w:kern w:val="0"/>
          <w:sz w:val="22"/>
          <w:szCs w:val="22"/>
          <w:lang w:eastAsia="en-AU"/>
        </w:rPr>
      </w:pPr>
      <w:hyperlink w:anchor="_Toc139969324" w:history="1">
        <w:r w:rsidR="00315D48" w:rsidRPr="00D91CA2">
          <w:rPr>
            <w:rStyle w:val="Hyperlink"/>
            <w:noProof/>
          </w:rPr>
          <w:t>Table 166: Reform options for stairs on buses</w:t>
        </w:r>
        <w:r w:rsidR="00315D48">
          <w:rPr>
            <w:noProof/>
            <w:webHidden/>
          </w:rPr>
          <w:tab/>
        </w:r>
        <w:r w:rsidR="00315D48">
          <w:rPr>
            <w:noProof/>
            <w:webHidden/>
          </w:rPr>
          <w:fldChar w:fldCharType="begin"/>
        </w:r>
        <w:r w:rsidR="00315D48">
          <w:rPr>
            <w:noProof/>
            <w:webHidden/>
          </w:rPr>
          <w:instrText xml:space="preserve"> PAGEREF _Toc139969324 \h </w:instrText>
        </w:r>
        <w:r w:rsidR="00315D48">
          <w:rPr>
            <w:noProof/>
            <w:webHidden/>
          </w:rPr>
        </w:r>
        <w:r w:rsidR="00315D48">
          <w:rPr>
            <w:noProof/>
            <w:webHidden/>
          </w:rPr>
          <w:fldChar w:fldCharType="separate"/>
        </w:r>
        <w:r w:rsidR="00315D48">
          <w:rPr>
            <w:noProof/>
            <w:webHidden/>
          </w:rPr>
          <w:t>324</w:t>
        </w:r>
        <w:r w:rsidR="00315D48">
          <w:rPr>
            <w:noProof/>
            <w:webHidden/>
          </w:rPr>
          <w:fldChar w:fldCharType="end"/>
        </w:r>
      </w:hyperlink>
    </w:p>
    <w:p w14:paraId="7A6D3563" w14:textId="1EC68973" w:rsidR="00315D48" w:rsidRDefault="001C7A9B">
      <w:pPr>
        <w:pStyle w:val="TableofFigures"/>
        <w:tabs>
          <w:tab w:val="right" w:leader="dot" w:pos="9854"/>
        </w:tabs>
        <w:rPr>
          <w:rFonts w:eastAsiaTheme="minorEastAsia"/>
          <w:noProof/>
          <w:color w:val="auto"/>
          <w:kern w:val="0"/>
          <w:sz w:val="22"/>
          <w:szCs w:val="22"/>
          <w:lang w:eastAsia="en-AU"/>
        </w:rPr>
      </w:pPr>
      <w:hyperlink w:anchor="_Toc139969325" w:history="1">
        <w:r w:rsidR="00315D48" w:rsidRPr="00D91CA2">
          <w:rPr>
            <w:rStyle w:val="Hyperlink"/>
            <w:noProof/>
          </w:rPr>
          <w:t>Table 167: Benefit-cost ratios for stairs on buses</w:t>
        </w:r>
        <w:r w:rsidR="00315D48">
          <w:rPr>
            <w:noProof/>
            <w:webHidden/>
          </w:rPr>
          <w:tab/>
        </w:r>
        <w:r w:rsidR="00315D48">
          <w:rPr>
            <w:noProof/>
            <w:webHidden/>
          </w:rPr>
          <w:fldChar w:fldCharType="begin"/>
        </w:r>
        <w:r w:rsidR="00315D48">
          <w:rPr>
            <w:noProof/>
            <w:webHidden/>
          </w:rPr>
          <w:instrText xml:space="preserve"> PAGEREF _Toc139969325 \h </w:instrText>
        </w:r>
        <w:r w:rsidR="00315D48">
          <w:rPr>
            <w:noProof/>
            <w:webHidden/>
          </w:rPr>
        </w:r>
        <w:r w:rsidR="00315D48">
          <w:rPr>
            <w:noProof/>
            <w:webHidden/>
          </w:rPr>
          <w:fldChar w:fldCharType="separate"/>
        </w:r>
        <w:r w:rsidR="00315D48">
          <w:rPr>
            <w:noProof/>
            <w:webHidden/>
          </w:rPr>
          <w:t>325</w:t>
        </w:r>
        <w:r w:rsidR="00315D48">
          <w:rPr>
            <w:noProof/>
            <w:webHidden/>
          </w:rPr>
          <w:fldChar w:fldCharType="end"/>
        </w:r>
      </w:hyperlink>
    </w:p>
    <w:p w14:paraId="4AA6064F" w14:textId="1499C7F7" w:rsidR="00315D48" w:rsidRDefault="001C7A9B">
      <w:pPr>
        <w:pStyle w:val="TableofFigures"/>
        <w:tabs>
          <w:tab w:val="right" w:leader="dot" w:pos="9854"/>
        </w:tabs>
        <w:rPr>
          <w:rFonts w:eastAsiaTheme="minorEastAsia"/>
          <w:noProof/>
          <w:color w:val="auto"/>
          <w:kern w:val="0"/>
          <w:sz w:val="22"/>
          <w:szCs w:val="22"/>
          <w:lang w:eastAsia="en-AU"/>
        </w:rPr>
      </w:pPr>
      <w:hyperlink w:anchor="_Toc139969326" w:history="1">
        <w:r w:rsidR="00315D48" w:rsidRPr="00D91CA2">
          <w:rPr>
            <w:rStyle w:val="Hyperlink"/>
            <w:noProof/>
          </w:rPr>
          <w:t>Table 168: Qualitative benefits for stairs on buses</w:t>
        </w:r>
        <w:r w:rsidR="00315D48">
          <w:rPr>
            <w:noProof/>
            <w:webHidden/>
          </w:rPr>
          <w:tab/>
        </w:r>
        <w:r w:rsidR="00315D48">
          <w:rPr>
            <w:noProof/>
            <w:webHidden/>
          </w:rPr>
          <w:fldChar w:fldCharType="begin"/>
        </w:r>
        <w:r w:rsidR="00315D48">
          <w:rPr>
            <w:noProof/>
            <w:webHidden/>
          </w:rPr>
          <w:instrText xml:space="preserve"> PAGEREF _Toc139969326 \h </w:instrText>
        </w:r>
        <w:r w:rsidR="00315D48">
          <w:rPr>
            <w:noProof/>
            <w:webHidden/>
          </w:rPr>
        </w:r>
        <w:r w:rsidR="00315D48">
          <w:rPr>
            <w:noProof/>
            <w:webHidden/>
          </w:rPr>
          <w:fldChar w:fldCharType="separate"/>
        </w:r>
        <w:r w:rsidR="00315D48">
          <w:rPr>
            <w:noProof/>
            <w:webHidden/>
          </w:rPr>
          <w:t>326</w:t>
        </w:r>
        <w:r w:rsidR="00315D48">
          <w:rPr>
            <w:noProof/>
            <w:webHidden/>
          </w:rPr>
          <w:fldChar w:fldCharType="end"/>
        </w:r>
      </w:hyperlink>
    </w:p>
    <w:p w14:paraId="5E4CDB8A" w14:textId="19880AC0" w:rsidR="00315D48" w:rsidRDefault="001C7A9B">
      <w:pPr>
        <w:pStyle w:val="TableofFigures"/>
        <w:tabs>
          <w:tab w:val="right" w:leader="dot" w:pos="9854"/>
        </w:tabs>
        <w:rPr>
          <w:rFonts w:eastAsiaTheme="minorEastAsia"/>
          <w:noProof/>
          <w:color w:val="auto"/>
          <w:kern w:val="0"/>
          <w:sz w:val="22"/>
          <w:szCs w:val="22"/>
          <w:lang w:eastAsia="en-AU"/>
        </w:rPr>
      </w:pPr>
      <w:hyperlink w:anchor="_Toc139969327" w:history="1">
        <w:r w:rsidR="00315D48" w:rsidRPr="00D91CA2">
          <w:rPr>
            <w:rStyle w:val="Hyperlink"/>
            <w:noProof/>
          </w:rPr>
          <w:t>Table 169: Reform options for Doorway contrast and height</w:t>
        </w:r>
        <w:r w:rsidR="00315D48">
          <w:rPr>
            <w:noProof/>
            <w:webHidden/>
          </w:rPr>
          <w:tab/>
        </w:r>
        <w:r w:rsidR="00315D48">
          <w:rPr>
            <w:noProof/>
            <w:webHidden/>
          </w:rPr>
          <w:fldChar w:fldCharType="begin"/>
        </w:r>
        <w:r w:rsidR="00315D48">
          <w:rPr>
            <w:noProof/>
            <w:webHidden/>
          </w:rPr>
          <w:instrText xml:space="preserve"> PAGEREF _Toc139969327 \h </w:instrText>
        </w:r>
        <w:r w:rsidR="00315D48">
          <w:rPr>
            <w:noProof/>
            <w:webHidden/>
          </w:rPr>
        </w:r>
        <w:r w:rsidR="00315D48">
          <w:rPr>
            <w:noProof/>
            <w:webHidden/>
          </w:rPr>
          <w:fldChar w:fldCharType="separate"/>
        </w:r>
        <w:r w:rsidR="00315D48">
          <w:rPr>
            <w:noProof/>
            <w:webHidden/>
          </w:rPr>
          <w:t>330</w:t>
        </w:r>
        <w:r w:rsidR="00315D48">
          <w:rPr>
            <w:noProof/>
            <w:webHidden/>
          </w:rPr>
          <w:fldChar w:fldCharType="end"/>
        </w:r>
      </w:hyperlink>
    </w:p>
    <w:p w14:paraId="458F2AFA" w14:textId="76B2E8D4" w:rsidR="00315D48" w:rsidRDefault="001C7A9B">
      <w:pPr>
        <w:pStyle w:val="TableofFigures"/>
        <w:tabs>
          <w:tab w:val="right" w:leader="dot" w:pos="9854"/>
        </w:tabs>
        <w:rPr>
          <w:rFonts w:eastAsiaTheme="minorEastAsia"/>
          <w:noProof/>
          <w:color w:val="auto"/>
          <w:kern w:val="0"/>
          <w:sz w:val="22"/>
          <w:szCs w:val="22"/>
          <w:lang w:eastAsia="en-AU"/>
        </w:rPr>
      </w:pPr>
      <w:hyperlink w:anchor="_Toc139969328" w:history="1">
        <w:r w:rsidR="00315D48" w:rsidRPr="00D91CA2">
          <w:rPr>
            <w:rStyle w:val="Hyperlink"/>
            <w:noProof/>
          </w:rPr>
          <w:t>Table 170: Benefit-cost ratios for doorway contrast and height</w:t>
        </w:r>
        <w:r w:rsidR="00315D48">
          <w:rPr>
            <w:noProof/>
            <w:webHidden/>
          </w:rPr>
          <w:tab/>
        </w:r>
        <w:r w:rsidR="00315D48">
          <w:rPr>
            <w:noProof/>
            <w:webHidden/>
          </w:rPr>
          <w:fldChar w:fldCharType="begin"/>
        </w:r>
        <w:r w:rsidR="00315D48">
          <w:rPr>
            <w:noProof/>
            <w:webHidden/>
          </w:rPr>
          <w:instrText xml:space="preserve"> PAGEREF _Toc139969328 \h </w:instrText>
        </w:r>
        <w:r w:rsidR="00315D48">
          <w:rPr>
            <w:noProof/>
            <w:webHidden/>
          </w:rPr>
        </w:r>
        <w:r w:rsidR="00315D48">
          <w:rPr>
            <w:noProof/>
            <w:webHidden/>
          </w:rPr>
          <w:fldChar w:fldCharType="separate"/>
        </w:r>
        <w:r w:rsidR="00315D48">
          <w:rPr>
            <w:noProof/>
            <w:webHidden/>
          </w:rPr>
          <w:t>331</w:t>
        </w:r>
        <w:r w:rsidR="00315D48">
          <w:rPr>
            <w:noProof/>
            <w:webHidden/>
          </w:rPr>
          <w:fldChar w:fldCharType="end"/>
        </w:r>
      </w:hyperlink>
    </w:p>
    <w:p w14:paraId="20709D9A" w14:textId="6BFD1DCE" w:rsidR="00315D48" w:rsidRDefault="001C7A9B">
      <w:pPr>
        <w:pStyle w:val="TableofFigures"/>
        <w:tabs>
          <w:tab w:val="right" w:leader="dot" w:pos="9854"/>
        </w:tabs>
        <w:rPr>
          <w:rFonts w:eastAsiaTheme="minorEastAsia"/>
          <w:noProof/>
          <w:color w:val="auto"/>
          <w:kern w:val="0"/>
          <w:sz w:val="22"/>
          <w:szCs w:val="22"/>
          <w:lang w:eastAsia="en-AU"/>
        </w:rPr>
      </w:pPr>
      <w:hyperlink w:anchor="_Toc139969329" w:history="1">
        <w:r w:rsidR="00315D48" w:rsidRPr="00D91CA2">
          <w:rPr>
            <w:rStyle w:val="Hyperlink"/>
            <w:noProof/>
          </w:rPr>
          <w:t>Table 171: Qualitative benefits for doorway contrast and height</w:t>
        </w:r>
        <w:r w:rsidR="00315D48">
          <w:rPr>
            <w:noProof/>
            <w:webHidden/>
          </w:rPr>
          <w:tab/>
        </w:r>
        <w:r w:rsidR="00315D48">
          <w:rPr>
            <w:noProof/>
            <w:webHidden/>
          </w:rPr>
          <w:fldChar w:fldCharType="begin"/>
        </w:r>
        <w:r w:rsidR="00315D48">
          <w:rPr>
            <w:noProof/>
            <w:webHidden/>
          </w:rPr>
          <w:instrText xml:space="preserve"> PAGEREF _Toc139969329 \h </w:instrText>
        </w:r>
        <w:r w:rsidR="00315D48">
          <w:rPr>
            <w:noProof/>
            <w:webHidden/>
          </w:rPr>
        </w:r>
        <w:r w:rsidR="00315D48">
          <w:rPr>
            <w:noProof/>
            <w:webHidden/>
          </w:rPr>
          <w:fldChar w:fldCharType="separate"/>
        </w:r>
        <w:r w:rsidR="00315D48">
          <w:rPr>
            <w:noProof/>
            <w:webHidden/>
          </w:rPr>
          <w:t>332</w:t>
        </w:r>
        <w:r w:rsidR="00315D48">
          <w:rPr>
            <w:noProof/>
            <w:webHidden/>
          </w:rPr>
          <w:fldChar w:fldCharType="end"/>
        </w:r>
      </w:hyperlink>
    </w:p>
    <w:p w14:paraId="1B5ADC30" w14:textId="54B8F54C" w:rsidR="00315D48" w:rsidRDefault="001C7A9B">
      <w:pPr>
        <w:pStyle w:val="TableofFigures"/>
        <w:tabs>
          <w:tab w:val="right" w:leader="dot" w:pos="9854"/>
        </w:tabs>
        <w:rPr>
          <w:rFonts w:eastAsiaTheme="minorEastAsia"/>
          <w:noProof/>
          <w:color w:val="auto"/>
          <w:kern w:val="0"/>
          <w:sz w:val="22"/>
          <w:szCs w:val="22"/>
          <w:lang w:eastAsia="en-AU"/>
        </w:rPr>
      </w:pPr>
      <w:hyperlink w:anchor="_Toc139969330" w:history="1">
        <w:r w:rsidR="00315D48" w:rsidRPr="00D91CA2">
          <w:rPr>
            <w:rStyle w:val="Hyperlink"/>
            <w:noProof/>
          </w:rPr>
          <w:t>Table 172: Preferred option for Staff Training and Communication</w:t>
        </w:r>
        <w:r w:rsidR="00315D48">
          <w:rPr>
            <w:noProof/>
            <w:webHidden/>
          </w:rPr>
          <w:tab/>
        </w:r>
        <w:r w:rsidR="00315D48">
          <w:rPr>
            <w:noProof/>
            <w:webHidden/>
          </w:rPr>
          <w:fldChar w:fldCharType="begin"/>
        </w:r>
        <w:r w:rsidR="00315D48">
          <w:rPr>
            <w:noProof/>
            <w:webHidden/>
          </w:rPr>
          <w:instrText xml:space="preserve"> PAGEREF _Toc139969330 \h </w:instrText>
        </w:r>
        <w:r w:rsidR="00315D48">
          <w:rPr>
            <w:noProof/>
            <w:webHidden/>
          </w:rPr>
        </w:r>
        <w:r w:rsidR="00315D48">
          <w:rPr>
            <w:noProof/>
            <w:webHidden/>
          </w:rPr>
          <w:fldChar w:fldCharType="separate"/>
        </w:r>
        <w:r w:rsidR="00315D48">
          <w:rPr>
            <w:noProof/>
            <w:webHidden/>
          </w:rPr>
          <w:t>337</w:t>
        </w:r>
        <w:r w:rsidR="00315D48">
          <w:rPr>
            <w:noProof/>
            <w:webHidden/>
          </w:rPr>
          <w:fldChar w:fldCharType="end"/>
        </w:r>
      </w:hyperlink>
    </w:p>
    <w:p w14:paraId="07BDDC9B" w14:textId="3A456279" w:rsidR="00315D48" w:rsidRDefault="001C7A9B">
      <w:pPr>
        <w:pStyle w:val="TableofFigures"/>
        <w:tabs>
          <w:tab w:val="right" w:leader="dot" w:pos="9854"/>
        </w:tabs>
        <w:rPr>
          <w:rFonts w:eastAsiaTheme="minorEastAsia"/>
          <w:noProof/>
          <w:color w:val="auto"/>
          <w:kern w:val="0"/>
          <w:sz w:val="22"/>
          <w:szCs w:val="22"/>
          <w:lang w:eastAsia="en-AU"/>
        </w:rPr>
      </w:pPr>
      <w:hyperlink w:anchor="_Toc139969331" w:history="1">
        <w:r w:rsidR="00315D48" w:rsidRPr="00D91CA2">
          <w:rPr>
            <w:rStyle w:val="Hyperlink"/>
            <w:noProof/>
          </w:rPr>
          <w:t>Table 173: Preferred option for Mobility aid safety</w:t>
        </w:r>
        <w:r w:rsidR="00315D48">
          <w:rPr>
            <w:noProof/>
            <w:webHidden/>
          </w:rPr>
          <w:tab/>
        </w:r>
        <w:r w:rsidR="00315D48">
          <w:rPr>
            <w:noProof/>
            <w:webHidden/>
          </w:rPr>
          <w:fldChar w:fldCharType="begin"/>
        </w:r>
        <w:r w:rsidR="00315D48">
          <w:rPr>
            <w:noProof/>
            <w:webHidden/>
          </w:rPr>
          <w:instrText xml:space="preserve"> PAGEREF _Toc139969331 \h </w:instrText>
        </w:r>
        <w:r w:rsidR="00315D48">
          <w:rPr>
            <w:noProof/>
            <w:webHidden/>
          </w:rPr>
        </w:r>
        <w:r w:rsidR="00315D48">
          <w:rPr>
            <w:noProof/>
            <w:webHidden/>
          </w:rPr>
          <w:fldChar w:fldCharType="separate"/>
        </w:r>
        <w:r w:rsidR="00315D48">
          <w:rPr>
            <w:noProof/>
            <w:webHidden/>
          </w:rPr>
          <w:t>338</w:t>
        </w:r>
        <w:r w:rsidR="00315D48">
          <w:rPr>
            <w:noProof/>
            <w:webHidden/>
          </w:rPr>
          <w:fldChar w:fldCharType="end"/>
        </w:r>
      </w:hyperlink>
    </w:p>
    <w:p w14:paraId="19C4DE82" w14:textId="120A7070" w:rsidR="00315D48" w:rsidRDefault="001C7A9B">
      <w:pPr>
        <w:pStyle w:val="TableofFigures"/>
        <w:tabs>
          <w:tab w:val="right" w:leader="dot" w:pos="9854"/>
        </w:tabs>
        <w:rPr>
          <w:rFonts w:eastAsiaTheme="minorEastAsia"/>
          <w:noProof/>
          <w:color w:val="auto"/>
          <w:kern w:val="0"/>
          <w:sz w:val="22"/>
          <w:szCs w:val="22"/>
          <w:lang w:eastAsia="en-AU"/>
        </w:rPr>
      </w:pPr>
      <w:hyperlink w:anchor="_Toc139969332" w:history="1">
        <w:r w:rsidR="00315D48" w:rsidRPr="00D91CA2">
          <w:rPr>
            <w:rStyle w:val="Hyperlink"/>
            <w:noProof/>
          </w:rPr>
          <w:t>Table 174: Preferred option for Priority seating</w:t>
        </w:r>
        <w:r w:rsidR="00315D48">
          <w:rPr>
            <w:noProof/>
            <w:webHidden/>
          </w:rPr>
          <w:tab/>
        </w:r>
        <w:r w:rsidR="00315D48">
          <w:rPr>
            <w:noProof/>
            <w:webHidden/>
          </w:rPr>
          <w:fldChar w:fldCharType="begin"/>
        </w:r>
        <w:r w:rsidR="00315D48">
          <w:rPr>
            <w:noProof/>
            <w:webHidden/>
          </w:rPr>
          <w:instrText xml:space="preserve"> PAGEREF _Toc139969332 \h </w:instrText>
        </w:r>
        <w:r w:rsidR="00315D48">
          <w:rPr>
            <w:noProof/>
            <w:webHidden/>
          </w:rPr>
        </w:r>
        <w:r w:rsidR="00315D48">
          <w:rPr>
            <w:noProof/>
            <w:webHidden/>
          </w:rPr>
          <w:fldChar w:fldCharType="separate"/>
        </w:r>
        <w:r w:rsidR="00315D48">
          <w:rPr>
            <w:noProof/>
            <w:webHidden/>
          </w:rPr>
          <w:t>339</w:t>
        </w:r>
        <w:r w:rsidR="00315D48">
          <w:rPr>
            <w:noProof/>
            <w:webHidden/>
          </w:rPr>
          <w:fldChar w:fldCharType="end"/>
        </w:r>
      </w:hyperlink>
    </w:p>
    <w:p w14:paraId="3098DD8C" w14:textId="2DF7AD2C" w:rsidR="00315D48" w:rsidRDefault="001C7A9B">
      <w:pPr>
        <w:pStyle w:val="TableofFigures"/>
        <w:tabs>
          <w:tab w:val="right" w:leader="dot" w:pos="9854"/>
        </w:tabs>
        <w:rPr>
          <w:rFonts w:eastAsiaTheme="minorEastAsia"/>
          <w:noProof/>
          <w:color w:val="auto"/>
          <w:kern w:val="0"/>
          <w:sz w:val="22"/>
          <w:szCs w:val="22"/>
          <w:lang w:eastAsia="en-AU"/>
        </w:rPr>
      </w:pPr>
      <w:hyperlink w:anchor="_Toc139969333" w:history="1">
        <w:r w:rsidR="00315D48" w:rsidRPr="00D91CA2">
          <w:rPr>
            <w:rStyle w:val="Hyperlink"/>
            <w:noProof/>
          </w:rPr>
          <w:t>Table 175: Preferred option for Allocated spaces</w:t>
        </w:r>
        <w:r w:rsidR="00315D48">
          <w:rPr>
            <w:noProof/>
            <w:webHidden/>
          </w:rPr>
          <w:tab/>
        </w:r>
        <w:r w:rsidR="00315D48">
          <w:rPr>
            <w:noProof/>
            <w:webHidden/>
          </w:rPr>
          <w:fldChar w:fldCharType="begin"/>
        </w:r>
        <w:r w:rsidR="00315D48">
          <w:rPr>
            <w:noProof/>
            <w:webHidden/>
          </w:rPr>
          <w:instrText xml:space="preserve"> PAGEREF _Toc139969333 \h </w:instrText>
        </w:r>
        <w:r w:rsidR="00315D48">
          <w:rPr>
            <w:noProof/>
            <w:webHidden/>
          </w:rPr>
        </w:r>
        <w:r w:rsidR="00315D48">
          <w:rPr>
            <w:noProof/>
            <w:webHidden/>
          </w:rPr>
          <w:fldChar w:fldCharType="separate"/>
        </w:r>
        <w:r w:rsidR="00315D48">
          <w:rPr>
            <w:noProof/>
            <w:webHidden/>
          </w:rPr>
          <w:t>340</w:t>
        </w:r>
        <w:r w:rsidR="00315D48">
          <w:rPr>
            <w:noProof/>
            <w:webHidden/>
          </w:rPr>
          <w:fldChar w:fldCharType="end"/>
        </w:r>
      </w:hyperlink>
    </w:p>
    <w:p w14:paraId="7377FFCD" w14:textId="17E775EB" w:rsidR="00315D48" w:rsidRDefault="001C7A9B">
      <w:pPr>
        <w:pStyle w:val="TableofFigures"/>
        <w:tabs>
          <w:tab w:val="right" w:leader="dot" w:pos="9854"/>
        </w:tabs>
        <w:rPr>
          <w:rFonts w:eastAsiaTheme="minorEastAsia"/>
          <w:noProof/>
          <w:color w:val="auto"/>
          <w:kern w:val="0"/>
          <w:sz w:val="22"/>
          <w:szCs w:val="22"/>
          <w:lang w:eastAsia="en-AU"/>
        </w:rPr>
      </w:pPr>
      <w:hyperlink w:anchor="_Toc139969334" w:history="1">
        <w:r w:rsidR="00315D48" w:rsidRPr="00D91CA2">
          <w:rPr>
            <w:rStyle w:val="Hyperlink"/>
            <w:noProof/>
          </w:rPr>
          <w:t>Table 176: Preferred option for Digital information screens</w:t>
        </w:r>
        <w:r w:rsidR="00315D48">
          <w:rPr>
            <w:noProof/>
            <w:webHidden/>
          </w:rPr>
          <w:tab/>
        </w:r>
        <w:r w:rsidR="00315D48">
          <w:rPr>
            <w:noProof/>
            <w:webHidden/>
          </w:rPr>
          <w:fldChar w:fldCharType="begin"/>
        </w:r>
        <w:r w:rsidR="00315D48">
          <w:rPr>
            <w:noProof/>
            <w:webHidden/>
          </w:rPr>
          <w:instrText xml:space="preserve"> PAGEREF _Toc139969334 \h </w:instrText>
        </w:r>
        <w:r w:rsidR="00315D48">
          <w:rPr>
            <w:noProof/>
            <w:webHidden/>
          </w:rPr>
        </w:r>
        <w:r w:rsidR="00315D48">
          <w:rPr>
            <w:noProof/>
            <w:webHidden/>
          </w:rPr>
          <w:fldChar w:fldCharType="separate"/>
        </w:r>
        <w:r w:rsidR="00315D48">
          <w:rPr>
            <w:noProof/>
            <w:webHidden/>
          </w:rPr>
          <w:t>341</w:t>
        </w:r>
        <w:r w:rsidR="00315D48">
          <w:rPr>
            <w:noProof/>
            <w:webHidden/>
          </w:rPr>
          <w:fldChar w:fldCharType="end"/>
        </w:r>
      </w:hyperlink>
    </w:p>
    <w:p w14:paraId="5D9D414C" w14:textId="5D44793F" w:rsidR="00315D48" w:rsidRDefault="001C7A9B">
      <w:pPr>
        <w:pStyle w:val="TableofFigures"/>
        <w:tabs>
          <w:tab w:val="right" w:leader="dot" w:pos="9854"/>
        </w:tabs>
        <w:rPr>
          <w:rFonts w:eastAsiaTheme="minorEastAsia"/>
          <w:noProof/>
          <w:color w:val="auto"/>
          <w:kern w:val="0"/>
          <w:sz w:val="22"/>
          <w:szCs w:val="22"/>
          <w:lang w:eastAsia="en-AU"/>
        </w:rPr>
      </w:pPr>
      <w:hyperlink w:anchor="_Toc139969335" w:history="1">
        <w:r w:rsidR="00315D48" w:rsidRPr="00D91CA2">
          <w:rPr>
            <w:rStyle w:val="Hyperlink"/>
            <w:noProof/>
          </w:rPr>
          <w:t>Table 177: Preferred option for Lifts</w:t>
        </w:r>
        <w:r w:rsidR="00315D48">
          <w:rPr>
            <w:noProof/>
            <w:webHidden/>
          </w:rPr>
          <w:tab/>
        </w:r>
        <w:r w:rsidR="00315D48">
          <w:rPr>
            <w:noProof/>
            <w:webHidden/>
          </w:rPr>
          <w:fldChar w:fldCharType="begin"/>
        </w:r>
        <w:r w:rsidR="00315D48">
          <w:rPr>
            <w:noProof/>
            <w:webHidden/>
          </w:rPr>
          <w:instrText xml:space="preserve"> PAGEREF _Toc139969335 \h </w:instrText>
        </w:r>
        <w:r w:rsidR="00315D48">
          <w:rPr>
            <w:noProof/>
            <w:webHidden/>
          </w:rPr>
        </w:r>
        <w:r w:rsidR="00315D48">
          <w:rPr>
            <w:noProof/>
            <w:webHidden/>
          </w:rPr>
          <w:fldChar w:fldCharType="separate"/>
        </w:r>
        <w:r w:rsidR="00315D48">
          <w:rPr>
            <w:noProof/>
            <w:webHidden/>
          </w:rPr>
          <w:t>341</w:t>
        </w:r>
        <w:r w:rsidR="00315D48">
          <w:rPr>
            <w:noProof/>
            <w:webHidden/>
          </w:rPr>
          <w:fldChar w:fldCharType="end"/>
        </w:r>
      </w:hyperlink>
    </w:p>
    <w:p w14:paraId="74DEFB1D" w14:textId="6381FC52" w:rsidR="00315D48" w:rsidRDefault="001C7A9B">
      <w:pPr>
        <w:pStyle w:val="TableofFigures"/>
        <w:tabs>
          <w:tab w:val="right" w:leader="dot" w:pos="9854"/>
        </w:tabs>
        <w:rPr>
          <w:rFonts w:eastAsiaTheme="minorEastAsia"/>
          <w:noProof/>
          <w:color w:val="auto"/>
          <w:kern w:val="0"/>
          <w:sz w:val="22"/>
          <w:szCs w:val="22"/>
          <w:lang w:eastAsia="en-AU"/>
        </w:rPr>
      </w:pPr>
      <w:hyperlink w:anchor="_Toc139969336" w:history="1">
        <w:r w:rsidR="00315D48" w:rsidRPr="00D91CA2">
          <w:rPr>
            <w:rStyle w:val="Hyperlink"/>
            <w:noProof/>
          </w:rPr>
          <w:t>Table 178: Preferred option for Website accessibility</w:t>
        </w:r>
        <w:r w:rsidR="00315D48">
          <w:rPr>
            <w:noProof/>
            <w:webHidden/>
          </w:rPr>
          <w:tab/>
        </w:r>
        <w:r w:rsidR="00315D48">
          <w:rPr>
            <w:noProof/>
            <w:webHidden/>
          </w:rPr>
          <w:fldChar w:fldCharType="begin"/>
        </w:r>
        <w:r w:rsidR="00315D48">
          <w:rPr>
            <w:noProof/>
            <w:webHidden/>
          </w:rPr>
          <w:instrText xml:space="preserve"> PAGEREF _Toc139969336 \h </w:instrText>
        </w:r>
        <w:r w:rsidR="00315D48">
          <w:rPr>
            <w:noProof/>
            <w:webHidden/>
          </w:rPr>
        </w:r>
        <w:r w:rsidR="00315D48">
          <w:rPr>
            <w:noProof/>
            <w:webHidden/>
          </w:rPr>
          <w:fldChar w:fldCharType="separate"/>
        </w:r>
        <w:r w:rsidR="00315D48">
          <w:rPr>
            <w:noProof/>
            <w:webHidden/>
          </w:rPr>
          <w:t>342</w:t>
        </w:r>
        <w:r w:rsidR="00315D48">
          <w:rPr>
            <w:noProof/>
            <w:webHidden/>
          </w:rPr>
          <w:fldChar w:fldCharType="end"/>
        </w:r>
      </w:hyperlink>
    </w:p>
    <w:p w14:paraId="29548711" w14:textId="152BFFFA" w:rsidR="00315D48" w:rsidRDefault="001C7A9B">
      <w:pPr>
        <w:pStyle w:val="TableofFigures"/>
        <w:tabs>
          <w:tab w:val="right" w:leader="dot" w:pos="9854"/>
        </w:tabs>
        <w:rPr>
          <w:rFonts w:eastAsiaTheme="minorEastAsia"/>
          <w:noProof/>
          <w:color w:val="auto"/>
          <w:kern w:val="0"/>
          <w:sz w:val="22"/>
          <w:szCs w:val="22"/>
          <w:lang w:eastAsia="en-AU"/>
        </w:rPr>
      </w:pPr>
      <w:hyperlink w:anchor="_Toc139969337" w:history="1">
        <w:r w:rsidR="00315D48" w:rsidRPr="00D91CA2">
          <w:rPr>
            <w:rStyle w:val="Hyperlink"/>
            <w:noProof/>
          </w:rPr>
          <w:t>Table 179: Preferred option for Communication during service disruption</w:t>
        </w:r>
        <w:r w:rsidR="00315D48">
          <w:rPr>
            <w:noProof/>
            <w:webHidden/>
          </w:rPr>
          <w:tab/>
        </w:r>
        <w:r w:rsidR="00315D48">
          <w:rPr>
            <w:noProof/>
            <w:webHidden/>
          </w:rPr>
          <w:fldChar w:fldCharType="begin"/>
        </w:r>
        <w:r w:rsidR="00315D48">
          <w:rPr>
            <w:noProof/>
            <w:webHidden/>
          </w:rPr>
          <w:instrText xml:space="preserve"> PAGEREF _Toc139969337 \h </w:instrText>
        </w:r>
        <w:r w:rsidR="00315D48">
          <w:rPr>
            <w:noProof/>
            <w:webHidden/>
          </w:rPr>
        </w:r>
        <w:r w:rsidR="00315D48">
          <w:rPr>
            <w:noProof/>
            <w:webHidden/>
          </w:rPr>
          <w:fldChar w:fldCharType="separate"/>
        </w:r>
        <w:r w:rsidR="00315D48">
          <w:rPr>
            <w:noProof/>
            <w:webHidden/>
          </w:rPr>
          <w:t>343</w:t>
        </w:r>
        <w:r w:rsidR="00315D48">
          <w:rPr>
            <w:noProof/>
            <w:webHidden/>
          </w:rPr>
          <w:fldChar w:fldCharType="end"/>
        </w:r>
      </w:hyperlink>
    </w:p>
    <w:p w14:paraId="2ACE50A6" w14:textId="73F25172" w:rsidR="00315D48" w:rsidRDefault="001C7A9B">
      <w:pPr>
        <w:pStyle w:val="TableofFigures"/>
        <w:tabs>
          <w:tab w:val="right" w:leader="dot" w:pos="9854"/>
        </w:tabs>
        <w:rPr>
          <w:rFonts w:eastAsiaTheme="minorEastAsia"/>
          <w:noProof/>
          <w:color w:val="auto"/>
          <w:kern w:val="0"/>
          <w:sz w:val="22"/>
          <w:szCs w:val="22"/>
          <w:lang w:eastAsia="en-AU"/>
        </w:rPr>
      </w:pPr>
      <w:hyperlink w:anchor="_Toc139969338" w:history="1">
        <w:r w:rsidR="00315D48" w:rsidRPr="00D91CA2">
          <w:rPr>
            <w:rStyle w:val="Hyperlink"/>
            <w:noProof/>
          </w:rPr>
          <w:t>Table 180: Preferred option for Gangways</w:t>
        </w:r>
        <w:r w:rsidR="00315D48">
          <w:rPr>
            <w:noProof/>
            <w:webHidden/>
          </w:rPr>
          <w:tab/>
        </w:r>
        <w:r w:rsidR="00315D48">
          <w:rPr>
            <w:noProof/>
            <w:webHidden/>
          </w:rPr>
          <w:fldChar w:fldCharType="begin"/>
        </w:r>
        <w:r w:rsidR="00315D48">
          <w:rPr>
            <w:noProof/>
            <w:webHidden/>
          </w:rPr>
          <w:instrText xml:space="preserve"> PAGEREF _Toc139969338 \h </w:instrText>
        </w:r>
        <w:r w:rsidR="00315D48">
          <w:rPr>
            <w:noProof/>
            <w:webHidden/>
          </w:rPr>
        </w:r>
        <w:r w:rsidR="00315D48">
          <w:rPr>
            <w:noProof/>
            <w:webHidden/>
          </w:rPr>
          <w:fldChar w:fldCharType="separate"/>
        </w:r>
        <w:r w:rsidR="00315D48">
          <w:rPr>
            <w:noProof/>
            <w:webHidden/>
          </w:rPr>
          <w:t>344</w:t>
        </w:r>
        <w:r w:rsidR="00315D48">
          <w:rPr>
            <w:noProof/>
            <w:webHidden/>
          </w:rPr>
          <w:fldChar w:fldCharType="end"/>
        </w:r>
      </w:hyperlink>
    </w:p>
    <w:p w14:paraId="47F8AFFE" w14:textId="7E58E18E" w:rsidR="00315D48" w:rsidRDefault="001C7A9B">
      <w:pPr>
        <w:pStyle w:val="TableofFigures"/>
        <w:tabs>
          <w:tab w:val="right" w:leader="dot" w:pos="9854"/>
        </w:tabs>
        <w:rPr>
          <w:rFonts w:eastAsiaTheme="minorEastAsia"/>
          <w:noProof/>
          <w:color w:val="auto"/>
          <w:kern w:val="0"/>
          <w:sz w:val="22"/>
          <w:szCs w:val="22"/>
          <w:lang w:eastAsia="en-AU"/>
        </w:rPr>
      </w:pPr>
      <w:hyperlink w:anchor="_Toc139969339" w:history="1">
        <w:r w:rsidR="00315D48" w:rsidRPr="00D91CA2">
          <w:rPr>
            <w:rStyle w:val="Hyperlink"/>
            <w:noProof/>
          </w:rPr>
          <w:t>Table 181: Preferred option for Assistance animal toileting facilities</w:t>
        </w:r>
        <w:r w:rsidR="00315D48">
          <w:rPr>
            <w:noProof/>
            <w:webHidden/>
          </w:rPr>
          <w:tab/>
        </w:r>
        <w:r w:rsidR="00315D48">
          <w:rPr>
            <w:noProof/>
            <w:webHidden/>
          </w:rPr>
          <w:fldChar w:fldCharType="begin"/>
        </w:r>
        <w:r w:rsidR="00315D48">
          <w:rPr>
            <w:noProof/>
            <w:webHidden/>
          </w:rPr>
          <w:instrText xml:space="preserve"> PAGEREF _Toc139969339 \h </w:instrText>
        </w:r>
        <w:r w:rsidR="00315D48">
          <w:rPr>
            <w:noProof/>
            <w:webHidden/>
          </w:rPr>
        </w:r>
        <w:r w:rsidR="00315D48">
          <w:rPr>
            <w:noProof/>
            <w:webHidden/>
          </w:rPr>
          <w:fldChar w:fldCharType="separate"/>
        </w:r>
        <w:r w:rsidR="00315D48">
          <w:rPr>
            <w:noProof/>
            <w:webHidden/>
          </w:rPr>
          <w:t>345</w:t>
        </w:r>
        <w:r w:rsidR="00315D48">
          <w:rPr>
            <w:noProof/>
            <w:webHidden/>
          </w:rPr>
          <w:fldChar w:fldCharType="end"/>
        </w:r>
      </w:hyperlink>
    </w:p>
    <w:p w14:paraId="2A848C40" w14:textId="7B3D52AF" w:rsidR="00315D48" w:rsidRDefault="001C7A9B">
      <w:pPr>
        <w:pStyle w:val="TableofFigures"/>
        <w:tabs>
          <w:tab w:val="right" w:leader="dot" w:pos="9854"/>
        </w:tabs>
        <w:rPr>
          <w:rFonts w:eastAsiaTheme="minorEastAsia"/>
          <w:noProof/>
          <w:color w:val="auto"/>
          <w:kern w:val="0"/>
          <w:sz w:val="22"/>
          <w:szCs w:val="22"/>
          <w:lang w:eastAsia="en-AU"/>
        </w:rPr>
      </w:pPr>
      <w:hyperlink w:anchor="_Toc139969340" w:history="1">
        <w:r w:rsidR="00315D48" w:rsidRPr="00D91CA2">
          <w:rPr>
            <w:rStyle w:val="Hyperlink"/>
            <w:noProof/>
          </w:rPr>
          <w:t>Table 182: Preferred option for Emergency egress</w:t>
        </w:r>
        <w:r w:rsidR="00315D48">
          <w:rPr>
            <w:noProof/>
            <w:webHidden/>
          </w:rPr>
          <w:tab/>
        </w:r>
        <w:r w:rsidR="00315D48">
          <w:rPr>
            <w:noProof/>
            <w:webHidden/>
          </w:rPr>
          <w:fldChar w:fldCharType="begin"/>
        </w:r>
        <w:r w:rsidR="00315D48">
          <w:rPr>
            <w:noProof/>
            <w:webHidden/>
          </w:rPr>
          <w:instrText xml:space="preserve"> PAGEREF _Toc139969340 \h </w:instrText>
        </w:r>
        <w:r w:rsidR="00315D48">
          <w:rPr>
            <w:noProof/>
            <w:webHidden/>
          </w:rPr>
        </w:r>
        <w:r w:rsidR="00315D48">
          <w:rPr>
            <w:noProof/>
            <w:webHidden/>
          </w:rPr>
          <w:fldChar w:fldCharType="separate"/>
        </w:r>
        <w:r w:rsidR="00315D48">
          <w:rPr>
            <w:noProof/>
            <w:webHidden/>
          </w:rPr>
          <w:t>345</w:t>
        </w:r>
        <w:r w:rsidR="00315D48">
          <w:rPr>
            <w:noProof/>
            <w:webHidden/>
          </w:rPr>
          <w:fldChar w:fldCharType="end"/>
        </w:r>
      </w:hyperlink>
    </w:p>
    <w:p w14:paraId="3A053915" w14:textId="4DBF1DE0" w:rsidR="00315D48" w:rsidRDefault="001C7A9B">
      <w:pPr>
        <w:pStyle w:val="TableofFigures"/>
        <w:tabs>
          <w:tab w:val="right" w:leader="dot" w:pos="9854"/>
        </w:tabs>
        <w:rPr>
          <w:rFonts w:eastAsiaTheme="minorEastAsia"/>
          <w:noProof/>
          <w:color w:val="auto"/>
          <w:kern w:val="0"/>
          <w:sz w:val="22"/>
          <w:szCs w:val="22"/>
          <w:lang w:eastAsia="en-AU"/>
        </w:rPr>
      </w:pPr>
      <w:hyperlink w:anchor="_Toc139969341" w:history="1">
        <w:r w:rsidR="00315D48" w:rsidRPr="00D91CA2">
          <w:rPr>
            <w:rStyle w:val="Hyperlink"/>
            <w:noProof/>
          </w:rPr>
          <w:t>Table 183: Preferred option for Fit for purpose accessways</w:t>
        </w:r>
        <w:r w:rsidR="00315D48">
          <w:rPr>
            <w:noProof/>
            <w:webHidden/>
          </w:rPr>
          <w:tab/>
        </w:r>
        <w:r w:rsidR="00315D48">
          <w:rPr>
            <w:noProof/>
            <w:webHidden/>
          </w:rPr>
          <w:fldChar w:fldCharType="begin"/>
        </w:r>
        <w:r w:rsidR="00315D48">
          <w:rPr>
            <w:noProof/>
            <w:webHidden/>
          </w:rPr>
          <w:instrText xml:space="preserve"> PAGEREF _Toc139969341 \h </w:instrText>
        </w:r>
        <w:r w:rsidR="00315D48">
          <w:rPr>
            <w:noProof/>
            <w:webHidden/>
          </w:rPr>
        </w:r>
        <w:r w:rsidR="00315D48">
          <w:rPr>
            <w:noProof/>
            <w:webHidden/>
          </w:rPr>
          <w:fldChar w:fldCharType="separate"/>
        </w:r>
        <w:r w:rsidR="00315D48">
          <w:rPr>
            <w:noProof/>
            <w:webHidden/>
          </w:rPr>
          <w:t>346</w:t>
        </w:r>
        <w:r w:rsidR="00315D48">
          <w:rPr>
            <w:noProof/>
            <w:webHidden/>
          </w:rPr>
          <w:fldChar w:fldCharType="end"/>
        </w:r>
      </w:hyperlink>
    </w:p>
    <w:p w14:paraId="756BBF8E" w14:textId="785F4244" w:rsidR="00315D48" w:rsidRDefault="001C7A9B">
      <w:pPr>
        <w:pStyle w:val="TableofFigures"/>
        <w:tabs>
          <w:tab w:val="right" w:leader="dot" w:pos="9854"/>
        </w:tabs>
        <w:rPr>
          <w:rFonts w:eastAsiaTheme="minorEastAsia"/>
          <w:noProof/>
          <w:color w:val="auto"/>
          <w:kern w:val="0"/>
          <w:sz w:val="22"/>
          <w:szCs w:val="22"/>
          <w:lang w:eastAsia="en-AU"/>
        </w:rPr>
      </w:pPr>
      <w:hyperlink w:anchor="_Toc139969342" w:history="1">
        <w:r w:rsidR="00315D48" w:rsidRPr="00D91CA2">
          <w:rPr>
            <w:rStyle w:val="Hyperlink"/>
            <w:noProof/>
          </w:rPr>
          <w:t>Table 184: Preferred option for Wayfinding</w:t>
        </w:r>
        <w:r w:rsidR="00315D48">
          <w:rPr>
            <w:noProof/>
            <w:webHidden/>
          </w:rPr>
          <w:tab/>
        </w:r>
        <w:r w:rsidR="00315D48">
          <w:rPr>
            <w:noProof/>
            <w:webHidden/>
          </w:rPr>
          <w:fldChar w:fldCharType="begin"/>
        </w:r>
        <w:r w:rsidR="00315D48">
          <w:rPr>
            <w:noProof/>
            <w:webHidden/>
          </w:rPr>
          <w:instrText xml:space="preserve"> PAGEREF _Toc139969342 \h </w:instrText>
        </w:r>
        <w:r w:rsidR="00315D48">
          <w:rPr>
            <w:noProof/>
            <w:webHidden/>
          </w:rPr>
        </w:r>
        <w:r w:rsidR="00315D48">
          <w:rPr>
            <w:noProof/>
            <w:webHidden/>
          </w:rPr>
          <w:fldChar w:fldCharType="separate"/>
        </w:r>
        <w:r w:rsidR="00315D48">
          <w:rPr>
            <w:noProof/>
            <w:webHidden/>
          </w:rPr>
          <w:t>347</w:t>
        </w:r>
        <w:r w:rsidR="00315D48">
          <w:rPr>
            <w:noProof/>
            <w:webHidden/>
          </w:rPr>
          <w:fldChar w:fldCharType="end"/>
        </w:r>
      </w:hyperlink>
    </w:p>
    <w:p w14:paraId="41A09E20" w14:textId="53CFC863" w:rsidR="00315D48" w:rsidRDefault="001C7A9B">
      <w:pPr>
        <w:pStyle w:val="TableofFigures"/>
        <w:tabs>
          <w:tab w:val="right" w:leader="dot" w:pos="9854"/>
        </w:tabs>
        <w:rPr>
          <w:rFonts w:eastAsiaTheme="minorEastAsia"/>
          <w:noProof/>
          <w:color w:val="auto"/>
          <w:kern w:val="0"/>
          <w:sz w:val="22"/>
          <w:szCs w:val="22"/>
          <w:lang w:eastAsia="en-AU"/>
        </w:rPr>
      </w:pPr>
      <w:hyperlink w:anchor="_Toc139969343" w:history="1">
        <w:r w:rsidR="00315D48" w:rsidRPr="00D91CA2">
          <w:rPr>
            <w:rStyle w:val="Hyperlink"/>
            <w:noProof/>
          </w:rPr>
          <w:t>Table 185: Preferred option for Tactile ground surface indicators (TGSIs)</w:t>
        </w:r>
        <w:r w:rsidR="00315D48">
          <w:rPr>
            <w:noProof/>
            <w:webHidden/>
          </w:rPr>
          <w:tab/>
        </w:r>
        <w:r w:rsidR="00315D48">
          <w:rPr>
            <w:noProof/>
            <w:webHidden/>
          </w:rPr>
          <w:fldChar w:fldCharType="begin"/>
        </w:r>
        <w:r w:rsidR="00315D48">
          <w:rPr>
            <w:noProof/>
            <w:webHidden/>
          </w:rPr>
          <w:instrText xml:space="preserve"> PAGEREF _Toc139969343 \h </w:instrText>
        </w:r>
        <w:r w:rsidR="00315D48">
          <w:rPr>
            <w:noProof/>
            <w:webHidden/>
          </w:rPr>
        </w:r>
        <w:r w:rsidR="00315D48">
          <w:rPr>
            <w:noProof/>
            <w:webHidden/>
          </w:rPr>
          <w:fldChar w:fldCharType="separate"/>
        </w:r>
        <w:r w:rsidR="00315D48">
          <w:rPr>
            <w:noProof/>
            <w:webHidden/>
          </w:rPr>
          <w:t>348</w:t>
        </w:r>
        <w:r w:rsidR="00315D48">
          <w:rPr>
            <w:noProof/>
            <w:webHidden/>
          </w:rPr>
          <w:fldChar w:fldCharType="end"/>
        </w:r>
      </w:hyperlink>
    </w:p>
    <w:p w14:paraId="49DF0F0F" w14:textId="7261560E" w:rsidR="00315D48" w:rsidRDefault="001C7A9B">
      <w:pPr>
        <w:pStyle w:val="TableofFigures"/>
        <w:tabs>
          <w:tab w:val="right" w:leader="dot" w:pos="9854"/>
        </w:tabs>
        <w:rPr>
          <w:rFonts w:eastAsiaTheme="minorEastAsia"/>
          <w:noProof/>
          <w:color w:val="auto"/>
          <w:kern w:val="0"/>
          <w:sz w:val="22"/>
          <w:szCs w:val="22"/>
          <w:lang w:eastAsia="en-AU"/>
        </w:rPr>
      </w:pPr>
      <w:hyperlink w:anchor="_Toc139969344" w:history="1">
        <w:r w:rsidR="00315D48" w:rsidRPr="00D91CA2">
          <w:rPr>
            <w:rStyle w:val="Hyperlink"/>
            <w:noProof/>
          </w:rPr>
          <w:t>Table 186: Preferred option for Passenger loading areas</w:t>
        </w:r>
        <w:r w:rsidR="00315D48">
          <w:rPr>
            <w:noProof/>
            <w:webHidden/>
          </w:rPr>
          <w:tab/>
        </w:r>
        <w:r w:rsidR="00315D48">
          <w:rPr>
            <w:noProof/>
            <w:webHidden/>
          </w:rPr>
          <w:fldChar w:fldCharType="begin"/>
        </w:r>
        <w:r w:rsidR="00315D48">
          <w:rPr>
            <w:noProof/>
            <w:webHidden/>
          </w:rPr>
          <w:instrText xml:space="preserve"> PAGEREF _Toc139969344 \h </w:instrText>
        </w:r>
        <w:r w:rsidR="00315D48">
          <w:rPr>
            <w:noProof/>
            <w:webHidden/>
          </w:rPr>
        </w:r>
        <w:r w:rsidR="00315D48">
          <w:rPr>
            <w:noProof/>
            <w:webHidden/>
          </w:rPr>
          <w:fldChar w:fldCharType="separate"/>
        </w:r>
        <w:r w:rsidR="00315D48">
          <w:rPr>
            <w:noProof/>
            <w:webHidden/>
          </w:rPr>
          <w:t>349</w:t>
        </w:r>
        <w:r w:rsidR="00315D48">
          <w:rPr>
            <w:noProof/>
            <w:webHidden/>
          </w:rPr>
          <w:fldChar w:fldCharType="end"/>
        </w:r>
      </w:hyperlink>
    </w:p>
    <w:p w14:paraId="0D519FB3" w14:textId="217D5D99" w:rsidR="00315D48" w:rsidRDefault="001C7A9B">
      <w:pPr>
        <w:pStyle w:val="TableofFigures"/>
        <w:tabs>
          <w:tab w:val="right" w:leader="dot" w:pos="9854"/>
        </w:tabs>
        <w:rPr>
          <w:rFonts w:eastAsiaTheme="minorEastAsia"/>
          <w:noProof/>
          <w:color w:val="auto"/>
          <w:kern w:val="0"/>
          <w:sz w:val="22"/>
          <w:szCs w:val="22"/>
          <w:lang w:eastAsia="en-AU"/>
        </w:rPr>
      </w:pPr>
      <w:hyperlink w:anchor="_Toc139969345" w:history="1">
        <w:r w:rsidR="00315D48" w:rsidRPr="00D91CA2">
          <w:rPr>
            <w:rStyle w:val="Hyperlink"/>
            <w:noProof/>
          </w:rPr>
          <w:t>Table 187: Preferred option for Provision of information in multiple formats</w:t>
        </w:r>
        <w:r w:rsidR="00315D48">
          <w:rPr>
            <w:noProof/>
            <w:webHidden/>
          </w:rPr>
          <w:tab/>
        </w:r>
        <w:r w:rsidR="00315D48">
          <w:rPr>
            <w:noProof/>
            <w:webHidden/>
          </w:rPr>
          <w:fldChar w:fldCharType="begin"/>
        </w:r>
        <w:r w:rsidR="00315D48">
          <w:rPr>
            <w:noProof/>
            <w:webHidden/>
          </w:rPr>
          <w:instrText xml:space="preserve"> PAGEREF _Toc139969345 \h </w:instrText>
        </w:r>
        <w:r w:rsidR="00315D48">
          <w:rPr>
            <w:noProof/>
            <w:webHidden/>
          </w:rPr>
        </w:r>
        <w:r w:rsidR="00315D48">
          <w:rPr>
            <w:noProof/>
            <w:webHidden/>
          </w:rPr>
          <w:fldChar w:fldCharType="separate"/>
        </w:r>
        <w:r w:rsidR="00315D48">
          <w:rPr>
            <w:noProof/>
            <w:webHidden/>
          </w:rPr>
          <w:t>350</w:t>
        </w:r>
        <w:r w:rsidR="00315D48">
          <w:rPr>
            <w:noProof/>
            <w:webHidden/>
          </w:rPr>
          <w:fldChar w:fldCharType="end"/>
        </w:r>
      </w:hyperlink>
    </w:p>
    <w:p w14:paraId="0F684310" w14:textId="742AD823" w:rsidR="00315D48" w:rsidRDefault="001C7A9B">
      <w:pPr>
        <w:pStyle w:val="TableofFigures"/>
        <w:tabs>
          <w:tab w:val="right" w:leader="dot" w:pos="9854"/>
        </w:tabs>
        <w:rPr>
          <w:rFonts w:eastAsiaTheme="minorEastAsia"/>
          <w:noProof/>
          <w:color w:val="auto"/>
          <w:kern w:val="0"/>
          <w:sz w:val="22"/>
          <w:szCs w:val="22"/>
          <w:lang w:eastAsia="en-AU"/>
        </w:rPr>
      </w:pPr>
      <w:hyperlink w:anchor="_Toc139969346" w:history="1">
        <w:r w:rsidR="00315D48" w:rsidRPr="00D91CA2">
          <w:rPr>
            <w:rStyle w:val="Hyperlink"/>
            <w:noProof/>
          </w:rPr>
          <w:t>Table 188: Preferred option for Australian Standards and definitional amendments</w:t>
        </w:r>
        <w:r w:rsidR="00315D48">
          <w:rPr>
            <w:noProof/>
            <w:webHidden/>
          </w:rPr>
          <w:tab/>
        </w:r>
        <w:r w:rsidR="00315D48">
          <w:rPr>
            <w:noProof/>
            <w:webHidden/>
          </w:rPr>
          <w:fldChar w:fldCharType="begin"/>
        </w:r>
        <w:r w:rsidR="00315D48">
          <w:rPr>
            <w:noProof/>
            <w:webHidden/>
          </w:rPr>
          <w:instrText xml:space="preserve"> PAGEREF _Toc139969346 \h </w:instrText>
        </w:r>
        <w:r w:rsidR="00315D48">
          <w:rPr>
            <w:noProof/>
            <w:webHidden/>
          </w:rPr>
        </w:r>
        <w:r w:rsidR="00315D48">
          <w:rPr>
            <w:noProof/>
            <w:webHidden/>
          </w:rPr>
          <w:fldChar w:fldCharType="separate"/>
        </w:r>
        <w:r w:rsidR="00315D48">
          <w:rPr>
            <w:noProof/>
            <w:webHidden/>
          </w:rPr>
          <w:t>351</w:t>
        </w:r>
        <w:r w:rsidR="00315D48">
          <w:rPr>
            <w:noProof/>
            <w:webHidden/>
          </w:rPr>
          <w:fldChar w:fldCharType="end"/>
        </w:r>
      </w:hyperlink>
    </w:p>
    <w:p w14:paraId="2DE176A9" w14:textId="09A53FB7" w:rsidR="00315D48" w:rsidRDefault="001C7A9B">
      <w:pPr>
        <w:pStyle w:val="TableofFigures"/>
        <w:tabs>
          <w:tab w:val="right" w:leader="dot" w:pos="9854"/>
        </w:tabs>
        <w:rPr>
          <w:rFonts w:eastAsiaTheme="minorEastAsia"/>
          <w:noProof/>
          <w:color w:val="auto"/>
          <w:kern w:val="0"/>
          <w:sz w:val="22"/>
          <w:szCs w:val="22"/>
          <w:lang w:eastAsia="en-AU"/>
        </w:rPr>
      </w:pPr>
      <w:hyperlink w:anchor="_Toc139969347" w:history="1">
        <w:r w:rsidR="00315D48" w:rsidRPr="00D91CA2">
          <w:rPr>
            <w:rStyle w:val="Hyperlink"/>
            <w:noProof/>
          </w:rPr>
          <w:t>Table 189: Reform options for implementation</w:t>
        </w:r>
        <w:r w:rsidR="00315D48">
          <w:rPr>
            <w:noProof/>
            <w:webHidden/>
          </w:rPr>
          <w:tab/>
        </w:r>
        <w:r w:rsidR="00315D48">
          <w:rPr>
            <w:noProof/>
            <w:webHidden/>
          </w:rPr>
          <w:fldChar w:fldCharType="begin"/>
        </w:r>
        <w:r w:rsidR="00315D48">
          <w:rPr>
            <w:noProof/>
            <w:webHidden/>
          </w:rPr>
          <w:instrText xml:space="preserve"> PAGEREF _Toc139969347 \h </w:instrText>
        </w:r>
        <w:r w:rsidR="00315D48">
          <w:rPr>
            <w:noProof/>
            <w:webHidden/>
          </w:rPr>
        </w:r>
        <w:r w:rsidR="00315D48">
          <w:rPr>
            <w:noProof/>
            <w:webHidden/>
          </w:rPr>
          <w:fldChar w:fldCharType="separate"/>
        </w:r>
        <w:r w:rsidR="00315D48">
          <w:rPr>
            <w:noProof/>
            <w:webHidden/>
          </w:rPr>
          <w:t>352</w:t>
        </w:r>
        <w:r w:rsidR="00315D48">
          <w:rPr>
            <w:noProof/>
            <w:webHidden/>
          </w:rPr>
          <w:fldChar w:fldCharType="end"/>
        </w:r>
      </w:hyperlink>
    </w:p>
    <w:p w14:paraId="2B3626D2" w14:textId="77777777" w:rsidR="005B26D9" w:rsidRDefault="009B2D8B">
      <w:pPr>
        <w:spacing w:line="259" w:lineRule="auto"/>
        <w:rPr>
          <w:rFonts w:ascii="Calibri" w:eastAsia="Calibri" w:hAnsi="Calibri" w:cs="Calibri"/>
          <w:color w:val="081E3E"/>
          <w:kern w:val="12"/>
          <w:sz w:val="40"/>
          <w:szCs w:val="44"/>
        </w:rPr>
      </w:pPr>
      <w:r w:rsidRPr="007D162C">
        <w:rPr>
          <w:rFonts w:ascii="Calibri" w:eastAsia="Calibri" w:hAnsi="Calibri" w:cs="Calibri"/>
          <w:color w:val="081E3E"/>
          <w:kern w:val="12"/>
          <w:sz w:val="40"/>
          <w:szCs w:val="44"/>
        </w:rPr>
        <w:fldChar w:fldCharType="end"/>
      </w:r>
    </w:p>
    <w:p w14:paraId="4701F4B2" w14:textId="2D45558A" w:rsidR="00F168CB" w:rsidRDefault="00F168CB">
      <w:pPr>
        <w:spacing w:line="259" w:lineRule="auto"/>
        <w:rPr>
          <w:rFonts w:ascii="Calibri" w:eastAsia="Calibri" w:hAnsi="Calibri" w:cs="Calibri"/>
          <w:color w:val="081E3E"/>
          <w:kern w:val="12"/>
          <w:sz w:val="40"/>
          <w:szCs w:val="44"/>
        </w:rPr>
      </w:pPr>
      <w:r>
        <w:rPr>
          <w:rFonts w:ascii="Calibri" w:eastAsia="Calibri" w:hAnsi="Calibri" w:cs="Calibri"/>
          <w:color w:val="081E3E"/>
          <w:kern w:val="12"/>
          <w:sz w:val="40"/>
          <w:szCs w:val="44"/>
        </w:rPr>
        <w:br w:type="page"/>
      </w:r>
    </w:p>
    <w:p w14:paraId="57EF600E" w14:textId="77777777" w:rsidR="00F168CB" w:rsidRPr="007D162C" w:rsidRDefault="00F168CB">
      <w:pPr>
        <w:spacing w:line="259" w:lineRule="auto"/>
        <w:rPr>
          <w:rFonts w:ascii="Calibri" w:eastAsia="Calibri" w:hAnsi="Calibri" w:cs="Calibri"/>
          <w:color w:val="081E3E"/>
          <w:kern w:val="12"/>
          <w:sz w:val="40"/>
          <w:szCs w:val="44"/>
        </w:rPr>
        <w:sectPr w:rsidR="00F168CB" w:rsidRPr="007D162C" w:rsidSect="0089014F">
          <w:headerReference w:type="even" r:id="rId13"/>
          <w:headerReference w:type="default" r:id="rId14"/>
          <w:footerReference w:type="even" r:id="rId15"/>
          <w:footerReference w:type="default" r:id="rId16"/>
          <w:headerReference w:type="first" r:id="rId17"/>
          <w:footerReference w:type="first" r:id="rId18"/>
          <w:pgSz w:w="11906" w:h="16838" w:code="9"/>
          <w:pgMar w:top="1021" w:right="1021" w:bottom="1021" w:left="1021" w:header="170" w:footer="567" w:gutter="0"/>
          <w:cols w:space="708"/>
          <w:docGrid w:linePitch="360"/>
        </w:sectPr>
      </w:pPr>
    </w:p>
    <w:p w14:paraId="38FD065B" w14:textId="7A5F33D1" w:rsidR="008F655A" w:rsidRPr="007D162C" w:rsidRDefault="08D050C4" w:rsidP="008F655A">
      <w:pPr>
        <w:pStyle w:val="Heading2"/>
      </w:pPr>
      <w:bookmarkStart w:id="17" w:name="_Toc140239680"/>
      <w:r w:rsidRPr="007D162C">
        <w:lastRenderedPageBreak/>
        <w:t>Executive Summary</w:t>
      </w:r>
      <w:bookmarkEnd w:id="3"/>
      <w:bookmarkEnd w:id="4"/>
      <w:bookmarkEnd w:id="17"/>
    </w:p>
    <w:bookmarkEnd w:id="5"/>
    <w:p w14:paraId="5DE9A128" w14:textId="77777777" w:rsidR="008F655A" w:rsidRPr="007D162C" w:rsidRDefault="008F655A" w:rsidP="008F655A">
      <w:r w:rsidRPr="007D162C">
        <w:t>There are more than four million people with disability in Australia, or around 18% of Australia’s population.</w:t>
      </w:r>
      <w:r w:rsidRPr="007D162C">
        <w:rPr>
          <w:rStyle w:val="FootnoteReference"/>
        </w:rPr>
        <w:footnoteReference w:id="2"/>
      </w:r>
    </w:p>
    <w:p w14:paraId="66D85C09" w14:textId="77777777" w:rsidR="008F655A" w:rsidRPr="007D162C" w:rsidRDefault="008F655A" w:rsidP="008F655A">
      <w:pPr>
        <w:ind w:left="3261"/>
        <w:rPr>
          <w:b/>
        </w:rPr>
      </w:pPr>
      <w:r w:rsidRPr="007D162C">
        <w:rPr>
          <w:noProof/>
          <w:lang w:val="en-AU" w:eastAsia="en-AU"/>
        </w:rPr>
        <w:drawing>
          <wp:inline distT="0" distB="0" distL="0" distR="0" wp14:anchorId="24FF803D" wp14:editId="2CE5B12C">
            <wp:extent cx="1836420" cy="824230"/>
            <wp:effectExtent l="0" t="0" r="0" b="0"/>
            <wp:docPr id="499241783" name="picture" descr="Image of five people, with one pers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1836420" cy="824230"/>
                    </a:xfrm>
                    <a:prstGeom prst="rect">
                      <a:avLst/>
                    </a:prstGeom>
                  </pic:spPr>
                </pic:pic>
              </a:graphicData>
            </a:graphic>
          </wp:inline>
        </w:drawing>
      </w:r>
    </w:p>
    <w:p w14:paraId="154FC3AD" w14:textId="77777777" w:rsidR="008F655A" w:rsidRPr="007D162C" w:rsidRDefault="008F655A" w:rsidP="08D050C4">
      <w:pPr>
        <w:rPr>
          <w:b/>
          <w:bCs/>
        </w:rPr>
      </w:pPr>
      <w:r w:rsidRPr="007D162C">
        <w:rPr>
          <w:b/>
          <w:bCs/>
        </w:rPr>
        <w:t>1 in 5 (22%) people aged 15 and over with disability experience some form of discrimination (including disability discrimination).</w:t>
      </w:r>
      <w:r w:rsidRPr="007D162C">
        <w:rPr>
          <w:rStyle w:val="FootnoteReference"/>
          <w:b/>
          <w:bCs/>
        </w:rPr>
        <w:footnoteReference w:id="3"/>
      </w:r>
    </w:p>
    <w:p w14:paraId="301287BC" w14:textId="77777777" w:rsidR="008F655A" w:rsidRPr="007D162C" w:rsidRDefault="08D050C4" w:rsidP="008F655A">
      <w:r w:rsidRPr="007D162C">
        <w:t>Discrimination happens when a person, or group of people, are treated less favourably than others because of their background or personal characteristics. Experiencing discrimination makes participating in everyday activities more difficult, affects education and employment opportunities, and limits social interactions. People who are not able to participate in everyday activities can be at higher risk of adverse outcomes, including social isolation, unemployment and poor health.</w:t>
      </w:r>
    </w:p>
    <w:p w14:paraId="51EE0080" w14:textId="77777777" w:rsidR="008F655A" w:rsidRPr="007D162C" w:rsidRDefault="08D050C4" w:rsidP="008F655A">
      <w:r w:rsidRPr="007D162C">
        <w:t xml:space="preserve">The </w:t>
      </w:r>
      <w:r w:rsidRPr="007D162C">
        <w:rPr>
          <w:i/>
          <w:iCs/>
        </w:rPr>
        <w:t>Disability Discrimination Act 1992</w:t>
      </w:r>
      <w:r w:rsidRPr="007D162C">
        <w:t xml:space="preserve"> (DDA) makes discrimination on the basis of disability unlawful in key areas of public life, including in the provision of public transport services, employment and education.</w:t>
      </w:r>
    </w:p>
    <w:p w14:paraId="32961A19" w14:textId="77777777" w:rsidR="008F655A" w:rsidRPr="007D162C" w:rsidRDefault="08D050C4" w:rsidP="008F655A">
      <w:r w:rsidRPr="007D162C">
        <w:t xml:space="preserve">The Disability Standards for Accessible Public Transport 2002 (Transport Standards) were introduced to provide certainty to operators and providers of public transport services about their responsibilities under the DDA. </w:t>
      </w:r>
    </w:p>
    <w:p w14:paraId="437404A1" w14:textId="2C6D4C0F" w:rsidR="008F655A" w:rsidRPr="007D162C" w:rsidRDefault="008F655A" w:rsidP="008F655A">
      <w:r w:rsidRPr="007D162C">
        <w:t>One in six people aged 15 years and over with disability have difficulty using public transport. Challenges people with disability may face when using public transport include:</w:t>
      </w:r>
    </w:p>
    <w:p w14:paraId="54E25C45" w14:textId="77777777" w:rsidR="008F655A" w:rsidRPr="007D162C" w:rsidRDefault="08D050C4" w:rsidP="008F655A">
      <w:pPr>
        <w:pStyle w:val="Listparagraphbullets"/>
        <w:spacing w:after="0"/>
      </w:pPr>
      <w:r w:rsidRPr="007D162C">
        <w:t>poor access to stations, stops and terminals</w:t>
      </w:r>
    </w:p>
    <w:p w14:paraId="0AFA9D5C" w14:textId="77777777" w:rsidR="008F655A" w:rsidRPr="007D162C" w:rsidRDefault="08D050C4" w:rsidP="008F655A">
      <w:pPr>
        <w:pStyle w:val="Listparagraphbullets"/>
        <w:spacing w:after="0"/>
      </w:pPr>
      <w:r w:rsidRPr="007D162C">
        <w:t>difficulty in accessing information suitable to their needs</w:t>
      </w:r>
    </w:p>
    <w:p w14:paraId="724B23ED" w14:textId="5787F703" w:rsidR="00313DFB" w:rsidRPr="007D162C" w:rsidRDefault="08D050C4" w:rsidP="00313DFB">
      <w:pPr>
        <w:pStyle w:val="Listparagraphbullets"/>
      </w:pPr>
      <w:r w:rsidRPr="007D162C">
        <w:t>safety challenges in planning and completing a public transport journey</w:t>
      </w:r>
      <w:r w:rsidR="002545D4" w:rsidRPr="007D162C">
        <w:rPr>
          <w:rStyle w:val="FootnoteReference"/>
        </w:rPr>
        <w:footnoteReference w:id="4"/>
      </w:r>
      <w:r w:rsidRPr="007D162C">
        <w:t>.</w:t>
      </w:r>
    </w:p>
    <w:p w14:paraId="292F8260" w14:textId="093C8872" w:rsidR="008F655A" w:rsidRPr="007D162C" w:rsidRDefault="08D050C4" w:rsidP="008F655A">
      <w:r w:rsidRPr="007D162C">
        <w:t xml:space="preserve">A person with disability only needs to encounter one of these barriers for their journey to be disrupted. Over time, this can erode the confidence of people with disability, undermine their independence, and impact their ability to travel to work or study, connect with their community and access essential services such as healthcare and education. </w:t>
      </w:r>
    </w:p>
    <w:p w14:paraId="1EA96D5A" w14:textId="2FD857C4" w:rsidR="008F655A" w:rsidRPr="007D162C" w:rsidRDefault="08D050C4" w:rsidP="008F655A">
      <w:r w:rsidRPr="007D162C">
        <w:t>Every five years, the Minister for Infrastructure, Transport and Regional Development, in consultation with the Attorney</w:t>
      </w:r>
      <w:r w:rsidR="00D2306C" w:rsidRPr="007D162C">
        <w:t>-</w:t>
      </w:r>
      <w:r w:rsidRPr="007D162C">
        <w:t>General, is required to review the efficiency and effectiveness of the Transport Standards. Previous Reviews of the Transport Standards have recognised the Transport Standards should be updated to reflect current and future needs of people with disability, and to provide sufficient flexibility or guidance to operators and providers to fulfil their obligations under the DDA.</w:t>
      </w:r>
    </w:p>
    <w:p w14:paraId="23EE698B" w14:textId="085D60A8" w:rsidR="00B93EE1" w:rsidRPr="007D162C" w:rsidRDefault="08D050C4" w:rsidP="00B93EE1">
      <w:r w:rsidRPr="007D162C">
        <w:t xml:space="preserve">Government action is needed to implement regulation where consultation and analysis identified guidance would </w:t>
      </w:r>
      <w:r w:rsidR="004E1111" w:rsidRPr="007D162C">
        <w:t xml:space="preserve">not </w:t>
      </w:r>
      <w:r w:rsidRPr="007D162C">
        <w:t>be sufficient to address the discriminatory outcomes</w:t>
      </w:r>
      <w:r w:rsidR="004E1111" w:rsidRPr="007D162C">
        <w:t>. Government action</w:t>
      </w:r>
      <w:r w:rsidRPr="007D162C">
        <w:t xml:space="preserve"> </w:t>
      </w:r>
      <w:r w:rsidR="004E1111" w:rsidRPr="007D162C">
        <w:t>is also needed</w:t>
      </w:r>
      <w:r w:rsidRPr="007D162C">
        <w:t xml:space="preserve"> to help simplify the regulatory landscape </w:t>
      </w:r>
      <w:r w:rsidR="004E1111" w:rsidRPr="007D162C">
        <w:t>by harmonizing requirements</w:t>
      </w:r>
      <w:r w:rsidRPr="007D162C">
        <w:t xml:space="preserve"> between the Transport Standards and the Disability (Access to Premises – Buildings) Standards 2010 (also known as the Premises Standards). </w:t>
      </w:r>
    </w:p>
    <w:p w14:paraId="64D4CC51" w14:textId="290A15EE" w:rsidR="008F655A" w:rsidRPr="007D162C" w:rsidRDefault="08D050C4" w:rsidP="008F655A">
      <w:r w:rsidRPr="007D162C">
        <w:lastRenderedPageBreak/>
        <w:t xml:space="preserve">There have been significant innovations in public transport </w:t>
      </w:r>
      <w:r w:rsidR="004E1111" w:rsidRPr="007D162C">
        <w:t xml:space="preserve">provisions and </w:t>
      </w:r>
      <w:r w:rsidRPr="007D162C">
        <w:t>usage since the Transport Standards came into effect twenty years ago, including the use of rideshare services, electronic ticketing, and greater availability of passenger information delivered online and in real-time. Many Australian Standards referenced within the Transport Standards have also been updated to include innovations from industry, such as new technology and improved safety and accessibility provisions. Modernisation of the Transport Standards is necessary to reflect these changes and ensure contemporary Australian Standards are referenced.</w:t>
      </w:r>
    </w:p>
    <w:p w14:paraId="52AF2939" w14:textId="028663EA" w:rsidR="008F655A" w:rsidRPr="007D162C" w:rsidRDefault="008F655A" w:rsidP="008F655A">
      <w:r w:rsidRPr="007D162C">
        <w:t xml:space="preserve">In August 2019, Transport Ministers agreed to reform the Transport Standards. These reforms aim to eliminate discrimination, as far as possible, against people with disability and provide greater certainty to operators and providers regarding their responsibilities under the Transport Standards. In addition, the reforms assist the Australian Government </w:t>
      </w:r>
      <w:r w:rsidR="004E1111" w:rsidRPr="007D162C">
        <w:t xml:space="preserve">to </w:t>
      </w:r>
      <w:r w:rsidRPr="007D162C">
        <w:t>deliver on the objectives of Australia’s National Disability Strategy 2021-2031 (</w:t>
      </w:r>
      <w:r w:rsidR="00AE165A">
        <w:t>ADS</w:t>
      </w:r>
      <w:r w:rsidRPr="007D162C">
        <w:t xml:space="preserve">). </w:t>
      </w:r>
      <w:r w:rsidR="00D13E09">
        <w:t>The Strategy</w:t>
      </w:r>
      <w:r w:rsidR="00AE165A">
        <w:t xml:space="preserve"> </w:t>
      </w:r>
      <w:r w:rsidRPr="007D162C">
        <w:t>recognises the role accessible</w:t>
      </w:r>
      <w:r w:rsidR="00151633" w:rsidRPr="007D162C">
        <w:t xml:space="preserve"> public</w:t>
      </w:r>
      <w:r w:rsidRPr="007D162C">
        <w:t xml:space="preserve"> transport systems play in achieving an inclusive Australian society </w:t>
      </w:r>
      <w:r w:rsidR="004E1111" w:rsidRPr="007D162C">
        <w:t>and</w:t>
      </w:r>
      <w:r w:rsidRPr="007D162C">
        <w:t xml:space="preserve"> ensures people with disability can fulfil their potential, as equal members of the community</w:t>
      </w:r>
      <w:r w:rsidRPr="007D162C">
        <w:rPr>
          <w:rStyle w:val="FootnoteReference"/>
        </w:rPr>
        <w:footnoteReference w:id="5"/>
      </w:r>
      <w:r w:rsidRPr="007D162C">
        <w:t>.</w:t>
      </w:r>
    </w:p>
    <w:p w14:paraId="24CD5BD5" w14:textId="77777777" w:rsidR="008F655A" w:rsidRPr="007D162C" w:rsidRDefault="08D050C4" w:rsidP="008F655A">
      <w:r w:rsidRPr="007D162C">
        <w:t>The reform process was jointly led by the Australian and Queensland Governments and undertaken in two stages:</w:t>
      </w:r>
    </w:p>
    <w:p w14:paraId="7548B1F9" w14:textId="77777777" w:rsidR="008F655A" w:rsidRPr="007D162C" w:rsidRDefault="08D050C4" w:rsidP="008F655A">
      <w:pPr>
        <w:pStyle w:val="Listparagraphbullets"/>
        <w:spacing w:after="0"/>
      </w:pPr>
      <w:r w:rsidRPr="007D162C">
        <w:t>Stage 1 – This stage identified 16 reform areas. A Decision Regulation Impact Statement (RIS) was provided to Transport Ministers on 11 February 2022, where the first 16 areas of reform were confirmed.</w:t>
      </w:r>
    </w:p>
    <w:p w14:paraId="00E0951F" w14:textId="0DE633D1" w:rsidR="008F655A" w:rsidRPr="007D162C" w:rsidRDefault="08D050C4" w:rsidP="00313DFB">
      <w:pPr>
        <w:pStyle w:val="Listparagraphbullets"/>
      </w:pPr>
      <w:r w:rsidRPr="007D162C">
        <w:t>Stage 2 – This stage identified 54 reform areas, detailed in 6</w:t>
      </w:r>
      <w:r w:rsidR="007942FE">
        <w:t>0</w:t>
      </w:r>
      <w:r w:rsidRPr="007D162C">
        <w:t xml:space="preserve"> chapters in a Consultation RIS </w:t>
      </w:r>
      <w:r w:rsidR="00D91E61">
        <w:t>open</w:t>
      </w:r>
      <w:r w:rsidRPr="007D162C">
        <w:t xml:space="preserve"> for public consultation from 15 March to 9 August 2022. </w:t>
      </w:r>
    </w:p>
    <w:p w14:paraId="42C57CE2" w14:textId="77777777" w:rsidR="008F655A" w:rsidRPr="007D162C" w:rsidRDefault="08D050C4" w:rsidP="008F655A">
      <w:r w:rsidRPr="007D162C">
        <w:t>More than 400 people with disability, their families and carers, disability stakeholders, transport operators and government representatives participated in public consultation events between 17 June and 21 July 2022 to have their say on Stage 2 reform areas. 84 stakeholders also provided written submissions in response to the Stage 2 Consultation RIS.</w:t>
      </w:r>
    </w:p>
    <w:p w14:paraId="46B7D45F" w14:textId="7E392280" w:rsidR="00B93EE1" w:rsidRPr="007D162C" w:rsidRDefault="08D050C4" w:rsidP="00B93EE1">
      <w:r w:rsidRPr="007D162C">
        <w:t>The results of the cost-benefit analysis (CBA) indicate the package of Stage 2 reforms produces overall positive economic outcomes and a net benefit for the Australian community</w:t>
      </w:r>
      <w:r w:rsidR="00D91E61">
        <w:t>,</w:t>
      </w:r>
      <w:r w:rsidRPr="007D162C">
        <w:t xml:space="preserve"> with a BCR of 1.81 and NPV of $3.280 billion (at a 7% discount rate over a 20-year implementation period and 15-year appraisal period). </w:t>
      </w:r>
    </w:p>
    <w:p w14:paraId="2D54D3E7" w14:textId="6038FB8D" w:rsidR="008F655A" w:rsidRPr="007D162C" w:rsidRDefault="08D050C4" w:rsidP="008F655A">
      <w:r w:rsidRPr="007D162C">
        <w:t>This Decision RIS examines the 54 reforms areas across 61 chapters, and provides an impact analysis for each reform area considering:</w:t>
      </w:r>
    </w:p>
    <w:p w14:paraId="2A521624" w14:textId="77777777" w:rsidR="008F655A" w:rsidRPr="007D162C" w:rsidRDefault="08D050C4" w:rsidP="008F655A">
      <w:pPr>
        <w:pStyle w:val="Listparagraphbullets"/>
        <w:spacing w:after="0"/>
      </w:pPr>
      <w:r w:rsidRPr="007D162C">
        <w:t>the viability of three proposed policy options: status quo, non-regulatory and regulatory</w:t>
      </w:r>
    </w:p>
    <w:p w14:paraId="2A283906" w14:textId="77777777" w:rsidR="008F655A" w:rsidRPr="007D162C" w:rsidRDefault="08D050C4" w:rsidP="008F655A">
      <w:pPr>
        <w:pStyle w:val="Listparagraphbullets"/>
        <w:spacing w:after="0"/>
      </w:pPr>
      <w:r w:rsidRPr="007D162C">
        <w:t>quantitative and qualitative costs and benefits for each policy option</w:t>
      </w:r>
    </w:p>
    <w:p w14:paraId="64205BC4" w14:textId="77777777" w:rsidR="008F655A" w:rsidRPr="007D162C" w:rsidRDefault="08D050C4" w:rsidP="00313DFB">
      <w:pPr>
        <w:pStyle w:val="Listparagraphbullets"/>
      </w:pPr>
      <w:r w:rsidRPr="007D162C">
        <w:t>stakeholder feedback from people with disability, their families, carers and advocates, public transport operators and providers and state and territory governments, gathered through national consultations events and submissions.</w:t>
      </w:r>
    </w:p>
    <w:p w14:paraId="486D5E12" w14:textId="77777777" w:rsidR="008F655A" w:rsidRPr="007D162C" w:rsidRDefault="08D050C4" w:rsidP="008F655A">
      <w:r w:rsidRPr="007D162C">
        <w:t xml:space="preserve">Following analysis of all available evidence, a preferred option has been identified for each reform area. The rationale for each preferred option is intended to inform a decision by governments, balancing the regulatory impacts of new or updated requirements against the overarching goal of the DDA and the Transport Standards. </w:t>
      </w:r>
    </w:p>
    <w:p w14:paraId="26BEB9A6" w14:textId="41DA3869" w:rsidR="00161F41" w:rsidRDefault="08D050C4" w:rsidP="00AE165A">
      <w:pPr>
        <w:pStyle w:val="Listparagraphbullets"/>
        <w:numPr>
          <w:ilvl w:val="0"/>
          <w:numId w:val="0"/>
        </w:numPr>
      </w:pPr>
      <w:r w:rsidRPr="007D162C">
        <w:t>A recommended implementation approach for the entire package of reforms (Stage 1 and 2) is provided in this Decision RIS. The recommended implementation approach details whether new regulatory requirements should be applied retrospectively or prospectively, and details how new guidance material will be provided for non-regulatory options.</w:t>
      </w:r>
    </w:p>
    <w:p w14:paraId="6BB2F9E5" w14:textId="77777777" w:rsidR="00161F41" w:rsidRDefault="00161F41">
      <w:pPr>
        <w:spacing w:line="259" w:lineRule="auto"/>
        <w:rPr>
          <w:rFonts w:ascii="Calibri" w:hAnsi="Calibri"/>
          <w:lang w:val="en-AU" w:eastAsia="zh-TW"/>
        </w:rPr>
      </w:pPr>
      <w:r>
        <w:br w:type="page"/>
      </w:r>
    </w:p>
    <w:p w14:paraId="3169C5E9" w14:textId="77777777" w:rsidR="008F655A" w:rsidRPr="007D162C" w:rsidRDefault="008F655A" w:rsidP="00AE165A">
      <w:pPr>
        <w:pStyle w:val="Listparagraphbullets"/>
        <w:numPr>
          <w:ilvl w:val="0"/>
          <w:numId w:val="0"/>
        </w:numPr>
      </w:pPr>
    </w:p>
    <w:p w14:paraId="7DE4D85D" w14:textId="77777777" w:rsidR="008F655A" w:rsidRPr="007D162C" w:rsidRDefault="08D050C4" w:rsidP="008F655A">
      <w:r w:rsidRPr="007D162C">
        <w:t xml:space="preserve">Consistent with the structure of the Stage 2 Consultation RIS, the 61 chapters are grouped into the following Parts within this Decision RIS: </w:t>
      </w:r>
    </w:p>
    <w:p w14:paraId="4F4D576D" w14:textId="77777777" w:rsidR="008F655A" w:rsidRPr="007D162C" w:rsidRDefault="08D050C4" w:rsidP="008F655A">
      <w:pPr>
        <w:pStyle w:val="Listparagraphbullets"/>
        <w:spacing w:after="0"/>
      </w:pPr>
      <w:r w:rsidRPr="007D162C">
        <w:rPr>
          <w:b/>
          <w:bCs/>
        </w:rPr>
        <w:t>Part 1: Transport Standards principles</w:t>
      </w:r>
      <w:r w:rsidRPr="007D162C">
        <w:t xml:space="preserve"> – reforms that may result in a change to the legislative framework.</w:t>
      </w:r>
    </w:p>
    <w:p w14:paraId="651FE350" w14:textId="77777777" w:rsidR="008F655A" w:rsidRPr="007D162C" w:rsidRDefault="08D050C4" w:rsidP="008F655A">
      <w:pPr>
        <w:pStyle w:val="Listparagraphbullets"/>
        <w:spacing w:after="0"/>
      </w:pPr>
      <w:r w:rsidRPr="007D162C">
        <w:rPr>
          <w:b/>
          <w:bCs/>
        </w:rPr>
        <w:t>Part 2: Information, communication and wayfinding</w:t>
      </w:r>
      <w:r w:rsidRPr="007D162C">
        <w:t xml:space="preserve"> – reforms that may improve the way information is provided in a consistent, timely and accessible format across the public transport journey and improve wayfinding.</w:t>
      </w:r>
    </w:p>
    <w:p w14:paraId="1360516D" w14:textId="77777777" w:rsidR="008F655A" w:rsidRPr="007D162C" w:rsidRDefault="08D050C4" w:rsidP="008F655A">
      <w:pPr>
        <w:pStyle w:val="Listparagraphbullets"/>
        <w:spacing w:after="0"/>
      </w:pPr>
      <w:r w:rsidRPr="007D162C">
        <w:rPr>
          <w:b/>
          <w:bCs/>
        </w:rPr>
        <w:t>Part 3: Accessibility at stations, stops, wharves and access routes</w:t>
      </w:r>
      <w:r w:rsidRPr="007D162C">
        <w:t xml:space="preserve"> – reforms that may improve accessibility of any facility provided for use as part of a public transport service.</w:t>
      </w:r>
    </w:p>
    <w:p w14:paraId="71208282" w14:textId="77777777" w:rsidR="008F655A" w:rsidRPr="007D162C" w:rsidRDefault="08D050C4" w:rsidP="008F655A">
      <w:pPr>
        <w:pStyle w:val="Listparagraphbullets"/>
        <w:spacing w:after="0"/>
      </w:pPr>
      <w:r w:rsidRPr="007D162C">
        <w:rPr>
          <w:b/>
          <w:bCs/>
        </w:rPr>
        <w:t>Part 4: Accessibility of boarding and alighting and egress of infrastructure</w:t>
      </w:r>
      <w:r w:rsidRPr="007D162C">
        <w:t xml:space="preserve"> – reforms that may improve accessibly within immediate boarding or alighting of a public transport vehicle.</w:t>
      </w:r>
    </w:p>
    <w:p w14:paraId="073BB31C" w14:textId="77777777" w:rsidR="008F655A" w:rsidRPr="007D162C" w:rsidRDefault="08D050C4" w:rsidP="008F655A">
      <w:pPr>
        <w:pStyle w:val="Listparagraphbullets"/>
        <w:spacing w:after="0"/>
      </w:pPr>
      <w:r w:rsidRPr="007D162C">
        <w:rPr>
          <w:b/>
          <w:bCs/>
        </w:rPr>
        <w:t>Part 5: Accessibility in conveyance</w:t>
      </w:r>
      <w:r w:rsidRPr="007D162C">
        <w:t xml:space="preserve"> – reforms that may improve accessibility inside a public transport vehicle. </w:t>
      </w:r>
    </w:p>
    <w:p w14:paraId="1852F2A5" w14:textId="77777777" w:rsidR="008F655A" w:rsidRPr="007D162C" w:rsidRDefault="08D050C4" w:rsidP="008F655A">
      <w:pPr>
        <w:pStyle w:val="Listparagraphbullets"/>
        <w:spacing w:after="0"/>
      </w:pPr>
      <w:r w:rsidRPr="007D162C">
        <w:rPr>
          <w:b/>
          <w:bCs/>
        </w:rPr>
        <w:t>Part 6: Implementation approach</w:t>
      </w:r>
      <w:r w:rsidRPr="007D162C">
        <w:t xml:space="preserve"> –</w:t>
      </w:r>
      <w:r w:rsidRPr="007D162C">
        <w:rPr>
          <w:lang w:val="en-US"/>
        </w:rPr>
        <w:t xml:space="preserve"> </w:t>
      </w:r>
      <w:r w:rsidRPr="007D162C">
        <w:t>implementation approach for the whole package of reforms, including Stages 1 and 2.</w:t>
      </w:r>
    </w:p>
    <w:p w14:paraId="413363A1" w14:textId="77777777" w:rsidR="008F655A" w:rsidRPr="007D162C" w:rsidRDefault="008F655A" w:rsidP="008F655A">
      <w:pPr>
        <w:pStyle w:val="Bullet1"/>
        <w:numPr>
          <w:ilvl w:val="0"/>
          <w:numId w:val="0"/>
        </w:numPr>
        <w:ind w:left="284"/>
      </w:pPr>
    </w:p>
    <w:p w14:paraId="6B820076" w14:textId="4F50B560" w:rsidR="008F655A" w:rsidRPr="007D162C" w:rsidRDefault="08D050C4" w:rsidP="008F655A">
      <w:pPr>
        <w:pStyle w:val="Heading3"/>
      </w:pPr>
      <w:bookmarkStart w:id="18" w:name="_Toc122515419"/>
      <w:bookmarkStart w:id="19" w:name="_Toc130912486"/>
      <w:bookmarkStart w:id="20" w:name="_Toc130914385"/>
      <w:bookmarkStart w:id="21" w:name="_Toc132381871"/>
      <w:bookmarkStart w:id="22" w:name="_Toc140239681"/>
      <w:r w:rsidRPr="007D162C">
        <w:t>Summary of Stage 2 reform areas, preferred options and implementation approach</w:t>
      </w:r>
      <w:bookmarkEnd w:id="18"/>
      <w:bookmarkEnd w:id="19"/>
      <w:bookmarkEnd w:id="20"/>
      <w:bookmarkEnd w:id="21"/>
      <w:bookmarkEnd w:id="22"/>
    </w:p>
    <w:p w14:paraId="75589B10" w14:textId="00F5A8EB" w:rsidR="008F655A" w:rsidRPr="007D162C" w:rsidRDefault="08D050C4" w:rsidP="008F655A">
      <w:pPr>
        <w:spacing w:line="259" w:lineRule="auto"/>
      </w:pPr>
      <w:bookmarkStart w:id="23" w:name="_Toc122446307"/>
      <w:r w:rsidRPr="007D162C">
        <w:t xml:space="preserve">Table 1 </w:t>
      </w:r>
      <w:r w:rsidR="004D68A2">
        <w:t xml:space="preserve">(below) </w:t>
      </w:r>
      <w:r w:rsidRPr="007D162C">
        <w:t xml:space="preserve">lists each reform area, the preferred option for Transport Ministers consideration and a </w:t>
      </w:r>
      <w:r w:rsidR="00585C56">
        <w:t>preferred</w:t>
      </w:r>
      <w:r w:rsidRPr="007D162C">
        <w:t xml:space="preserve"> implementation approach. The proposed implementation approaches require</w:t>
      </w:r>
      <w:r w:rsidR="00585C56">
        <w:t xml:space="preserve"> reforms to</w:t>
      </w:r>
      <w:r w:rsidRPr="007D162C">
        <w:t xml:space="preserve"> be implemented prospectively or retrospectively over a given time period. Prospective requirements apply to new or substantially refurbished public transport assets only. Retrospective requirements require all relevant public transport assets to be made compliant within the proposed time frame. </w:t>
      </w:r>
    </w:p>
    <w:p w14:paraId="2F0C794D" w14:textId="268932DF" w:rsidR="008F655A" w:rsidRPr="007D162C" w:rsidRDefault="08D050C4" w:rsidP="008F655A">
      <w:pPr>
        <w:spacing w:line="259" w:lineRule="auto"/>
      </w:pPr>
      <w:r w:rsidRPr="007D162C">
        <w:t xml:space="preserve">In total, this Decision RIS recommends 44 regulatory, 13 non-regulatory and 3 status quo options for consideration by Transport Ministers. </w:t>
      </w:r>
      <w:bookmarkStart w:id="24" w:name="_Hlk130915699"/>
    </w:p>
    <w:p w14:paraId="66B3DB46" w14:textId="5F18707F" w:rsidR="008F655A" w:rsidRPr="007D162C" w:rsidRDefault="008F655A" w:rsidP="008B3BA2">
      <w:pPr>
        <w:pStyle w:val="Tablefigureheading"/>
      </w:pPr>
      <w:bookmarkStart w:id="25" w:name="_Toc139969159"/>
      <w:r w:rsidRPr="007D162C">
        <w:t xml:space="preserve">Table </w:t>
      </w:r>
      <w:fldSimple w:instr=" SEQ Table \* ARABIC ">
        <w:r w:rsidR="00DC26AC">
          <w:rPr>
            <w:noProof/>
          </w:rPr>
          <w:t>1</w:t>
        </w:r>
      </w:fldSimple>
      <w:r w:rsidRPr="007D162C">
        <w:t>: Summary of Stage 2 reform areas, preferred options and implementation approach</w:t>
      </w:r>
      <w:bookmarkEnd w:id="23"/>
      <w:bookmarkEnd w:id="25"/>
    </w:p>
    <w:tbl>
      <w:tblPr>
        <w:tblStyle w:val="DefaultTable1"/>
        <w:tblW w:w="5000" w:type="pct"/>
        <w:tblLook w:val="0420" w:firstRow="1" w:lastRow="0" w:firstColumn="0" w:lastColumn="0" w:noHBand="0" w:noVBand="1"/>
        <w:tblCaption w:val="Summary of stage 2 reform areas, preferred options and implementation approach"/>
        <w:tblDescription w:val="This table lists all the reform areas in the Decision Regulation Impact Statement with the corresponding preferred policy option and implementation approach."/>
      </w:tblPr>
      <w:tblGrid>
        <w:gridCol w:w="3562"/>
        <w:gridCol w:w="2790"/>
        <w:gridCol w:w="3512"/>
      </w:tblGrid>
      <w:tr w:rsidR="008F655A" w:rsidRPr="007D162C" w14:paraId="24112F22"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1806" w:type="pct"/>
            <w:hideMark/>
          </w:tcPr>
          <w:p w14:paraId="1CEFF0B0" w14:textId="77777777" w:rsidR="008F655A" w:rsidRPr="007D162C" w:rsidRDefault="08D050C4" w:rsidP="008F655A">
            <w:bookmarkStart w:id="26" w:name="_Hlk125539486"/>
            <w:r w:rsidRPr="007D162C">
              <w:t>Reform area</w:t>
            </w:r>
          </w:p>
        </w:tc>
        <w:tc>
          <w:tcPr>
            <w:tcW w:w="1414" w:type="pct"/>
            <w:hideMark/>
          </w:tcPr>
          <w:p w14:paraId="3BF144C3" w14:textId="77777777" w:rsidR="008F655A" w:rsidRPr="007D162C" w:rsidRDefault="08D050C4" w:rsidP="008F655A">
            <w:r w:rsidRPr="007D162C">
              <w:t>Preferred option</w:t>
            </w:r>
          </w:p>
        </w:tc>
        <w:tc>
          <w:tcPr>
            <w:tcW w:w="1780" w:type="pct"/>
          </w:tcPr>
          <w:p w14:paraId="31E7C8DA" w14:textId="77777777" w:rsidR="008F655A" w:rsidRPr="007D162C" w:rsidRDefault="08D050C4" w:rsidP="008F655A">
            <w:r w:rsidRPr="007D162C">
              <w:t xml:space="preserve">Implementation approach </w:t>
            </w:r>
          </w:p>
        </w:tc>
      </w:tr>
      <w:tr w:rsidR="008F655A" w:rsidRPr="007D162C" w14:paraId="2BFB22E1"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424A0052" w14:textId="77777777" w:rsidR="008F655A" w:rsidRPr="007D162C" w:rsidRDefault="08D050C4" w:rsidP="008F655A">
            <w:r w:rsidRPr="007D162C">
              <w:rPr>
                <w:b/>
                <w:bCs/>
              </w:rPr>
              <w:t>Part 1: Transport Standards principles</w:t>
            </w:r>
          </w:p>
        </w:tc>
      </w:tr>
      <w:tr w:rsidR="008F655A" w:rsidRPr="007D162C" w14:paraId="2E09C273" w14:textId="77777777" w:rsidTr="08D050C4">
        <w:tc>
          <w:tcPr>
            <w:tcW w:w="1806" w:type="pct"/>
            <w:hideMark/>
          </w:tcPr>
          <w:p w14:paraId="5C75EA74" w14:textId="7CE1F53D" w:rsidR="008F655A" w:rsidRPr="007D162C" w:rsidRDefault="08D050C4" w:rsidP="006F65FB">
            <w:pPr>
              <w:pStyle w:val="ListParagraph"/>
              <w:numPr>
                <w:ilvl w:val="0"/>
                <w:numId w:val="41"/>
              </w:numPr>
            </w:pPr>
            <w:r w:rsidRPr="007D162C">
              <w:t>Reporting</w:t>
            </w:r>
          </w:p>
        </w:tc>
        <w:tc>
          <w:tcPr>
            <w:tcW w:w="1414" w:type="pct"/>
          </w:tcPr>
          <w:p w14:paraId="32B04061" w14:textId="77777777" w:rsidR="008F655A" w:rsidRPr="007D162C" w:rsidRDefault="08D050C4" w:rsidP="08D050C4">
            <w:r w:rsidRPr="007D162C">
              <w:rPr>
                <w:rFonts w:eastAsia="Times New Roman"/>
                <w:lang w:eastAsia="en-AU"/>
              </w:rPr>
              <w:t>Non-regulatory</w:t>
            </w:r>
          </w:p>
        </w:tc>
        <w:tc>
          <w:tcPr>
            <w:tcW w:w="1780" w:type="pct"/>
          </w:tcPr>
          <w:p w14:paraId="2EA293B8" w14:textId="77777777" w:rsidR="008F655A" w:rsidRPr="007D162C" w:rsidRDefault="08D050C4" w:rsidP="08D050C4">
            <w:r w:rsidRPr="007D162C">
              <w:t>Standalone guidance (refer to chapter)</w:t>
            </w:r>
          </w:p>
        </w:tc>
      </w:tr>
      <w:tr w:rsidR="008F655A" w:rsidRPr="007D162C" w14:paraId="6B640AB3"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7758FFE" w14:textId="77777777" w:rsidR="008F655A" w:rsidRPr="007D162C" w:rsidRDefault="08D050C4" w:rsidP="006F65FB">
            <w:pPr>
              <w:pStyle w:val="ListParagraph"/>
              <w:numPr>
                <w:ilvl w:val="0"/>
                <w:numId w:val="41"/>
              </w:numPr>
            </w:pPr>
            <w:r w:rsidRPr="007D162C">
              <w:t>Equivalent access</w:t>
            </w:r>
          </w:p>
        </w:tc>
        <w:tc>
          <w:tcPr>
            <w:tcW w:w="1414" w:type="pct"/>
          </w:tcPr>
          <w:p w14:paraId="0421D16D"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206C0762" w14:textId="77777777" w:rsidR="008F655A" w:rsidRPr="007D162C" w:rsidRDefault="08D050C4" w:rsidP="08D050C4">
            <w:pPr>
              <w:rPr>
                <w:color w:val="000000" w:themeColor="text1"/>
              </w:rPr>
            </w:pPr>
            <w:r w:rsidRPr="007D162C">
              <w:rPr>
                <w:color w:val="000000" w:themeColor="text1"/>
              </w:rPr>
              <w:t>Standalone guidance (refer to chapter)</w:t>
            </w:r>
          </w:p>
        </w:tc>
      </w:tr>
      <w:tr w:rsidR="008F655A" w:rsidRPr="007D162C" w14:paraId="082C5B55" w14:textId="77777777" w:rsidTr="08D050C4">
        <w:tc>
          <w:tcPr>
            <w:tcW w:w="1806" w:type="pct"/>
            <w:hideMark/>
          </w:tcPr>
          <w:p w14:paraId="77FB5588" w14:textId="77777777" w:rsidR="008F655A" w:rsidRPr="007D162C" w:rsidRDefault="08D050C4" w:rsidP="006F65FB">
            <w:pPr>
              <w:pStyle w:val="ListParagraph"/>
              <w:numPr>
                <w:ilvl w:val="0"/>
                <w:numId w:val="41"/>
              </w:numPr>
            </w:pPr>
            <w:r w:rsidRPr="007D162C">
              <w:t>Rideshare</w:t>
            </w:r>
          </w:p>
        </w:tc>
        <w:tc>
          <w:tcPr>
            <w:tcW w:w="1414" w:type="pct"/>
          </w:tcPr>
          <w:p w14:paraId="000D40D1" w14:textId="77777777" w:rsidR="008F655A" w:rsidRPr="007D162C" w:rsidRDefault="08D050C4" w:rsidP="08D050C4">
            <w:r w:rsidRPr="007D162C">
              <w:rPr>
                <w:rFonts w:eastAsia="Times New Roman"/>
                <w:lang w:eastAsia="en-AU"/>
              </w:rPr>
              <w:t>Regulatory </w:t>
            </w:r>
          </w:p>
        </w:tc>
        <w:tc>
          <w:tcPr>
            <w:tcW w:w="1780" w:type="pct"/>
          </w:tcPr>
          <w:p w14:paraId="177C2F86" w14:textId="77777777" w:rsidR="008F655A" w:rsidRPr="007D162C" w:rsidRDefault="08D050C4" w:rsidP="08D050C4">
            <w:r w:rsidRPr="007D162C">
              <w:t>Retrospective – 5 years (raised registration number and response times)</w:t>
            </w:r>
          </w:p>
          <w:p w14:paraId="1237F7DC" w14:textId="77777777" w:rsidR="008F655A" w:rsidRPr="007D162C" w:rsidRDefault="08D050C4" w:rsidP="08D050C4">
            <w:r w:rsidRPr="007D162C">
              <w:t>Prospective – requirements that apply to accessible taxis</w:t>
            </w:r>
          </w:p>
        </w:tc>
      </w:tr>
      <w:tr w:rsidR="008F655A" w:rsidRPr="007D162C" w14:paraId="2631ED3D"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8B873D6" w14:textId="77777777" w:rsidR="008F655A" w:rsidRPr="007D162C" w:rsidRDefault="08D050C4" w:rsidP="006F65FB">
            <w:pPr>
              <w:pStyle w:val="ListParagraph"/>
              <w:numPr>
                <w:ilvl w:val="0"/>
                <w:numId w:val="41"/>
              </w:numPr>
            </w:pPr>
            <w:r w:rsidRPr="007D162C">
              <w:t>Dedicated school buses</w:t>
            </w:r>
          </w:p>
        </w:tc>
        <w:tc>
          <w:tcPr>
            <w:tcW w:w="1414" w:type="pct"/>
          </w:tcPr>
          <w:p w14:paraId="4740A39D" w14:textId="77777777" w:rsidR="008F655A" w:rsidRPr="007D162C" w:rsidRDefault="08D050C4" w:rsidP="08D050C4">
            <w:pPr>
              <w:rPr>
                <w:color w:val="000000" w:themeColor="text1"/>
              </w:rPr>
            </w:pPr>
            <w:r w:rsidRPr="007D162C">
              <w:rPr>
                <w:rFonts w:eastAsia="Times New Roman"/>
                <w:color w:val="000000" w:themeColor="text1"/>
                <w:lang w:eastAsia="en-AU"/>
              </w:rPr>
              <w:t>Status quo</w:t>
            </w:r>
          </w:p>
        </w:tc>
        <w:tc>
          <w:tcPr>
            <w:tcW w:w="1780" w:type="pct"/>
          </w:tcPr>
          <w:p w14:paraId="15D1A19E" w14:textId="77777777" w:rsidR="008F655A" w:rsidRPr="007D162C" w:rsidRDefault="08D050C4" w:rsidP="08D050C4">
            <w:pPr>
              <w:rPr>
                <w:color w:val="000000" w:themeColor="text1"/>
              </w:rPr>
            </w:pPr>
            <w:r w:rsidRPr="007D162C">
              <w:rPr>
                <w:color w:val="000000" w:themeColor="text1"/>
              </w:rPr>
              <w:t>N/A</w:t>
            </w:r>
          </w:p>
        </w:tc>
      </w:tr>
      <w:tr w:rsidR="008F655A" w:rsidRPr="007D162C" w14:paraId="5C4CED55" w14:textId="77777777" w:rsidTr="08D050C4">
        <w:tc>
          <w:tcPr>
            <w:tcW w:w="5000" w:type="pct"/>
            <w:gridSpan w:val="3"/>
            <w:shd w:val="clear" w:color="auto" w:fill="E7E6E6" w:themeFill="background2"/>
          </w:tcPr>
          <w:p w14:paraId="6466F188" w14:textId="77777777" w:rsidR="008F655A" w:rsidRPr="007D162C" w:rsidRDefault="08D050C4" w:rsidP="08D050C4">
            <w:pPr>
              <w:ind w:left="595" w:hanging="567"/>
            </w:pPr>
            <w:r w:rsidRPr="007D162C">
              <w:rPr>
                <w:b/>
                <w:bCs/>
              </w:rPr>
              <w:t>Part 2: Information, communication and wayfinding</w:t>
            </w:r>
          </w:p>
        </w:tc>
      </w:tr>
      <w:tr w:rsidR="008F655A" w:rsidRPr="007D162C" w14:paraId="3FF592C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E39CA8C" w14:textId="77777777" w:rsidR="008F655A" w:rsidRPr="007D162C" w:rsidRDefault="08D050C4" w:rsidP="006F65FB">
            <w:pPr>
              <w:pStyle w:val="ListParagraph"/>
              <w:numPr>
                <w:ilvl w:val="0"/>
                <w:numId w:val="41"/>
              </w:numPr>
            </w:pPr>
            <w:r w:rsidRPr="007D162C">
              <w:t>Better communication of accessibility features</w:t>
            </w:r>
          </w:p>
        </w:tc>
        <w:tc>
          <w:tcPr>
            <w:tcW w:w="1414" w:type="pct"/>
          </w:tcPr>
          <w:p w14:paraId="5A1C0937" w14:textId="34446A67" w:rsidR="008F655A" w:rsidRPr="007D162C" w:rsidRDefault="08D050C4" w:rsidP="08D050C4">
            <w:pPr>
              <w:rPr>
                <w:color w:val="000000" w:themeColor="text1"/>
              </w:rPr>
            </w:pPr>
            <w:r w:rsidRPr="007D162C">
              <w:rPr>
                <w:rFonts w:eastAsia="Times New Roman"/>
                <w:color w:val="000000" w:themeColor="text1"/>
                <w:lang w:eastAsia="en-AU"/>
              </w:rPr>
              <w:t>Regulatory </w:t>
            </w:r>
            <w:r w:rsidR="00F83E96" w:rsidRPr="007D162C">
              <w:rPr>
                <w:rFonts w:eastAsia="Times New Roman"/>
                <w:color w:val="000000" w:themeColor="text1"/>
                <w:lang w:eastAsia="en-AU"/>
              </w:rPr>
              <w:t>with revisions</w:t>
            </w:r>
          </w:p>
        </w:tc>
        <w:tc>
          <w:tcPr>
            <w:tcW w:w="1780" w:type="pct"/>
          </w:tcPr>
          <w:p w14:paraId="009A713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05E67B3F" w14:textId="77777777" w:rsidTr="08D050C4">
        <w:tc>
          <w:tcPr>
            <w:tcW w:w="1806" w:type="pct"/>
            <w:hideMark/>
          </w:tcPr>
          <w:p w14:paraId="4B0CFA05" w14:textId="77777777" w:rsidR="008F655A" w:rsidRPr="007D162C" w:rsidRDefault="08D050C4" w:rsidP="006F65FB">
            <w:pPr>
              <w:pStyle w:val="ListParagraph"/>
              <w:numPr>
                <w:ilvl w:val="0"/>
                <w:numId w:val="41"/>
              </w:numPr>
            </w:pPr>
            <w:r w:rsidRPr="007D162C">
              <w:t>Timely provision of information</w:t>
            </w:r>
          </w:p>
        </w:tc>
        <w:tc>
          <w:tcPr>
            <w:tcW w:w="1414" w:type="pct"/>
          </w:tcPr>
          <w:p w14:paraId="4BE05E51" w14:textId="77777777" w:rsidR="008F655A" w:rsidRPr="007D162C" w:rsidRDefault="08D050C4" w:rsidP="08D050C4">
            <w:r w:rsidRPr="007D162C">
              <w:rPr>
                <w:rFonts w:eastAsia="Times New Roman"/>
                <w:lang w:eastAsia="en-AU"/>
              </w:rPr>
              <w:t>Regulatory with additional guidance</w:t>
            </w:r>
          </w:p>
        </w:tc>
        <w:tc>
          <w:tcPr>
            <w:tcW w:w="1780" w:type="pct"/>
          </w:tcPr>
          <w:p w14:paraId="798F34B8" w14:textId="77777777" w:rsidR="008F655A" w:rsidRPr="007D162C" w:rsidRDefault="08D050C4" w:rsidP="08D050C4">
            <w:r w:rsidRPr="007D162C">
              <w:t>Retrospective – 5 years</w:t>
            </w:r>
          </w:p>
        </w:tc>
      </w:tr>
      <w:tr w:rsidR="008F655A" w:rsidRPr="007D162C" w14:paraId="2962801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7612D1DC" w14:textId="77777777" w:rsidR="008F655A" w:rsidRPr="007D162C" w:rsidRDefault="08D050C4" w:rsidP="006F65FB">
            <w:pPr>
              <w:pStyle w:val="ListParagraph"/>
              <w:numPr>
                <w:ilvl w:val="0"/>
                <w:numId w:val="41"/>
              </w:numPr>
            </w:pPr>
            <w:r w:rsidRPr="007D162C">
              <w:t>Real time communication</w:t>
            </w:r>
          </w:p>
        </w:tc>
        <w:tc>
          <w:tcPr>
            <w:tcW w:w="1414" w:type="pct"/>
          </w:tcPr>
          <w:p w14:paraId="4B09EB0B"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568AE43B" w14:textId="77777777" w:rsidR="008F655A" w:rsidRPr="007D162C" w:rsidRDefault="08D050C4" w:rsidP="08D050C4">
            <w:pPr>
              <w:rPr>
                <w:color w:val="000000" w:themeColor="text1"/>
              </w:rPr>
            </w:pPr>
            <w:r w:rsidRPr="007D162C">
              <w:t>The Whole Journey Guide</w:t>
            </w:r>
          </w:p>
        </w:tc>
      </w:tr>
      <w:tr w:rsidR="008F655A" w:rsidRPr="007D162C" w14:paraId="1FC83A63" w14:textId="77777777" w:rsidTr="08D050C4">
        <w:tc>
          <w:tcPr>
            <w:tcW w:w="1806" w:type="pct"/>
            <w:hideMark/>
          </w:tcPr>
          <w:p w14:paraId="42D94906" w14:textId="77777777" w:rsidR="008F655A" w:rsidRPr="007D162C" w:rsidRDefault="08D050C4" w:rsidP="006F65FB">
            <w:pPr>
              <w:pStyle w:val="ListParagraph"/>
              <w:numPr>
                <w:ilvl w:val="0"/>
                <w:numId w:val="41"/>
              </w:numPr>
            </w:pPr>
            <w:r w:rsidRPr="007D162C">
              <w:lastRenderedPageBreak/>
              <w:t>Passenger location during journey</w:t>
            </w:r>
          </w:p>
        </w:tc>
        <w:tc>
          <w:tcPr>
            <w:tcW w:w="1414" w:type="pct"/>
          </w:tcPr>
          <w:p w14:paraId="24D35462" w14:textId="2BE794F0" w:rsidR="008F655A" w:rsidRPr="007D162C" w:rsidRDefault="008F655A" w:rsidP="08D050C4">
            <w:r w:rsidRPr="007D162C">
              <w:rPr>
                <w:rFonts w:eastAsia="Times New Roman"/>
                <w:lang w:eastAsia="en-AU"/>
              </w:rPr>
              <w:t>Regulatory</w:t>
            </w:r>
            <w:r w:rsidR="00AE0950" w:rsidRPr="007D162C">
              <w:rPr>
                <w:rFonts w:eastAsia="Times New Roman"/>
                <w:lang w:eastAsia="en-AU"/>
              </w:rPr>
              <w:t xml:space="preserve"> with revisions</w:t>
            </w:r>
            <w:r w:rsidRPr="007D162C">
              <w:rPr>
                <w:rFonts w:eastAsia="Times New Roman"/>
                <w:lang w:eastAsia="en-AU"/>
              </w:rPr>
              <w:t>, sub-option 1</w:t>
            </w:r>
            <w:r w:rsidR="00E20915" w:rsidRPr="007D162C">
              <w:rPr>
                <w:rFonts w:eastAsia="Times New Roman"/>
                <w:lang w:eastAsia="en-AU"/>
              </w:rPr>
              <w:t xml:space="preserve"> </w:t>
            </w:r>
            <w:r w:rsidR="00E20915" w:rsidRPr="007D162C">
              <w:rPr>
                <w:rFonts w:eastAsia="Times New Roman"/>
                <w:lang w:eastAsia="en-AU"/>
              </w:rPr>
              <w:br/>
              <w:t xml:space="preserve">(see Appendix A, page </w:t>
            </w:r>
            <w:r w:rsidR="00B80BC0">
              <w:rPr>
                <w:rFonts w:eastAsia="Times New Roman"/>
                <w:lang w:eastAsia="en-AU"/>
              </w:rPr>
              <w:t>3</w:t>
            </w:r>
            <w:r w:rsidR="000319C8">
              <w:rPr>
                <w:rFonts w:eastAsia="Times New Roman"/>
                <w:lang w:eastAsia="en-AU"/>
              </w:rPr>
              <w:t>8</w:t>
            </w:r>
            <w:r w:rsidR="005B7A0F">
              <w:rPr>
                <w:rFonts w:eastAsia="Times New Roman"/>
                <w:lang w:eastAsia="en-AU"/>
              </w:rPr>
              <w:t>1</w:t>
            </w:r>
            <w:r w:rsidR="00E20915" w:rsidRPr="007D162C">
              <w:rPr>
                <w:rFonts w:eastAsia="Times New Roman"/>
                <w:lang w:eastAsia="en-AU"/>
              </w:rPr>
              <w:t xml:space="preserve"> for full details)</w:t>
            </w:r>
          </w:p>
        </w:tc>
        <w:tc>
          <w:tcPr>
            <w:tcW w:w="1780" w:type="pct"/>
          </w:tcPr>
          <w:p w14:paraId="5A58E7FA" w14:textId="77777777" w:rsidR="008F655A" w:rsidRPr="007D162C" w:rsidRDefault="08D050C4" w:rsidP="08D050C4">
            <w:r w:rsidRPr="007D162C">
              <w:t>Prospective</w:t>
            </w:r>
          </w:p>
        </w:tc>
      </w:tr>
      <w:tr w:rsidR="008F655A" w:rsidRPr="007D162C" w14:paraId="53BFB566"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F74B643" w14:textId="77777777" w:rsidR="008F655A" w:rsidRPr="007D162C" w:rsidRDefault="08D050C4" w:rsidP="006F65FB">
            <w:pPr>
              <w:pStyle w:val="ListParagraph"/>
              <w:numPr>
                <w:ilvl w:val="0"/>
                <w:numId w:val="41"/>
              </w:numPr>
            </w:pPr>
            <w:r w:rsidRPr="007D162C">
              <w:t>Hearing augmentation on conveyances</w:t>
            </w:r>
          </w:p>
        </w:tc>
        <w:tc>
          <w:tcPr>
            <w:tcW w:w="1414" w:type="pct"/>
          </w:tcPr>
          <w:p w14:paraId="1B81216D" w14:textId="77777777" w:rsidR="008F655A" w:rsidRPr="007D162C" w:rsidRDefault="08D050C4" w:rsidP="08D050C4">
            <w:pPr>
              <w:rPr>
                <w:color w:val="000000" w:themeColor="text1"/>
              </w:rPr>
            </w:pPr>
            <w:r w:rsidRPr="007D162C">
              <w:rPr>
                <w:rFonts w:eastAsia="Times New Roman"/>
                <w:color w:val="000000" w:themeColor="text1"/>
                <w:lang w:eastAsia="en-AU"/>
              </w:rPr>
              <w:t>Status quo </w:t>
            </w:r>
          </w:p>
        </w:tc>
        <w:tc>
          <w:tcPr>
            <w:tcW w:w="1780" w:type="pct"/>
          </w:tcPr>
          <w:p w14:paraId="43EC1A74" w14:textId="77777777" w:rsidR="008F655A" w:rsidRPr="007D162C" w:rsidRDefault="08D050C4" w:rsidP="08D050C4">
            <w:pPr>
              <w:rPr>
                <w:color w:val="000000" w:themeColor="text1"/>
              </w:rPr>
            </w:pPr>
            <w:r w:rsidRPr="007D162C">
              <w:rPr>
                <w:color w:val="000000" w:themeColor="text1"/>
              </w:rPr>
              <w:t>N/A</w:t>
            </w:r>
          </w:p>
        </w:tc>
      </w:tr>
      <w:tr w:rsidR="008F655A" w:rsidRPr="007D162C" w14:paraId="73E49F38" w14:textId="77777777" w:rsidTr="08D050C4">
        <w:tc>
          <w:tcPr>
            <w:tcW w:w="1806" w:type="pct"/>
          </w:tcPr>
          <w:p w14:paraId="7C9EDB0C" w14:textId="77777777" w:rsidR="008F655A" w:rsidRPr="007D162C" w:rsidRDefault="08D050C4" w:rsidP="006F65FB">
            <w:pPr>
              <w:pStyle w:val="ListParagraph"/>
              <w:numPr>
                <w:ilvl w:val="0"/>
                <w:numId w:val="41"/>
              </w:numPr>
            </w:pPr>
            <w:r w:rsidRPr="007D162C">
              <w:t>Hearing augmentation: Infrastructure and premises</w:t>
            </w:r>
          </w:p>
        </w:tc>
        <w:tc>
          <w:tcPr>
            <w:tcW w:w="1414" w:type="pct"/>
          </w:tcPr>
          <w:p w14:paraId="7546691F" w14:textId="77777777" w:rsidR="008F655A" w:rsidRPr="007D162C" w:rsidRDefault="08D050C4" w:rsidP="08D050C4">
            <w:pPr>
              <w:rPr>
                <w:rFonts w:eastAsia="Times New Roman"/>
                <w:lang w:eastAsia="en-AU"/>
              </w:rPr>
            </w:pPr>
            <w:r w:rsidRPr="007D162C">
              <w:rPr>
                <w:rFonts w:eastAsia="Times New Roman"/>
                <w:lang w:eastAsia="en-AU"/>
              </w:rPr>
              <w:t>Status quo</w:t>
            </w:r>
          </w:p>
        </w:tc>
        <w:tc>
          <w:tcPr>
            <w:tcW w:w="1780" w:type="pct"/>
          </w:tcPr>
          <w:p w14:paraId="293BBD94" w14:textId="77777777" w:rsidR="008F655A" w:rsidRPr="007D162C" w:rsidRDefault="08D050C4" w:rsidP="08D050C4">
            <w:r w:rsidRPr="007D162C">
              <w:t>N/A</w:t>
            </w:r>
          </w:p>
        </w:tc>
      </w:tr>
      <w:tr w:rsidR="008F655A" w:rsidRPr="007D162C" w14:paraId="04C0806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4BD19FC" w14:textId="77777777" w:rsidR="008F655A" w:rsidRPr="007D162C" w:rsidRDefault="08D050C4" w:rsidP="006F65FB">
            <w:pPr>
              <w:pStyle w:val="ListParagraph"/>
              <w:numPr>
                <w:ilvl w:val="0"/>
                <w:numId w:val="41"/>
              </w:numPr>
            </w:pPr>
            <w:r w:rsidRPr="007D162C">
              <w:t>Print size and format</w:t>
            </w:r>
          </w:p>
        </w:tc>
        <w:tc>
          <w:tcPr>
            <w:tcW w:w="1414" w:type="pct"/>
          </w:tcPr>
          <w:p w14:paraId="059AAF18" w14:textId="77777777" w:rsidR="008F655A" w:rsidRPr="007D162C" w:rsidRDefault="08D050C4" w:rsidP="08D050C4">
            <w:pPr>
              <w:rPr>
                <w:color w:val="000000" w:themeColor="text1"/>
              </w:rPr>
            </w:pPr>
            <w:r w:rsidRPr="007D162C">
              <w:rPr>
                <w:rFonts w:eastAsia="Times New Roman"/>
                <w:color w:val="000000" w:themeColor="text1"/>
                <w:lang w:eastAsia="en-AU"/>
              </w:rPr>
              <w:t>Regulatory with additional guidance</w:t>
            </w:r>
          </w:p>
        </w:tc>
        <w:tc>
          <w:tcPr>
            <w:tcW w:w="1780" w:type="pct"/>
          </w:tcPr>
          <w:p w14:paraId="1A3BD754"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2BCDD1E" w14:textId="77777777" w:rsidTr="08D050C4">
        <w:tc>
          <w:tcPr>
            <w:tcW w:w="1806" w:type="pct"/>
            <w:hideMark/>
          </w:tcPr>
          <w:p w14:paraId="680B469C" w14:textId="77777777" w:rsidR="008F655A" w:rsidRPr="007D162C" w:rsidRDefault="08D050C4" w:rsidP="006F65FB">
            <w:pPr>
              <w:pStyle w:val="ListParagraph"/>
              <w:numPr>
                <w:ilvl w:val="0"/>
                <w:numId w:val="41"/>
              </w:numPr>
            </w:pPr>
            <w:r w:rsidRPr="007D162C">
              <w:t>International symbol for access and deafness</w:t>
            </w:r>
          </w:p>
        </w:tc>
        <w:tc>
          <w:tcPr>
            <w:tcW w:w="1414" w:type="pct"/>
          </w:tcPr>
          <w:p w14:paraId="13A0C24A" w14:textId="30D60325" w:rsidR="008F655A" w:rsidRPr="007D162C" w:rsidRDefault="08D050C4" w:rsidP="08D050C4">
            <w:r w:rsidRPr="007D162C">
              <w:rPr>
                <w:rFonts w:eastAsia="Times New Roman"/>
                <w:lang w:eastAsia="en-AU"/>
              </w:rPr>
              <w:t>Regulatory, sub-option 2</w:t>
            </w:r>
            <w:r w:rsidR="00E20915" w:rsidRPr="007D162C">
              <w:rPr>
                <w:rFonts w:eastAsia="Times New Roman"/>
                <w:lang w:eastAsia="en-AU"/>
              </w:rPr>
              <w:br/>
              <w:t xml:space="preserve">(see Appendix A, page </w:t>
            </w:r>
            <w:r w:rsidR="00B80BC0">
              <w:rPr>
                <w:rFonts w:eastAsia="Times New Roman"/>
                <w:lang w:eastAsia="en-AU"/>
              </w:rPr>
              <w:t>3</w:t>
            </w:r>
            <w:r w:rsidR="005B7A0F">
              <w:rPr>
                <w:rFonts w:eastAsia="Times New Roman"/>
                <w:lang w:eastAsia="en-AU"/>
              </w:rPr>
              <w:t>89</w:t>
            </w:r>
            <w:r w:rsidR="00E20915" w:rsidRPr="007D162C">
              <w:rPr>
                <w:rFonts w:eastAsia="Times New Roman"/>
                <w:lang w:eastAsia="en-AU"/>
              </w:rPr>
              <w:t xml:space="preserve"> for full details)</w:t>
            </w:r>
          </w:p>
        </w:tc>
        <w:tc>
          <w:tcPr>
            <w:tcW w:w="1780" w:type="pct"/>
          </w:tcPr>
          <w:p w14:paraId="194A4EC7" w14:textId="202F5354" w:rsidR="008F655A" w:rsidRPr="007D162C" w:rsidRDefault="00B45731" w:rsidP="08D050C4">
            <w:r w:rsidRPr="007D162C">
              <w:t>Prospective</w:t>
            </w:r>
          </w:p>
        </w:tc>
      </w:tr>
      <w:tr w:rsidR="008F655A" w:rsidRPr="007D162C" w14:paraId="735F222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27BA3E9" w14:textId="77777777" w:rsidR="008F655A" w:rsidRPr="007D162C" w:rsidRDefault="08D050C4" w:rsidP="006F65FB">
            <w:pPr>
              <w:pStyle w:val="ListParagraph"/>
              <w:numPr>
                <w:ilvl w:val="0"/>
                <w:numId w:val="41"/>
              </w:numPr>
            </w:pPr>
            <w:r w:rsidRPr="007D162C">
              <w:t>Letter heights and luminance contrast of signs</w:t>
            </w:r>
          </w:p>
        </w:tc>
        <w:tc>
          <w:tcPr>
            <w:tcW w:w="1414" w:type="pct"/>
          </w:tcPr>
          <w:p w14:paraId="36FF8226" w14:textId="77777777" w:rsidR="008F655A" w:rsidRPr="007D162C" w:rsidRDefault="08D050C4" w:rsidP="08D050C4">
            <w:pPr>
              <w:rPr>
                <w:rFonts w:eastAsia="Times New Roman"/>
                <w:lang w:eastAsia="en-AU"/>
              </w:rPr>
            </w:pPr>
            <w:r w:rsidRPr="007D162C">
              <w:rPr>
                <w:rFonts w:eastAsia="Times New Roman"/>
                <w:color w:val="000000" w:themeColor="text1"/>
                <w:lang w:eastAsia="en-AU"/>
              </w:rPr>
              <w:t>Regulatory, option 2, sub-option 2</w:t>
            </w:r>
          </w:p>
          <w:p w14:paraId="4C4BFD95" w14:textId="19E09077" w:rsidR="008F655A" w:rsidRPr="007D162C" w:rsidRDefault="00E20915" w:rsidP="08D050C4">
            <w:pPr>
              <w:rPr>
                <w:color w:val="000000" w:themeColor="text1"/>
              </w:rPr>
            </w:pPr>
            <w:r w:rsidRPr="007D162C">
              <w:rPr>
                <w:rFonts w:eastAsia="Times New Roman"/>
                <w:lang w:eastAsia="en-AU"/>
              </w:rPr>
              <w:t xml:space="preserve">(see Appendix A, page </w:t>
            </w:r>
            <w:r w:rsidR="00B80BC0">
              <w:rPr>
                <w:rFonts w:eastAsia="Times New Roman"/>
                <w:lang w:eastAsia="en-AU"/>
              </w:rPr>
              <w:t>3</w:t>
            </w:r>
            <w:r w:rsidR="000319C8">
              <w:rPr>
                <w:rFonts w:eastAsia="Times New Roman"/>
                <w:lang w:eastAsia="en-AU"/>
              </w:rPr>
              <w:t>9</w:t>
            </w:r>
            <w:r w:rsidR="005B7A0F">
              <w:rPr>
                <w:rFonts w:eastAsia="Times New Roman"/>
                <w:lang w:eastAsia="en-AU"/>
              </w:rPr>
              <w:t>0</w:t>
            </w:r>
            <w:r w:rsidRPr="007D162C">
              <w:rPr>
                <w:rFonts w:eastAsia="Times New Roman"/>
                <w:lang w:eastAsia="en-AU"/>
              </w:rPr>
              <w:t xml:space="preserve"> for full details)</w:t>
            </w:r>
          </w:p>
        </w:tc>
        <w:tc>
          <w:tcPr>
            <w:tcW w:w="1780" w:type="pct"/>
          </w:tcPr>
          <w:p w14:paraId="1A4C121A"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49445BAE" w14:textId="77777777" w:rsidTr="08D050C4">
        <w:tc>
          <w:tcPr>
            <w:tcW w:w="1806" w:type="pct"/>
            <w:hideMark/>
          </w:tcPr>
          <w:p w14:paraId="23AECAB4" w14:textId="77777777" w:rsidR="008F655A" w:rsidRPr="007D162C" w:rsidRDefault="08D050C4" w:rsidP="006F65FB">
            <w:pPr>
              <w:pStyle w:val="ListParagraph"/>
              <w:numPr>
                <w:ilvl w:val="0"/>
                <w:numId w:val="41"/>
              </w:numPr>
            </w:pPr>
            <w:r w:rsidRPr="007D162C">
              <w:t>Location of signs</w:t>
            </w:r>
          </w:p>
        </w:tc>
        <w:tc>
          <w:tcPr>
            <w:tcW w:w="1414" w:type="pct"/>
          </w:tcPr>
          <w:p w14:paraId="03A31145" w14:textId="4F85E323" w:rsidR="008F655A" w:rsidRPr="007D162C" w:rsidRDefault="08D050C4" w:rsidP="08D050C4">
            <w:r w:rsidRPr="007D162C">
              <w:rPr>
                <w:rFonts w:eastAsia="Times New Roman"/>
                <w:lang w:eastAsia="en-AU"/>
              </w:rPr>
              <w:t>Regulatory with additional guidance, sub-option 2 </w:t>
            </w:r>
            <w:r w:rsidR="00E20915" w:rsidRPr="007D162C">
              <w:rPr>
                <w:rFonts w:eastAsia="Times New Roman"/>
                <w:lang w:eastAsia="en-AU"/>
              </w:rPr>
              <w:br/>
              <w:t xml:space="preserve">(see Appendix A, page </w:t>
            </w:r>
            <w:r w:rsidR="00B80BC0">
              <w:rPr>
                <w:rFonts w:eastAsia="Times New Roman"/>
                <w:lang w:eastAsia="en-AU"/>
              </w:rPr>
              <w:t>39</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21DA282F" w14:textId="77777777" w:rsidR="008F655A" w:rsidRPr="007D162C" w:rsidRDefault="08D050C4" w:rsidP="08D050C4">
            <w:r w:rsidRPr="007D162C">
              <w:t>Prospective</w:t>
            </w:r>
          </w:p>
        </w:tc>
      </w:tr>
      <w:tr w:rsidR="008F655A" w:rsidRPr="007D162C" w14:paraId="06C1E0DF"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E7DFC6C" w14:textId="77777777" w:rsidR="008F655A" w:rsidRPr="007D162C" w:rsidRDefault="08D050C4" w:rsidP="006F65FB">
            <w:pPr>
              <w:pStyle w:val="ListParagraph"/>
              <w:numPr>
                <w:ilvl w:val="0"/>
                <w:numId w:val="41"/>
              </w:numPr>
            </w:pPr>
            <w:r w:rsidRPr="007D162C">
              <w:t>Braille specifications</w:t>
            </w:r>
          </w:p>
        </w:tc>
        <w:tc>
          <w:tcPr>
            <w:tcW w:w="1414" w:type="pct"/>
          </w:tcPr>
          <w:p w14:paraId="2249AFC0" w14:textId="77777777" w:rsidR="008F655A" w:rsidRPr="007D162C" w:rsidRDefault="08D050C4" w:rsidP="08D050C4">
            <w:pPr>
              <w:rPr>
                <w:color w:val="000000" w:themeColor="text1"/>
              </w:rPr>
            </w:pPr>
            <w:r w:rsidRPr="007D162C">
              <w:rPr>
                <w:rFonts w:eastAsia="Times New Roman"/>
                <w:color w:val="000000" w:themeColor="text1"/>
                <w:lang w:eastAsia="en-AU"/>
              </w:rPr>
              <w:t>Regulatory in-principle</w:t>
            </w:r>
          </w:p>
        </w:tc>
        <w:tc>
          <w:tcPr>
            <w:tcW w:w="1780" w:type="pct"/>
          </w:tcPr>
          <w:p w14:paraId="7FE81D88" w14:textId="77777777" w:rsidR="008F655A" w:rsidRPr="007D162C" w:rsidRDefault="08D050C4" w:rsidP="08D050C4">
            <w:pPr>
              <w:rPr>
                <w:color w:val="000000" w:themeColor="text1"/>
              </w:rPr>
            </w:pPr>
            <w:r w:rsidRPr="007D162C">
              <w:rPr>
                <w:color w:val="000000" w:themeColor="text1"/>
              </w:rPr>
              <w:t>Other (refer to chapter)</w:t>
            </w:r>
          </w:p>
        </w:tc>
      </w:tr>
      <w:tr w:rsidR="008F655A" w:rsidRPr="007D162C" w14:paraId="11288E4B" w14:textId="77777777" w:rsidTr="08D050C4">
        <w:tc>
          <w:tcPr>
            <w:tcW w:w="1806" w:type="pct"/>
            <w:hideMark/>
          </w:tcPr>
          <w:p w14:paraId="56DC853B" w14:textId="77777777" w:rsidR="008F655A" w:rsidRPr="007D162C" w:rsidRDefault="08D050C4" w:rsidP="006F65FB">
            <w:pPr>
              <w:pStyle w:val="ListParagraph"/>
              <w:numPr>
                <w:ilvl w:val="0"/>
                <w:numId w:val="41"/>
              </w:numPr>
            </w:pPr>
            <w:r w:rsidRPr="007D162C">
              <w:t>Braille and tactile lettering for signage</w:t>
            </w:r>
          </w:p>
        </w:tc>
        <w:tc>
          <w:tcPr>
            <w:tcW w:w="1414" w:type="pct"/>
          </w:tcPr>
          <w:p w14:paraId="64F00771" w14:textId="77777777" w:rsidR="008F655A" w:rsidRPr="007D162C" w:rsidRDefault="08D050C4" w:rsidP="08D050C4">
            <w:r w:rsidRPr="007D162C">
              <w:rPr>
                <w:rFonts w:eastAsia="Times New Roman"/>
                <w:lang w:eastAsia="en-AU"/>
              </w:rPr>
              <w:t>Regulatory in-principle</w:t>
            </w:r>
          </w:p>
        </w:tc>
        <w:tc>
          <w:tcPr>
            <w:tcW w:w="1780" w:type="pct"/>
          </w:tcPr>
          <w:p w14:paraId="675A602D" w14:textId="77777777" w:rsidR="008F655A" w:rsidRPr="007D162C" w:rsidRDefault="08D050C4" w:rsidP="08D050C4">
            <w:r w:rsidRPr="007D162C">
              <w:t>Other (refer to chapter)</w:t>
            </w:r>
          </w:p>
        </w:tc>
      </w:tr>
      <w:tr w:rsidR="008F655A" w:rsidRPr="007D162C" w14:paraId="2C11EBBE"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BE794F5" w14:textId="77777777" w:rsidR="008F655A" w:rsidRPr="007D162C" w:rsidRDefault="08D050C4" w:rsidP="006F65FB">
            <w:pPr>
              <w:pStyle w:val="ListParagraph"/>
              <w:numPr>
                <w:ilvl w:val="0"/>
                <w:numId w:val="41"/>
              </w:numPr>
            </w:pPr>
            <w:r w:rsidRPr="007D162C">
              <w:t>Lifts: Braille and tactile information at lift landings</w:t>
            </w:r>
          </w:p>
        </w:tc>
        <w:tc>
          <w:tcPr>
            <w:tcW w:w="1414" w:type="pct"/>
          </w:tcPr>
          <w:p w14:paraId="5E4A604E" w14:textId="77777777" w:rsidR="008F655A" w:rsidRPr="007D162C" w:rsidRDefault="08D050C4" w:rsidP="08D050C4">
            <w:pPr>
              <w:rPr>
                <w:color w:val="000000" w:themeColor="text1"/>
              </w:rPr>
            </w:pPr>
            <w:r w:rsidRPr="007D162C">
              <w:rPr>
                <w:rFonts w:eastAsia="Times New Roman"/>
                <w:color w:val="000000" w:themeColor="text1"/>
                <w:lang w:eastAsia="en-AU"/>
              </w:rPr>
              <w:t>Regulatory</w:t>
            </w:r>
          </w:p>
        </w:tc>
        <w:tc>
          <w:tcPr>
            <w:tcW w:w="1780" w:type="pct"/>
          </w:tcPr>
          <w:p w14:paraId="665D805A"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09A3A8FA" w14:textId="77777777" w:rsidTr="08D050C4">
        <w:tc>
          <w:tcPr>
            <w:tcW w:w="1806" w:type="pct"/>
            <w:hideMark/>
          </w:tcPr>
          <w:p w14:paraId="468D92D8" w14:textId="77777777" w:rsidR="008F655A" w:rsidRPr="007D162C" w:rsidRDefault="08D050C4" w:rsidP="006F65FB">
            <w:pPr>
              <w:pStyle w:val="ListParagraph"/>
              <w:numPr>
                <w:ilvl w:val="0"/>
                <w:numId w:val="41"/>
              </w:numPr>
            </w:pPr>
            <w:r w:rsidRPr="007D162C">
              <w:t>Lifts: Audible wayfinding</w:t>
            </w:r>
          </w:p>
        </w:tc>
        <w:tc>
          <w:tcPr>
            <w:tcW w:w="1414" w:type="pct"/>
          </w:tcPr>
          <w:p w14:paraId="40473280" w14:textId="1EDBF3B1" w:rsidR="008F655A" w:rsidRPr="007D162C" w:rsidRDefault="08D050C4" w:rsidP="08D050C4">
            <w:r w:rsidRPr="007D162C">
              <w:rPr>
                <w:rFonts w:eastAsia="Times New Roman"/>
                <w:lang w:eastAsia="en-AU"/>
              </w:rPr>
              <w:t>Regulatory, option 2  </w:t>
            </w:r>
            <w:r w:rsidR="00E20915" w:rsidRPr="007D162C">
              <w:rPr>
                <w:rFonts w:eastAsia="Times New Roman"/>
                <w:lang w:eastAsia="en-AU"/>
              </w:rPr>
              <w:br/>
              <w:t>(see Appendix A, page 4</w:t>
            </w:r>
            <w:r w:rsidR="00B80BC0">
              <w:rPr>
                <w:rFonts w:eastAsia="Times New Roman"/>
                <w:lang w:eastAsia="en-AU"/>
              </w:rPr>
              <w:t>0</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06691DAA" w14:textId="77777777" w:rsidR="008F655A" w:rsidRPr="007D162C" w:rsidRDefault="08D050C4" w:rsidP="08D050C4">
            <w:r w:rsidRPr="007D162C">
              <w:t>Prospective</w:t>
            </w:r>
          </w:p>
        </w:tc>
      </w:tr>
      <w:tr w:rsidR="008F655A" w:rsidRPr="007D162C" w14:paraId="4D99515F"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696245B" w14:textId="77777777" w:rsidR="008F655A" w:rsidRPr="007D162C" w:rsidRDefault="08D050C4" w:rsidP="006F65FB">
            <w:pPr>
              <w:pStyle w:val="ListParagraph"/>
              <w:numPr>
                <w:ilvl w:val="0"/>
                <w:numId w:val="41"/>
              </w:numPr>
            </w:pPr>
            <w:r w:rsidRPr="007D162C">
              <w:t>Lifts: Emergency communication systems in lift cars</w:t>
            </w:r>
          </w:p>
        </w:tc>
        <w:tc>
          <w:tcPr>
            <w:tcW w:w="1414" w:type="pct"/>
          </w:tcPr>
          <w:p w14:paraId="28FDB756"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286F36E2"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66641DF1" w14:textId="77777777" w:rsidTr="08D050C4">
        <w:tc>
          <w:tcPr>
            <w:tcW w:w="1806" w:type="pct"/>
            <w:hideMark/>
          </w:tcPr>
          <w:p w14:paraId="0DD3781D" w14:textId="77777777" w:rsidR="008F655A" w:rsidRPr="007D162C" w:rsidRDefault="08D050C4" w:rsidP="006F65FB">
            <w:pPr>
              <w:pStyle w:val="ListParagraph"/>
              <w:numPr>
                <w:ilvl w:val="0"/>
                <w:numId w:val="41"/>
              </w:numPr>
            </w:pPr>
            <w:r w:rsidRPr="007D162C">
              <w:t>Lifts: Reference for lift car communication and information systems</w:t>
            </w:r>
          </w:p>
        </w:tc>
        <w:tc>
          <w:tcPr>
            <w:tcW w:w="1414" w:type="pct"/>
          </w:tcPr>
          <w:p w14:paraId="04B3B8C5" w14:textId="77777777" w:rsidR="008F655A" w:rsidRPr="007D162C" w:rsidRDefault="08D050C4" w:rsidP="08D050C4">
            <w:pPr>
              <w:spacing w:after="0"/>
              <w:textAlignment w:val="baseline"/>
            </w:pPr>
            <w:r w:rsidRPr="007D162C">
              <w:rPr>
                <w:rFonts w:eastAsia="Times New Roman"/>
                <w:lang w:eastAsia="en-AU"/>
              </w:rPr>
              <w:t>Non-regulatory   </w:t>
            </w:r>
          </w:p>
        </w:tc>
        <w:tc>
          <w:tcPr>
            <w:tcW w:w="1780" w:type="pct"/>
          </w:tcPr>
          <w:p w14:paraId="7DC414EF" w14:textId="77777777" w:rsidR="008F655A" w:rsidRPr="007D162C" w:rsidRDefault="08D050C4" w:rsidP="08D050C4">
            <w:r w:rsidRPr="007D162C">
              <w:t>The Whole Journey Guide</w:t>
            </w:r>
          </w:p>
        </w:tc>
      </w:tr>
      <w:tr w:rsidR="008F655A" w:rsidRPr="007D162C" w14:paraId="643C07BA"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9DD8FFA" w14:textId="77777777" w:rsidR="008F655A" w:rsidRPr="007D162C" w:rsidRDefault="08D050C4" w:rsidP="006F65FB">
            <w:pPr>
              <w:pStyle w:val="ListParagraph"/>
              <w:numPr>
                <w:ilvl w:val="0"/>
                <w:numId w:val="41"/>
              </w:numPr>
            </w:pPr>
            <w:r w:rsidRPr="007D162C">
              <w:t>Information and communication technologies (ICT) procurement</w:t>
            </w:r>
          </w:p>
        </w:tc>
        <w:tc>
          <w:tcPr>
            <w:tcW w:w="1414" w:type="pct"/>
          </w:tcPr>
          <w:p w14:paraId="33E9331A" w14:textId="3E9D6546" w:rsidR="008F655A" w:rsidRPr="007D162C" w:rsidRDefault="08D050C4" w:rsidP="08D050C4">
            <w:pPr>
              <w:rPr>
                <w:color w:val="000000" w:themeColor="text1"/>
              </w:rPr>
            </w:pPr>
            <w:r w:rsidRPr="007D162C">
              <w:rPr>
                <w:rFonts w:eastAsia="Times New Roman"/>
                <w:lang w:eastAsia="en-AU"/>
              </w:rPr>
              <w:t>Regulatory, option 1</w:t>
            </w:r>
            <w:r w:rsidR="00A24DF7" w:rsidRPr="007D162C">
              <w:rPr>
                <w:rFonts w:eastAsia="Times New Roman"/>
                <w:lang w:eastAsia="en-AU"/>
              </w:rPr>
              <w:br/>
              <w:t>(see Appendix A, page 4</w:t>
            </w:r>
            <w:r w:rsidR="00B80BC0">
              <w:rPr>
                <w:rFonts w:eastAsia="Times New Roman"/>
                <w:lang w:eastAsia="en-AU"/>
              </w:rPr>
              <w:t>0</w:t>
            </w:r>
            <w:r w:rsidR="005B7A0F">
              <w:rPr>
                <w:rFonts w:eastAsia="Times New Roman"/>
                <w:lang w:eastAsia="en-AU"/>
              </w:rPr>
              <w:t>7</w:t>
            </w:r>
            <w:r w:rsidR="00A24DF7" w:rsidRPr="007D162C">
              <w:rPr>
                <w:rFonts w:eastAsia="Times New Roman"/>
                <w:lang w:eastAsia="en-AU"/>
              </w:rPr>
              <w:t xml:space="preserve"> for full details)</w:t>
            </w:r>
          </w:p>
        </w:tc>
        <w:tc>
          <w:tcPr>
            <w:tcW w:w="1780" w:type="pct"/>
          </w:tcPr>
          <w:p w14:paraId="145A38A6"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67CD15B" w14:textId="77777777" w:rsidTr="08D050C4">
        <w:tc>
          <w:tcPr>
            <w:tcW w:w="1806" w:type="pct"/>
            <w:hideMark/>
          </w:tcPr>
          <w:p w14:paraId="6E015916" w14:textId="77777777" w:rsidR="008F655A" w:rsidRPr="007D162C" w:rsidRDefault="08D050C4" w:rsidP="006F65FB">
            <w:pPr>
              <w:pStyle w:val="ListParagraph"/>
              <w:numPr>
                <w:ilvl w:val="0"/>
                <w:numId w:val="41"/>
              </w:numPr>
            </w:pPr>
            <w:r w:rsidRPr="007D162C">
              <w:t>Mobile web systems</w:t>
            </w:r>
          </w:p>
        </w:tc>
        <w:tc>
          <w:tcPr>
            <w:tcW w:w="1414" w:type="pct"/>
          </w:tcPr>
          <w:p w14:paraId="44C39E1F" w14:textId="71B6724F" w:rsidR="008F655A" w:rsidRPr="007D162C" w:rsidRDefault="08D050C4" w:rsidP="08D050C4">
            <w:r w:rsidRPr="007D162C">
              <w:rPr>
                <w:rFonts w:eastAsia="Times New Roman"/>
                <w:lang w:eastAsia="en-AU"/>
              </w:rPr>
              <w:t>Regulatory, option 1</w:t>
            </w:r>
            <w:r w:rsidR="00E20915" w:rsidRPr="007D162C">
              <w:rPr>
                <w:rFonts w:eastAsia="Times New Roman"/>
                <w:lang w:eastAsia="en-AU"/>
              </w:rPr>
              <w:br/>
              <w:t>(see Appendix A, page 4</w:t>
            </w:r>
            <w:r w:rsidR="000319C8">
              <w:rPr>
                <w:rFonts w:eastAsia="Times New Roman"/>
                <w:lang w:eastAsia="en-AU"/>
              </w:rPr>
              <w:t>1</w:t>
            </w:r>
            <w:r w:rsidR="005B7A0F">
              <w:rPr>
                <w:rFonts w:eastAsia="Times New Roman"/>
                <w:lang w:eastAsia="en-AU"/>
              </w:rPr>
              <w:t>1</w:t>
            </w:r>
            <w:r w:rsidR="00E20915" w:rsidRPr="007D162C">
              <w:rPr>
                <w:rFonts w:eastAsia="Times New Roman"/>
                <w:lang w:eastAsia="en-AU"/>
              </w:rPr>
              <w:t xml:space="preserve"> for full details)</w:t>
            </w:r>
          </w:p>
        </w:tc>
        <w:tc>
          <w:tcPr>
            <w:tcW w:w="1780" w:type="pct"/>
          </w:tcPr>
          <w:p w14:paraId="1F95F24A" w14:textId="77777777" w:rsidR="008F655A" w:rsidRPr="007D162C" w:rsidRDefault="08D050C4" w:rsidP="08D050C4">
            <w:r w:rsidRPr="007D162C">
              <w:t>Prospective</w:t>
            </w:r>
          </w:p>
        </w:tc>
      </w:tr>
      <w:tr w:rsidR="008F655A" w:rsidRPr="007D162C" w14:paraId="475A259C"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D786D0C" w14:textId="77777777" w:rsidR="008F655A" w:rsidRPr="007D162C" w:rsidRDefault="08D050C4" w:rsidP="006F65FB">
            <w:pPr>
              <w:pStyle w:val="ListParagraph"/>
              <w:numPr>
                <w:ilvl w:val="0"/>
                <w:numId w:val="41"/>
              </w:numPr>
            </w:pPr>
            <w:r w:rsidRPr="007D162C">
              <w:t>Accessible fare system elements</w:t>
            </w:r>
          </w:p>
        </w:tc>
        <w:tc>
          <w:tcPr>
            <w:tcW w:w="1414" w:type="pct"/>
          </w:tcPr>
          <w:p w14:paraId="5FFC28CB" w14:textId="1CC839AA" w:rsidR="008F655A" w:rsidRPr="007D162C" w:rsidRDefault="08D050C4" w:rsidP="008F655A">
            <w:r w:rsidRPr="007D162C">
              <w:rPr>
                <w:rFonts w:eastAsia="Times New Roman"/>
                <w:color w:val="000000" w:themeColor="text1"/>
                <w:lang w:eastAsia="en-AU"/>
              </w:rPr>
              <w:t>Regulatory, option 2, sub-option 2</w:t>
            </w:r>
            <w:r w:rsidR="00E20915" w:rsidRPr="007D162C">
              <w:rPr>
                <w:rFonts w:eastAsia="Times New Roman"/>
                <w:color w:val="000000" w:themeColor="text1"/>
                <w:lang w:eastAsia="en-AU"/>
              </w:rPr>
              <w:br/>
            </w:r>
            <w:r w:rsidR="00E20915" w:rsidRPr="007D162C">
              <w:rPr>
                <w:rFonts w:eastAsia="Times New Roman"/>
                <w:lang w:eastAsia="en-AU"/>
              </w:rPr>
              <w:t xml:space="preserve">(see Appendix A, page </w:t>
            </w:r>
            <w:r w:rsidR="00A24DF7" w:rsidRPr="007D162C">
              <w:rPr>
                <w:rFonts w:eastAsia="Times New Roman"/>
                <w:lang w:eastAsia="en-AU"/>
              </w:rPr>
              <w:t>4</w:t>
            </w:r>
            <w:r w:rsidR="00B80BC0">
              <w:rPr>
                <w:rFonts w:eastAsia="Times New Roman"/>
                <w:lang w:eastAsia="en-AU"/>
              </w:rPr>
              <w:t>1</w:t>
            </w:r>
            <w:r w:rsidR="005B7A0F">
              <w:rPr>
                <w:rFonts w:eastAsia="Times New Roman"/>
                <w:lang w:eastAsia="en-AU"/>
              </w:rPr>
              <w:t>2</w:t>
            </w:r>
            <w:r w:rsidR="00E20915" w:rsidRPr="007D162C">
              <w:rPr>
                <w:rFonts w:eastAsia="Times New Roman"/>
                <w:lang w:eastAsia="en-AU"/>
              </w:rPr>
              <w:t xml:space="preserve"> for full details)</w:t>
            </w:r>
          </w:p>
        </w:tc>
        <w:tc>
          <w:tcPr>
            <w:tcW w:w="1780" w:type="pct"/>
          </w:tcPr>
          <w:p w14:paraId="67B5DFDE" w14:textId="77777777" w:rsidR="008F655A" w:rsidRPr="007D162C" w:rsidRDefault="08D050C4" w:rsidP="008F655A">
            <w:r w:rsidRPr="007D162C">
              <w:t>Prospective</w:t>
            </w:r>
          </w:p>
        </w:tc>
      </w:tr>
      <w:tr w:rsidR="008F655A" w:rsidRPr="007D162C" w14:paraId="04B5E102" w14:textId="77777777" w:rsidTr="08D050C4">
        <w:tc>
          <w:tcPr>
            <w:tcW w:w="5000" w:type="pct"/>
            <w:gridSpan w:val="3"/>
            <w:shd w:val="clear" w:color="auto" w:fill="E7E6E6" w:themeFill="background2"/>
          </w:tcPr>
          <w:p w14:paraId="6861A2F8" w14:textId="77777777" w:rsidR="008F655A" w:rsidRPr="007D162C" w:rsidRDefault="08D050C4" w:rsidP="08D050C4">
            <w:pPr>
              <w:rPr>
                <w:color w:val="auto"/>
              </w:rPr>
            </w:pPr>
            <w:r w:rsidRPr="007D162C">
              <w:rPr>
                <w:b/>
                <w:bCs/>
              </w:rPr>
              <w:t>Part 3: Accessibility at stations, stops, wharves and access routes</w:t>
            </w:r>
          </w:p>
        </w:tc>
      </w:tr>
      <w:tr w:rsidR="008F655A" w:rsidRPr="007D162C" w14:paraId="523C25F2"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085C631" w14:textId="77777777" w:rsidR="008F655A" w:rsidRPr="007D162C" w:rsidRDefault="08D050C4" w:rsidP="006F65FB">
            <w:pPr>
              <w:pStyle w:val="ListParagraph"/>
              <w:numPr>
                <w:ilvl w:val="0"/>
                <w:numId w:val="41"/>
              </w:numPr>
            </w:pPr>
            <w:r w:rsidRPr="007D162C">
              <w:lastRenderedPageBreak/>
              <w:t>Doors on access paths</w:t>
            </w:r>
          </w:p>
        </w:tc>
        <w:tc>
          <w:tcPr>
            <w:tcW w:w="1414" w:type="pct"/>
          </w:tcPr>
          <w:p w14:paraId="3711360B" w14:textId="5A1A44C8" w:rsidR="008F655A" w:rsidRPr="007D162C" w:rsidRDefault="08D050C4" w:rsidP="08D050C4">
            <w:pPr>
              <w:rPr>
                <w:color w:val="000000" w:themeColor="text1"/>
              </w:rPr>
            </w:pPr>
            <w:r w:rsidRPr="007D162C">
              <w:rPr>
                <w:rFonts w:eastAsia="Times New Roman"/>
                <w:color w:val="000000" w:themeColor="text1"/>
                <w:lang w:eastAsia="en-AU"/>
              </w:rPr>
              <w:t>Regulatory with revisions, option 2</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B80BC0">
              <w:rPr>
                <w:rFonts w:eastAsia="Times New Roman"/>
                <w:lang w:eastAsia="en-AU"/>
              </w:rPr>
              <w:t>1</w:t>
            </w:r>
            <w:r w:rsidR="005B7A0F">
              <w:rPr>
                <w:rFonts w:eastAsia="Times New Roman"/>
                <w:lang w:eastAsia="en-AU"/>
              </w:rPr>
              <w:t>7</w:t>
            </w:r>
            <w:r w:rsidR="00B80BC0">
              <w:rPr>
                <w:rFonts w:eastAsia="Times New Roman"/>
                <w:lang w:eastAsia="en-AU"/>
              </w:rPr>
              <w:t xml:space="preserve"> </w:t>
            </w:r>
            <w:r w:rsidR="00A24DF7" w:rsidRPr="007D162C">
              <w:rPr>
                <w:rFonts w:eastAsia="Times New Roman"/>
                <w:lang w:eastAsia="en-AU"/>
              </w:rPr>
              <w:t>for full details)</w:t>
            </w:r>
          </w:p>
        </w:tc>
        <w:tc>
          <w:tcPr>
            <w:tcW w:w="1780" w:type="pct"/>
          </w:tcPr>
          <w:p w14:paraId="2A532195"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7A4CD71" w14:textId="77777777" w:rsidTr="08D050C4">
        <w:tc>
          <w:tcPr>
            <w:tcW w:w="1806" w:type="pct"/>
            <w:hideMark/>
          </w:tcPr>
          <w:p w14:paraId="6888A66E" w14:textId="77777777" w:rsidR="008F655A" w:rsidRPr="007D162C" w:rsidRDefault="08D050C4" w:rsidP="006F65FB">
            <w:pPr>
              <w:pStyle w:val="ListParagraph"/>
              <w:numPr>
                <w:ilvl w:val="0"/>
                <w:numId w:val="41"/>
              </w:numPr>
            </w:pPr>
            <w:r w:rsidRPr="007D162C">
              <w:t>Continuous accessibility on access paths</w:t>
            </w:r>
          </w:p>
        </w:tc>
        <w:tc>
          <w:tcPr>
            <w:tcW w:w="1414" w:type="pct"/>
          </w:tcPr>
          <w:p w14:paraId="5D65AAEB" w14:textId="77777777" w:rsidR="008F655A" w:rsidRPr="007D162C" w:rsidRDefault="08D050C4" w:rsidP="08D050C4">
            <w:r w:rsidRPr="007D162C">
              <w:rPr>
                <w:rFonts w:eastAsia="Times New Roman"/>
                <w:lang w:eastAsia="en-AU"/>
              </w:rPr>
              <w:t>Regulatory with additional guidance</w:t>
            </w:r>
          </w:p>
        </w:tc>
        <w:tc>
          <w:tcPr>
            <w:tcW w:w="1780" w:type="pct"/>
          </w:tcPr>
          <w:p w14:paraId="205AD4DC" w14:textId="77777777" w:rsidR="008F655A" w:rsidRPr="007D162C" w:rsidRDefault="08D050C4" w:rsidP="08D050C4">
            <w:r w:rsidRPr="007D162C">
              <w:t>On commencement</w:t>
            </w:r>
          </w:p>
        </w:tc>
      </w:tr>
      <w:tr w:rsidR="008F655A" w:rsidRPr="007D162C" w14:paraId="020AE5F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86A59DD" w14:textId="77777777" w:rsidR="008F655A" w:rsidRPr="007D162C" w:rsidRDefault="08D050C4" w:rsidP="006F65FB">
            <w:pPr>
              <w:pStyle w:val="ListParagraph"/>
              <w:numPr>
                <w:ilvl w:val="0"/>
                <w:numId w:val="41"/>
              </w:numPr>
            </w:pPr>
            <w:r w:rsidRPr="007D162C">
              <w:t>Flange Gaps</w:t>
            </w:r>
          </w:p>
        </w:tc>
        <w:tc>
          <w:tcPr>
            <w:tcW w:w="1414" w:type="pct"/>
          </w:tcPr>
          <w:p w14:paraId="5306701D" w14:textId="60A5B971" w:rsidR="008F655A" w:rsidRPr="007D162C" w:rsidRDefault="08D050C4" w:rsidP="08D050C4">
            <w:pPr>
              <w:rPr>
                <w:color w:val="000000" w:themeColor="text1"/>
              </w:rPr>
            </w:pPr>
            <w:r w:rsidRPr="007D162C">
              <w:rPr>
                <w:rFonts w:eastAsia="Times New Roman"/>
                <w:color w:val="000000" w:themeColor="text1"/>
                <w:lang w:eastAsia="en-AU"/>
              </w:rPr>
              <w:t>Non-regulatory</w:t>
            </w:r>
            <w:r w:rsidR="169A030C" w:rsidRPr="007D162C">
              <w:rPr>
                <w:rFonts w:eastAsia="Times New Roman"/>
                <w:color w:val="000000" w:themeColor="text1"/>
                <w:lang w:eastAsia="en-AU"/>
              </w:rPr>
              <w:t xml:space="preserve"> with revisions</w:t>
            </w:r>
          </w:p>
        </w:tc>
        <w:tc>
          <w:tcPr>
            <w:tcW w:w="1780" w:type="pct"/>
          </w:tcPr>
          <w:p w14:paraId="3907F9E7" w14:textId="77777777" w:rsidR="008F655A" w:rsidRPr="007D162C" w:rsidRDefault="08D050C4" w:rsidP="08D050C4">
            <w:pPr>
              <w:rPr>
                <w:color w:val="000000" w:themeColor="text1"/>
              </w:rPr>
            </w:pPr>
            <w:r w:rsidRPr="007D162C">
              <w:t>The Whole Journey Guide</w:t>
            </w:r>
          </w:p>
        </w:tc>
      </w:tr>
      <w:tr w:rsidR="008F655A" w:rsidRPr="007D162C" w14:paraId="020A70AC" w14:textId="77777777" w:rsidTr="08D050C4">
        <w:tc>
          <w:tcPr>
            <w:tcW w:w="1806" w:type="pct"/>
            <w:hideMark/>
          </w:tcPr>
          <w:p w14:paraId="77240BEA" w14:textId="77777777" w:rsidR="008F655A" w:rsidRPr="007D162C" w:rsidRDefault="08D050C4" w:rsidP="006F65FB">
            <w:pPr>
              <w:pStyle w:val="ListParagraph"/>
              <w:numPr>
                <w:ilvl w:val="0"/>
                <w:numId w:val="41"/>
              </w:numPr>
            </w:pPr>
            <w:r w:rsidRPr="007D162C">
              <w:t>Resting points</w:t>
            </w:r>
          </w:p>
        </w:tc>
        <w:tc>
          <w:tcPr>
            <w:tcW w:w="1414" w:type="pct"/>
          </w:tcPr>
          <w:p w14:paraId="3CEA0726" w14:textId="77777777" w:rsidR="008F655A" w:rsidRPr="007D162C" w:rsidRDefault="08D050C4" w:rsidP="08D050C4">
            <w:r w:rsidRPr="007D162C">
              <w:rPr>
                <w:rFonts w:eastAsia="Times New Roman"/>
                <w:lang w:eastAsia="en-AU"/>
              </w:rPr>
              <w:t>Regulatory with additional guidance</w:t>
            </w:r>
          </w:p>
        </w:tc>
        <w:tc>
          <w:tcPr>
            <w:tcW w:w="1780" w:type="pct"/>
          </w:tcPr>
          <w:p w14:paraId="79210003" w14:textId="77777777" w:rsidR="008F655A" w:rsidRPr="007D162C" w:rsidRDefault="08D050C4" w:rsidP="08D050C4">
            <w:r w:rsidRPr="007D162C">
              <w:t>Retrospective – 5 years</w:t>
            </w:r>
          </w:p>
        </w:tc>
      </w:tr>
      <w:tr w:rsidR="008F655A" w:rsidRPr="007D162C" w14:paraId="3194A25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65913A71" w14:textId="77777777" w:rsidR="008F655A" w:rsidRPr="007D162C" w:rsidRDefault="08D050C4" w:rsidP="006F65FB">
            <w:pPr>
              <w:pStyle w:val="ListParagraph"/>
              <w:numPr>
                <w:ilvl w:val="0"/>
                <w:numId w:val="41"/>
              </w:numPr>
            </w:pPr>
            <w:r w:rsidRPr="007D162C">
              <w:t>Requirement for handrails in over bridges and subways</w:t>
            </w:r>
          </w:p>
        </w:tc>
        <w:tc>
          <w:tcPr>
            <w:tcW w:w="1414" w:type="pct"/>
          </w:tcPr>
          <w:p w14:paraId="0F7BF798"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21D633F9"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2FE65FF2" w14:textId="77777777" w:rsidTr="08D050C4">
        <w:tc>
          <w:tcPr>
            <w:tcW w:w="1806" w:type="pct"/>
            <w:hideMark/>
          </w:tcPr>
          <w:p w14:paraId="2E239C26" w14:textId="77777777" w:rsidR="008F655A" w:rsidRPr="007D162C" w:rsidRDefault="08D050C4" w:rsidP="006F65FB">
            <w:pPr>
              <w:pStyle w:val="ListParagraph"/>
              <w:numPr>
                <w:ilvl w:val="0"/>
                <w:numId w:val="41"/>
              </w:numPr>
            </w:pPr>
            <w:r w:rsidRPr="007D162C">
              <w:t>Location of fare system elements</w:t>
            </w:r>
          </w:p>
        </w:tc>
        <w:tc>
          <w:tcPr>
            <w:tcW w:w="1414" w:type="pct"/>
          </w:tcPr>
          <w:p w14:paraId="272A236A" w14:textId="77777777" w:rsidR="008F655A" w:rsidRPr="007D162C" w:rsidRDefault="08D050C4" w:rsidP="08D050C4">
            <w:r w:rsidRPr="007D162C">
              <w:rPr>
                <w:rFonts w:eastAsia="Times New Roman"/>
                <w:lang w:eastAsia="en-AU"/>
              </w:rPr>
              <w:t>Regulatory   </w:t>
            </w:r>
          </w:p>
        </w:tc>
        <w:tc>
          <w:tcPr>
            <w:tcW w:w="1780" w:type="pct"/>
          </w:tcPr>
          <w:p w14:paraId="169D6989" w14:textId="77777777" w:rsidR="008F655A" w:rsidRPr="007D162C" w:rsidRDefault="08D050C4" w:rsidP="08D050C4">
            <w:r w:rsidRPr="007D162C">
              <w:t>Prospective</w:t>
            </w:r>
          </w:p>
        </w:tc>
      </w:tr>
      <w:tr w:rsidR="008F655A" w:rsidRPr="007D162C" w14:paraId="60FEDDA7"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3FBA314" w14:textId="77777777" w:rsidR="008F655A" w:rsidRPr="007D162C" w:rsidRDefault="08D050C4" w:rsidP="006F65FB">
            <w:pPr>
              <w:pStyle w:val="ListParagraph"/>
              <w:numPr>
                <w:ilvl w:val="0"/>
                <w:numId w:val="41"/>
              </w:numPr>
            </w:pPr>
            <w:r w:rsidRPr="007D162C">
              <w:t>Allocated Spaces and priority seating in waiting areas</w:t>
            </w:r>
          </w:p>
        </w:tc>
        <w:tc>
          <w:tcPr>
            <w:tcW w:w="1414" w:type="pct"/>
          </w:tcPr>
          <w:p w14:paraId="57ABF9C6" w14:textId="2E5A95DD" w:rsidR="008F655A" w:rsidRPr="007D162C" w:rsidRDefault="08D050C4" w:rsidP="08D050C4">
            <w:pPr>
              <w:rPr>
                <w:color w:val="000000" w:themeColor="text1"/>
              </w:rPr>
            </w:pPr>
            <w:r w:rsidRPr="007D162C">
              <w:rPr>
                <w:rFonts w:eastAsia="Times New Roman"/>
                <w:color w:val="000000" w:themeColor="text1"/>
                <w:lang w:eastAsia="en-AU"/>
              </w:rPr>
              <w:t>Regulatory</w:t>
            </w:r>
            <w:r w:rsidR="00AC2BA3" w:rsidRPr="007D162C">
              <w:rPr>
                <w:rFonts w:eastAsia="Times New Roman"/>
                <w:color w:val="000000" w:themeColor="text1"/>
                <w:lang w:eastAsia="en-AU"/>
              </w:rPr>
              <w:t xml:space="preserve"> with revisions</w:t>
            </w:r>
            <w:r w:rsidRPr="007D162C">
              <w:rPr>
                <w:rFonts w:eastAsia="Times New Roman"/>
                <w:color w:val="000000" w:themeColor="text1"/>
                <w:lang w:eastAsia="en-AU"/>
              </w:rPr>
              <w:t>   </w:t>
            </w:r>
          </w:p>
        </w:tc>
        <w:tc>
          <w:tcPr>
            <w:tcW w:w="1780" w:type="pct"/>
          </w:tcPr>
          <w:p w14:paraId="7B9A140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27E22D0F" w14:textId="77777777" w:rsidTr="08D050C4">
        <w:tc>
          <w:tcPr>
            <w:tcW w:w="1806" w:type="pct"/>
            <w:hideMark/>
          </w:tcPr>
          <w:p w14:paraId="2C8A47C8" w14:textId="77777777" w:rsidR="008F655A" w:rsidRPr="007D162C" w:rsidRDefault="08D050C4" w:rsidP="006F65FB">
            <w:pPr>
              <w:pStyle w:val="ListParagraph"/>
              <w:numPr>
                <w:ilvl w:val="0"/>
                <w:numId w:val="41"/>
              </w:numPr>
            </w:pPr>
            <w:r w:rsidRPr="007D162C">
              <w:t>Accessible toilets with equal proportion of left- and right-hand configurations</w:t>
            </w:r>
          </w:p>
        </w:tc>
        <w:tc>
          <w:tcPr>
            <w:tcW w:w="1414" w:type="pct"/>
          </w:tcPr>
          <w:p w14:paraId="4FF07DA6" w14:textId="154DA205" w:rsidR="008F655A" w:rsidRPr="007D162C" w:rsidRDefault="08D050C4" w:rsidP="08D050C4">
            <w:r w:rsidRPr="007D162C">
              <w:rPr>
                <w:rFonts w:eastAsia="Times New Roman"/>
                <w:lang w:eastAsia="en-AU"/>
              </w:rPr>
              <w:t>Regulatory</w:t>
            </w:r>
            <w:r w:rsidR="006B2F70" w:rsidRPr="007D162C">
              <w:rPr>
                <w:rFonts w:eastAsia="Times New Roman"/>
                <w:lang w:eastAsia="en-AU"/>
              </w:rPr>
              <w:t xml:space="preserve"> with revisions </w:t>
            </w:r>
          </w:p>
        </w:tc>
        <w:tc>
          <w:tcPr>
            <w:tcW w:w="1780" w:type="pct"/>
          </w:tcPr>
          <w:p w14:paraId="581139C5" w14:textId="77777777" w:rsidR="008F655A" w:rsidRPr="007D162C" w:rsidRDefault="08D050C4" w:rsidP="08D050C4">
            <w:r w:rsidRPr="007D162C">
              <w:t>Prospective</w:t>
            </w:r>
          </w:p>
        </w:tc>
      </w:tr>
      <w:tr w:rsidR="008F655A" w:rsidRPr="007D162C" w14:paraId="2BD1980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2AE760E8" w14:textId="77777777" w:rsidR="008F655A" w:rsidRPr="007D162C" w:rsidRDefault="08D050C4" w:rsidP="006F65FB">
            <w:pPr>
              <w:pStyle w:val="ListParagraph"/>
              <w:numPr>
                <w:ilvl w:val="0"/>
                <w:numId w:val="41"/>
              </w:numPr>
            </w:pPr>
            <w:r w:rsidRPr="007D162C">
              <w:t>Emergency call buttons in accessible toilets</w:t>
            </w:r>
          </w:p>
        </w:tc>
        <w:tc>
          <w:tcPr>
            <w:tcW w:w="1414" w:type="pct"/>
          </w:tcPr>
          <w:p w14:paraId="097D7090" w14:textId="77777777" w:rsidR="008F655A" w:rsidRPr="007D162C" w:rsidRDefault="08D050C4" w:rsidP="08D050C4">
            <w:pPr>
              <w:spacing w:after="0"/>
              <w:textAlignment w:val="baseline"/>
              <w:rPr>
                <w:color w:val="000000" w:themeColor="text1"/>
              </w:rPr>
            </w:pPr>
            <w:r w:rsidRPr="007D162C">
              <w:rPr>
                <w:rFonts w:eastAsia="Times New Roman"/>
                <w:color w:val="000000" w:themeColor="text1"/>
                <w:lang w:eastAsia="en-AU"/>
              </w:rPr>
              <w:t>Non-regulatory </w:t>
            </w:r>
          </w:p>
        </w:tc>
        <w:tc>
          <w:tcPr>
            <w:tcW w:w="1780" w:type="pct"/>
          </w:tcPr>
          <w:p w14:paraId="2C53F458" w14:textId="77777777" w:rsidR="008F655A" w:rsidRPr="007D162C" w:rsidRDefault="08D050C4" w:rsidP="08D050C4">
            <w:pPr>
              <w:rPr>
                <w:color w:val="000000" w:themeColor="text1"/>
              </w:rPr>
            </w:pPr>
            <w:r w:rsidRPr="007D162C">
              <w:t>The Whole Journey Guide</w:t>
            </w:r>
          </w:p>
        </w:tc>
      </w:tr>
      <w:tr w:rsidR="008F655A" w:rsidRPr="007D162C" w14:paraId="43FCAD51" w14:textId="77777777" w:rsidTr="08D050C4">
        <w:tc>
          <w:tcPr>
            <w:tcW w:w="1806" w:type="pct"/>
            <w:hideMark/>
          </w:tcPr>
          <w:p w14:paraId="22C13582" w14:textId="77777777" w:rsidR="008F655A" w:rsidRPr="007D162C" w:rsidRDefault="08D050C4" w:rsidP="006F65FB">
            <w:pPr>
              <w:pStyle w:val="ListParagraph"/>
              <w:numPr>
                <w:ilvl w:val="0"/>
                <w:numId w:val="41"/>
              </w:numPr>
            </w:pPr>
            <w:r w:rsidRPr="007D162C">
              <w:t>Ambulant toilets</w:t>
            </w:r>
          </w:p>
        </w:tc>
        <w:tc>
          <w:tcPr>
            <w:tcW w:w="1414" w:type="pct"/>
          </w:tcPr>
          <w:p w14:paraId="692E7937" w14:textId="77777777" w:rsidR="008F655A" w:rsidRPr="007D162C" w:rsidRDefault="08D050C4" w:rsidP="08D050C4">
            <w:pPr>
              <w:spacing w:after="0"/>
              <w:textAlignment w:val="baseline"/>
            </w:pPr>
            <w:r w:rsidRPr="007D162C">
              <w:rPr>
                <w:rFonts w:eastAsia="Times New Roman"/>
                <w:lang w:eastAsia="en-AU"/>
              </w:rPr>
              <w:t>Non-regulatory </w:t>
            </w:r>
          </w:p>
        </w:tc>
        <w:tc>
          <w:tcPr>
            <w:tcW w:w="1780" w:type="pct"/>
          </w:tcPr>
          <w:p w14:paraId="36ED2DA4" w14:textId="77777777" w:rsidR="008F655A" w:rsidRPr="007D162C" w:rsidRDefault="08D050C4" w:rsidP="08D050C4">
            <w:r w:rsidRPr="007D162C">
              <w:t>The Whole Journey Guide</w:t>
            </w:r>
          </w:p>
        </w:tc>
      </w:tr>
      <w:tr w:rsidR="008F655A" w:rsidRPr="007D162C" w14:paraId="33ED8471"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F91D3DE" w14:textId="77777777" w:rsidR="008F655A" w:rsidRPr="007D162C" w:rsidRDefault="08D050C4" w:rsidP="006F65FB">
            <w:pPr>
              <w:pStyle w:val="ListParagraph"/>
              <w:numPr>
                <w:ilvl w:val="0"/>
                <w:numId w:val="41"/>
              </w:numPr>
            </w:pPr>
            <w:r w:rsidRPr="007D162C">
              <w:t>Lift specifications and enhancements</w:t>
            </w:r>
          </w:p>
        </w:tc>
        <w:tc>
          <w:tcPr>
            <w:tcW w:w="1414" w:type="pct"/>
          </w:tcPr>
          <w:p w14:paraId="2879C484" w14:textId="77777777" w:rsidR="008F655A" w:rsidRPr="007D162C" w:rsidRDefault="08D050C4" w:rsidP="08D050C4">
            <w:pPr>
              <w:rPr>
                <w:color w:val="000000" w:themeColor="text1"/>
              </w:rPr>
            </w:pPr>
            <w:r w:rsidRPr="007D162C">
              <w:rPr>
                <w:rFonts w:eastAsia="Times New Roman"/>
                <w:color w:val="000000" w:themeColor="text1"/>
                <w:lang w:eastAsia="en-AU"/>
              </w:rPr>
              <w:t>Regulatory  </w:t>
            </w:r>
          </w:p>
        </w:tc>
        <w:tc>
          <w:tcPr>
            <w:tcW w:w="1780" w:type="pct"/>
          </w:tcPr>
          <w:p w14:paraId="6274BFC3"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06101F86" w14:textId="77777777" w:rsidTr="08D050C4">
        <w:tc>
          <w:tcPr>
            <w:tcW w:w="1806" w:type="pct"/>
            <w:hideMark/>
          </w:tcPr>
          <w:p w14:paraId="39FEAC68" w14:textId="77777777" w:rsidR="008F655A" w:rsidRPr="007D162C" w:rsidRDefault="08D050C4" w:rsidP="006F65FB">
            <w:pPr>
              <w:pStyle w:val="ListParagraph"/>
              <w:numPr>
                <w:ilvl w:val="0"/>
                <w:numId w:val="41"/>
              </w:numPr>
            </w:pPr>
            <w:r w:rsidRPr="007D162C">
              <w:t>Specifications for escalators and inclined travellators</w:t>
            </w:r>
          </w:p>
        </w:tc>
        <w:tc>
          <w:tcPr>
            <w:tcW w:w="1414" w:type="pct"/>
          </w:tcPr>
          <w:p w14:paraId="7A28E4F3" w14:textId="77777777" w:rsidR="008F655A" w:rsidRPr="007D162C" w:rsidRDefault="08D050C4" w:rsidP="08D050C4">
            <w:r w:rsidRPr="007D162C">
              <w:rPr>
                <w:rFonts w:eastAsia="Times New Roman"/>
                <w:lang w:eastAsia="en-AU"/>
              </w:rPr>
              <w:t>Regulatory  </w:t>
            </w:r>
          </w:p>
        </w:tc>
        <w:tc>
          <w:tcPr>
            <w:tcW w:w="1780" w:type="pct"/>
          </w:tcPr>
          <w:p w14:paraId="0DE42FF2" w14:textId="77777777" w:rsidR="008F655A" w:rsidRPr="007D162C" w:rsidRDefault="08D050C4" w:rsidP="08D050C4">
            <w:r w:rsidRPr="007D162C">
              <w:t>Prospective</w:t>
            </w:r>
          </w:p>
        </w:tc>
      </w:tr>
      <w:tr w:rsidR="008F655A" w:rsidRPr="007D162C" w14:paraId="3348446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3960B88" w14:textId="77777777" w:rsidR="008F655A" w:rsidRPr="007D162C" w:rsidRDefault="08D050C4" w:rsidP="006F65FB">
            <w:pPr>
              <w:pStyle w:val="ListParagraph"/>
              <w:numPr>
                <w:ilvl w:val="0"/>
                <w:numId w:val="41"/>
              </w:numPr>
            </w:pPr>
            <w:r w:rsidRPr="007D162C">
              <w:t>Poles, objects and luminance contrast</w:t>
            </w:r>
          </w:p>
        </w:tc>
        <w:tc>
          <w:tcPr>
            <w:tcW w:w="1414" w:type="pct"/>
          </w:tcPr>
          <w:p w14:paraId="1E452E8F" w14:textId="6AF69EEE" w:rsidR="008F655A" w:rsidRPr="007D162C" w:rsidRDefault="08D050C4" w:rsidP="08D050C4">
            <w:pPr>
              <w:rPr>
                <w:color w:val="000000" w:themeColor="text1"/>
              </w:rPr>
            </w:pPr>
            <w:r w:rsidRPr="007D162C">
              <w:rPr>
                <w:rFonts w:eastAsia="Times New Roman"/>
                <w:color w:val="000000" w:themeColor="text1"/>
                <w:lang w:eastAsia="en-AU"/>
              </w:rPr>
              <w:t>Regulatory, option 1, sub-option 1</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B80BC0">
              <w:rPr>
                <w:rFonts w:eastAsia="Times New Roman"/>
                <w:lang w:eastAsia="en-AU"/>
              </w:rPr>
              <w:t>3</w:t>
            </w:r>
            <w:r w:rsidR="005B7A0F">
              <w:rPr>
                <w:rFonts w:eastAsia="Times New Roman"/>
                <w:lang w:eastAsia="en-AU"/>
              </w:rPr>
              <w:t>8</w:t>
            </w:r>
            <w:r w:rsidR="00A24DF7" w:rsidRPr="007D162C">
              <w:rPr>
                <w:rFonts w:eastAsia="Times New Roman"/>
                <w:lang w:eastAsia="en-AU"/>
              </w:rPr>
              <w:t xml:space="preserve"> for full details)</w:t>
            </w:r>
          </w:p>
        </w:tc>
        <w:tc>
          <w:tcPr>
            <w:tcW w:w="1780" w:type="pct"/>
          </w:tcPr>
          <w:p w14:paraId="5F17E8BB" w14:textId="44818816" w:rsidR="008F655A" w:rsidRPr="007D162C" w:rsidRDefault="00AB61B9" w:rsidP="08D050C4">
            <w:pPr>
              <w:rPr>
                <w:color w:val="000000" w:themeColor="text1"/>
              </w:rPr>
            </w:pPr>
            <w:r w:rsidRPr="007D162C">
              <w:rPr>
                <w:color w:val="000000" w:themeColor="text1"/>
              </w:rPr>
              <w:t>Prospective</w:t>
            </w:r>
          </w:p>
        </w:tc>
      </w:tr>
      <w:tr w:rsidR="008F655A" w:rsidRPr="007D162C" w14:paraId="5601B03F" w14:textId="77777777" w:rsidTr="08D050C4">
        <w:tc>
          <w:tcPr>
            <w:tcW w:w="1806" w:type="pct"/>
            <w:hideMark/>
          </w:tcPr>
          <w:p w14:paraId="7674B732" w14:textId="77777777" w:rsidR="008F655A" w:rsidRPr="007D162C" w:rsidRDefault="08D050C4" w:rsidP="006F65FB">
            <w:pPr>
              <w:pStyle w:val="ListParagraph"/>
              <w:numPr>
                <w:ilvl w:val="0"/>
                <w:numId w:val="41"/>
              </w:numPr>
            </w:pPr>
            <w:r w:rsidRPr="007D162C">
              <w:t>Lighting</w:t>
            </w:r>
          </w:p>
        </w:tc>
        <w:tc>
          <w:tcPr>
            <w:tcW w:w="1414" w:type="pct"/>
          </w:tcPr>
          <w:p w14:paraId="76A4F791" w14:textId="5E7513B8" w:rsidR="008F655A" w:rsidRPr="007D162C" w:rsidRDefault="08D050C4" w:rsidP="08D050C4">
            <w:r w:rsidRPr="007D162C">
              <w:rPr>
                <w:rFonts w:eastAsia="Times New Roman"/>
                <w:lang w:eastAsia="en-AU"/>
              </w:rPr>
              <w:t>Regulatory, option 1</w:t>
            </w:r>
            <w:r w:rsidR="00A24DF7" w:rsidRPr="007D162C">
              <w:rPr>
                <w:rFonts w:eastAsia="Times New Roman"/>
                <w:lang w:eastAsia="en-AU"/>
              </w:rPr>
              <w:br/>
              <w:t>(see Appendix A, page 4</w:t>
            </w:r>
            <w:r w:rsidR="000319C8">
              <w:rPr>
                <w:rFonts w:eastAsia="Times New Roman"/>
                <w:lang w:eastAsia="en-AU"/>
              </w:rPr>
              <w:t>4</w:t>
            </w:r>
            <w:r w:rsidR="005B7A0F">
              <w:rPr>
                <w:rFonts w:eastAsia="Times New Roman"/>
                <w:lang w:eastAsia="en-AU"/>
              </w:rPr>
              <w:t>1</w:t>
            </w:r>
            <w:r w:rsidR="00A24DF7" w:rsidRPr="007D162C">
              <w:rPr>
                <w:rFonts w:eastAsia="Times New Roman"/>
                <w:lang w:eastAsia="en-AU"/>
              </w:rPr>
              <w:t xml:space="preserve"> for full details)</w:t>
            </w:r>
          </w:p>
        </w:tc>
        <w:tc>
          <w:tcPr>
            <w:tcW w:w="1780" w:type="pct"/>
          </w:tcPr>
          <w:p w14:paraId="31BA6000" w14:textId="77777777" w:rsidR="008F655A" w:rsidRPr="007D162C" w:rsidRDefault="08D050C4" w:rsidP="08D050C4">
            <w:r w:rsidRPr="007D162C">
              <w:t>On commencement</w:t>
            </w:r>
          </w:p>
        </w:tc>
      </w:tr>
      <w:tr w:rsidR="008F655A" w:rsidRPr="007D162C" w14:paraId="5A973FAD"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19D34F55" w14:textId="77777777" w:rsidR="008F655A" w:rsidRPr="007D162C" w:rsidRDefault="08D050C4" w:rsidP="08D050C4">
            <w:pPr>
              <w:rPr>
                <w:color w:val="000000" w:themeColor="text1"/>
              </w:rPr>
            </w:pPr>
            <w:r w:rsidRPr="007D162C">
              <w:rPr>
                <w:b/>
                <w:bCs/>
              </w:rPr>
              <w:t>Part 4: Accessibility of boarding and alighting and egress of infrastructure</w:t>
            </w:r>
          </w:p>
        </w:tc>
      </w:tr>
      <w:tr w:rsidR="008F655A" w:rsidRPr="007D162C" w14:paraId="4F52AA57" w14:textId="77777777" w:rsidTr="08D050C4">
        <w:tc>
          <w:tcPr>
            <w:tcW w:w="1806" w:type="pct"/>
            <w:hideMark/>
          </w:tcPr>
          <w:p w14:paraId="7772BAD8" w14:textId="77777777" w:rsidR="008F655A" w:rsidRPr="007D162C" w:rsidRDefault="08D050C4" w:rsidP="006F65FB">
            <w:pPr>
              <w:pStyle w:val="ListParagraph"/>
              <w:numPr>
                <w:ilvl w:val="0"/>
                <w:numId w:val="41"/>
              </w:numPr>
            </w:pPr>
            <w:r w:rsidRPr="007D162C">
              <w:t>Signals and process for requesting boarding devices</w:t>
            </w:r>
          </w:p>
        </w:tc>
        <w:tc>
          <w:tcPr>
            <w:tcW w:w="1414" w:type="pct"/>
          </w:tcPr>
          <w:p w14:paraId="0776D8FF" w14:textId="6E600E8D" w:rsidR="008F655A" w:rsidRPr="007D162C" w:rsidRDefault="08D050C4" w:rsidP="08D050C4">
            <w:r w:rsidRPr="007D162C">
              <w:rPr>
                <w:rFonts w:eastAsia="Times New Roman"/>
                <w:lang w:eastAsia="en-AU"/>
              </w:rPr>
              <w:t>Regulatory with additional guidance, sub-option 2</w:t>
            </w:r>
            <w:r w:rsidR="00A24DF7" w:rsidRPr="007D162C">
              <w:rPr>
                <w:rFonts w:eastAsia="Times New Roman"/>
                <w:lang w:eastAsia="en-AU"/>
              </w:rPr>
              <w:br/>
              <w:t>(see Appendix A, page 4</w:t>
            </w:r>
            <w:r w:rsidR="000319C8">
              <w:rPr>
                <w:rFonts w:eastAsia="Times New Roman"/>
                <w:lang w:eastAsia="en-AU"/>
              </w:rPr>
              <w:t>5</w:t>
            </w:r>
            <w:r w:rsidR="005B7A0F">
              <w:rPr>
                <w:rFonts w:eastAsia="Times New Roman"/>
                <w:lang w:eastAsia="en-AU"/>
              </w:rPr>
              <w:t>2</w:t>
            </w:r>
            <w:r w:rsidR="00A24DF7" w:rsidRPr="007D162C">
              <w:rPr>
                <w:rFonts w:eastAsia="Times New Roman"/>
                <w:lang w:eastAsia="en-AU"/>
              </w:rPr>
              <w:t xml:space="preserve"> for full details)</w:t>
            </w:r>
          </w:p>
        </w:tc>
        <w:tc>
          <w:tcPr>
            <w:tcW w:w="1780" w:type="pct"/>
          </w:tcPr>
          <w:p w14:paraId="756F7118" w14:textId="77777777" w:rsidR="008F655A" w:rsidRPr="007D162C" w:rsidRDefault="08D050C4" w:rsidP="08D050C4">
            <w:r w:rsidRPr="007D162C">
              <w:t>Prospective</w:t>
            </w:r>
          </w:p>
        </w:tc>
      </w:tr>
      <w:tr w:rsidR="008F655A" w:rsidRPr="007D162C" w14:paraId="04B9FBA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15DB8ED" w14:textId="77777777" w:rsidR="008F655A" w:rsidRPr="007D162C" w:rsidRDefault="08D050C4" w:rsidP="006F65FB">
            <w:pPr>
              <w:pStyle w:val="ListParagraph"/>
              <w:numPr>
                <w:ilvl w:val="0"/>
                <w:numId w:val="41"/>
              </w:numPr>
            </w:pPr>
            <w:r w:rsidRPr="007D162C">
              <w:t>Notification by passenger of need for boarding device</w:t>
            </w:r>
          </w:p>
        </w:tc>
        <w:tc>
          <w:tcPr>
            <w:tcW w:w="1414" w:type="pct"/>
          </w:tcPr>
          <w:p w14:paraId="738C3675" w14:textId="686C6B8D" w:rsidR="008F655A" w:rsidRPr="007D162C" w:rsidRDefault="08D050C4" w:rsidP="08D050C4">
            <w:pPr>
              <w:rPr>
                <w:color w:val="000000" w:themeColor="text1"/>
              </w:rPr>
            </w:pPr>
            <w:r w:rsidRPr="007D162C">
              <w:rPr>
                <w:rFonts w:eastAsia="Times New Roman"/>
                <w:color w:val="000000" w:themeColor="text1"/>
                <w:lang w:eastAsia="en-AU"/>
              </w:rPr>
              <w:t>Non-regulatory, sub-option 1 </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0319C8">
              <w:rPr>
                <w:rFonts w:eastAsia="Times New Roman"/>
                <w:lang w:eastAsia="en-AU"/>
              </w:rPr>
              <w:t>5</w:t>
            </w:r>
            <w:r w:rsidR="005B7A0F">
              <w:rPr>
                <w:rFonts w:eastAsia="Times New Roman"/>
                <w:lang w:eastAsia="en-AU"/>
              </w:rPr>
              <w:t>4</w:t>
            </w:r>
            <w:r w:rsidR="00A24DF7" w:rsidRPr="007D162C">
              <w:rPr>
                <w:rFonts w:eastAsia="Times New Roman"/>
                <w:lang w:eastAsia="en-AU"/>
              </w:rPr>
              <w:t xml:space="preserve"> for full details)</w:t>
            </w:r>
          </w:p>
        </w:tc>
        <w:tc>
          <w:tcPr>
            <w:tcW w:w="1780" w:type="pct"/>
          </w:tcPr>
          <w:p w14:paraId="651228F4" w14:textId="77777777" w:rsidR="008F655A" w:rsidRPr="007D162C" w:rsidRDefault="08D050C4" w:rsidP="08D050C4">
            <w:pPr>
              <w:rPr>
                <w:color w:val="000000" w:themeColor="text1"/>
              </w:rPr>
            </w:pPr>
            <w:r w:rsidRPr="007D162C">
              <w:rPr>
                <w:color w:val="000000" w:themeColor="text1"/>
              </w:rPr>
              <w:t>Transport Standards Guidelines</w:t>
            </w:r>
          </w:p>
        </w:tc>
      </w:tr>
      <w:tr w:rsidR="008F655A" w:rsidRPr="007D162C" w14:paraId="0A3C4502" w14:textId="77777777" w:rsidTr="08D050C4">
        <w:tc>
          <w:tcPr>
            <w:tcW w:w="1806" w:type="pct"/>
            <w:hideMark/>
          </w:tcPr>
          <w:p w14:paraId="6DF6DA93" w14:textId="77777777" w:rsidR="008F655A" w:rsidRPr="007D162C" w:rsidRDefault="08D050C4" w:rsidP="006F65FB">
            <w:pPr>
              <w:pStyle w:val="ListParagraph"/>
              <w:numPr>
                <w:ilvl w:val="0"/>
                <w:numId w:val="41"/>
              </w:numPr>
            </w:pPr>
            <w:r w:rsidRPr="007D162C">
              <w:t>Portable boarding ramp edge barriers</w:t>
            </w:r>
          </w:p>
        </w:tc>
        <w:tc>
          <w:tcPr>
            <w:tcW w:w="1414" w:type="pct"/>
          </w:tcPr>
          <w:p w14:paraId="322C351C" w14:textId="5DA61935" w:rsidR="008F655A" w:rsidRPr="007D162C" w:rsidRDefault="08D050C4" w:rsidP="08D050C4">
            <w:r w:rsidRPr="007D162C">
              <w:rPr>
                <w:rFonts w:eastAsia="Times New Roman"/>
                <w:lang w:eastAsia="en-AU"/>
              </w:rPr>
              <w:t>Regulatory, option 2</w:t>
            </w:r>
            <w:r w:rsidR="00A24DF7" w:rsidRPr="007D162C">
              <w:rPr>
                <w:rFonts w:eastAsia="Times New Roman"/>
                <w:lang w:eastAsia="en-AU"/>
              </w:rPr>
              <w:br/>
              <w:t>(see Appendix A, page 4</w:t>
            </w:r>
            <w:r w:rsidR="000319C8">
              <w:rPr>
                <w:rFonts w:eastAsia="Times New Roman"/>
                <w:lang w:eastAsia="en-AU"/>
              </w:rPr>
              <w:t>5</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64FE48D0" w14:textId="77777777" w:rsidR="008F655A" w:rsidRPr="007D162C" w:rsidRDefault="08D050C4" w:rsidP="08D050C4">
            <w:r w:rsidRPr="007D162C">
              <w:t>Prospective</w:t>
            </w:r>
          </w:p>
        </w:tc>
      </w:tr>
      <w:tr w:rsidR="008F655A" w:rsidRPr="007D162C" w14:paraId="6202D20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530115A" w14:textId="77777777" w:rsidR="008F655A" w:rsidRPr="007D162C" w:rsidRDefault="08D050C4" w:rsidP="006F65FB">
            <w:pPr>
              <w:pStyle w:val="ListParagraph"/>
              <w:numPr>
                <w:ilvl w:val="0"/>
                <w:numId w:val="41"/>
              </w:numPr>
            </w:pPr>
            <w:r w:rsidRPr="007D162C">
              <w:t>Boarding ramp and removable gangway definitions</w:t>
            </w:r>
          </w:p>
        </w:tc>
        <w:tc>
          <w:tcPr>
            <w:tcW w:w="1414" w:type="pct"/>
          </w:tcPr>
          <w:p w14:paraId="6016894D" w14:textId="77777777" w:rsidR="008F655A" w:rsidRPr="007D162C" w:rsidRDefault="08D050C4" w:rsidP="08D050C4">
            <w:pPr>
              <w:rPr>
                <w:color w:val="000000" w:themeColor="text1"/>
              </w:rPr>
            </w:pPr>
            <w:r w:rsidRPr="007D162C">
              <w:rPr>
                <w:rFonts w:eastAsia="Times New Roman"/>
                <w:color w:val="000000" w:themeColor="text1"/>
                <w:lang w:eastAsia="en-AU"/>
              </w:rPr>
              <w:t>Regulatory</w:t>
            </w:r>
          </w:p>
        </w:tc>
        <w:tc>
          <w:tcPr>
            <w:tcW w:w="1780" w:type="pct"/>
          </w:tcPr>
          <w:p w14:paraId="5B9E467B" w14:textId="77777777" w:rsidR="008F655A" w:rsidRPr="007D162C" w:rsidRDefault="08D050C4" w:rsidP="08D050C4">
            <w:pPr>
              <w:rPr>
                <w:color w:val="000000" w:themeColor="text1"/>
              </w:rPr>
            </w:pPr>
            <w:r w:rsidRPr="007D162C">
              <w:rPr>
                <w:color w:val="000000" w:themeColor="text1"/>
              </w:rPr>
              <w:t>On commencement</w:t>
            </w:r>
          </w:p>
        </w:tc>
      </w:tr>
      <w:tr w:rsidR="00404E01" w:rsidRPr="007D162C" w14:paraId="604FFC84" w14:textId="77777777" w:rsidTr="08D050C4">
        <w:tc>
          <w:tcPr>
            <w:tcW w:w="1806" w:type="pct"/>
            <w:hideMark/>
          </w:tcPr>
          <w:p w14:paraId="213FF4E4" w14:textId="77777777" w:rsidR="00404E01" w:rsidRPr="007D162C" w:rsidRDefault="08D050C4" w:rsidP="006F65FB">
            <w:pPr>
              <w:pStyle w:val="ListParagraph"/>
              <w:numPr>
                <w:ilvl w:val="0"/>
                <w:numId w:val="41"/>
              </w:numPr>
            </w:pPr>
            <w:r w:rsidRPr="007D162C">
              <w:lastRenderedPageBreak/>
              <w:t>Removable gangway design - ferries</w:t>
            </w:r>
          </w:p>
        </w:tc>
        <w:tc>
          <w:tcPr>
            <w:tcW w:w="1414" w:type="pct"/>
          </w:tcPr>
          <w:p w14:paraId="2DA297F6" w14:textId="0050398C" w:rsidR="00404E01" w:rsidRPr="007D162C" w:rsidRDefault="08D050C4" w:rsidP="08D050C4">
            <w:r w:rsidRPr="007D162C">
              <w:rPr>
                <w:rFonts w:eastAsia="Times New Roman"/>
                <w:lang w:eastAsia="en-AU"/>
              </w:rPr>
              <w:t>Regulatory in-principle</w:t>
            </w:r>
          </w:p>
        </w:tc>
        <w:tc>
          <w:tcPr>
            <w:tcW w:w="1780" w:type="pct"/>
          </w:tcPr>
          <w:p w14:paraId="51AC76A2" w14:textId="781E9630" w:rsidR="00404E01" w:rsidRPr="007D162C" w:rsidRDefault="08D050C4" w:rsidP="08D050C4">
            <w:r w:rsidRPr="007D162C">
              <w:t>Other (refer to chapter)</w:t>
            </w:r>
          </w:p>
        </w:tc>
      </w:tr>
      <w:tr w:rsidR="008F655A" w:rsidRPr="007D162C" w14:paraId="77840E80"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779741B8" w14:textId="77777777" w:rsidR="008F655A" w:rsidRPr="007D162C" w:rsidRDefault="08D050C4" w:rsidP="006F65FB">
            <w:pPr>
              <w:pStyle w:val="ListParagraph"/>
              <w:numPr>
                <w:ilvl w:val="0"/>
                <w:numId w:val="41"/>
              </w:numPr>
            </w:pPr>
            <w:r w:rsidRPr="007D162C">
              <w:t>Nominated assistance boarding points</w:t>
            </w:r>
          </w:p>
        </w:tc>
        <w:tc>
          <w:tcPr>
            <w:tcW w:w="1414" w:type="pct"/>
          </w:tcPr>
          <w:p w14:paraId="6BC478C1" w14:textId="77777777" w:rsidR="008F655A" w:rsidRPr="007D162C" w:rsidRDefault="08D050C4" w:rsidP="08D050C4">
            <w:pPr>
              <w:rPr>
                <w:rFonts w:eastAsia="Times New Roman"/>
                <w:lang w:eastAsia="en-AU"/>
              </w:rPr>
            </w:pPr>
            <w:r w:rsidRPr="007D162C">
              <w:rPr>
                <w:rFonts w:eastAsia="Times New Roman"/>
                <w:color w:val="000000" w:themeColor="text1"/>
                <w:lang w:eastAsia="en-AU"/>
              </w:rPr>
              <w:t>Regulatory with revisions, option 1, sub-option 5</w:t>
            </w:r>
          </w:p>
          <w:p w14:paraId="00C13405" w14:textId="6AD98C7C" w:rsidR="008F655A" w:rsidRPr="007D162C" w:rsidRDefault="00A24DF7" w:rsidP="08D050C4">
            <w:pPr>
              <w:rPr>
                <w:color w:val="000000" w:themeColor="text1"/>
              </w:rPr>
            </w:pPr>
            <w:r w:rsidRPr="007D162C">
              <w:rPr>
                <w:rFonts w:eastAsia="Times New Roman"/>
                <w:lang w:eastAsia="en-AU"/>
              </w:rPr>
              <w:t>(see Appendix A, page 4</w:t>
            </w:r>
            <w:r w:rsidR="00C21314">
              <w:rPr>
                <w:rFonts w:eastAsia="Times New Roman"/>
                <w:lang w:eastAsia="en-AU"/>
              </w:rPr>
              <w:t>6</w:t>
            </w:r>
            <w:r w:rsidR="005B7A0F">
              <w:rPr>
                <w:rFonts w:eastAsia="Times New Roman"/>
                <w:lang w:eastAsia="en-AU"/>
              </w:rPr>
              <w:t>1</w:t>
            </w:r>
            <w:r w:rsidRPr="007D162C">
              <w:rPr>
                <w:rFonts w:eastAsia="Times New Roman"/>
                <w:lang w:eastAsia="en-AU"/>
              </w:rPr>
              <w:t xml:space="preserve"> for full details)</w:t>
            </w:r>
          </w:p>
        </w:tc>
        <w:tc>
          <w:tcPr>
            <w:tcW w:w="1780" w:type="pct"/>
          </w:tcPr>
          <w:p w14:paraId="0EF5672E"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16EDF791" w14:textId="77777777" w:rsidTr="08D050C4">
        <w:tc>
          <w:tcPr>
            <w:tcW w:w="1806" w:type="pct"/>
            <w:hideMark/>
          </w:tcPr>
          <w:p w14:paraId="202D3216" w14:textId="33B7D43F" w:rsidR="008F655A" w:rsidRPr="007D162C" w:rsidRDefault="08D050C4" w:rsidP="006F65FB">
            <w:pPr>
              <w:pStyle w:val="ListParagraph"/>
              <w:numPr>
                <w:ilvl w:val="0"/>
                <w:numId w:val="41"/>
              </w:numPr>
            </w:pPr>
            <w:r w:rsidRPr="007D162C">
              <w:t>Identification of lead stops</w:t>
            </w:r>
          </w:p>
        </w:tc>
        <w:tc>
          <w:tcPr>
            <w:tcW w:w="1414" w:type="pct"/>
          </w:tcPr>
          <w:p w14:paraId="00E72F51" w14:textId="77777777" w:rsidR="008F655A" w:rsidRPr="007D162C" w:rsidRDefault="08D050C4" w:rsidP="08D050C4">
            <w:r w:rsidRPr="007D162C">
              <w:rPr>
                <w:rFonts w:eastAsia="Times New Roman"/>
                <w:lang w:eastAsia="en-AU"/>
              </w:rPr>
              <w:t>Regulatory with additional guidance</w:t>
            </w:r>
          </w:p>
        </w:tc>
        <w:tc>
          <w:tcPr>
            <w:tcW w:w="1780" w:type="pct"/>
          </w:tcPr>
          <w:p w14:paraId="400EE82E" w14:textId="77777777" w:rsidR="008F655A" w:rsidRPr="007D162C" w:rsidRDefault="08D050C4" w:rsidP="08D050C4">
            <w:r w:rsidRPr="007D162C">
              <w:t>Retrospective – 5 years</w:t>
            </w:r>
          </w:p>
        </w:tc>
      </w:tr>
      <w:tr w:rsidR="008F655A" w:rsidRPr="007D162C" w14:paraId="385E100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23F4639" w14:textId="77777777" w:rsidR="008F655A" w:rsidRPr="007D162C" w:rsidRDefault="08D050C4" w:rsidP="006F65FB">
            <w:pPr>
              <w:pStyle w:val="ListParagraph"/>
              <w:numPr>
                <w:ilvl w:val="0"/>
                <w:numId w:val="41"/>
              </w:numPr>
            </w:pPr>
            <w:r w:rsidRPr="007D162C">
              <w:t>Pontoon boarding points on infrastructure</w:t>
            </w:r>
          </w:p>
        </w:tc>
        <w:tc>
          <w:tcPr>
            <w:tcW w:w="1414" w:type="pct"/>
          </w:tcPr>
          <w:p w14:paraId="1075DCAA" w14:textId="77777777" w:rsidR="008F655A" w:rsidRPr="007D162C" w:rsidRDefault="08D050C4" w:rsidP="08D050C4">
            <w:pPr>
              <w:rPr>
                <w:color w:val="000000" w:themeColor="text1"/>
              </w:rPr>
            </w:pPr>
            <w:r w:rsidRPr="007D162C">
              <w:rPr>
                <w:rFonts w:eastAsia="Times New Roman"/>
                <w:lang w:eastAsia="en-AU"/>
              </w:rPr>
              <w:t>Non-regulatory</w:t>
            </w:r>
          </w:p>
        </w:tc>
        <w:tc>
          <w:tcPr>
            <w:tcW w:w="1780" w:type="pct"/>
          </w:tcPr>
          <w:p w14:paraId="149F2513" w14:textId="77777777" w:rsidR="008F655A" w:rsidRPr="007D162C" w:rsidRDefault="08D050C4" w:rsidP="08D050C4">
            <w:pPr>
              <w:rPr>
                <w:color w:val="000000" w:themeColor="text1"/>
              </w:rPr>
            </w:pPr>
            <w:r w:rsidRPr="007D162C">
              <w:t>The Whole Journey Guide</w:t>
            </w:r>
          </w:p>
        </w:tc>
      </w:tr>
      <w:tr w:rsidR="008F655A" w:rsidRPr="007D162C" w14:paraId="5D13ACC5" w14:textId="77777777" w:rsidTr="08D050C4">
        <w:tc>
          <w:tcPr>
            <w:tcW w:w="1806" w:type="pct"/>
            <w:hideMark/>
          </w:tcPr>
          <w:p w14:paraId="0B9A03B6" w14:textId="77777777" w:rsidR="008F655A" w:rsidRPr="007D162C" w:rsidRDefault="08D050C4" w:rsidP="006F65FB">
            <w:pPr>
              <w:pStyle w:val="ListParagraph"/>
              <w:numPr>
                <w:ilvl w:val="0"/>
                <w:numId w:val="41"/>
              </w:numPr>
            </w:pPr>
            <w:r w:rsidRPr="007D162C">
              <w:t>Bus, tram and light rail boarding points on infrastructure</w:t>
            </w:r>
          </w:p>
        </w:tc>
        <w:tc>
          <w:tcPr>
            <w:tcW w:w="1414" w:type="pct"/>
          </w:tcPr>
          <w:p w14:paraId="2E8D19CF" w14:textId="146D64B3" w:rsidR="008F655A" w:rsidRPr="007D162C" w:rsidRDefault="08D050C4" w:rsidP="08D050C4">
            <w:r w:rsidRPr="007D162C">
              <w:rPr>
                <w:rFonts w:eastAsia="Times New Roman"/>
                <w:lang w:eastAsia="en-AU"/>
              </w:rPr>
              <w:t>Regulatory, option 2</w:t>
            </w:r>
            <w:r w:rsidR="00A24DF7" w:rsidRPr="007D162C">
              <w:rPr>
                <w:rFonts w:eastAsia="Times New Roman"/>
                <w:lang w:eastAsia="en-AU"/>
              </w:rPr>
              <w:br/>
              <w:t>(see Appendix A, page 4</w:t>
            </w:r>
            <w:r w:rsidR="000319C8">
              <w:rPr>
                <w:rFonts w:eastAsia="Times New Roman"/>
                <w:lang w:eastAsia="en-AU"/>
              </w:rPr>
              <w:t>6</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7623F8FB" w14:textId="77777777" w:rsidR="008F655A" w:rsidRPr="007D162C" w:rsidRDefault="08D050C4" w:rsidP="08D050C4">
            <w:r w:rsidRPr="007D162C">
              <w:t>Prospective</w:t>
            </w:r>
          </w:p>
        </w:tc>
      </w:tr>
      <w:tr w:rsidR="008F655A" w:rsidRPr="007D162C" w14:paraId="37057A17"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6D7D782" w14:textId="77777777" w:rsidR="008F655A" w:rsidRPr="007D162C" w:rsidRDefault="08D050C4" w:rsidP="006F65FB">
            <w:pPr>
              <w:pStyle w:val="ListParagraph"/>
              <w:numPr>
                <w:ilvl w:val="0"/>
                <w:numId w:val="41"/>
              </w:numPr>
            </w:pPr>
            <w:r w:rsidRPr="007D162C">
              <w:t>Hail-and-ride boarding points on infrastructure</w:t>
            </w:r>
          </w:p>
        </w:tc>
        <w:tc>
          <w:tcPr>
            <w:tcW w:w="1414" w:type="pct"/>
          </w:tcPr>
          <w:p w14:paraId="31737D2E" w14:textId="77777777" w:rsidR="008F655A" w:rsidRPr="007D162C" w:rsidRDefault="08D050C4" w:rsidP="08D050C4">
            <w:pPr>
              <w:rPr>
                <w:color w:val="000000" w:themeColor="text1"/>
              </w:rPr>
            </w:pPr>
            <w:r w:rsidRPr="007D162C">
              <w:rPr>
                <w:rFonts w:eastAsia="Times New Roman"/>
                <w:color w:val="000000" w:themeColor="text1"/>
                <w:lang w:eastAsia="en-AU"/>
              </w:rPr>
              <w:t>Regulatory with additional guidance </w:t>
            </w:r>
          </w:p>
        </w:tc>
        <w:tc>
          <w:tcPr>
            <w:tcW w:w="1780" w:type="pct"/>
          </w:tcPr>
          <w:p w14:paraId="36961737" w14:textId="77777777" w:rsidR="008F655A" w:rsidRPr="007D162C" w:rsidRDefault="08D050C4" w:rsidP="08D050C4">
            <w:pPr>
              <w:rPr>
                <w:color w:val="000000" w:themeColor="text1"/>
              </w:rPr>
            </w:pPr>
            <w:r w:rsidRPr="007D162C">
              <w:rPr>
                <w:color w:val="000000" w:themeColor="text1"/>
              </w:rPr>
              <w:t>On commencement</w:t>
            </w:r>
          </w:p>
        </w:tc>
      </w:tr>
      <w:tr w:rsidR="008F655A" w:rsidRPr="007D162C" w14:paraId="332B24F0" w14:textId="77777777" w:rsidTr="08D050C4">
        <w:tc>
          <w:tcPr>
            <w:tcW w:w="1806" w:type="pct"/>
            <w:hideMark/>
          </w:tcPr>
          <w:p w14:paraId="6829876A" w14:textId="77777777" w:rsidR="008F655A" w:rsidRPr="007D162C" w:rsidRDefault="08D050C4" w:rsidP="006F65FB">
            <w:pPr>
              <w:pStyle w:val="ListParagraph"/>
              <w:numPr>
                <w:ilvl w:val="0"/>
                <w:numId w:val="41"/>
              </w:numPr>
            </w:pPr>
            <w:r w:rsidRPr="007D162C">
              <w:t>Accessible taxi ranks</w:t>
            </w:r>
          </w:p>
        </w:tc>
        <w:tc>
          <w:tcPr>
            <w:tcW w:w="1414" w:type="pct"/>
          </w:tcPr>
          <w:p w14:paraId="1C3CDD27" w14:textId="1E610507" w:rsidR="008F655A" w:rsidRPr="007D162C" w:rsidRDefault="08D050C4" w:rsidP="08D050C4">
            <w:r w:rsidRPr="007D162C">
              <w:rPr>
                <w:rFonts w:eastAsia="Times New Roman"/>
                <w:lang w:eastAsia="en-AU"/>
              </w:rPr>
              <w:t>Regulatory</w:t>
            </w:r>
            <w:r w:rsidR="00A24DF7" w:rsidRPr="007D162C">
              <w:rPr>
                <w:rFonts w:eastAsia="Times New Roman"/>
                <w:lang w:eastAsia="en-AU"/>
              </w:rPr>
              <w:t xml:space="preserve"> with revisions</w:t>
            </w:r>
            <w:r w:rsidRPr="007D162C">
              <w:rPr>
                <w:rFonts w:eastAsia="Times New Roman"/>
                <w:lang w:eastAsia="en-AU"/>
              </w:rPr>
              <w:t>, sub-option 1</w:t>
            </w:r>
            <w:r w:rsidR="00A24DF7" w:rsidRPr="007D162C">
              <w:rPr>
                <w:rFonts w:eastAsia="Times New Roman"/>
                <w:lang w:eastAsia="en-AU"/>
              </w:rPr>
              <w:br/>
              <w:t>(see Appendix A, page 4</w:t>
            </w:r>
            <w:r w:rsidR="005B7A0F">
              <w:rPr>
                <w:rFonts w:eastAsia="Times New Roman"/>
                <w:lang w:eastAsia="en-AU"/>
              </w:rPr>
              <w:t>69</w:t>
            </w:r>
            <w:r w:rsidR="00A24DF7" w:rsidRPr="007D162C">
              <w:rPr>
                <w:rFonts w:eastAsia="Times New Roman"/>
                <w:lang w:eastAsia="en-AU"/>
              </w:rPr>
              <w:t xml:space="preserve"> for full details)</w:t>
            </w:r>
          </w:p>
        </w:tc>
        <w:tc>
          <w:tcPr>
            <w:tcW w:w="1780" w:type="pct"/>
          </w:tcPr>
          <w:p w14:paraId="65FCED5E" w14:textId="77777777" w:rsidR="008F655A" w:rsidRPr="007D162C" w:rsidRDefault="08D050C4" w:rsidP="08D050C4">
            <w:r w:rsidRPr="007D162C">
              <w:t>Retrospective – 10 years</w:t>
            </w:r>
          </w:p>
        </w:tc>
      </w:tr>
      <w:tr w:rsidR="008F655A" w:rsidRPr="007D162C" w14:paraId="358E3CE3"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1934D359" w14:textId="77777777" w:rsidR="008F655A" w:rsidRPr="007D162C" w:rsidRDefault="08D050C4" w:rsidP="006F65FB">
            <w:pPr>
              <w:pStyle w:val="ListParagraph"/>
              <w:numPr>
                <w:ilvl w:val="0"/>
                <w:numId w:val="41"/>
              </w:numPr>
            </w:pPr>
            <w:r w:rsidRPr="007D162C">
              <w:t>Accessible passenger loading zones on-street</w:t>
            </w:r>
          </w:p>
        </w:tc>
        <w:tc>
          <w:tcPr>
            <w:tcW w:w="1414" w:type="pct"/>
          </w:tcPr>
          <w:p w14:paraId="1A9CADBD" w14:textId="6420FA67" w:rsidR="008F655A" w:rsidRPr="007D162C" w:rsidRDefault="08D050C4" w:rsidP="08D050C4">
            <w:pPr>
              <w:rPr>
                <w:color w:val="000000" w:themeColor="text1"/>
              </w:rPr>
            </w:pPr>
            <w:r w:rsidRPr="007D162C">
              <w:rPr>
                <w:rFonts w:eastAsia="Times New Roman"/>
                <w:color w:val="000000" w:themeColor="text1"/>
                <w:lang w:eastAsia="en-AU"/>
              </w:rPr>
              <w:t>Regulatory</w:t>
            </w:r>
            <w:r w:rsidR="00A24DF7" w:rsidRPr="007D162C">
              <w:rPr>
                <w:rFonts w:eastAsia="Times New Roman"/>
                <w:color w:val="000000" w:themeColor="text1"/>
                <w:lang w:eastAsia="en-AU"/>
              </w:rPr>
              <w:t xml:space="preserve"> with revisions</w:t>
            </w:r>
            <w:r w:rsidRPr="007D162C">
              <w:rPr>
                <w:rFonts w:eastAsia="Times New Roman"/>
                <w:color w:val="000000" w:themeColor="text1"/>
                <w:lang w:eastAsia="en-AU"/>
              </w:rPr>
              <w:t>, sub-option 1</w:t>
            </w:r>
            <w:r w:rsidR="00A24DF7" w:rsidRPr="007D162C">
              <w:rPr>
                <w:rFonts w:eastAsia="Times New Roman"/>
                <w:color w:val="000000" w:themeColor="text1"/>
                <w:lang w:eastAsia="en-AU"/>
              </w:rPr>
              <w:br/>
            </w:r>
            <w:r w:rsidR="00A24DF7" w:rsidRPr="007D162C">
              <w:rPr>
                <w:rFonts w:eastAsia="Times New Roman"/>
                <w:lang w:eastAsia="en-AU"/>
              </w:rPr>
              <w:t>(see Appendix A, page 4</w:t>
            </w:r>
            <w:r w:rsidR="000319C8">
              <w:rPr>
                <w:rFonts w:eastAsia="Times New Roman"/>
                <w:lang w:eastAsia="en-AU"/>
              </w:rPr>
              <w:t>7</w:t>
            </w:r>
            <w:r w:rsidR="005B7A0F">
              <w:rPr>
                <w:rFonts w:eastAsia="Times New Roman"/>
                <w:lang w:eastAsia="en-AU"/>
              </w:rPr>
              <w:t>1</w:t>
            </w:r>
            <w:r w:rsidR="00A24DF7" w:rsidRPr="007D162C">
              <w:rPr>
                <w:rFonts w:eastAsia="Times New Roman"/>
                <w:lang w:eastAsia="en-AU"/>
              </w:rPr>
              <w:t xml:space="preserve"> for full details)</w:t>
            </w:r>
          </w:p>
        </w:tc>
        <w:tc>
          <w:tcPr>
            <w:tcW w:w="1780" w:type="pct"/>
          </w:tcPr>
          <w:p w14:paraId="07C1EC2D"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2E00B621" w14:textId="77777777" w:rsidTr="08D050C4">
        <w:tc>
          <w:tcPr>
            <w:tcW w:w="1806" w:type="pct"/>
            <w:hideMark/>
          </w:tcPr>
          <w:p w14:paraId="2CC28F55" w14:textId="77777777" w:rsidR="008F655A" w:rsidRPr="007D162C" w:rsidRDefault="08D050C4" w:rsidP="006F65FB">
            <w:pPr>
              <w:pStyle w:val="ListParagraph"/>
              <w:numPr>
                <w:ilvl w:val="0"/>
                <w:numId w:val="41"/>
              </w:numPr>
            </w:pPr>
            <w:r w:rsidRPr="007D162C">
              <w:t>Accessible parking spaces in infrastructure off-street carparks</w:t>
            </w:r>
          </w:p>
        </w:tc>
        <w:tc>
          <w:tcPr>
            <w:tcW w:w="1414" w:type="pct"/>
          </w:tcPr>
          <w:p w14:paraId="3F017291" w14:textId="2B21764D" w:rsidR="008F655A" w:rsidRPr="007D162C" w:rsidRDefault="08D050C4" w:rsidP="08D050C4">
            <w:r w:rsidRPr="007D162C">
              <w:rPr>
                <w:rFonts w:eastAsia="Times New Roman"/>
                <w:lang w:eastAsia="en-AU"/>
              </w:rPr>
              <w:t>Regulatory with additional guidance, sub-option 1</w:t>
            </w:r>
            <w:r w:rsidR="00A24DF7" w:rsidRPr="007D162C">
              <w:rPr>
                <w:rFonts w:eastAsia="Times New Roman"/>
                <w:lang w:eastAsia="en-AU"/>
              </w:rPr>
              <w:br/>
              <w:t>(see Appendix A, page 4</w:t>
            </w:r>
            <w:r w:rsidR="000319C8">
              <w:rPr>
                <w:rFonts w:eastAsia="Times New Roman"/>
                <w:lang w:eastAsia="en-AU"/>
              </w:rPr>
              <w:t>7</w:t>
            </w:r>
            <w:r w:rsidR="005B7A0F">
              <w:rPr>
                <w:rFonts w:eastAsia="Times New Roman"/>
                <w:lang w:eastAsia="en-AU"/>
              </w:rPr>
              <w:t>4</w:t>
            </w:r>
            <w:r w:rsidR="00A24DF7" w:rsidRPr="007D162C">
              <w:rPr>
                <w:rFonts w:eastAsia="Times New Roman"/>
                <w:lang w:eastAsia="en-AU"/>
              </w:rPr>
              <w:t xml:space="preserve"> for full details)</w:t>
            </w:r>
          </w:p>
        </w:tc>
        <w:tc>
          <w:tcPr>
            <w:tcW w:w="1780" w:type="pct"/>
          </w:tcPr>
          <w:p w14:paraId="3594F17A" w14:textId="77777777" w:rsidR="008F655A" w:rsidRPr="007D162C" w:rsidRDefault="08D050C4" w:rsidP="08D050C4">
            <w:r w:rsidRPr="007D162C">
              <w:t>Retrospective – 10 years</w:t>
            </w:r>
          </w:p>
        </w:tc>
      </w:tr>
      <w:tr w:rsidR="008F655A" w:rsidRPr="007D162C" w14:paraId="01DAD0E7" w14:textId="77777777" w:rsidTr="08D050C4">
        <w:trPr>
          <w:cnfStyle w:val="000000100000" w:firstRow="0" w:lastRow="0" w:firstColumn="0" w:lastColumn="0" w:oddVBand="0" w:evenVBand="0" w:oddHBand="1" w:evenHBand="0" w:firstRowFirstColumn="0" w:firstRowLastColumn="0" w:lastRowFirstColumn="0" w:lastRowLastColumn="0"/>
        </w:trPr>
        <w:tc>
          <w:tcPr>
            <w:tcW w:w="5000" w:type="pct"/>
            <w:gridSpan w:val="3"/>
            <w:shd w:val="clear" w:color="auto" w:fill="E7E6E6" w:themeFill="background2"/>
          </w:tcPr>
          <w:p w14:paraId="6C57DD89" w14:textId="77777777" w:rsidR="008F655A" w:rsidRPr="007D162C" w:rsidRDefault="08D050C4" w:rsidP="08D050C4">
            <w:pPr>
              <w:rPr>
                <w:color w:val="000000" w:themeColor="text1"/>
              </w:rPr>
            </w:pPr>
            <w:r w:rsidRPr="007D162C">
              <w:rPr>
                <w:b/>
                <w:bCs/>
              </w:rPr>
              <w:t>Part 5: Accessibility in conveyance</w:t>
            </w:r>
          </w:p>
        </w:tc>
      </w:tr>
      <w:tr w:rsidR="008F655A" w:rsidRPr="007D162C" w14:paraId="25175A52" w14:textId="77777777" w:rsidTr="08D050C4">
        <w:tc>
          <w:tcPr>
            <w:tcW w:w="1806" w:type="pct"/>
            <w:hideMark/>
          </w:tcPr>
          <w:p w14:paraId="428CD269" w14:textId="77777777" w:rsidR="008F655A" w:rsidRPr="007D162C" w:rsidRDefault="08D050C4" w:rsidP="006F65FB">
            <w:pPr>
              <w:pStyle w:val="ListParagraph"/>
              <w:numPr>
                <w:ilvl w:val="0"/>
                <w:numId w:val="41"/>
              </w:numPr>
            </w:pPr>
            <w:r w:rsidRPr="007D162C">
              <w:t>Grab-rails on access paths</w:t>
            </w:r>
          </w:p>
        </w:tc>
        <w:tc>
          <w:tcPr>
            <w:tcW w:w="1414" w:type="pct"/>
          </w:tcPr>
          <w:p w14:paraId="2F70CB3B" w14:textId="77777777" w:rsidR="008F655A" w:rsidRPr="007D162C" w:rsidRDefault="08D050C4" w:rsidP="08D050C4">
            <w:r w:rsidRPr="007D162C">
              <w:rPr>
                <w:rFonts w:eastAsia="Times New Roman"/>
                <w:lang w:eastAsia="en-AU"/>
              </w:rPr>
              <w:t>Regulatory with revisions  </w:t>
            </w:r>
          </w:p>
        </w:tc>
        <w:tc>
          <w:tcPr>
            <w:tcW w:w="1780" w:type="pct"/>
          </w:tcPr>
          <w:p w14:paraId="1531730C" w14:textId="77777777" w:rsidR="008F655A" w:rsidRPr="007D162C" w:rsidRDefault="08D050C4" w:rsidP="08D050C4">
            <w:r w:rsidRPr="007D162C">
              <w:t>Prospective</w:t>
            </w:r>
          </w:p>
        </w:tc>
      </w:tr>
      <w:tr w:rsidR="008F655A" w:rsidRPr="007D162C" w14:paraId="56EFF959"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0BF0AFCB" w14:textId="77777777" w:rsidR="008F655A" w:rsidRPr="007D162C" w:rsidRDefault="08D050C4" w:rsidP="006F65FB">
            <w:pPr>
              <w:pStyle w:val="ListParagraph"/>
              <w:numPr>
                <w:ilvl w:val="0"/>
                <w:numId w:val="41"/>
              </w:numPr>
            </w:pPr>
            <w:r w:rsidRPr="007D162C">
              <w:t>Grab-rails in allocated spaces</w:t>
            </w:r>
          </w:p>
        </w:tc>
        <w:tc>
          <w:tcPr>
            <w:tcW w:w="1414" w:type="pct"/>
          </w:tcPr>
          <w:p w14:paraId="2B94B479"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02DC4281"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6CA340E0" w14:textId="77777777" w:rsidTr="08D050C4">
        <w:tc>
          <w:tcPr>
            <w:tcW w:w="1806" w:type="pct"/>
            <w:hideMark/>
          </w:tcPr>
          <w:p w14:paraId="4F3DA4CC" w14:textId="77777777" w:rsidR="008F655A" w:rsidRPr="007D162C" w:rsidRDefault="08D050C4" w:rsidP="006F65FB">
            <w:pPr>
              <w:pStyle w:val="ListParagraph"/>
              <w:numPr>
                <w:ilvl w:val="0"/>
                <w:numId w:val="41"/>
              </w:numPr>
            </w:pPr>
            <w:r w:rsidRPr="007D162C">
              <w:t>Mobility aid movement in allocated spaces: Passive restraints</w:t>
            </w:r>
          </w:p>
        </w:tc>
        <w:tc>
          <w:tcPr>
            <w:tcW w:w="1414" w:type="pct"/>
          </w:tcPr>
          <w:p w14:paraId="0AE8124F" w14:textId="77777777" w:rsidR="008F655A" w:rsidRPr="007D162C" w:rsidRDefault="08D050C4" w:rsidP="08D050C4">
            <w:r w:rsidRPr="007D162C">
              <w:rPr>
                <w:rFonts w:eastAsia="Times New Roman"/>
                <w:lang w:eastAsia="en-AU"/>
              </w:rPr>
              <w:t>Non-regulatory </w:t>
            </w:r>
          </w:p>
        </w:tc>
        <w:tc>
          <w:tcPr>
            <w:tcW w:w="1780" w:type="pct"/>
          </w:tcPr>
          <w:p w14:paraId="04131F45" w14:textId="77777777" w:rsidR="008F655A" w:rsidRPr="007D162C" w:rsidRDefault="08D050C4" w:rsidP="08D050C4">
            <w:r w:rsidRPr="007D162C">
              <w:t>The Whole Journey Guide</w:t>
            </w:r>
          </w:p>
        </w:tc>
      </w:tr>
      <w:tr w:rsidR="008F655A" w:rsidRPr="007D162C" w14:paraId="12D1C6B6"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4DFCD506" w14:textId="77777777" w:rsidR="008F655A" w:rsidRPr="007D162C" w:rsidRDefault="08D050C4" w:rsidP="006F65FB">
            <w:pPr>
              <w:pStyle w:val="ListParagraph"/>
              <w:numPr>
                <w:ilvl w:val="0"/>
                <w:numId w:val="41"/>
              </w:numPr>
            </w:pPr>
            <w:r w:rsidRPr="007D162C">
              <w:t>Mobility aid movement in allocated spaces: Active restraints</w:t>
            </w:r>
          </w:p>
        </w:tc>
        <w:tc>
          <w:tcPr>
            <w:tcW w:w="1414" w:type="pct"/>
          </w:tcPr>
          <w:p w14:paraId="7785268F" w14:textId="77777777" w:rsidR="008F655A" w:rsidRPr="007D162C" w:rsidRDefault="08D050C4" w:rsidP="08D050C4">
            <w:pPr>
              <w:rPr>
                <w:color w:val="000000" w:themeColor="text1"/>
              </w:rPr>
            </w:pPr>
            <w:r w:rsidRPr="007D162C">
              <w:rPr>
                <w:rFonts w:eastAsia="Times New Roman"/>
                <w:color w:val="000000" w:themeColor="text1"/>
                <w:lang w:eastAsia="en-AU"/>
              </w:rPr>
              <w:t>Non-regulatory</w:t>
            </w:r>
          </w:p>
        </w:tc>
        <w:tc>
          <w:tcPr>
            <w:tcW w:w="1780" w:type="pct"/>
          </w:tcPr>
          <w:p w14:paraId="4A2544EB" w14:textId="77777777" w:rsidR="008F655A" w:rsidRPr="007D162C" w:rsidRDefault="08D050C4" w:rsidP="08D050C4">
            <w:pPr>
              <w:rPr>
                <w:color w:val="000000" w:themeColor="text1"/>
              </w:rPr>
            </w:pPr>
            <w:r w:rsidRPr="007D162C">
              <w:t>The Whole Journey Guide</w:t>
            </w:r>
          </w:p>
        </w:tc>
      </w:tr>
      <w:tr w:rsidR="008F655A" w:rsidRPr="007D162C" w14:paraId="3A3FDD2A" w14:textId="77777777" w:rsidTr="08D050C4">
        <w:tc>
          <w:tcPr>
            <w:tcW w:w="1806" w:type="pct"/>
            <w:hideMark/>
          </w:tcPr>
          <w:p w14:paraId="14C0F7B5" w14:textId="77777777" w:rsidR="008F655A" w:rsidRPr="007D162C" w:rsidRDefault="08D050C4" w:rsidP="006F65FB">
            <w:pPr>
              <w:pStyle w:val="ListParagraph"/>
              <w:numPr>
                <w:ilvl w:val="0"/>
                <w:numId w:val="41"/>
              </w:numPr>
            </w:pPr>
            <w:r w:rsidRPr="007D162C">
              <w:t>Appropriate seats on booked services</w:t>
            </w:r>
          </w:p>
        </w:tc>
        <w:tc>
          <w:tcPr>
            <w:tcW w:w="1414" w:type="pct"/>
          </w:tcPr>
          <w:p w14:paraId="49EB8816" w14:textId="77777777" w:rsidR="008F655A" w:rsidRPr="007D162C" w:rsidRDefault="08D050C4" w:rsidP="08D050C4">
            <w:r w:rsidRPr="007D162C">
              <w:rPr>
                <w:rFonts w:eastAsia="Times New Roman"/>
                <w:lang w:eastAsia="en-AU"/>
              </w:rPr>
              <w:t>Regulatory with additional guidance  </w:t>
            </w:r>
          </w:p>
        </w:tc>
        <w:tc>
          <w:tcPr>
            <w:tcW w:w="1780" w:type="pct"/>
          </w:tcPr>
          <w:p w14:paraId="6BD089B5" w14:textId="77777777" w:rsidR="008F655A" w:rsidRPr="007D162C" w:rsidRDefault="08D050C4" w:rsidP="08D050C4">
            <w:r w:rsidRPr="007D162C">
              <w:t>Retrospective – 5 years</w:t>
            </w:r>
          </w:p>
        </w:tc>
      </w:tr>
      <w:tr w:rsidR="008F655A" w:rsidRPr="007D162C" w14:paraId="46B19F8B"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F146A33" w14:textId="77777777" w:rsidR="008F655A" w:rsidRPr="007D162C" w:rsidRDefault="08D050C4" w:rsidP="006F65FB">
            <w:pPr>
              <w:pStyle w:val="ListParagraph"/>
              <w:numPr>
                <w:ilvl w:val="0"/>
                <w:numId w:val="41"/>
              </w:numPr>
            </w:pPr>
            <w:r w:rsidRPr="007D162C">
              <w:t>Conveyance dwell times at stops</w:t>
            </w:r>
          </w:p>
        </w:tc>
        <w:tc>
          <w:tcPr>
            <w:tcW w:w="1414" w:type="pct"/>
          </w:tcPr>
          <w:p w14:paraId="0D3B0D7B" w14:textId="77777777" w:rsidR="008F655A" w:rsidRPr="007D162C" w:rsidRDefault="08D050C4" w:rsidP="08D050C4">
            <w:pPr>
              <w:rPr>
                <w:color w:val="000000" w:themeColor="text1"/>
              </w:rPr>
            </w:pPr>
            <w:r w:rsidRPr="007D162C">
              <w:rPr>
                <w:rFonts w:eastAsia="Times New Roman"/>
                <w:color w:val="000000" w:themeColor="text1"/>
                <w:lang w:eastAsia="en-AU"/>
              </w:rPr>
              <w:t>Non-regulatory </w:t>
            </w:r>
          </w:p>
        </w:tc>
        <w:tc>
          <w:tcPr>
            <w:tcW w:w="1780" w:type="pct"/>
          </w:tcPr>
          <w:p w14:paraId="2D80F131" w14:textId="77777777" w:rsidR="008F655A" w:rsidRPr="007D162C" w:rsidRDefault="08D050C4" w:rsidP="08D050C4">
            <w:pPr>
              <w:rPr>
                <w:color w:val="000000" w:themeColor="text1"/>
              </w:rPr>
            </w:pPr>
            <w:r w:rsidRPr="007D162C">
              <w:t>The Whole Journey Guide</w:t>
            </w:r>
          </w:p>
        </w:tc>
      </w:tr>
      <w:tr w:rsidR="008F655A" w:rsidRPr="007D162C" w14:paraId="22E7CC75" w14:textId="77777777" w:rsidTr="08D050C4">
        <w:tc>
          <w:tcPr>
            <w:tcW w:w="1806" w:type="pct"/>
            <w:hideMark/>
          </w:tcPr>
          <w:p w14:paraId="274280EC" w14:textId="77777777" w:rsidR="008F655A" w:rsidRPr="007D162C" w:rsidRDefault="08D050C4" w:rsidP="006F65FB">
            <w:pPr>
              <w:pStyle w:val="ListParagraph"/>
              <w:numPr>
                <w:ilvl w:val="0"/>
                <w:numId w:val="41"/>
              </w:numPr>
            </w:pPr>
            <w:r w:rsidRPr="007D162C">
              <w:t>Stairs on trains</w:t>
            </w:r>
          </w:p>
        </w:tc>
        <w:tc>
          <w:tcPr>
            <w:tcW w:w="1414" w:type="pct"/>
          </w:tcPr>
          <w:p w14:paraId="3D58A704" w14:textId="47BDF264" w:rsidR="008F655A" w:rsidRPr="007D162C" w:rsidRDefault="08D050C4" w:rsidP="08D050C4">
            <w:r w:rsidRPr="007D162C">
              <w:rPr>
                <w:rFonts w:eastAsia="Times New Roman"/>
                <w:lang w:eastAsia="en-AU"/>
              </w:rPr>
              <w:t>Regulatory with revisions, sub-option 2</w:t>
            </w:r>
            <w:r w:rsidR="00A24DF7" w:rsidRPr="007D162C">
              <w:rPr>
                <w:rFonts w:eastAsia="Times New Roman"/>
                <w:lang w:eastAsia="en-AU"/>
              </w:rPr>
              <w:br/>
              <w:t xml:space="preserve">(see Appendix A, page </w:t>
            </w:r>
            <w:r w:rsidR="000319C8">
              <w:rPr>
                <w:rFonts w:eastAsia="Times New Roman"/>
                <w:lang w:eastAsia="en-AU"/>
              </w:rPr>
              <w:t>48</w:t>
            </w:r>
            <w:r w:rsidR="005B7A0F">
              <w:rPr>
                <w:rFonts w:eastAsia="Times New Roman"/>
                <w:lang w:eastAsia="en-AU"/>
              </w:rPr>
              <w:t>6</w:t>
            </w:r>
            <w:r w:rsidR="00A24DF7" w:rsidRPr="007D162C">
              <w:rPr>
                <w:rFonts w:eastAsia="Times New Roman"/>
                <w:lang w:eastAsia="en-AU"/>
              </w:rPr>
              <w:t xml:space="preserve"> for full details)</w:t>
            </w:r>
          </w:p>
        </w:tc>
        <w:tc>
          <w:tcPr>
            <w:tcW w:w="1780" w:type="pct"/>
          </w:tcPr>
          <w:p w14:paraId="0D0C10A9" w14:textId="77777777" w:rsidR="008F655A" w:rsidRPr="007D162C" w:rsidRDefault="08D050C4" w:rsidP="08D050C4">
            <w:r w:rsidRPr="007D162C">
              <w:t>Prospective</w:t>
            </w:r>
          </w:p>
        </w:tc>
      </w:tr>
      <w:tr w:rsidR="008F655A" w:rsidRPr="007D162C" w14:paraId="01198378"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319B6CA9" w14:textId="77777777" w:rsidR="008F655A" w:rsidRPr="007D162C" w:rsidRDefault="08D050C4" w:rsidP="006F65FB">
            <w:pPr>
              <w:pStyle w:val="ListParagraph"/>
              <w:numPr>
                <w:ilvl w:val="0"/>
                <w:numId w:val="41"/>
              </w:numPr>
            </w:pPr>
            <w:r w:rsidRPr="007D162C">
              <w:t>Stairs on ferries</w:t>
            </w:r>
          </w:p>
        </w:tc>
        <w:tc>
          <w:tcPr>
            <w:tcW w:w="1414" w:type="pct"/>
          </w:tcPr>
          <w:p w14:paraId="32A4662A"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67F019C5"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7AF31522" w14:textId="77777777" w:rsidTr="08D050C4">
        <w:tc>
          <w:tcPr>
            <w:tcW w:w="1806" w:type="pct"/>
            <w:hideMark/>
          </w:tcPr>
          <w:p w14:paraId="4AD55175" w14:textId="77777777" w:rsidR="008F655A" w:rsidRPr="007D162C" w:rsidRDefault="08D050C4" w:rsidP="006F65FB">
            <w:pPr>
              <w:pStyle w:val="ListParagraph"/>
              <w:numPr>
                <w:ilvl w:val="0"/>
                <w:numId w:val="41"/>
              </w:numPr>
            </w:pPr>
            <w:r w:rsidRPr="007D162C">
              <w:t>Stairs on buses</w:t>
            </w:r>
          </w:p>
        </w:tc>
        <w:tc>
          <w:tcPr>
            <w:tcW w:w="1414" w:type="pct"/>
          </w:tcPr>
          <w:p w14:paraId="74A2DE8D" w14:textId="77777777" w:rsidR="008F655A" w:rsidRPr="007D162C" w:rsidRDefault="08D050C4" w:rsidP="08D050C4">
            <w:r w:rsidRPr="007D162C">
              <w:rPr>
                <w:rFonts w:eastAsia="Times New Roman"/>
                <w:lang w:eastAsia="en-AU"/>
              </w:rPr>
              <w:t>Regulatory with revisions  </w:t>
            </w:r>
          </w:p>
        </w:tc>
        <w:tc>
          <w:tcPr>
            <w:tcW w:w="1780" w:type="pct"/>
          </w:tcPr>
          <w:p w14:paraId="2740C5DA" w14:textId="77777777" w:rsidR="008F655A" w:rsidRPr="007D162C" w:rsidRDefault="08D050C4" w:rsidP="08D050C4">
            <w:r w:rsidRPr="007D162C">
              <w:t>Prospective</w:t>
            </w:r>
          </w:p>
        </w:tc>
      </w:tr>
      <w:tr w:rsidR="008F655A" w:rsidRPr="007D162C" w14:paraId="7949A665" w14:textId="77777777" w:rsidTr="08D050C4">
        <w:trPr>
          <w:cnfStyle w:val="000000100000" w:firstRow="0" w:lastRow="0" w:firstColumn="0" w:lastColumn="0" w:oddVBand="0" w:evenVBand="0" w:oddHBand="1" w:evenHBand="0" w:firstRowFirstColumn="0" w:firstRowLastColumn="0" w:lastRowFirstColumn="0" w:lastRowLastColumn="0"/>
        </w:trPr>
        <w:tc>
          <w:tcPr>
            <w:tcW w:w="1806" w:type="pct"/>
            <w:hideMark/>
          </w:tcPr>
          <w:p w14:paraId="5A7EAA7E" w14:textId="77777777" w:rsidR="008F655A" w:rsidRPr="007D162C" w:rsidRDefault="08D050C4" w:rsidP="006F65FB">
            <w:pPr>
              <w:pStyle w:val="ListParagraph"/>
              <w:numPr>
                <w:ilvl w:val="0"/>
                <w:numId w:val="41"/>
              </w:numPr>
            </w:pPr>
            <w:r w:rsidRPr="007D162C">
              <w:t>Doorway contrast and height</w:t>
            </w:r>
          </w:p>
        </w:tc>
        <w:tc>
          <w:tcPr>
            <w:tcW w:w="1414" w:type="pct"/>
          </w:tcPr>
          <w:p w14:paraId="485F8867" w14:textId="77777777" w:rsidR="008F655A" w:rsidRPr="007D162C" w:rsidRDefault="08D050C4" w:rsidP="08D050C4">
            <w:pPr>
              <w:rPr>
                <w:color w:val="000000" w:themeColor="text1"/>
              </w:rPr>
            </w:pPr>
            <w:r w:rsidRPr="007D162C">
              <w:rPr>
                <w:rFonts w:eastAsia="Times New Roman"/>
                <w:color w:val="000000" w:themeColor="text1"/>
                <w:lang w:eastAsia="en-AU"/>
              </w:rPr>
              <w:t>Regulatory with revisions</w:t>
            </w:r>
          </w:p>
        </w:tc>
        <w:tc>
          <w:tcPr>
            <w:tcW w:w="1780" w:type="pct"/>
          </w:tcPr>
          <w:p w14:paraId="1400AF16" w14:textId="77777777" w:rsidR="008F655A" w:rsidRPr="007D162C" w:rsidRDefault="08D050C4" w:rsidP="08D050C4">
            <w:pPr>
              <w:rPr>
                <w:color w:val="000000" w:themeColor="text1"/>
              </w:rPr>
            </w:pPr>
            <w:r w:rsidRPr="007D162C">
              <w:rPr>
                <w:color w:val="000000" w:themeColor="text1"/>
              </w:rPr>
              <w:t>Retrospective – 5 years</w:t>
            </w:r>
          </w:p>
        </w:tc>
      </w:tr>
      <w:bookmarkEnd w:id="26"/>
    </w:tbl>
    <w:p w14:paraId="198174DE" w14:textId="77777777" w:rsidR="008F655A" w:rsidRPr="007D162C" w:rsidRDefault="008F655A" w:rsidP="0094772D"/>
    <w:p w14:paraId="166D2C03" w14:textId="77777777" w:rsidR="0094772D" w:rsidRPr="007D162C" w:rsidRDefault="08D050C4" w:rsidP="0094772D">
      <w:pPr>
        <w:pStyle w:val="Heading3"/>
      </w:pPr>
      <w:bookmarkStart w:id="27" w:name="_Toc130912487"/>
      <w:bookmarkStart w:id="28" w:name="_Toc130914386"/>
      <w:bookmarkStart w:id="29" w:name="_Toc132381872"/>
      <w:bookmarkStart w:id="30" w:name="_Toc140239682"/>
      <w:bookmarkStart w:id="31" w:name="_Toc122446308"/>
      <w:r w:rsidRPr="007D162C">
        <w:t>Summary of Stage 1 reform areas, preferred options and implementation approach</w:t>
      </w:r>
      <w:bookmarkEnd w:id="27"/>
      <w:bookmarkEnd w:id="28"/>
      <w:bookmarkEnd w:id="29"/>
      <w:bookmarkEnd w:id="30"/>
    </w:p>
    <w:p w14:paraId="753E2DE0" w14:textId="3C6FBDD7" w:rsidR="00473693" w:rsidRPr="007D162C" w:rsidRDefault="08D050C4" w:rsidP="00473693">
      <w:pPr>
        <w:spacing w:line="259" w:lineRule="auto"/>
      </w:pPr>
      <w:r w:rsidRPr="007D162C">
        <w:t xml:space="preserve">Table 2 </w:t>
      </w:r>
      <w:r w:rsidR="00C76DE9">
        <w:t>(</w:t>
      </w:r>
      <w:r w:rsidRPr="007D162C">
        <w:t>below</w:t>
      </w:r>
      <w:r w:rsidR="00C76DE9">
        <w:t>)</w:t>
      </w:r>
      <w:r w:rsidRPr="007D162C">
        <w:t xml:space="preserve"> lists each reform area in Stage 1 of the reform process, the preferred option for Transport Ministers consideration and a </w:t>
      </w:r>
      <w:r w:rsidR="0053113B">
        <w:t>preferred</w:t>
      </w:r>
      <w:r w:rsidRPr="007D162C">
        <w:t xml:space="preserve"> implementation approach for the preferred option. The proposed implementation approaches require</w:t>
      </w:r>
      <w:r w:rsidR="0053113B">
        <w:t xml:space="preserve"> reforms to</w:t>
      </w:r>
      <w:r w:rsidRPr="007D162C">
        <w:t xml:space="preserve"> be implemented prospectively or retrospectively over a given time period. Prospective requirements apply to new or substantially refurbished public transport assets only. Retrospective requirements require all relevant public transport assets to be made compliant within the proposed time frame. </w:t>
      </w:r>
    </w:p>
    <w:p w14:paraId="6D72F2D1" w14:textId="77777777" w:rsidR="00473693" w:rsidRPr="007D162C" w:rsidRDefault="08D050C4" w:rsidP="00473693">
      <w:pPr>
        <w:spacing w:line="259" w:lineRule="auto"/>
      </w:pPr>
      <w:r w:rsidRPr="007D162C">
        <w:t xml:space="preserve">Ministers agreed to 12 regulatory and 4 non-regulatory options in Stage 1 of the reform process. </w:t>
      </w:r>
    </w:p>
    <w:p w14:paraId="6DDA3349" w14:textId="2193A3E2" w:rsidR="008F655A" w:rsidRPr="007D162C" w:rsidRDefault="008F655A" w:rsidP="008B3BA2">
      <w:pPr>
        <w:pStyle w:val="Tablefigureheading"/>
      </w:pPr>
      <w:bookmarkStart w:id="32" w:name="_Toc139969160"/>
      <w:r w:rsidRPr="007D162C">
        <w:t xml:space="preserve">Table </w:t>
      </w:r>
      <w:fldSimple w:instr=" SEQ Table \* ARABIC ">
        <w:r w:rsidR="00DC26AC">
          <w:rPr>
            <w:noProof/>
          </w:rPr>
          <w:t>2</w:t>
        </w:r>
      </w:fldSimple>
      <w:r w:rsidRPr="007D162C">
        <w:t>: Summary of Stage 1 reform areas, confirmed options and implementation approach</w:t>
      </w:r>
      <w:bookmarkEnd w:id="31"/>
      <w:bookmarkEnd w:id="32"/>
    </w:p>
    <w:tbl>
      <w:tblPr>
        <w:tblStyle w:val="DefaultTable1"/>
        <w:tblW w:w="5000" w:type="pct"/>
        <w:tblLook w:val="0420" w:firstRow="1" w:lastRow="0" w:firstColumn="0" w:lastColumn="0" w:noHBand="0" w:noVBand="1"/>
        <w:tblCaption w:val="Table 2: Summary of stage 1 reform areas, confirmed options and implementation approach"/>
        <w:tblDescription w:val="This table lists all the reform area options confirmed in the Stage 1 Decision Regulation Impact Statement and corresponding implementation approach."/>
      </w:tblPr>
      <w:tblGrid>
        <w:gridCol w:w="3409"/>
        <w:gridCol w:w="2943"/>
        <w:gridCol w:w="3512"/>
      </w:tblGrid>
      <w:tr w:rsidR="008F655A" w:rsidRPr="007D162C" w14:paraId="2DC02131"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1728" w:type="pct"/>
            <w:hideMark/>
          </w:tcPr>
          <w:p w14:paraId="66EE5EFE" w14:textId="77777777" w:rsidR="008F655A" w:rsidRPr="007D162C" w:rsidRDefault="08D050C4" w:rsidP="008F655A">
            <w:r w:rsidRPr="007D162C">
              <w:t>Reform area</w:t>
            </w:r>
          </w:p>
        </w:tc>
        <w:tc>
          <w:tcPr>
            <w:tcW w:w="1492" w:type="pct"/>
            <w:hideMark/>
          </w:tcPr>
          <w:p w14:paraId="61BF30A1" w14:textId="77777777" w:rsidR="008F655A" w:rsidRPr="007D162C" w:rsidRDefault="08D050C4" w:rsidP="008F655A">
            <w:r w:rsidRPr="007D162C">
              <w:t>Confirmed option</w:t>
            </w:r>
          </w:p>
        </w:tc>
        <w:tc>
          <w:tcPr>
            <w:tcW w:w="1780" w:type="pct"/>
          </w:tcPr>
          <w:p w14:paraId="7EB98213" w14:textId="77777777" w:rsidR="008F655A" w:rsidRPr="007D162C" w:rsidRDefault="08D050C4" w:rsidP="008F655A">
            <w:r w:rsidRPr="007D162C">
              <w:t xml:space="preserve">Implementation approach </w:t>
            </w:r>
          </w:p>
        </w:tc>
      </w:tr>
      <w:tr w:rsidR="008F655A" w:rsidRPr="007D162C" w14:paraId="1C1E3E51"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hideMark/>
          </w:tcPr>
          <w:p w14:paraId="3EC62C3E" w14:textId="77777777" w:rsidR="008F655A" w:rsidRPr="007D162C" w:rsidRDefault="08D050C4" w:rsidP="006F65FB">
            <w:pPr>
              <w:pStyle w:val="ListParagraph"/>
              <w:numPr>
                <w:ilvl w:val="0"/>
                <w:numId w:val="42"/>
              </w:numPr>
            </w:pPr>
            <w:r w:rsidRPr="007D162C">
              <w:t xml:space="preserve">Staff training and communication </w:t>
            </w:r>
          </w:p>
        </w:tc>
        <w:tc>
          <w:tcPr>
            <w:tcW w:w="1492" w:type="pct"/>
          </w:tcPr>
          <w:p w14:paraId="539C1F63"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276D0324"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5CA0FF51" w14:textId="77777777" w:rsidTr="08D050C4">
        <w:tc>
          <w:tcPr>
            <w:tcW w:w="1728" w:type="pct"/>
          </w:tcPr>
          <w:p w14:paraId="4F4972C8" w14:textId="77777777" w:rsidR="008F655A" w:rsidRPr="007D162C" w:rsidRDefault="08D050C4" w:rsidP="006F65FB">
            <w:pPr>
              <w:pStyle w:val="ListParagraph"/>
              <w:numPr>
                <w:ilvl w:val="0"/>
                <w:numId w:val="42"/>
              </w:numPr>
            </w:pPr>
            <w:r w:rsidRPr="007D162C">
              <w:t>Mobility aid safety</w:t>
            </w:r>
          </w:p>
        </w:tc>
        <w:tc>
          <w:tcPr>
            <w:tcW w:w="1492" w:type="pct"/>
          </w:tcPr>
          <w:p w14:paraId="4FC535D3" w14:textId="77777777" w:rsidR="008F655A" w:rsidRPr="007D162C" w:rsidRDefault="08D050C4" w:rsidP="08D050C4">
            <w:r w:rsidRPr="007D162C">
              <w:t>Non-regulatory</w:t>
            </w:r>
          </w:p>
        </w:tc>
        <w:tc>
          <w:tcPr>
            <w:tcW w:w="1780" w:type="pct"/>
          </w:tcPr>
          <w:p w14:paraId="5BAED151" w14:textId="77777777" w:rsidR="008F655A" w:rsidRPr="007D162C" w:rsidRDefault="08D050C4" w:rsidP="08D050C4">
            <w:r w:rsidRPr="007D162C">
              <w:t>The Whole Journey Guide</w:t>
            </w:r>
          </w:p>
        </w:tc>
      </w:tr>
      <w:tr w:rsidR="008F655A" w:rsidRPr="007D162C" w14:paraId="0F0152E8"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276FC009" w14:textId="77777777" w:rsidR="008F655A" w:rsidRPr="007D162C" w:rsidRDefault="08D050C4" w:rsidP="006F65FB">
            <w:pPr>
              <w:pStyle w:val="ListParagraph"/>
              <w:numPr>
                <w:ilvl w:val="0"/>
                <w:numId w:val="42"/>
              </w:numPr>
            </w:pPr>
            <w:r w:rsidRPr="007D162C">
              <w:t>Priority seating</w:t>
            </w:r>
          </w:p>
        </w:tc>
        <w:tc>
          <w:tcPr>
            <w:tcW w:w="1492" w:type="pct"/>
          </w:tcPr>
          <w:p w14:paraId="0526EB8B"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4126F7E8" w14:textId="77777777" w:rsidR="008F655A" w:rsidRPr="007D162C" w:rsidRDefault="08D050C4" w:rsidP="08D050C4">
            <w:pPr>
              <w:rPr>
                <w:color w:val="000000" w:themeColor="text1"/>
              </w:rPr>
            </w:pPr>
            <w:r w:rsidRPr="007D162C">
              <w:rPr>
                <w:color w:val="000000" w:themeColor="text1"/>
              </w:rPr>
              <w:t>Retrospective – 5 years</w:t>
            </w:r>
          </w:p>
        </w:tc>
      </w:tr>
      <w:tr w:rsidR="008F655A" w:rsidRPr="007D162C" w14:paraId="6083B674" w14:textId="77777777" w:rsidTr="08D050C4">
        <w:tc>
          <w:tcPr>
            <w:tcW w:w="1728" w:type="pct"/>
          </w:tcPr>
          <w:p w14:paraId="40D636AB" w14:textId="77777777" w:rsidR="008F655A" w:rsidRPr="007D162C" w:rsidRDefault="08D050C4" w:rsidP="006F65FB">
            <w:pPr>
              <w:pStyle w:val="ListParagraph"/>
              <w:numPr>
                <w:ilvl w:val="0"/>
                <w:numId w:val="42"/>
              </w:numPr>
            </w:pPr>
            <w:r w:rsidRPr="007D162C">
              <w:t>Allocated spaces</w:t>
            </w:r>
          </w:p>
        </w:tc>
        <w:tc>
          <w:tcPr>
            <w:tcW w:w="1492" w:type="pct"/>
          </w:tcPr>
          <w:p w14:paraId="74FC1449" w14:textId="77777777" w:rsidR="008F655A" w:rsidRPr="007D162C" w:rsidRDefault="08D050C4" w:rsidP="08D050C4">
            <w:r w:rsidRPr="007D162C">
              <w:t>Regulatory with revisions, sub-option 3</w:t>
            </w:r>
          </w:p>
        </w:tc>
        <w:tc>
          <w:tcPr>
            <w:tcW w:w="1780" w:type="pct"/>
          </w:tcPr>
          <w:p w14:paraId="05A33061" w14:textId="77777777" w:rsidR="008F655A" w:rsidRPr="007D162C" w:rsidRDefault="08D050C4" w:rsidP="08D050C4">
            <w:r w:rsidRPr="007D162C">
              <w:t>Prospective</w:t>
            </w:r>
          </w:p>
        </w:tc>
      </w:tr>
      <w:tr w:rsidR="008F655A" w:rsidRPr="007D162C" w14:paraId="5E5F4F11"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37FB6957" w14:textId="77777777" w:rsidR="008F655A" w:rsidRPr="007D162C" w:rsidRDefault="08D050C4" w:rsidP="006F65FB">
            <w:pPr>
              <w:pStyle w:val="ListParagraph"/>
              <w:numPr>
                <w:ilvl w:val="0"/>
                <w:numId w:val="42"/>
              </w:numPr>
            </w:pPr>
            <w:r w:rsidRPr="007D162C">
              <w:t>Digital information screens</w:t>
            </w:r>
          </w:p>
        </w:tc>
        <w:tc>
          <w:tcPr>
            <w:tcW w:w="1492" w:type="pct"/>
          </w:tcPr>
          <w:p w14:paraId="43050958" w14:textId="44365897" w:rsidR="008F655A" w:rsidRPr="007D162C" w:rsidRDefault="000B2322" w:rsidP="08D050C4">
            <w:pPr>
              <w:rPr>
                <w:color w:val="000000" w:themeColor="text1"/>
              </w:rPr>
            </w:pPr>
            <w:r w:rsidRPr="007D162C">
              <w:t xml:space="preserve">Regulatory </w:t>
            </w:r>
            <w:r w:rsidR="00D2306C" w:rsidRPr="007D162C">
              <w:t xml:space="preserve"> </w:t>
            </w:r>
          </w:p>
        </w:tc>
        <w:tc>
          <w:tcPr>
            <w:tcW w:w="1780" w:type="pct"/>
          </w:tcPr>
          <w:p w14:paraId="33444D89" w14:textId="10E875FB" w:rsidR="008F655A" w:rsidRPr="007D162C" w:rsidRDefault="000B2322" w:rsidP="08D050C4">
            <w:pPr>
              <w:rPr>
                <w:color w:val="000000" w:themeColor="text1"/>
              </w:rPr>
            </w:pPr>
            <w:r w:rsidRPr="007D162C">
              <w:t xml:space="preserve">Prospective </w:t>
            </w:r>
          </w:p>
        </w:tc>
      </w:tr>
      <w:tr w:rsidR="008F655A" w:rsidRPr="007D162C" w14:paraId="4E607D3B" w14:textId="77777777" w:rsidTr="08D050C4">
        <w:tc>
          <w:tcPr>
            <w:tcW w:w="1728" w:type="pct"/>
          </w:tcPr>
          <w:p w14:paraId="09693843" w14:textId="77777777" w:rsidR="008F655A" w:rsidRPr="007D162C" w:rsidRDefault="08D050C4" w:rsidP="006F65FB">
            <w:pPr>
              <w:pStyle w:val="ListParagraph"/>
              <w:numPr>
                <w:ilvl w:val="0"/>
                <w:numId w:val="42"/>
              </w:numPr>
            </w:pPr>
            <w:r w:rsidRPr="007D162C">
              <w:t>Lifts</w:t>
            </w:r>
          </w:p>
        </w:tc>
        <w:tc>
          <w:tcPr>
            <w:tcW w:w="1492" w:type="pct"/>
          </w:tcPr>
          <w:p w14:paraId="24A02A33" w14:textId="77777777" w:rsidR="008F655A" w:rsidRPr="007D162C" w:rsidRDefault="08D050C4" w:rsidP="08D050C4">
            <w:r w:rsidRPr="007D162C">
              <w:t xml:space="preserve">N/A – covered in Stage 2 </w:t>
            </w:r>
          </w:p>
        </w:tc>
        <w:tc>
          <w:tcPr>
            <w:tcW w:w="1780" w:type="pct"/>
          </w:tcPr>
          <w:p w14:paraId="2F7FA16C" w14:textId="77777777" w:rsidR="008F655A" w:rsidRPr="007D162C" w:rsidRDefault="08D050C4" w:rsidP="08D050C4">
            <w:r w:rsidRPr="007D162C">
              <w:t>N/A</w:t>
            </w:r>
          </w:p>
        </w:tc>
      </w:tr>
      <w:tr w:rsidR="008F655A" w:rsidRPr="007D162C" w14:paraId="78D023AA"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66B127D5" w14:textId="77777777" w:rsidR="008F655A" w:rsidRPr="007D162C" w:rsidRDefault="08D050C4" w:rsidP="006F65FB">
            <w:pPr>
              <w:pStyle w:val="ListParagraph"/>
              <w:numPr>
                <w:ilvl w:val="0"/>
                <w:numId w:val="42"/>
              </w:numPr>
            </w:pPr>
            <w:r w:rsidRPr="007D162C">
              <w:t>Website accessibility</w:t>
            </w:r>
          </w:p>
        </w:tc>
        <w:tc>
          <w:tcPr>
            <w:tcW w:w="1492" w:type="pct"/>
          </w:tcPr>
          <w:p w14:paraId="355209B2" w14:textId="77777777" w:rsidR="008F655A" w:rsidRPr="007D162C" w:rsidRDefault="08D050C4" w:rsidP="08D050C4">
            <w:pPr>
              <w:rPr>
                <w:color w:val="000000" w:themeColor="text1"/>
              </w:rPr>
            </w:pPr>
            <w:r w:rsidRPr="007D162C">
              <w:rPr>
                <w:color w:val="000000" w:themeColor="text1"/>
              </w:rPr>
              <w:t>Regulatory, sub-option 3</w:t>
            </w:r>
          </w:p>
        </w:tc>
        <w:tc>
          <w:tcPr>
            <w:tcW w:w="1780" w:type="pct"/>
          </w:tcPr>
          <w:p w14:paraId="274ABA0C"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58A8323B" w14:textId="77777777" w:rsidTr="08D050C4">
        <w:tc>
          <w:tcPr>
            <w:tcW w:w="1728" w:type="pct"/>
          </w:tcPr>
          <w:p w14:paraId="63F531A2" w14:textId="77777777" w:rsidR="008F655A" w:rsidRPr="007D162C" w:rsidRDefault="08D050C4" w:rsidP="006F65FB">
            <w:pPr>
              <w:pStyle w:val="ListParagraph"/>
              <w:numPr>
                <w:ilvl w:val="0"/>
                <w:numId w:val="42"/>
              </w:numPr>
            </w:pPr>
            <w:r w:rsidRPr="007D162C">
              <w:t>Communication during service disruption</w:t>
            </w:r>
          </w:p>
        </w:tc>
        <w:tc>
          <w:tcPr>
            <w:tcW w:w="1492" w:type="pct"/>
          </w:tcPr>
          <w:p w14:paraId="507DFDE0" w14:textId="77777777" w:rsidR="008F655A" w:rsidRPr="007D162C" w:rsidRDefault="08D050C4" w:rsidP="08D050C4">
            <w:r w:rsidRPr="007D162C">
              <w:t>Regulatory with revisions</w:t>
            </w:r>
          </w:p>
        </w:tc>
        <w:tc>
          <w:tcPr>
            <w:tcW w:w="1780" w:type="pct"/>
          </w:tcPr>
          <w:p w14:paraId="0C81550B" w14:textId="77777777" w:rsidR="008F655A" w:rsidRPr="007D162C" w:rsidRDefault="08D050C4" w:rsidP="08D050C4">
            <w:r w:rsidRPr="007D162C">
              <w:t>Retrospective – 5 years</w:t>
            </w:r>
          </w:p>
        </w:tc>
      </w:tr>
      <w:tr w:rsidR="008F655A" w:rsidRPr="007D162C" w14:paraId="3BB62FE5"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479BD3DB" w14:textId="77777777" w:rsidR="008F655A" w:rsidRPr="007D162C" w:rsidRDefault="08D050C4" w:rsidP="006F65FB">
            <w:pPr>
              <w:pStyle w:val="ListParagraph"/>
              <w:numPr>
                <w:ilvl w:val="0"/>
                <w:numId w:val="42"/>
              </w:numPr>
            </w:pPr>
            <w:r w:rsidRPr="007D162C">
              <w:t>Gangways</w:t>
            </w:r>
          </w:p>
        </w:tc>
        <w:tc>
          <w:tcPr>
            <w:tcW w:w="1492" w:type="pct"/>
          </w:tcPr>
          <w:p w14:paraId="401B4AE8"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721571A8" w14:textId="77777777" w:rsidR="008F655A" w:rsidRPr="007D162C" w:rsidRDefault="08D050C4" w:rsidP="08D050C4">
            <w:pPr>
              <w:rPr>
                <w:color w:val="000000" w:themeColor="text1"/>
              </w:rPr>
            </w:pPr>
            <w:r w:rsidRPr="007D162C">
              <w:rPr>
                <w:color w:val="000000" w:themeColor="text1"/>
              </w:rPr>
              <w:t>Prospective</w:t>
            </w:r>
          </w:p>
        </w:tc>
      </w:tr>
      <w:tr w:rsidR="008F655A" w:rsidRPr="007D162C" w14:paraId="27A0350A" w14:textId="77777777" w:rsidTr="08D050C4">
        <w:tc>
          <w:tcPr>
            <w:tcW w:w="1728" w:type="pct"/>
          </w:tcPr>
          <w:p w14:paraId="57583364" w14:textId="77777777" w:rsidR="008F655A" w:rsidRPr="007D162C" w:rsidRDefault="08D050C4" w:rsidP="006F65FB">
            <w:pPr>
              <w:pStyle w:val="ListParagraph"/>
              <w:numPr>
                <w:ilvl w:val="0"/>
                <w:numId w:val="42"/>
              </w:numPr>
            </w:pPr>
            <w:r w:rsidRPr="007D162C">
              <w:t>Assistance animal toileting facilities</w:t>
            </w:r>
          </w:p>
        </w:tc>
        <w:tc>
          <w:tcPr>
            <w:tcW w:w="1492" w:type="pct"/>
          </w:tcPr>
          <w:p w14:paraId="6DB85CF1" w14:textId="77777777" w:rsidR="008F655A" w:rsidRPr="007D162C" w:rsidRDefault="08D050C4" w:rsidP="08D050C4">
            <w:r w:rsidRPr="007D162C">
              <w:t>Non-regulatory</w:t>
            </w:r>
          </w:p>
        </w:tc>
        <w:tc>
          <w:tcPr>
            <w:tcW w:w="1780" w:type="pct"/>
          </w:tcPr>
          <w:p w14:paraId="54D26CAE" w14:textId="77777777" w:rsidR="008F655A" w:rsidRPr="007D162C" w:rsidRDefault="08D050C4" w:rsidP="08D050C4">
            <w:r w:rsidRPr="007D162C">
              <w:t>The Whole Journey Guide</w:t>
            </w:r>
          </w:p>
        </w:tc>
      </w:tr>
      <w:tr w:rsidR="008F655A" w:rsidRPr="007D162C" w14:paraId="6F40A859"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481F94B4" w14:textId="77777777" w:rsidR="008F655A" w:rsidRPr="007D162C" w:rsidRDefault="08D050C4" w:rsidP="006F65FB">
            <w:pPr>
              <w:pStyle w:val="ListParagraph"/>
              <w:numPr>
                <w:ilvl w:val="0"/>
                <w:numId w:val="42"/>
              </w:numPr>
            </w:pPr>
            <w:r w:rsidRPr="007D162C">
              <w:t>Emergency egress</w:t>
            </w:r>
          </w:p>
        </w:tc>
        <w:tc>
          <w:tcPr>
            <w:tcW w:w="1492" w:type="pct"/>
          </w:tcPr>
          <w:p w14:paraId="7E988F95" w14:textId="77777777" w:rsidR="008F655A" w:rsidRPr="007D162C" w:rsidRDefault="08D050C4" w:rsidP="08D050C4">
            <w:pPr>
              <w:rPr>
                <w:color w:val="000000" w:themeColor="text1"/>
              </w:rPr>
            </w:pPr>
            <w:r w:rsidRPr="007D162C">
              <w:rPr>
                <w:color w:val="000000" w:themeColor="text1"/>
              </w:rPr>
              <w:t>Non-regulatory</w:t>
            </w:r>
          </w:p>
        </w:tc>
        <w:tc>
          <w:tcPr>
            <w:tcW w:w="1780" w:type="pct"/>
          </w:tcPr>
          <w:p w14:paraId="3DC9514C" w14:textId="77777777" w:rsidR="008F655A" w:rsidRPr="007D162C" w:rsidRDefault="08D050C4" w:rsidP="08D050C4">
            <w:pPr>
              <w:rPr>
                <w:color w:val="000000" w:themeColor="text1"/>
              </w:rPr>
            </w:pPr>
            <w:r w:rsidRPr="007D162C">
              <w:t>The Whole Journey Guide</w:t>
            </w:r>
          </w:p>
        </w:tc>
      </w:tr>
      <w:tr w:rsidR="008F655A" w:rsidRPr="007D162C" w14:paraId="6B890108" w14:textId="77777777" w:rsidTr="08D050C4">
        <w:tc>
          <w:tcPr>
            <w:tcW w:w="1728" w:type="pct"/>
          </w:tcPr>
          <w:p w14:paraId="1E875313" w14:textId="77777777" w:rsidR="008F655A" w:rsidRPr="007D162C" w:rsidRDefault="08D050C4" w:rsidP="006F65FB">
            <w:pPr>
              <w:pStyle w:val="ListParagraph"/>
              <w:numPr>
                <w:ilvl w:val="0"/>
                <w:numId w:val="42"/>
              </w:numPr>
            </w:pPr>
            <w:r w:rsidRPr="007D162C">
              <w:t>Fit for purpose accessways</w:t>
            </w:r>
          </w:p>
        </w:tc>
        <w:tc>
          <w:tcPr>
            <w:tcW w:w="1492" w:type="pct"/>
          </w:tcPr>
          <w:p w14:paraId="488AB361" w14:textId="77777777" w:rsidR="008F655A" w:rsidRPr="007D162C" w:rsidRDefault="08D050C4" w:rsidP="08D050C4">
            <w:r w:rsidRPr="007D162C">
              <w:t>Non-regulatory</w:t>
            </w:r>
          </w:p>
        </w:tc>
        <w:tc>
          <w:tcPr>
            <w:tcW w:w="1780" w:type="pct"/>
          </w:tcPr>
          <w:p w14:paraId="0C1061EA" w14:textId="77777777" w:rsidR="008F655A" w:rsidRPr="007D162C" w:rsidRDefault="08D050C4" w:rsidP="08D050C4">
            <w:r w:rsidRPr="007D162C">
              <w:t>The Whole Journey Guide</w:t>
            </w:r>
          </w:p>
        </w:tc>
      </w:tr>
      <w:tr w:rsidR="008F655A" w:rsidRPr="007D162C" w14:paraId="708273B8"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01F98480" w14:textId="77777777" w:rsidR="008F655A" w:rsidRPr="007D162C" w:rsidRDefault="08D050C4" w:rsidP="006F65FB">
            <w:pPr>
              <w:pStyle w:val="ListParagraph"/>
              <w:numPr>
                <w:ilvl w:val="0"/>
                <w:numId w:val="42"/>
              </w:numPr>
            </w:pPr>
            <w:r w:rsidRPr="007D162C">
              <w:t>Wayfinding</w:t>
            </w:r>
          </w:p>
        </w:tc>
        <w:tc>
          <w:tcPr>
            <w:tcW w:w="1492" w:type="pct"/>
          </w:tcPr>
          <w:p w14:paraId="5C5CC7E3" w14:textId="77777777" w:rsidR="008F655A" w:rsidRPr="007D162C" w:rsidRDefault="08D050C4" w:rsidP="08D050C4">
            <w:pPr>
              <w:rPr>
                <w:color w:val="000000" w:themeColor="text1"/>
              </w:rPr>
            </w:pPr>
            <w:r w:rsidRPr="007D162C">
              <w:rPr>
                <w:color w:val="000000" w:themeColor="text1"/>
              </w:rPr>
              <w:t>Regulatory with revisions</w:t>
            </w:r>
          </w:p>
        </w:tc>
        <w:tc>
          <w:tcPr>
            <w:tcW w:w="1780" w:type="pct"/>
          </w:tcPr>
          <w:p w14:paraId="6E6D41CE"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7F8CA0F1" w14:textId="77777777" w:rsidTr="08D050C4">
        <w:tc>
          <w:tcPr>
            <w:tcW w:w="1728" w:type="pct"/>
          </w:tcPr>
          <w:p w14:paraId="579E4BA9" w14:textId="77777777" w:rsidR="008F655A" w:rsidRPr="007D162C" w:rsidRDefault="08D050C4" w:rsidP="006F65FB">
            <w:pPr>
              <w:pStyle w:val="ListParagraph"/>
              <w:numPr>
                <w:ilvl w:val="0"/>
                <w:numId w:val="42"/>
              </w:numPr>
            </w:pPr>
            <w:r w:rsidRPr="007D162C">
              <w:t>Tactile ground surface indicators (TGSIs)</w:t>
            </w:r>
          </w:p>
        </w:tc>
        <w:tc>
          <w:tcPr>
            <w:tcW w:w="1492" w:type="pct"/>
          </w:tcPr>
          <w:p w14:paraId="6EC968EF" w14:textId="77777777" w:rsidR="008F655A" w:rsidRPr="007D162C" w:rsidRDefault="08D050C4" w:rsidP="08D050C4">
            <w:r w:rsidRPr="007D162C">
              <w:t>Regulatory with revisions</w:t>
            </w:r>
          </w:p>
        </w:tc>
        <w:tc>
          <w:tcPr>
            <w:tcW w:w="1780" w:type="pct"/>
          </w:tcPr>
          <w:p w14:paraId="3FCB9129" w14:textId="77777777" w:rsidR="008F655A" w:rsidRPr="007D162C" w:rsidRDefault="08D050C4" w:rsidP="08D050C4">
            <w:r w:rsidRPr="007D162C">
              <w:t>Retrospective – 10 years</w:t>
            </w:r>
          </w:p>
        </w:tc>
      </w:tr>
      <w:tr w:rsidR="008F655A" w:rsidRPr="007D162C" w14:paraId="72D8D5D3"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51072F97" w14:textId="77777777" w:rsidR="008F655A" w:rsidRPr="007D162C" w:rsidRDefault="08D050C4" w:rsidP="006F65FB">
            <w:pPr>
              <w:pStyle w:val="ListParagraph"/>
              <w:numPr>
                <w:ilvl w:val="0"/>
                <w:numId w:val="42"/>
              </w:numPr>
            </w:pPr>
            <w:r w:rsidRPr="007D162C">
              <w:t>Passenger loading zones</w:t>
            </w:r>
          </w:p>
        </w:tc>
        <w:tc>
          <w:tcPr>
            <w:tcW w:w="1492" w:type="pct"/>
          </w:tcPr>
          <w:p w14:paraId="1BB99F61" w14:textId="77777777" w:rsidR="008F655A" w:rsidRPr="007D162C" w:rsidRDefault="08D050C4" w:rsidP="08D050C4">
            <w:pPr>
              <w:rPr>
                <w:color w:val="000000" w:themeColor="text1"/>
              </w:rPr>
            </w:pPr>
            <w:r w:rsidRPr="007D162C">
              <w:rPr>
                <w:color w:val="000000" w:themeColor="text1"/>
              </w:rPr>
              <w:t>Regulatory with revisions, sub-option 2</w:t>
            </w:r>
          </w:p>
        </w:tc>
        <w:tc>
          <w:tcPr>
            <w:tcW w:w="1780" w:type="pct"/>
          </w:tcPr>
          <w:p w14:paraId="3B2418D1" w14:textId="77777777" w:rsidR="008F655A" w:rsidRPr="007D162C" w:rsidRDefault="08D050C4" w:rsidP="08D050C4">
            <w:pPr>
              <w:rPr>
                <w:color w:val="000000" w:themeColor="text1"/>
              </w:rPr>
            </w:pPr>
            <w:r w:rsidRPr="007D162C">
              <w:rPr>
                <w:color w:val="000000" w:themeColor="text1"/>
              </w:rPr>
              <w:t>Retrospective – 10 years</w:t>
            </w:r>
          </w:p>
        </w:tc>
      </w:tr>
      <w:tr w:rsidR="008F655A" w:rsidRPr="007D162C" w14:paraId="10ADA315" w14:textId="77777777" w:rsidTr="08D050C4">
        <w:tc>
          <w:tcPr>
            <w:tcW w:w="1728" w:type="pct"/>
          </w:tcPr>
          <w:p w14:paraId="038FFFEF" w14:textId="77777777" w:rsidR="008F655A" w:rsidRPr="007D162C" w:rsidRDefault="08D050C4" w:rsidP="006F65FB">
            <w:pPr>
              <w:pStyle w:val="ListParagraph"/>
              <w:numPr>
                <w:ilvl w:val="0"/>
                <w:numId w:val="42"/>
              </w:numPr>
            </w:pPr>
            <w:r w:rsidRPr="007D162C">
              <w:t>Provision of information in multiple formats</w:t>
            </w:r>
          </w:p>
        </w:tc>
        <w:tc>
          <w:tcPr>
            <w:tcW w:w="1492" w:type="pct"/>
          </w:tcPr>
          <w:p w14:paraId="465A261A" w14:textId="77777777" w:rsidR="008F655A" w:rsidRPr="007D162C" w:rsidRDefault="08D050C4" w:rsidP="08D050C4">
            <w:r w:rsidRPr="007D162C">
              <w:t>Regulatory with revisions</w:t>
            </w:r>
          </w:p>
        </w:tc>
        <w:tc>
          <w:tcPr>
            <w:tcW w:w="1780" w:type="pct"/>
          </w:tcPr>
          <w:p w14:paraId="0B7488B8" w14:textId="77777777" w:rsidR="008F655A" w:rsidRPr="007D162C" w:rsidRDefault="08D050C4" w:rsidP="08D050C4">
            <w:r w:rsidRPr="007D162C">
              <w:t>Retrospective – 5 years</w:t>
            </w:r>
          </w:p>
        </w:tc>
      </w:tr>
      <w:tr w:rsidR="008F655A" w:rsidRPr="007D162C" w14:paraId="60474C2A" w14:textId="77777777" w:rsidTr="08D050C4">
        <w:trPr>
          <w:cnfStyle w:val="000000100000" w:firstRow="0" w:lastRow="0" w:firstColumn="0" w:lastColumn="0" w:oddVBand="0" w:evenVBand="0" w:oddHBand="1" w:evenHBand="0" w:firstRowFirstColumn="0" w:firstRowLastColumn="0" w:lastRowFirstColumn="0" w:lastRowLastColumn="0"/>
        </w:trPr>
        <w:tc>
          <w:tcPr>
            <w:tcW w:w="1728" w:type="pct"/>
          </w:tcPr>
          <w:p w14:paraId="705624DB" w14:textId="77777777" w:rsidR="008F655A" w:rsidRPr="007D162C" w:rsidRDefault="08D050C4" w:rsidP="006F65FB">
            <w:pPr>
              <w:pStyle w:val="ListParagraph"/>
              <w:numPr>
                <w:ilvl w:val="0"/>
                <w:numId w:val="42"/>
              </w:numPr>
            </w:pPr>
            <w:r w:rsidRPr="007D162C">
              <w:t>Australian Standards and definitional amendments</w:t>
            </w:r>
          </w:p>
        </w:tc>
        <w:tc>
          <w:tcPr>
            <w:tcW w:w="1492" w:type="pct"/>
          </w:tcPr>
          <w:p w14:paraId="33D0E9A9" w14:textId="77777777" w:rsidR="008F655A" w:rsidRPr="007D162C" w:rsidRDefault="08D050C4" w:rsidP="08D050C4">
            <w:pPr>
              <w:rPr>
                <w:color w:val="000000" w:themeColor="text1"/>
              </w:rPr>
            </w:pPr>
            <w:r w:rsidRPr="007D162C">
              <w:rPr>
                <w:color w:val="000000" w:themeColor="text1"/>
              </w:rPr>
              <w:t>Support all 32 regulatory amendments</w:t>
            </w:r>
          </w:p>
        </w:tc>
        <w:tc>
          <w:tcPr>
            <w:tcW w:w="1780" w:type="pct"/>
          </w:tcPr>
          <w:p w14:paraId="70A0B4DC" w14:textId="070DC48F" w:rsidR="008F655A" w:rsidRPr="007D162C" w:rsidRDefault="008425C9" w:rsidP="08D050C4">
            <w:pPr>
              <w:rPr>
                <w:color w:val="000000" w:themeColor="text1"/>
              </w:rPr>
            </w:pPr>
            <w:r w:rsidRPr="007D162C">
              <w:rPr>
                <w:color w:val="000000" w:themeColor="text1"/>
              </w:rPr>
              <w:t>Other (refer to implementation chapter)</w:t>
            </w:r>
          </w:p>
        </w:tc>
      </w:tr>
    </w:tbl>
    <w:p w14:paraId="2A41C4FF" w14:textId="77777777" w:rsidR="008F655A" w:rsidRPr="007D162C" w:rsidRDefault="008F655A" w:rsidP="008F655A">
      <w:pPr>
        <w:rPr>
          <w:rFonts w:ascii="Calibri" w:eastAsia="Calibri" w:hAnsi="Calibri" w:cs="Calibri"/>
          <w:color w:val="081E3E"/>
          <w:kern w:val="12"/>
          <w:sz w:val="36"/>
          <w:szCs w:val="36"/>
        </w:rPr>
      </w:pPr>
      <w:r w:rsidRPr="007D162C">
        <w:br w:type="page"/>
      </w:r>
    </w:p>
    <w:p w14:paraId="382F2708" w14:textId="558B0B22" w:rsidR="008F655A" w:rsidRPr="007D162C" w:rsidRDefault="08D050C4" w:rsidP="008F655A">
      <w:pPr>
        <w:pStyle w:val="Heading3"/>
      </w:pPr>
      <w:bookmarkStart w:id="33" w:name="_Toc106630011"/>
      <w:bookmarkStart w:id="34" w:name="_Toc122515421"/>
      <w:bookmarkStart w:id="35" w:name="_Toc130912488"/>
      <w:bookmarkStart w:id="36" w:name="_Toc130914387"/>
      <w:bookmarkStart w:id="37" w:name="_Toc132381873"/>
      <w:bookmarkStart w:id="38" w:name="_Toc140239683"/>
      <w:bookmarkEnd w:id="24"/>
      <w:r w:rsidRPr="007D162C">
        <w:lastRenderedPageBreak/>
        <w:t>Glossary of terms and abbreviations</w:t>
      </w:r>
      <w:bookmarkEnd w:id="33"/>
      <w:bookmarkEnd w:id="34"/>
      <w:bookmarkEnd w:id="35"/>
      <w:bookmarkEnd w:id="36"/>
      <w:bookmarkEnd w:id="37"/>
      <w:bookmarkEnd w:id="38"/>
    </w:p>
    <w:p w14:paraId="03F920D2" w14:textId="42DDB804" w:rsidR="008F655A" w:rsidRPr="007D162C" w:rsidRDefault="008F655A" w:rsidP="008B3BA2">
      <w:pPr>
        <w:pStyle w:val="Tablefigureheading"/>
      </w:pPr>
      <w:bookmarkStart w:id="39" w:name="_Toc122446309"/>
      <w:bookmarkStart w:id="40" w:name="_Toc139969161"/>
      <w:r w:rsidRPr="007D162C">
        <w:t xml:space="preserve">Table </w:t>
      </w:r>
      <w:fldSimple w:instr=" SEQ Table \* ARABIC ">
        <w:r w:rsidR="00DC26AC">
          <w:rPr>
            <w:noProof/>
          </w:rPr>
          <w:t>3</w:t>
        </w:r>
      </w:fldSimple>
      <w:r w:rsidRPr="007D162C">
        <w:t>: Glossary of terms and abbreviations used in the Decision RIS</w:t>
      </w:r>
      <w:bookmarkEnd w:id="39"/>
      <w:bookmarkEnd w:id="40"/>
    </w:p>
    <w:tbl>
      <w:tblPr>
        <w:tblStyle w:val="DefaultTable1"/>
        <w:tblW w:w="5093" w:type="pct"/>
        <w:tblLook w:val="0420" w:firstRow="1" w:lastRow="0" w:firstColumn="0" w:lastColumn="0" w:noHBand="0" w:noVBand="1"/>
        <w:tblCaption w:val="Glossary of terms and abbreviations used in the Decision RIS"/>
        <w:tblDescription w:val="This table outlines each term and abbreviation used throughout the Decision RIS with its corresponding description."/>
      </w:tblPr>
      <w:tblGrid>
        <w:gridCol w:w="2466"/>
        <w:gridCol w:w="7581"/>
      </w:tblGrid>
      <w:tr w:rsidR="008F655A" w:rsidRPr="007D162C" w14:paraId="12CDAC4A"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tcW w:w="1227" w:type="pct"/>
            <w:hideMark/>
          </w:tcPr>
          <w:p w14:paraId="076CD3A3" w14:textId="77777777" w:rsidR="008F655A" w:rsidRPr="007D162C" w:rsidRDefault="08D050C4" w:rsidP="008F655A">
            <w:r w:rsidRPr="007D162C">
              <w:t>Term / abbreviation</w:t>
            </w:r>
          </w:p>
        </w:tc>
        <w:tc>
          <w:tcPr>
            <w:tcW w:w="3773" w:type="pct"/>
            <w:hideMark/>
          </w:tcPr>
          <w:p w14:paraId="74FFC24B" w14:textId="77777777" w:rsidR="008F655A" w:rsidRPr="007D162C" w:rsidRDefault="08D050C4" w:rsidP="008F655A">
            <w:r w:rsidRPr="007D162C">
              <w:t>Description</w:t>
            </w:r>
          </w:p>
        </w:tc>
      </w:tr>
      <w:tr w:rsidR="008F655A" w:rsidRPr="007D162C" w14:paraId="746ECE90"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7573BDE" w14:textId="77777777" w:rsidR="008F655A" w:rsidRPr="007D162C" w:rsidRDefault="08D050C4" w:rsidP="008F655A">
            <w:r w:rsidRPr="007D162C">
              <w:t>ABS</w:t>
            </w:r>
          </w:p>
        </w:tc>
        <w:tc>
          <w:tcPr>
            <w:tcW w:w="3773" w:type="pct"/>
            <w:hideMark/>
          </w:tcPr>
          <w:p w14:paraId="68A09B32" w14:textId="77777777" w:rsidR="008F655A" w:rsidRPr="007D162C" w:rsidRDefault="08D050C4" w:rsidP="008F655A">
            <w:r w:rsidRPr="007D162C">
              <w:t>Australian Bureau of Statistics</w:t>
            </w:r>
          </w:p>
        </w:tc>
      </w:tr>
      <w:tr w:rsidR="008F655A" w:rsidRPr="007D162C" w14:paraId="0E0D716D" w14:textId="77777777" w:rsidTr="08D050C4">
        <w:tc>
          <w:tcPr>
            <w:tcW w:w="1227" w:type="pct"/>
          </w:tcPr>
          <w:p w14:paraId="59F75EC0" w14:textId="64F061EE" w:rsidR="008F655A" w:rsidRPr="007D162C" w:rsidRDefault="08D050C4" w:rsidP="008F655A">
            <w:r w:rsidRPr="007D162C">
              <w:t>ADS</w:t>
            </w:r>
            <w:r w:rsidR="00AE165A">
              <w:t xml:space="preserve"> (the Strategy)</w:t>
            </w:r>
          </w:p>
        </w:tc>
        <w:tc>
          <w:tcPr>
            <w:tcW w:w="3773" w:type="pct"/>
          </w:tcPr>
          <w:p w14:paraId="01FAD015" w14:textId="6E122D79" w:rsidR="008F655A" w:rsidRPr="007D162C" w:rsidRDefault="08D050C4" w:rsidP="008F655A">
            <w:r w:rsidRPr="007D162C">
              <w:t xml:space="preserve">Australia’s Disability Strategy 2021 to 2031. Refer to </w:t>
            </w:r>
            <w:hyperlink r:id="rId20">
              <w:r w:rsidRPr="007D162C">
                <w:rPr>
                  <w:rStyle w:val="Hyperlink"/>
                </w:rPr>
                <w:t>https://www.disabilitygateway.gov.au/ads</w:t>
              </w:r>
            </w:hyperlink>
            <w:r w:rsidRPr="007D162C">
              <w:t xml:space="preserve"> </w:t>
            </w:r>
          </w:p>
        </w:tc>
      </w:tr>
      <w:tr w:rsidR="008F655A" w:rsidRPr="007D162C" w14:paraId="6D579FE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34C51421" w14:textId="77777777" w:rsidR="008F655A" w:rsidRPr="007D162C" w:rsidRDefault="08D050C4" w:rsidP="008F655A">
            <w:r w:rsidRPr="007D162C">
              <w:t>AHRC</w:t>
            </w:r>
          </w:p>
        </w:tc>
        <w:tc>
          <w:tcPr>
            <w:tcW w:w="3773" w:type="pct"/>
            <w:hideMark/>
          </w:tcPr>
          <w:p w14:paraId="07A202F2" w14:textId="77777777" w:rsidR="008F655A" w:rsidRPr="007D162C" w:rsidRDefault="08D050C4" w:rsidP="008F655A">
            <w:r w:rsidRPr="007D162C">
              <w:t>Australian Human Rights Commission</w:t>
            </w:r>
          </w:p>
        </w:tc>
      </w:tr>
      <w:tr w:rsidR="008F655A" w:rsidRPr="007D162C" w14:paraId="6073B32D" w14:textId="77777777" w:rsidTr="08D050C4">
        <w:tc>
          <w:tcPr>
            <w:tcW w:w="1227" w:type="pct"/>
            <w:hideMark/>
          </w:tcPr>
          <w:p w14:paraId="559F5922" w14:textId="77777777" w:rsidR="008F655A" w:rsidRPr="007D162C" w:rsidRDefault="08D050C4" w:rsidP="008F655A">
            <w:r w:rsidRPr="007D162C">
              <w:t>AMSA</w:t>
            </w:r>
          </w:p>
        </w:tc>
        <w:tc>
          <w:tcPr>
            <w:tcW w:w="3773" w:type="pct"/>
            <w:hideMark/>
          </w:tcPr>
          <w:p w14:paraId="5D2B47F0" w14:textId="77777777" w:rsidR="008F655A" w:rsidRPr="007D162C" w:rsidRDefault="08D050C4" w:rsidP="008F655A">
            <w:r w:rsidRPr="007D162C">
              <w:t>Australian Maritime Safety Authority</w:t>
            </w:r>
          </w:p>
        </w:tc>
      </w:tr>
      <w:tr w:rsidR="008F655A" w:rsidRPr="007D162C" w14:paraId="73368E64"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1ADC241" w14:textId="77777777" w:rsidR="008F655A" w:rsidRPr="007D162C" w:rsidRDefault="08D050C4" w:rsidP="008F655A">
            <w:r w:rsidRPr="007D162C">
              <w:t>AS</w:t>
            </w:r>
          </w:p>
        </w:tc>
        <w:tc>
          <w:tcPr>
            <w:tcW w:w="3773" w:type="pct"/>
            <w:hideMark/>
          </w:tcPr>
          <w:p w14:paraId="12020997" w14:textId="77777777" w:rsidR="008F655A" w:rsidRPr="007D162C" w:rsidRDefault="08D050C4" w:rsidP="008F655A">
            <w:r w:rsidRPr="007D162C">
              <w:t>Australian Standard</w:t>
            </w:r>
          </w:p>
        </w:tc>
      </w:tr>
      <w:tr w:rsidR="008F655A" w:rsidRPr="007D162C" w14:paraId="3991E4A8" w14:textId="77777777" w:rsidTr="08D050C4">
        <w:tc>
          <w:tcPr>
            <w:tcW w:w="1227" w:type="pct"/>
            <w:hideMark/>
          </w:tcPr>
          <w:p w14:paraId="0F017670" w14:textId="77777777" w:rsidR="008F655A" w:rsidRPr="007D162C" w:rsidRDefault="08D050C4" w:rsidP="008F655A">
            <w:r w:rsidRPr="007D162C">
              <w:t>Conveyance</w:t>
            </w:r>
          </w:p>
        </w:tc>
        <w:tc>
          <w:tcPr>
            <w:tcW w:w="3773" w:type="pct"/>
            <w:hideMark/>
          </w:tcPr>
          <w:p w14:paraId="46294D93" w14:textId="6273A589" w:rsidR="008F655A" w:rsidRPr="007D162C" w:rsidRDefault="08D050C4" w:rsidP="008F655A">
            <w:r w:rsidRPr="007D162C">
              <w:t xml:space="preserve">As per Transport Standards section 1.12, Conveyance: </w:t>
            </w:r>
            <w:r w:rsidR="00C76DE9">
              <w:t>a</w:t>
            </w:r>
            <w:r w:rsidRPr="007D162C">
              <w:t xml:space="preserve"> conveyance includes any of the following, to the extent that they are used to provide a public transport service: aircraft, buses or coaches, ferries, taxis, trains, trams, light rail, monorails, rack railways, any other rolling stock, vehicle or vessel classified as public transport within its jurisdiction by regulation or administrative action of any Government in Australia. A conveyance does not include charter boats (including water taxis), limousines (including chauffeured hire cars) or self-drive rental cars.</w:t>
            </w:r>
          </w:p>
        </w:tc>
      </w:tr>
      <w:tr w:rsidR="008F655A" w:rsidRPr="007D162C" w14:paraId="7C107AF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2CFDDC38" w14:textId="77777777" w:rsidR="008F655A" w:rsidRPr="007D162C" w:rsidRDefault="08D050C4" w:rsidP="008F655A">
            <w:r w:rsidRPr="007D162C">
              <w:t xml:space="preserve">Department </w:t>
            </w:r>
          </w:p>
        </w:tc>
        <w:tc>
          <w:tcPr>
            <w:tcW w:w="3773" w:type="pct"/>
            <w:hideMark/>
          </w:tcPr>
          <w:p w14:paraId="21F62C5C" w14:textId="77777777" w:rsidR="008F655A" w:rsidRPr="007D162C" w:rsidRDefault="08D050C4" w:rsidP="008F655A">
            <w:r w:rsidRPr="007D162C">
              <w:t>Australian Government Department of Infrastructure, Transport, Regional Development Communications and the Arts.</w:t>
            </w:r>
          </w:p>
        </w:tc>
      </w:tr>
      <w:tr w:rsidR="008F655A" w:rsidRPr="007D162C" w14:paraId="6AE3CD82" w14:textId="77777777" w:rsidTr="08D050C4">
        <w:tc>
          <w:tcPr>
            <w:tcW w:w="1227" w:type="pct"/>
            <w:hideMark/>
          </w:tcPr>
          <w:p w14:paraId="1F4B5D9C" w14:textId="77777777" w:rsidR="008F655A" w:rsidRPr="007D162C" w:rsidRDefault="08D050C4" w:rsidP="008F655A">
            <w:r w:rsidRPr="007D162C">
              <w:t>DISER</w:t>
            </w:r>
          </w:p>
        </w:tc>
        <w:tc>
          <w:tcPr>
            <w:tcW w:w="3773" w:type="pct"/>
            <w:hideMark/>
          </w:tcPr>
          <w:p w14:paraId="2952DC8D" w14:textId="77777777" w:rsidR="008F655A" w:rsidRPr="007D162C" w:rsidRDefault="08D050C4" w:rsidP="008F655A">
            <w:r w:rsidRPr="007D162C">
              <w:t>Australian Government Department of Industry, Science, Energy and Resources</w:t>
            </w:r>
          </w:p>
        </w:tc>
      </w:tr>
      <w:tr w:rsidR="008F655A" w:rsidRPr="007D162C" w14:paraId="46B149A4"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404FEE96" w14:textId="77777777" w:rsidR="008F655A" w:rsidRPr="007D162C" w:rsidRDefault="08D050C4" w:rsidP="008F655A">
            <w:r w:rsidRPr="007D162C">
              <w:t>Disability Standards</w:t>
            </w:r>
          </w:p>
        </w:tc>
        <w:tc>
          <w:tcPr>
            <w:tcW w:w="3773" w:type="pct"/>
            <w:hideMark/>
          </w:tcPr>
          <w:p w14:paraId="5580BBCB" w14:textId="78658B48" w:rsidR="008F655A" w:rsidRPr="007D162C" w:rsidRDefault="08D050C4" w:rsidP="008F655A">
            <w:r w:rsidRPr="007D162C">
              <w:t xml:space="preserve">Refers to the legislative instruments developed under the </w:t>
            </w:r>
            <w:r w:rsidRPr="007D162C">
              <w:rPr>
                <w:i/>
                <w:iCs/>
              </w:rPr>
              <w:t>Disability</w:t>
            </w:r>
            <w:r w:rsidR="00C76DE9">
              <w:rPr>
                <w:i/>
                <w:iCs/>
              </w:rPr>
              <w:t> </w:t>
            </w:r>
            <w:r w:rsidRPr="007D162C">
              <w:rPr>
                <w:i/>
                <w:iCs/>
              </w:rPr>
              <w:t>Discrimination</w:t>
            </w:r>
            <w:r w:rsidR="00C76DE9">
              <w:rPr>
                <w:i/>
                <w:iCs/>
              </w:rPr>
              <w:t> </w:t>
            </w:r>
            <w:r w:rsidRPr="007D162C">
              <w:rPr>
                <w:i/>
                <w:iCs/>
              </w:rPr>
              <w:t>Act</w:t>
            </w:r>
            <w:r w:rsidR="00C76DE9">
              <w:rPr>
                <w:i/>
                <w:iCs/>
              </w:rPr>
              <w:t> </w:t>
            </w:r>
            <w:r w:rsidRPr="007D162C">
              <w:rPr>
                <w:i/>
                <w:iCs/>
              </w:rPr>
              <w:t>1992</w:t>
            </w:r>
            <w:r w:rsidRPr="007D162C">
              <w:t>, including the Disability Standards for Education 2005, Disability (Access to Premises—Buildings) Standards 2010 and the Disability Standards for Accessible Public Transport 2002.</w:t>
            </w:r>
          </w:p>
        </w:tc>
      </w:tr>
      <w:tr w:rsidR="008F655A" w:rsidRPr="007D162C" w14:paraId="271E7B82" w14:textId="77777777" w:rsidTr="08D050C4">
        <w:tc>
          <w:tcPr>
            <w:tcW w:w="1227" w:type="pct"/>
            <w:hideMark/>
          </w:tcPr>
          <w:p w14:paraId="1A62EBD3" w14:textId="77777777" w:rsidR="008F655A" w:rsidRPr="007D162C" w:rsidRDefault="08D050C4" w:rsidP="008F655A">
            <w:r w:rsidRPr="007D162C">
              <w:t>DDA</w:t>
            </w:r>
          </w:p>
        </w:tc>
        <w:tc>
          <w:tcPr>
            <w:tcW w:w="3773" w:type="pct"/>
            <w:hideMark/>
          </w:tcPr>
          <w:p w14:paraId="5FFDCFEC" w14:textId="77777777" w:rsidR="008F655A" w:rsidRPr="007D162C" w:rsidRDefault="08D050C4" w:rsidP="008F655A">
            <w:r w:rsidRPr="007D162C">
              <w:rPr>
                <w:i/>
                <w:iCs/>
              </w:rPr>
              <w:t>Disability Discrimination Act 1992</w:t>
            </w:r>
          </w:p>
        </w:tc>
      </w:tr>
      <w:tr w:rsidR="008F655A" w:rsidRPr="007D162C" w14:paraId="018FF64D"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5774FDD8" w14:textId="77777777" w:rsidR="008F655A" w:rsidRPr="007D162C" w:rsidRDefault="08D050C4" w:rsidP="008F655A">
            <w:r w:rsidRPr="007D162C">
              <w:t>DSAPT</w:t>
            </w:r>
          </w:p>
        </w:tc>
        <w:tc>
          <w:tcPr>
            <w:tcW w:w="3773" w:type="pct"/>
          </w:tcPr>
          <w:p w14:paraId="3E3B3C95" w14:textId="77777777" w:rsidR="008F655A" w:rsidRPr="007D162C" w:rsidRDefault="08D050C4" w:rsidP="008F655A">
            <w:r w:rsidRPr="007D162C">
              <w:t>Disability Standards for Accessible Public Transport 2002</w:t>
            </w:r>
          </w:p>
        </w:tc>
      </w:tr>
      <w:tr w:rsidR="008F655A" w:rsidRPr="007D162C" w14:paraId="5F138F02" w14:textId="77777777" w:rsidTr="08D050C4">
        <w:tc>
          <w:tcPr>
            <w:tcW w:w="1227" w:type="pct"/>
            <w:hideMark/>
          </w:tcPr>
          <w:p w14:paraId="0AE8971B" w14:textId="77777777" w:rsidR="008F655A" w:rsidRPr="007D162C" w:rsidRDefault="08D050C4" w:rsidP="008F655A">
            <w:r w:rsidRPr="007D162C">
              <w:t>Education Standards</w:t>
            </w:r>
          </w:p>
        </w:tc>
        <w:tc>
          <w:tcPr>
            <w:tcW w:w="3773" w:type="pct"/>
            <w:hideMark/>
          </w:tcPr>
          <w:p w14:paraId="17F9A3F4" w14:textId="77777777" w:rsidR="008F655A" w:rsidRPr="007D162C" w:rsidRDefault="08D050C4" w:rsidP="008F655A">
            <w:r w:rsidRPr="007D162C">
              <w:t>Disability Standards for Education 2005</w:t>
            </w:r>
          </w:p>
        </w:tc>
      </w:tr>
      <w:tr w:rsidR="008F655A" w:rsidRPr="007D162C" w14:paraId="771BD115"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C622D3D" w14:textId="77777777" w:rsidR="008F655A" w:rsidRPr="007D162C" w:rsidRDefault="08D050C4" w:rsidP="008F655A">
            <w:r w:rsidRPr="007D162C">
              <w:t>Infrastructure</w:t>
            </w:r>
          </w:p>
        </w:tc>
        <w:tc>
          <w:tcPr>
            <w:tcW w:w="3773" w:type="pct"/>
            <w:hideMark/>
          </w:tcPr>
          <w:p w14:paraId="2D6E2F5D" w14:textId="4F15AD8E" w:rsidR="008F655A" w:rsidRPr="007D162C" w:rsidRDefault="08D050C4" w:rsidP="008F655A">
            <w:r w:rsidRPr="007D162C">
              <w:t xml:space="preserve">As per Transport Standards section 1.18, Infrastructure: </w:t>
            </w:r>
            <w:r w:rsidR="00C76DE9">
              <w:t>i</w:t>
            </w:r>
            <w:r w:rsidRPr="007D162C">
              <w:t>nfrastructure is any structure or facility that is used by passengers in conjunction with travelling on a public transport service. Infrastructure does not include any area beyond immediate boarding points (for example, bus stops, wharves, ranks, rail stations, terminals).</w:t>
            </w:r>
          </w:p>
        </w:tc>
      </w:tr>
      <w:tr w:rsidR="008F655A" w:rsidRPr="007D162C" w14:paraId="4A0D4B80" w14:textId="77777777" w:rsidTr="08D050C4">
        <w:tc>
          <w:tcPr>
            <w:tcW w:w="1227" w:type="pct"/>
            <w:hideMark/>
          </w:tcPr>
          <w:p w14:paraId="01310BB8" w14:textId="77777777" w:rsidR="008F655A" w:rsidRPr="007D162C" w:rsidRDefault="08D050C4" w:rsidP="008F655A">
            <w:r w:rsidRPr="007D162C">
              <w:t>ITMM</w:t>
            </w:r>
          </w:p>
        </w:tc>
        <w:tc>
          <w:tcPr>
            <w:tcW w:w="3773" w:type="pct"/>
            <w:hideMark/>
          </w:tcPr>
          <w:p w14:paraId="519B3356" w14:textId="77777777" w:rsidR="008F655A" w:rsidRPr="007D162C" w:rsidRDefault="08D050C4" w:rsidP="008F655A">
            <w:r w:rsidRPr="007D162C">
              <w:t>Infrastructure and Transport Ministers Meeting</w:t>
            </w:r>
          </w:p>
        </w:tc>
      </w:tr>
      <w:tr w:rsidR="008F655A" w:rsidRPr="007D162C" w14:paraId="6D87456E"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B1649F5" w14:textId="77777777" w:rsidR="008F655A" w:rsidRPr="007D162C" w:rsidRDefault="08D050C4" w:rsidP="008F655A">
            <w:r w:rsidRPr="007D162C">
              <w:t>ITSOC</w:t>
            </w:r>
          </w:p>
        </w:tc>
        <w:tc>
          <w:tcPr>
            <w:tcW w:w="3773" w:type="pct"/>
            <w:hideMark/>
          </w:tcPr>
          <w:p w14:paraId="212041C1" w14:textId="77777777" w:rsidR="008F655A" w:rsidRPr="007D162C" w:rsidRDefault="08D050C4" w:rsidP="008F655A">
            <w:r w:rsidRPr="007D162C">
              <w:t>Infrastructure and Transport Senior Officials Committee</w:t>
            </w:r>
          </w:p>
        </w:tc>
      </w:tr>
      <w:tr w:rsidR="008F655A" w:rsidRPr="007D162C" w14:paraId="2AC95A8D" w14:textId="77777777" w:rsidTr="08D050C4">
        <w:tc>
          <w:tcPr>
            <w:tcW w:w="1227" w:type="pct"/>
            <w:hideMark/>
          </w:tcPr>
          <w:p w14:paraId="797F6F44" w14:textId="77777777" w:rsidR="008F655A" w:rsidRPr="007D162C" w:rsidRDefault="08D050C4" w:rsidP="008F655A">
            <w:r w:rsidRPr="007D162C">
              <w:t>NSCV</w:t>
            </w:r>
          </w:p>
        </w:tc>
        <w:tc>
          <w:tcPr>
            <w:tcW w:w="3773" w:type="pct"/>
            <w:hideMark/>
          </w:tcPr>
          <w:p w14:paraId="28DC6988" w14:textId="77777777" w:rsidR="008F655A" w:rsidRPr="007D162C" w:rsidRDefault="08D050C4" w:rsidP="008F655A">
            <w:r w:rsidRPr="007D162C">
              <w:t>National Standard for Commercial Vessels</w:t>
            </w:r>
          </w:p>
        </w:tc>
      </w:tr>
      <w:tr w:rsidR="008F655A" w:rsidRPr="007D162C" w14:paraId="4C92856B"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9A3AC64" w14:textId="77777777" w:rsidR="008F655A" w:rsidRPr="007D162C" w:rsidRDefault="08D050C4" w:rsidP="008F655A">
            <w:r w:rsidRPr="007D162C">
              <w:t>NZ</w:t>
            </w:r>
          </w:p>
        </w:tc>
        <w:tc>
          <w:tcPr>
            <w:tcW w:w="3773" w:type="pct"/>
            <w:hideMark/>
          </w:tcPr>
          <w:p w14:paraId="671931A5" w14:textId="77777777" w:rsidR="008F655A" w:rsidRPr="007D162C" w:rsidRDefault="08D050C4" w:rsidP="008F655A">
            <w:r w:rsidRPr="007D162C">
              <w:t>New Zealand</w:t>
            </w:r>
          </w:p>
        </w:tc>
      </w:tr>
      <w:tr w:rsidR="008F655A" w:rsidRPr="007D162C" w14:paraId="224292A9" w14:textId="77777777" w:rsidTr="08D050C4">
        <w:tc>
          <w:tcPr>
            <w:tcW w:w="1227" w:type="pct"/>
            <w:hideMark/>
          </w:tcPr>
          <w:p w14:paraId="2C154B17" w14:textId="77777777" w:rsidR="008F655A" w:rsidRPr="007D162C" w:rsidRDefault="08D050C4" w:rsidP="008F655A">
            <w:r w:rsidRPr="007D162C">
              <w:t>Operators</w:t>
            </w:r>
          </w:p>
        </w:tc>
        <w:tc>
          <w:tcPr>
            <w:tcW w:w="3773" w:type="pct"/>
            <w:hideMark/>
          </w:tcPr>
          <w:p w14:paraId="47EE7670" w14:textId="2D5E5997" w:rsidR="008F655A" w:rsidRPr="007D162C" w:rsidRDefault="08D050C4" w:rsidP="008F655A">
            <w:r w:rsidRPr="007D162C">
              <w:t xml:space="preserve">As per Transport Standards section 1.20, Operator: </w:t>
            </w:r>
            <w:r w:rsidR="00C76DE9">
              <w:t>a</w:t>
            </w:r>
            <w:r w:rsidRPr="007D162C">
              <w:t>n operator is a person or organisation (including the staff of the organisation) that provides a public transport services to the public or to section of the public. A public transport service may have more than one operator.</w:t>
            </w:r>
          </w:p>
        </w:tc>
      </w:tr>
      <w:tr w:rsidR="008F655A" w:rsidRPr="007D162C" w14:paraId="574C0761"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6F012D6A" w14:textId="77777777" w:rsidR="008F655A" w:rsidRPr="007D162C" w:rsidRDefault="08D050C4" w:rsidP="008F655A">
            <w:r w:rsidRPr="007D162C">
              <w:t>Passengers</w:t>
            </w:r>
          </w:p>
        </w:tc>
        <w:tc>
          <w:tcPr>
            <w:tcW w:w="3773" w:type="pct"/>
          </w:tcPr>
          <w:p w14:paraId="1B383B6A" w14:textId="77777777" w:rsidR="008F655A" w:rsidRPr="007D162C" w:rsidRDefault="08D050C4" w:rsidP="008F655A">
            <w:r w:rsidRPr="007D162C">
              <w:t xml:space="preserve">For the purpose of this document, passengers refers to members of the public that may potentially or actually use a public transport service. Refer to public transport services for further information. </w:t>
            </w:r>
          </w:p>
        </w:tc>
      </w:tr>
      <w:tr w:rsidR="008F655A" w:rsidRPr="007D162C" w14:paraId="43CC3B03" w14:textId="77777777" w:rsidTr="08D050C4">
        <w:tc>
          <w:tcPr>
            <w:tcW w:w="1227" w:type="pct"/>
            <w:hideMark/>
          </w:tcPr>
          <w:p w14:paraId="1AC40515" w14:textId="77777777" w:rsidR="008F655A" w:rsidRPr="007D162C" w:rsidRDefault="08D050C4" w:rsidP="008F655A">
            <w:r w:rsidRPr="007D162C">
              <w:t>Premises Standards</w:t>
            </w:r>
          </w:p>
        </w:tc>
        <w:tc>
          <w:tcPr>
            <w:tcW w:w="3773" w:type="pct"/>
            <w:hideMark/>
          </w:tcPr>
          <w:p w14:paraId="6D03BF3B" w14:textId="77777777" w:rsidR="008F655A" w:rsidRPr="007D162C" w:rsidRDefault="08D050C4" w:rsidP="008F655A">
            <w:r w:rsidRPr="007D162C">
              <w:t>Disability (Access to Premises—Buildings) Standards 2010</w:t>
            </w:r>
          </w:p>
        </w:tc>
      </w:tr>
      <w:tr w:rsidR="008F655A" w:rsidRPr="007D162C" w14:paraId="3FD049CC"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0D00B03E" w14:textId="77777777" w:rsidR="008F655A" w:rsidRPr="007D162C" w:rsidRDefault="08D050C4" w:rsidP="008F655A">
            <w:r w:rsidRPr="007D162C">
              <w:lastRenderedPageBreak/>
              <w:t>Premises</w:t>
            </w:r>
          </w:p>
        </w:tc>
        <w:tc>
          <w:tcPr>
            <w:tcW w:w="3773" w:type="pct"/>
            <w:hideMark/>
          </w:tcPr>
          <w:p w14:paraId="6E75FF4E" w14:textId="1A162A1A" w:rsidR="008F655A" w:rsidRPr="007D162C" w:rsidRDefault="08D050C4" w:rsidP="008F655A">
            <w:r w:rsidRPr="007D162C">
              <w:t xml:space="preserve">As per Transport Standards section 1.21, Premises: </w:t>
            </w:r>
            <w:r w:rsidR="00C76DE9">
              <w:t>p</w:t>
            </w:r>
            <w:r w:rsidRPr="007D162C">
              <w:t>remises are structures, buildings or attached facilities that an operator provides for passengers to use as part of a public transport service.</w:t>
            </w:r>
          </w:p>
        </w:tc>
      </w:tr>
      <w:tr w:rsidR="0046246C" w:rsidRPr="007D162C" w14:paraId="6AC65CD3" w14:textId="77777777" w:rsidTr="08D050C4">
        <w:tc>
          <w:tcPr>
            <w:tcW w:w="1227" w:type="pct"/>
          </w:tcPr>
          <w:p w14:paraId="34ABF7B1" w14:textId="77777777" w:rsidR="0046246C" w:rsidRPr="007D162C" w:rsidRDefault="08D050C4" w:rsidP="0046246C">
            <w:r w:rsidRPr="007D162C">
              <w:t xml:space="preserve">Prospective implementation </w:t>
            </w:r>
          </w:p>
        </w:tc>
        <w:tc>
          <w:tcPr>
            <w:tcW w:w="3773" w:type="pct"/>
          </w:tcPr>
          <w:p w14:paraId="444A204F" w14:textId="77777777" w:rsidR="0046246C" w:rsidRPr="007D162C" w:rsidRDefault="08D050C4" w:rsidP="0046246C">
            <w:r w:rsidRPr="007D162C">
              <w:t>Applies to all new public transport assets and will only apply to public transport assets that are currently in service if the asset is substantially upgraded.</w:t>
            </w:r>
          </w:p>
        </w:tc>
      </w:tr>
      <w:tr w:rsidR="0046246C" w:rsidRPr="007D162C" w14:paraId="519FBF4A"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6E3FA98" w14:textId="77777777" w:rsidR="0046246C" w:rsidRPr="007D162C" w:rsidRDefault="08D050C4" w:rsidP="0046246C">
            <w:r w:rsidRPr="007D162C">
              <w:t>Providers</w:t>
            </w:r>
          </w:p>
        </w:tc>
        <w:tc>
          <w:tcPr>
            <w:tcW w:w="3773" w:type="pct"/>
            <w:hideMark/>
          </w:tcPr>
          <w:p w14:paraId="03118173" w14:textId="7D11C4E1" w:rsidR="0046246C" w:rsidRPr="007D162C" w:rsidRDefault="08D050C4" w:rsidP="0046246C">
            <w:r w:rsidRPr="007D162C">
              <w:t xml:space="preserve">As per Transport Standards section 1.22, Provider: </w:t>
            </w:r>
            <w:r w:rsidR="00C76DE9">
              <w:t>a</w:t>
            </w:r>
            <w:r w:rsidRPr="007D162C">
              <w:t> provider is a person or organisation that is responsible for the supply or maintenance of public transport infrastructure. A provider need not be an operator.</w:t>
            </w:r>
          </w:p>
        </w:tc>
      </w:tr>
      <w:tr w:rsidR="0046246C" w:rsidRPr="007D162C" w14:paraId="74524629" w14:textId="77777777" w:rsidTr="08D050C4">
        <w:tc>
          <w:tcPr>
            <w:tcW w:w="1227" w:type="pct"/>
            <w:hideMark/>
          </w:tcPr>
          <w:p w14:paraId="787A61A8" w14:textId="77777777" w:rsidR="0046246C" w:rsidRPr="007D162C" w:rsidRDefault="08D050C4" w:rsidP="0046246C">
            <w:r w:rsidRPr="007D162C">
              <w:t>Public transport service</w:t>
            </w:r>
          </w:p>
        </w:tc>
        <w:tc>
          <w:tcPr>
            <w:tcW w:w="3773" w:type="pct"/>
            <w:hideMark/>
          </w:tcPr>
          <w:p w14:paraId="0A0170D5" w14:textId="3AE140AD" w:rsidR="0046246C" w:rsidRPr="007D162C" w:rsidRDefault="08D050C4" w:rsidP="0046246C">
            <w:r w:rsidRPr="007D162C">
              <w:t xml:space="preserve">As per Transport Standards section 1.23, Public transport service: </w:t>
            </w:r>
            <w:r w:rsidR="00C76DE9">
              <w:t>a</w:t>
            </w:r>
            <w:r w:rsidRPr="007D162C">
              <w:t xml:space="preserve"> public transport service is an enterprise that conveys members of the public by land, water or air. A public transport service includes: community transport conveyances that are funded or subsidised by charity or public money and that offer services to the public; and foreign aircraft and vessels that carry passengers to, from or in Australia and that offer services to the public. A public transport service does not include a service that provides adventure travel (for example, white water rafting, ballooning or amusement park rides), except to the extent that the service operates to move the public from one location to another distant location.</w:t>
            </w:r>
          </w:p>
        </w:tc>
      </w:tr>
      <w:tr w:rsidR="0046246C" w:rsidRPr="007D162C" w14:paraId="2D564619"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tcPr>
          <w:p w14:paraId="135A883C" w14:textId="77777777" w:rsidR="0046246C" w:rsidRPr="007D162C" w:rsidRDefault="08D050C4" w:rsidP="0046246C">
            <w:r w:rsidRPr="007D162C">
              <w:t xml:space="preserve">Retrospective implementation </w:t>
            </w:r>
          </w:p>
        </w:tc>
        <w:tc>
          <w:tcPr>
            <w:tcW w:w="3773" w:type="pct"/>
          </w:tcPr>
          <w:p w14:paraId="13292AA9" w14:textId="77777777" w:rsidR="0046246C" w:rsidRPr="007D162C" w:rsidRDefault="08D050C4" w:rsidP="0046246C">
            <w:r w:rsidRPr="007D162C">
              <w:t>Applies to all new public transport assets and all public transport assets that are currently in service in accordance with the dates in the compliance schedule.</w:t>
            </w:r>
          </w:p>
        </w:tc>
      </w:tr>
      <w:tr w:rsidR="0046246C" w:rsidRPr="007D162C" w14:paraId="2B904874" w14:textId="77777777" w:rsidTr="08D050C4">
        <w:tc>
          <w:tcPr>
            <w:tcW w:w="1227" w:type="pct"/>
            <w:hideMark/>
          </w:tcPr>
          <w:p w14:paraId="61CC0978" w14:textId="77777777" w:rsidR="0046246C" w:rsidRPr="007D162C" w:rsidRDefault="08D050C4" w:rsidP="0046246C">
            <w:r w:rsidRPr="007D162C">
              <w:t>RIS</w:t>
            </w:r>
          </w:p>
        </w:tc>
        <w:tc>
          <w:tcPr>
            <w:tcW w:w="3773" w:type="pct"/>
            <w:hideMark/>
          </w:tcPr>
          <w:p w14:paraId="6B941902" w14:textId="77777777" w:rsidR="0046246C" w:rsidRPr="007D162C" w:rsidRDefault="08D050C4" w:rsidP="0046246C">
            <w:r w:rsidRPr="007D162C">
              <w:t>Regulation Impact Statement</w:t>
            </w:r>
          </w:p>
        </w:tc>
      </w:tr>
      <w:tr w:rsidR="0046246C" w:rsidRPr="007D162C" w14:paraId="6896FA32"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938652D" w14:textId="77777777" w:rsidR="0046246C" w:rsidRPr="007D162C" w:rsidRDefault="08D050C4" w:rsidP="0046246C">
            <w:r w:rsidRPr="007D162C">
              <w:t>Steering Committee</w:t>
            </w:r>
          </w:p>
        </w:tc>
        <w:tc>
          <w:tcPr>
            <w:tcW w:w="3773" w:type="pct"/>
            <w:hideMark/>
          </w:tcPr>
          <w:p w14:paraId="638E63C9" w14:textId="77777777" w:rsidR="0046246C" w:rsidRPr="007D162C" w:rsidRDefault="08D050C4" w:rsidP="0046246C">
            <w:r w:rsidRPr="007D162C">
              <w:t>National Accessible Transport Steering Committee</w:t>
            </w:r>
          </w:p>
        </w:tc>
      </w:tr>
      <w:tr w:rsidR="0046246C" w:rsidRPr="007D162C" w14:paraId="15FB06E2" w14:textId="77777777" w:rsidTr="08D050C4">
        <w:tc>
          <w:tcPr>
            <w:tcW w:w="1227" w:type="pct"/>
            <w:hideMark/>
          </w:tcPr>
          <w:p w14:paraId="03094AC0" w14:textId="77777777" w:rsidR="0046246C" w:rsidRPr="007D162C" w:rsidRDefault="08D050C4" w:rsidP="0046246C">
            <w:r w:rsidRPr="007D162C">
              <w:t>Taskforce</w:t>
            </w:r>
          </w:p>
        </w:tc>
        <w:tc>
          <w:tcPr>
            <w:tcW w:w="3773" w:type="pct"/>
            <w:hideMark/>
          </w:tcPr>
          <w:p w14:paraId="16856186" w14:textId="77777777" w:rsidR="0046246C" w:rsidRPr="007D162C" w:rsidRDefault="08D050C4" w:rsidP="0046246C">
            <w:r w:rsidRPr="007D162C">
              <w:t>National Accessible Transport Taskforce</w:t>
            </w:r>
          </w:p>
        </w:tc>
      </w:tr>
      <w:tr w:rsidR="0046246C" w:rsidRPr="007D162C" w14:paraId="0A5FC67B"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A43D53B" w14:textId="77777777" w:rsidR="0046246C" w:rsidRPr="007D162C" w:rsidRDefault="08D050C4" w:rsidP="0046246C">
            <w:r w:rsidRPr="007D162C">
              <w:t>TGSI</w:t>
            </w:r>
          </w:p>
        </w:tc>
        <w:tc>
          <w:tcPr>
            <w:tcW w:w="3773" w:type="pct"/>
            <w:hideMark/>
          </w:tcPr>
          <w:p w14:paraId="77581D0F" w14:textId="77777777" w:rsidR="0046246C" w:rsidRPr="007D162C" w:rsidRDefault="08D050C4" w:rsidP="0046246C">
            <w:r w:rsidRPr="007D162C">
              <w:t>Tactile ground surface indicator</w:t>
            </w:r>
          </w:p>
        </w:tc>
      </w:tr>
      <w:tr w:rsidR="0046246C" w:rsidRPr="007D162C" w14:paraId="115B5CC4" w14:textId="77777777" w:rsidTr="08D050C4">
        <w:tc>
          <w:tcPr>
            <w:tcW w:w="1227" w:type="pct"/>
            <w:hideMark/>
          </w:tcPr>
          <w:p w14:paraId="174E243E" w14:textId="77777777" w:rsidR="0046246C" w:rsidRPr="007D162C" w:rsidRDefault="08D050C4" w:rsidP="0046246C">
            <w:r w:rsidRPr="007D162C">
              <w:t>The Whole Journey Guide</w:t>
            </w:r>
          </w:p>
        </w:tc>
        <w:tc>
          <w:tcPr>
            <w:tcW w:w="3773" w:type="pct"/>
            <w:hideMark/>
          </w:tcPr>
          <w:p w14:paraId="2BD123E9" w14:textId="77777777" w:rsidR="0046246C" w:rsidRPr="007D162C" w:rsidRDefault="08D050C4" w:rsidP="0046246C">
            <w:r w:rsidRPr="007D162C">
              <w:t>The Whole Journey Guide: A guide for thinking beyond compliance to create accessible public transport journeys</w:t>
            </w:r>
          </w:p>
        </w:tc>
      </w:tr>
      <w:tr w:rsidR="0046246C" w:rsidRPr="007D162C" w14:paraId="746B11F6"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79028ABD" w14:textId="77777777" w:rsidR="0046246C" w:rsidRPr="007D162C" w:rsidRDefault="08D050C4" w:rsidP="0046246C">
            <w:r w:rsidRPr="007D162C">
              <w:t>Transport Standards Guidelines</w:t>
            </w:r>
          </w:p>
        </w:tc>
        <w:tc>
          <w:tcPr>
            <w:tcW w:w="3773" w:type="pct"/>
            <w:hideMark/>
          </w:tcPr>
          <w:p w14:paraId="7191760F" w14:textId="77777777" w:rsidR="0046246C" w:rsidRPr="007D162C" w:rsidRDefault="08D050C4" w:rsidP="0046246C">
            <w:r w:rsidRPr="007D162C">
              <w:t>Guidelines: Equivalent Access under the Disability Standards for Accessible Public Transport 2002 (Cth)</w:t>
            </w:r>
          </w:p>
        </w:tc>
      </w:tr>
      <w:tr w:rsidR="0046246C" w:rsidRPr="007D162C" w14:paraId="7BDCB1FD" w14:textId="77777777" w:rsidTr="08D050C4">
        <w:tc>
          <w:tcPr>
            <w:tcW w:w="1227" w:type="pct"/>
            <w:hideMark/>
          </w:tcPr>
          <w:p w14:paraId="4A9CF597" w14:textId="77777777" w:rsidR="0046246C" w:rsidRPr="007D162C" w:rsidRDefault="08D050C4" w:rsidP="0046246C">
            <w:r w:rsidRPr="007D162C">
              <w:t>Transport Standards</w:t>
            </w:r>
          </w:p>
        </w:tc>
        <w:tc>
          <w:tcPr>
            <w:tcW w:w="3773" w:type="pct"/>
            <w:hideMark/>
          </w:tcPr>
          <w:p w14:paraId="02867900" w14:textId="77777777" w:rsidR="0046246C" w:rsidRPr="007D162C" w:rsidRDefault="08D050C4" w:rsidP="0046246C">
            <w:r w:rsidRPr="007D162C">
              <w:t>Disability Standards for Accessible Public Transport 2002</w:t>
            </w:r>
          </w:p>
        </w:tc>
      </w:tr>
      <w:tr w:rsidR="0046246C" w:rsidRPr="007D162C" w14:paraId="5FF81808" w14:textId="77777777" w:rsidTr="08D050C4">
        <w:trPr>
          <w:cnfStyle w:val="000000100000" w:firstRow="0" w:lastRow="0" w:firstColumn="0" w:lastColumn="0" w:oddVBand="0" w:evenVBand="0" w:oddHBand="1" w:evenHBand="0" w:firstRowFirstColumn="0" w:firstRowLastColumn="0" w:lastRowFirstColumn="0" w:lastRowLastColumn="0"/>
        </w:trPr>
        <w:tc>
          <w:tcPr>
            <w:tcW w:w="1227" w:type="pct"/>
            <w:hideMark/>
          </w:tcPr>
          <w:p w14:paraId="5CA53192" w14:textId="77777777" w:rsidR="0046246C" w:rsidRPr="007D162C" w:rsidRDefault="08D050C4" w:rsidP="0046246C">
            <w:r w:rsidRPr="007D162C">
              <w:t>UNCRPD</w:t>
            </w:r>
          </w:p>
        </w:tc>
        <w:tc>
          <w:tcPr>
            <w:tcW w:w="3773" w:type="pct"/>
            <w:hideMark/>
          </w:tcPr>
          <w:p w14:paraId="486B85C8" w14:textId="77777777" w:rsidR="0046246C" w:rsidRPr="007D162C" w:rsidRDefault="08D050C4" w:rsidP="0046246C">
            <w:r w:rsidRPr="007D162C">
              <w:t>United Nations Convention on the Rights of Persons with Disabilities</w:t>
            </w:r>
          </w:p>
        </w:tc>
      </w:tr>
    </w:tbl>
    <w:p w14:paraId="4BBEC498" w14:textId="77777777" w:rsidR="008F655A" w:rsidRPr="007D162C" w:rsidRDefault="008F655A" w:rsidP="008F655A">
      <w:pPr>
        <w:rPr>
          <w:rFonts w:ascii="Calibri" w:eastAsia="Calibri" w:hAnsi="Calibri" w:cs="Calibri"/>
          <w:color w:val="081E3E"/>
          <w:kern w:val="12"/>
          <w:sz w:val="36"/>
          <w:szCs w:val="36"/>
        </w:rPr>
      </w:pPr>
      <w:bookmarkStart w:id="41" w:name="_Toc106630012"/>
      <w:r w:rsidRPr="007D162C">
        <w:br w:type="page"/>
      </w:r>
    </w:p>
    <w:p w14:paraId="7088E551" w14:textId="3CFA7FED" w:rsidR="008F655A" w:rsidRPr="007D162C" w:rsidRDefault="08D050C4" w:rsidP="008F655A">
      <w:pPr>
        <w:pStyle w:val="Heading3"/>
      </w:pPr>
      <w:bookmarkStart w:id="42" w:name="_Toc122515422"/>
      <w:bookmarkStart w:id="43" w:name="_Toc130912489"/>
      <w:bookmarkStart w:id="44" w:name="_Toc130914388"/>
      <w:bookmarkStart w:id="45" w:name="_Toc132381874"/>
      <w:bookmarkStart w:id="46" w:name="_Toc140239684"/>
      <w:r w:rsidRPr="007D162C">
        <w:lastRenderedPageBreak/>
        <w:t>Glossary of Australian Standards and other standards references</w:t>
      </w:r>
      <w:bookmarkEnd w:id="41"/>
      <w:bookmarkEnd w:id="42"/>
      <w:bookmarkEnd w:id="43"/>
      <w:bookmarkEnd w:id="44"/>
      <w:bookmarkEnd w:id="45"/>
      <w:bookmarkEnd w:id="46"/>
    </w:p>
    <w:p w14:paraId="4ED2360F" w14:textId="2C8D922F" w:rsidR="008F655A" w:rsidRPr="007D162C" w:rsidRDefault="008F655A" w:rsidP="008B3BA2">
      <w:pPr>
        <w:pStyle w:val="Tablefigureheading"/>
      </w:pPr>
      <w:bookmarkStart w:id="47" w:name="_Toc122446310"/>
      <w:bookmarkStart w:id="48" w:name="_Toc139969162"/>
      <w:r w:rsidRPr="007D162C">
        <w:t xml:space="preserve">Table </w:t>
      </w:r>
      <w:fldSimple w:instr=" SEQ Table \* ARABIC ">
        <w:r w:rsidR="00DC26AC">
          <w:rPr>
            <w:noProof/>
          </w:rPr>
          <w:t>4</w:t>
        </w:r>
      </w:fldSimple>
      <w:r w:rsidRPr="007D162C">
        <w:t>: Glossary of Australian Standards and other standard references</w:t>
      </w:r>
      <w:bookmarkEnd w:id="47"/>
      <w:bookmarkEnd w:id="48"/>
    </w:p>
    <w:tbl>
      <w:tblPr>
        <w:tblStyle w:val="DefaultTable1"/>
        <w:tblW w:w="5093" w:type="pct"/>
        <w:tblLook w:val="0420" w:firstRow="1" w:lastRow="0" w:firstColumn="0" w:lastColumn="0" w:noHBand="0" w:noVBand="1"/>
        <w:tblCaption w:val="Glossary of Australian Standards and other standard references"/>
        <w:tblDescription w:val="This table outlines each Australian Standard number used throughout the Decision RIS with its corresponding title."/>
      </w:tblPr>
      <w:tblGrid>
        <w:gridCol w:w="2269"/>
        <w:gridCol w:w="7778"/>
      </w:tblGrid>
      <w:tr w:rsidR="008F655A" w:rsidRPr="007D162C" w14:paraId="2BC0420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tcW w:w="1129" w:type="pct"/>
            <w:hideMark/>
          </w:tcPr>
          <w:p w14:paraId="7170AAFF" w14:textId="77777777" w:rsidR="008F655A" w:rsidRPr="007D162C" w:rsidRDefault="08D050C4" w:rsidP="08D050C4">
            <w:pPr>
              <w:rPr>
                <w:sz w:val="21"/>
                <w:szCs w:val="21"/>
              </w:rPr>
            </w:pPr>
            <w:r w:rsidRPr="007D162C">
              <w:rPr>
                <w:sz w:val="21"/>
                <w:szCs w:val="21"/>
              </w:rPr>
              <w:t>Australian Standard</w:t>
            </w:r>
          </w:p>
        </w:tc>
        <w:tc>
          <w:tcPr>
            <w:tcW w:w="3871" w:type="pct"/>
            <w:hideMark/>
          </w:tcPr>
          <w:p w14:paraId="0A5CF8C5" w14:textId="77777777" w:rsidR="008F655A" w:rsidRPr="007D162C" w:rsidRDefault="08D050C4" w:rsidP="08D050C4">
            <w:pPr>
              <w:rPr>
                <w:sz w:val="21"/>
                <w:szCs w:val="21"/>
              </w:rPr>
            </w:pPr>
            <w:r w:rsidRPr="007D162C">
              <w:rPr>
                <w:sz w:val="21"/>
                <w:szCs w:val="21"/>
              </w:rPr>
              <w:t>Title</w:t>
            </w:r>
          </w:p>
        </w:tc>
      </w:tr>
      <w:tr w:rsidR="008F655A" w:rsidRPr="007D162C" w14:paraId="2CB1C04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09B2FE89" w14:textId="77777777" w:rsidR="008F655A" w:rsidRPr="007D162C" w:rsidRDefault="08D050C4" w:rsidP="08D050C4">
            <w:pPr>
              <w:rPr>
                <w:sz w:val="21"/>
                <w:szCs w:val="21"/>
              </w:rPr>
            </w:pPr>
            <w:r w:rsidRPr="007D162C">
              <w:rPr>
                <w:sz w:val="21"/>
                <w:szCs w:val="21"/>
              </w:rPr>
              <w:t xml:space="preserve">AS1428.1 (2001) </w:t>
            </w:r>
          </w:p>
        </w:tc>
        <w:tc>
          <w:tcPr>
            <w:tcW w:w="3871" w:type="pct"/>
            <w:hideMark/>
          </w:tcPr>
          <w:p w14:paraId="32DB9361"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9F4C36D" w14:textId="77777777" w:rsidTr="08D050C4">
        <w:tc>
          <w:tcPr>
            <w:tcW w:w="1129" w:type="pct"/>
            <w:hideMark/>
          </w:tcPr>
          <w:p w14:paraId="3A29A3E1" w14:textId="77777777" w:rsidR="008F655A" w:rsidRPr="007D162C" w:rsidRDefault="08D050C4" w:rsidP="08D050C4">
            <w:pPr>
              <w:rPr>
                <w:sz w:val="21"/>
                <w:szCs w:val="21"/>
              </w:rPr>
            </w:pPr>
            <w:r w:rsidRPr="007D162C">
              <w:rPr>
                <w:sz w:val="21"/>
                <w:szCs w:val="21"/>
              </w:rPr>
              <w:t xml:space="preserve">AS1428.1 (2009) </w:t>
            </w:r>
          </w:p>
        </w:tc>
        <w:tc>
          <w:tcPr>
            <w:tcW w:w="3871" w:type="pct"/>
            <w:hideMark/>
          </w:tcPr>
          <w:p w14:paraId="6A80CAE6"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E25B00A"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6DFA1FAF" w14:textId="77777777" w:rsidR="008F655A" w:rsidRPr="007D162C" w:rsidRDefault="08D050C4" w:rsidP="08D050C4">
            <w:pPr>
              <w:rPr>
                <w:sz w:val="21"/>
                <w:szCs w:val="21"/>
              </w:rPr>
            </w:pPr>
            <w:r w:rsidRPr="007D162C">
              <w:rPr>
                <w:sz w:val="21"/>
                <w:szCs w:val="21"/>
              </w:rPr>
              <w:t>AS1428.1 (2021)</w:t>
            </w:r>
          </w:p>
        </w:tc>
        <w:tc>
          <w:tcPr>
            <w:tcW w:w="3871" w:type="pct"/>
            <w:hideMark/>
          </w:tcPr>
          <w:p w14:paraId="2F9E7CC7" w14:textId="77777777" w:rsidR="008F655A" w:rsidRPr="007D162C" w:rsidRDefault="08D050C4" w:rsidP="08D050C4">
            <w:pPr>
              <w:rPr>
                <w:sz w:val="21"/>
                <w:szCs w:val="21"/>
              </w:rPr>
            </w:pPr>
            <w:r w:rsidRPr="007D162C">
              <w:rPr>
                <w:sz w:val="21"/>
                <w:szCs w:val="21"/>
              </w:rPr>
              <w:t>Design for access and mobility—General requirements for access—new building work</w:t>
            </w:r>
          </w:p>
        </w:tc>
      </w:tr>
      <w:tr w:rsidR="008F655A" w:rsidRPr="007D162C" w14:paraId="6C9E4E1B" w14:textId="77777777" w:rsidTr="08D050C4">
        <w:tc>
          <w:tcPr>
            <w:tcW w:w="1129" w:type="pct"/>
            <w:hideMark/>
          </w:tcPr>
          <w:p w14:paraId="36DF4FFE" w14:textId="77777777" w:rsidR="008F655A" w:rsidRPr="007D162C" w:rsidRDefault="08D050C4" w:rsidP="08D050C4">
            <w:pPr>
              <w:rPr>
                <w:sz w:val="21"/>
                <w:szCs w:val="21"/>
              </w:rPr>
            </w:pPr>
            <w:r w:rsidRPr="007D162C">
              <w:rPr>
                <w:sz w:val="21"/>
                <w:szCs w:val="21"/>
              </w:rPr>
              <w:t xml:space="preserve">AS1428.2 (1992) </w:t>
            </w:r>
          </w:p>
        </w:tc>
        <w:tc>
          <w:tcPr>
            <w:tcW w:w="3871" w:type="pct"/>
            <w:hideMark/>
          </w:tcPr>
          <w:p w14:paraId="300C8D87" w14:textId="77777777" w:rsidR="008F655A" w:rsidRPr="007D162C" w:rsidRDefault="08D050C4" w:rsidP="08D050C4">
            <w:pPr>
              <w:rPr>
                <w:sz w:val="21"/>
                <w:szCs w:val="21"/>
              </w:rPr>
            </w:pPr>
            <w:r w:rsidRPr="007D162C">
              <w:rPr>
                <w:sz w:val="21"/>
                <w:szCs w:val="21"/>
              </w:rPr>
              <w:t>Design for access and mobility. Part 2: Enhanced and additional requirements—Buildings and facilities</w:t>
            </w:r>
          </w:p>
        </w:tc>
      </w:tr>
      <w:tr w:rsidR="008F655A" w:rsidRPr="007D162C" w14:paraId="754B217E"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10274864" w14:textId="77777777" w:rsidR="008F655A" w:rsidRPr="007D162C" w:rsidRDefault="08D050C4" w:rsidP="08D050C4">
            <w:pPr>
              <w:rPr>
                <w:sz w:val="21"/>
                <w:szCs w:val="21"/>
              </w:rPr>
            </w:pPr>
            <w:r w:rsidRPr="007D162C">
              <w:rPr>
                <w:sz w:val="21"/>
                <w:szCs w:val="21"/>
              </w:rPr>
              <w:t xml:space="preserve">AS1428.4.2 (2018) </w:t>
            </w:r>
          </w:p>
        </w:tc>
        <w:tc>
          <w:tcPr>
            <w:tcW w:w="3871" w:type="pct"/>
            <w:hideMark/>
          </w:tcPr>
          <w:p w14:paraId="4E10CB11" w14:textId="77777777" w:rsidR="008F655A" w:rsidRPr="007D162C" w:rsidRDefault="08D050C4" w:rsidP="08D050C4">
            <w:pPr>
              <w:rPr>
                <w:sz w:val="21"/>
                <w:szCs w:val="21"/>
              </w:rPr>
            </w:pPr>
            <w:r w:rsidRPr="007D162C">
              <w:rPr>
                <w:sz w:val="21"/>
                <w:szCs w:val="21"/>
              </w:rPr>
              <w:t>Design for Access and Mobility, Part 4.2: Means to assist the orientation of people with vision impairment—Wayfinding signs</w:t>
            </w:r>
          </w:p>
        </w:tc>
      </w:tr>
      <w:tr w:rsidR="008F655A" w:rsidRPr="007D162C" w14:paraId="6CDC3B04" w14:textId="77777777" w:rsidTr="08D050C4">
        <w:tc>
          <w:tcPr>
            <w:tcW w:w="1129" w:type="pct"/>
            <w:hideMark/>
          </w:tcPr>
          <w:p w14:paraId="5E50C234" w14:textId="77777777" w:rsidR="008F655A" w:rsidRPr="007D162C" w:rsidRDefault="08D050C4" w:rsidP="08D050C4">
            <w:pPr>
              <w:rPr>
                <w:sz w:val="21"/>
                <w:szCs w:val="21"/>
              </w:rPr>
            </w:pPr>
            <w:r w:rsidRPr="007D162C">
              <w:rPr>
                <w:sz w:val="21"/>
                <w:szCs w:val="21"/>
              </w:rPr>
              <w:t xml:space="preserve">AS1428.5 (2010) </w:t>
            </w:r>
          </w:p>
        </w:tc>
        <w:tc>
          <w:tcPr>
            <w:tcW w:w="3871" w:type="pct"/>
            <w:hideMark/>
          </w:tcPr>
          <w:p w14:paraId="5B37203A" w14:textId="77777777" w:rsidR="008F655A" w:rsidRPr="007D162C" w:rsidRDefault="08D050C4" w:rsidP="08D050C4">
            <w:pPr>
              <w:rPr>
                <w:sz w:val="21"/>
                <w:szCs w:val="21"/>
              </w:rPr>
            </w:pPr>
            <w:r w:rsidRPr="007D162C">
              <w:rPr>
                <w:sz w:val="21"/>
                <w:szCs w:val="21"/>
              </w:rPr>
              <w:t>Design for access and mobility, Part 5: Communication for people who are deaf or hearing impaired</w:t>
            </w:r>
          </w:p>
        </w:tc>
      </w:tr>
      <w:tr w:rsidR="008F655A" w:rsidRPr="007D162C" w14:paraId="0725559F"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57D10283" w14:textId="77777777" w:rsidR="008F655A" w:rsidRPr="007D162C" w:rsidRDefault="08D050C4" w:rsidP="08D050C4">
            <w:pPr>
              <w:rPr>
                <w:sz w:val="21"/>
                <w:szCs w:val="21"/>
              </w:rPr>
            </w:pPr>
            <w:r w:rsidRPr="007D162C">
              <w:rPr>
                <w:sz w:val="21"/>
                <w:szCs w:val="21"/>
              </w:rPr>
              <w:t xml:space="preserve">AS1428.5 (2021) </w:t>
            </w:r>
          </w:p>
        </w:tc>
        <w:tc>
          <w:tcPr>
            <w:tcW w:w="3871" w:type="pct"/>
            <w:hideMark/>
          </w:tcPr>
          <w:p w14:paraId="085A3163" w14:textId="77777777" w:rsidR="008F655A" w:rsidRPr="007D162C" w:rsidRDefault="08D050C4" w:rsidP="08D050C4">
            <w:pPr>
              <w:rPr>
                <w:sz w:val="21"/>
                <w:szCs w:val="21"/>
              </w:rPr>
            </w:pPr>
            <w:r w:rsidRPr="007D162C">
              <w:rPr>
                <w:sz w:val="21"/>
                <w:szCs w:val="21"/>
              </w:rPr>
              <w:t>Design for access and mobility, Part 5: Communication for people who are deaf or hearing impaired</w:t>
            </w:r>
          </w:p>
        </w:tc>
      </w:tr>
      <w:tr w:rsidR="008F655A" w:rsidRPr="007D162C" w14:paraId="0C4BC195" w14:textId="77777777" w:rsidTr="08D050C4">
        <w:tc>
          <w:tcPr>
            <w:tcW w:w="1129" w:type="pct"/>
            <w:hideMark/>
          </w:tcPr>
          <w:p w14:paraId="3E526025" w14:textId="77777777" w:rsidR="008F655A" w:rsidRPr="007D162C" w:rsidRDefault="08D050C4" w:rsidP="08D050C4">
            <w:pPr>
              <w:rPr>
                <w:sz w:val="21"/>
                <w:szCs w:val="21"/>
              </w:rPr>
            </w:pPr>
            <w:r w:rsidRPr="007D162C">
              <w:rPr>
                <w:sz w:val="21"/>
                <w:szCs w:val="21"/>
              </w:rPr>
              <w:t xml:space="preserve">AS1735.12 (1999) </w:t>
            </w:r>
          </w:p>
        </w:tc>
        <w:tc>
          <w:tcPr>
            <w:tcW w:w="3871" w:type="pct"/>
            <w:hideMark/>
          </w:tcPr>
          <w:p w14:paraId="793F4BCC" w14:textId="77777777" w:rsidR="008F655A" w:rsidRPr="007D162C" w:rsidRDefault="08D050C4" w:rsidP="08D050C4">
            <w:pPr>
              <w:rPr>
                <w:sz w:val="21"/>
                <w:szCs w:val="21"/>
              </w:rPr>
            </w:pPr>
            <w:r w:rsidRPr="007D162C">
              <w:rPr>
                <w:sz w:val="21"/>
                <w:szCs w:val="21"/>
              </w:rPr>
              <w:t>Lifts, escalators and moving walkways</w:t>
            </w:r>
          </w:p>
        </w:tc>
      </w:tr>
      <w:tr w:rsidR="008F655A" w:rsidRPr="007D162C" w14:paraId="4DCB7179"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514E16F8" w14:textId="77777777" w:rsidR="008F655A" w:rsidRPr="007D162C" w:rsidRDefault="08D050C4" w:rsidP="08D050C4">
            <w:pPr>
              <w:rPr>
                <w:sz w:val="21"/>
                <w:szCs w:val="21"/>
              </w:rPr>
            </w:pPr>
            <w:r w:rsidRPr="007D162C">
              <w:rPr>
                <w:sz w:val="21"/>
                <w:szCs w:val="21"/>
              </w:rPr>
              <w:t xml:space="preserve">AS1735.12 (2020) </w:t>
            </w:r>
          </w:p>
        </w:tc>
        <w:tc>
          <w:tcPr>
            <w:tcW w:w="3871" w:type="pct"/>
            <w:hideMark/>
          </w:tcPr>
          <w:p w14:paraId="3BD3F785" w14:textId="77777777" w:rsidR="008F655A" w:rsidRPr="007D162C" w:rsidRDefault="08D050C4" w:rsidP="08D050C4">
            <w:pPr>
              <w:rPr>
                <w:sz w:val="21"/>
                <w:szCs w:val="21"/>
              </w:rPr>
            </w:pPr>
            <w:r w:rsidRPr="007D162C">
              <w:rPr>
                <w:sz w:val="21"/>
                <w:szCs w:val="21"/>
              </w:rPr>
              <w:t>Lifts, escalators and moving walkways</w:t>
            </w:r>
          </w:p>
        </w:tc>
      </w:tr>
      <w:tr w:rsidR="008F655A" w:rsidRPr="007D162C" w14:paraId="493C1B87" w14:textId="77777777" w:rsidTr="08D050C4">
        <w:tc>
          <w:tcPr>
            <w:tcW w:w="1129" w:type="pct"/>
            <w:hideMark/>
          </w:tcPr>
          <w:p w14:paraId="10CD05BA" w14:textId="77777777" w:rsidR="008F655A" w:rsidRPr="007D162C" w:rsidRDefault="08D050C4" w:rsidP="08D050C4">
            <w:pPr>
              <w:rPr>
                <w:sz w:val="21"/>
                <w:szCs w:val="21"/>
              </w:rPr>
            </w:pPr>
            <w:r w:rsidRPr="007D162C">
              <w:rPr>
                <w:sz w:val="21"/>
                <w:szCs w:val="21"/>
              </w:rPr>
              <w:t xml:space="preserve">AS1742.11 (2016) </w:t>
            </w:r>
          </w:p>
        </w:tc>
        <w:tc>
          <w:tcPr>
            <w:tcW w:w="3871" w:type="pct"/>
            <w:hideMark/>
          </w:tcPr>
          <w:p w14:paraId="24617116" w14:textId="77777777" w:rsidR="008F655A" w:rsidRPr="007D162C" w:rsidRDefault="08D050C4" w:rsidP="08D050C4">
            <w:pPr>
              <w:rPr>
                <w:sz w:val="21"/>
                <w:szCs w:val="21"/>
              </w:rPr>
            </w:pPr>
            <w:r w:rsidRPr="007D162C">
              <w:rPr>
                <w:sz w:val="21"/>
                <w:szCs w:val="21"/>
              </w:rPr>
              <w:t>Manual of uniform traffic control devices, Part 11: Parking controls (MUTCD)</w:t>
            </w:r>
          </w:p>
        </w:tc>
      </w:tr>
      <w:tr w:rsidR="008F655A" w:rsidRPr="007D162C" w14:paraId="2BEA32B4"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21F8EF46" w14:textId="77777777" w:rsidR="008F655A" w:rsidRPr="007D162C" w:rsidRDefault="08D050C4" w:rsidP="08D050C4">
            <w:pPr>
              <w:rPr>
                <w:sz w:val="21"/>
                <w:szCs w:val="21"/>
              </w:rPr>
            </w:pPr>
            <w:r w:rsidRPr="007D162C">
              <w:rPr>
                <w:sz w:val="21"/>
                <w:szCs w:val="21"/>
              </w:rPr>
              <w:t xml:space="preserve">AS1742.7 (2016) </w:t>
            </w:r>
          </w:p>
        </w:tc>
        <w:tc>
          <w:tcPr>
            <w:tcW w:w="3871" w:type="pct"/>
            <w:hideMark/>
          </w:tcPr>
          <w:p w14:paraId="6600131D" w14:textId="77777777" w:rsidR="008F655A" w:rsidRPr="007D162C" w:rsidRDefault="08D050C4" w:rsidP="08D050C4">
            <w:pPr>
              <w:rPr>
                <w:sz w:val="21"/>
                <w:szCs w:val="21"/>
              </w:rPr>
            </w:pPr>
            <w:r w:rsidRPr="007D162C">
              <w:rPr>
                <w:sz w:val="21"/>
                <w:szCs w:val="21"/>
              </w:rPr>
              <w:t>Manual of uniform traffic control devices, Part 7: Railway crossings</w:t>
            </w:r>
          </w:p>
        </w:tc>
      </w:tr>
      <w:tr w:rsidR="008F655A" w:rsidRPr="007D162C" w14:paraId="5A749F02" w14:textId="77777777" w:rsidTr="08D050C4">
        <w:tc>
          <w:tcPr>
            <w:tcW w:w="1129" w:type="pct"/>
            <w:hideMark/>
          </w:tcPr>
          <w:p w14:paraId="52A7DDD5" w14:textId="77777777" w:rsidR="008F655A" w:rsidRPr="007D162C" w:rsidRDefault="08D050C4" w:rsidP="08D050C4">
            <w:pPr>
              <w:rPr>
                <w:sz w:val="21"/>
                <w:szCs w:val="21"/>
              </w:rPr>
            </w:pPr>
            <w:r w:rsidRPr="007D162C">
              <w:rPr>
                <w:sz w:val="21"/>
                <w:szCs w:val="21"/>
              </w:rPr>
              <w:t xml:space="preserve">AS2890.5 (2020) </w:t>
            </w:r>
          </w:p>
        </w:tc>
        <w:tc>
          <w:tcPr>
            <w:tcW w:w="3871" w:type="pct"/>
            <w:hideMark/>
          </w:tcPr>
          <w:p w14:paraId="0CF6284C" w14:textId="77777777" w:rsidR="008F655A" w:rsidRPr="007D162C" w:rsidRDefault="08D050C4" w:rsidP="08D050C4">
            <w:pPr>
              <w:rPr>
                <w:sz w:val="21"/>
                <w:szCs w:val="21"/>
              </w:rPr>
            </w:pPr>
            <w:r w:rsidRPr="007D162C">
              <w:rPr>
                <w:sz w:val="21"/>
                <w:szCs w:val="21"/>
              </w:rPr>
              <w:t>Parking facilities, Part 5: On-street parking</w:t>
            </w:r>
          </w:p>
        </w:tc>
      </w:tr>
      <w:tr w:rsidR="008F655A" w:rsidRPr="007D162C" w14:paraId="5A9336D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470500CB" w14:textId="77777777" w:rsidR="008F655A" w:rsidRPr="007D162C" w:rsidRDefault="08D050C4" w:rsidP="08D050C4">
            <w:pPr>
              <w:rPr>
                <w:sz w:val="21"/>
                <w:szCs w:val="21"/>
              </w:rPr>
            </w:pPr>
            <w:r w:rsidRPr="007D162C">
              <w:rPr>
                <w:sz w:val="21"/>
                <w:szCs w:val="21"/>
              </w:rPr>
              <w:t xml:space="preserve">AS3856.1 (2021) </w:t>
            </w:r>
          </w:p>
        </w:tc>
        <w:tc>
          <w:tcPr>
            <w:tcW w:w="3871" w:type="pct"/>
            <w:hideMark/>
          </w:tcPr>
          <w:p w14:paraId="25FC4942" w14:textId="77777777" w:rsidR="008F655A" w:rsidRPr="007D162C" w:rsidRDefault="08D050C4" w:rsidP="08D050C4">
            <w:pPr>
              <w:rPr>
                <w:sz w:val="21"/>
                <w:szCs w:val="21"/>
              </w:rPr>
            </w:pPr>
            <w:r w:rsidRPr="007D162C">
              <w:rPr>
                <w:sz w:val="21"/>
                <w:szCs w:val="21"/>
              </w:rPr>
              <w:t>Hoists and ramps for people with disabilities—Vehicle mounted, Part 1: Product requirements</w:t>
            </w:r>
          </w:p>
        </w:tc>
      </w:tr>
      <w:tr w:rsidR="008F655A" w:rsidRPr="007D162C" w14:paraId="75D1B13D" w14:textId="77777777" w:rsidTr="08D050C4">
        <w:tc>
          <w:tcPr>
            <w:tcW w:w="1129" w:type="pct"/>
            <w:hideMark/>
          </w:tcPr>
          <w:p w14:paraId="5CAB324A" w14:textId="77777777" w:rsidR="008F655A" w:rsidRPr="007D162C" w:rsidRDefault="08D050C4" w:rsidP="08D050C4">
            <w:pPr>
              <w:rPr>
                <w:sz w:val="21"/>
                <w:szCs w:val="21"/>
              </w:rPr>
            </w:pPr>
            <w:r w:rsidRPr="007D162C">
              <w:rPr>
                <w:sz w:val="21"/>
                <w:szCs w:val="21"/>
              </w:rPr>
              <w:t xml:space="preserve">AS3962 (2020) </w:t>
            </w:r>
          </w:p>
        </w:tc>
        <w:tc>
          <w:tcPr>
            <w:tcW w:w="3871" w:type="pct"/>
            <w:hideMark/>
          </w:tcPr>
          <w:p w14:paraId="2EB52177" w14:textId="77777777" w:rsidR="008F655A" w:rsidRPr="007D162C" w:rsidRDefault="08D050C4" w:rsidP="08D050C4">
            <w:pPr>
              <w:rPr>
                <w:sz w:val="21"/>
                <w:szCs w:val="21"/>
              </w:rPr>
            </w:pPr>
            <w:r w:rsidRPr="007D162C">
              <w:rPr>
                <w:sz w:val="21"/>
                <w:szCs w:val="21"/>
              </w:rPr>
              <w:t>Marina Design</w:t>
            </w:r>
          </w:p>
        </w:tc>
      </w:tr>
      <w:tr w:rsidR="008F655A" w:rsidRPr="007D162C" w14:paraId="001E25D1"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0889574B" w14:textId="77777777" w:rsidR="008F655A" w:rsidRPr="007D162C" w:rsidRDefault="08D050C4" w:rsidP="08D050C4">
            <w:pPr>
              <w:rPr>
                <w:sz w:val="21"/>
                <w:szCs w:val="21"/>
              </w:rPr>
            </w:pPr>
            <w:r w:rsidRPr="007D162C">
              <w:rPr>
                <w:sz w:val="21"/>
                <w:szCs w:val="21"/>
              </w:rPr>
              <w:t xml:space="preserve">AS/EN301549 (2016) </w:t>
            </w:r>
          </w:p>
        </w:tc>
        <w:tc>
          <w:tcPr>
            <w:tcW w:w="3871" w:type="pct"/>
            <w:hideMark/>
          </w:tcPr>
          <w:p w14:paraId="17E67B8A" w14:textId="77777777" w:rsidR="008F655A" w:rsidRPr="007D162C" w:rsidRDefault="08D050C4" w:rsidP="08D050C4">
            <w:pPr>
              <w:rPr>
                <w:sz w:val="21"/>
                <w:szCs w:val="21"/>
              </w:rPr>
            </w:pPr>
            <w:r w:rsidRPr="007D162C">
              <w:rPr>
                <w:sz w:val="21"/>
                <w:szCs w:val="21"/>
              </w:rPr>
              <w:t>Accessibility requirements suitable for public procurement of ICT products and services</w:t>
            </w:r>
          </w:p>
        </w:tc>
      </w:tr>
      <w:tr w:rsidR="008F655A" w:rsidRPr="007D162C" w14:paraId="79AE266A" w14:textId="77777777" w:rsidTr="08D050C4">
        <w:tc>
          <w:tcPr>
            <w:tcW w:w="1129" w:type="pct"/>
            <w:hideMark/>
          </w:tcPr>
          <w:p w14:paraId="1F9D7DBF" w14:textId="77777777" w:rsidR="008F655A" w:rsidRPr="007D162C" w:rsidRDefault="08D050C4" w:rsidP="08D050C4">
            <w:pPr>
              <w:rPr>
                <w:sz w:val="21"/>
                <w:szCs w:val="21"/>
              </w:rPr>
            </w:pPr>
            <w:r w:rsidRPr="007D162C">
              <w:rPr>
                <w:sz w:val="21"/>
                <w:szCs w:val="21"/>
              </w:rPr>
              <w:t xml:space="preserve">AS/EN301549 (2020) </w:t>
            </w:r>
          </w:p>
        </w:tc>
        <w:tc>
          <w:tcPr>
            <w:tcW w:w="3871" w:type="pct"/>
            <w:hideMark/>
          </w:tcPr>
          <w:p w14:paraId="77EDD26A" w14:textId="77777777" w:rsidR="008F655A" w:rsidRPr="007D162C" w:rsidRDefault="08D050C4" w:rsidP="08D050C4">
            <w:pPr>
              <w:rPr>
                <w:sz w:val="21"/>
                <w:szCs w:val="21"/>
              </w:rPr>
            </w:pPr>
            <w:r w:rsidRPr="007D162C">
              <w:rPr>
                <w:sz w:val="21"/>
                <w:szCs w:val="21"/>
              </w:rPr>
              <w:t>Accessibility requirements suitable for public procurement of ICT products and services</w:t>
            </w:r>
          </w:p>
        </w:tc>
      </w:tr>
      <w:tr w:rsidR="008F655A" w:rsidRPr="007D162C" w14:paraId="04C343E3"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29049EBB" w14:textId="77777777" w:rsidR="008F655A" w:rsidRPr="007D162C" w:rsidRDefault="08D050C4" w:rsidP="08D050C4">
            <w:pPr>
              <w:rPr>
                <w:sz w:val="21"/>
                <w:szCs w:val="21"/>
              </w:rPr>
            </w:pPr>
            <w:r w:rsidRPr="007D162C">
              <w:rPr>
                <w:sz w:val="21"/>
                <w:szCs w:val="21"/>
              </w:rPr>
              <w:t xml:space="preserve">AS/NZS1158.3.1 (2020) </w:t>
            </w:r>
          </w:p>
        </w:tc>
        <w:tc>
          <w:tcPr>
            <w:tcW w:w="3871" w:type="pct"/>
            <w:hideMark/>
          </w:tcPr>
          <w:p w14:paraId="314A26E7" w14:textId="77777777" w:rsidR="008F655A" w:rsidRPr="007D162C" w:rsidRDefault="08D050C4" w:rsidP="08D050C4">
            <w:pPr>
              <w:rPr>
                <w:sz w:val="21"/>
                <w:szCs w:val="21"/>
              </w:rPr>
            </w:pPr>
            <w:r w:rsidRPr="007D162C">
              <w:rPr>
                <w:sz w:val="21"/>
                <w:szCs w:val="21"/>
              </w:rPr>
              <w:t>Lighting for roads and public spaces, Part 3.1: Pedestrian area (Category P) lighting—Performance and design requirements for unenclosed zones</w:t>
            </w:r>
          </w:p>
        </w:tc>
      </w:tr>
      <w:tr w:rsidR="008F655A" w:rsidRPr="007D162C" w14:paraId="40EF5352" w14:textId="77777777" w:rsidTr="08D050C4">
        <w:tc>
          <w:tcPr>
            <w:tcW w:w="1129" w:type="pct"/>
            <w:hideMark/>
          </w:tcPr>
          <w:p w14:paraId="52101861" w14:textId="77777777" w:rsidR="008F655A" w:rsidRPr="007D162C" w:rsidRDefault="08D050C4" w:rsidP="08D050C4">
            <w:pPr>
              <w:rPr>
                <w:sz w:val="21"/>
                <w:szCs w:val="21"/>
              </w:rPr>
            </w:pPr>
            <w:r w:rsidRPr="007D162C">
              <w:rPr>
                <w:sz w:val="21"/>
                <w:szCs w:val="21"/>
              </w:rPr>
              <w:t xml:space="preserve">AS/NZS1680.2.1 (2008) </w:t>
            </w:r>
          </w:p>
        </w:tc>
        <w:tc>
          <w:tcPr>
            <w:tcW w:w="3871" w:type="pct"/>
            <w:hideMark/>
          </w:tcPr>
          <w:p w14:paraId="4E8434ED" w14:textId="77777777" w:rsidR="008F655A" w:rsidRPr="007D162C" w:rsidRDefault="08D050C4" w:rsidP="08D050C4">
            <w:pPr>
              <w:rPr>
                <w:sz w:val="21"/>
                <w:szCs w:val="21"/>
              </w:rPr>
            </w:pPr>
            <w:r w:rsidRPr="007D162C">
              <w:rPr>
                <w:sz w:val="21"/>
                <w:szCs w:val="21"/>
              </w:rPr>
              <w:t>Interior and workplace lighting, Part 2.1: Specific applications—Circulation spaces and other general areas, and outlines specific lux levels for various contexts and elements</w:t>
            </w:r>
          </w:p>
        </w:tc>
      </w:tr>
      <w:tr w:rsidR="008F655A" w:rsidRPr="007D162C" w14:paraId="1C55B455"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385C47DB" w14:textId="77777777" w:rsidR="008F655A" w:rsidRPr="007D162C" w:rsidRDefault="08D050C4" w:rsidP="08D050C4">
            <w:pPr>
              <w:rPr>
                <w:sz w:val="21"/>
                <w:szCs w:val="21"/>
              </w:rPr>
            </w:pPr>
            <w:r w:rsidRPr="007D162C">
              <w:rPr>
                <w:sz w:val="21"/>
                <w:szCs w:val="21"/>
              </w:rPr>
              <w:t xml:space="preserve">AS/NZS3856.1 (1998) </w:t>
            </w:r>
          </w:p>
        </w:tc>
        <w:tc>
          <w:tcPr>
            <w:tcW w:w="3871" w:type="pct"/>
            <w:hideMark/>
          </w:tcPr>
          <w:p w14:paraId="473D78F2" w14:textId="77777777" w:rsidR="008F655A" w:rsidRPr="007D162C" w:rsidRDefault="08D050C4" w:rsidP="08D050C4">
            <w:pPr>
              <w:rPr>
                <w:sz w:val="21"/>
                <w:szCs w:val="21"/>
              </w:rPr>
            </w:pPr>
            <w:r w:rsidRPr="007D162C">
              <w:rPr>
                <w:sz w:val="21"/>
                <w:szCs w:val="21"/>
              </w:rPr>
              <w:t>Hoists and ramps for people with disabilities—Vehicle-mounted, Part 1: Product requirements</w:t>
            </w:r>
          </w:p>
        </w:tc>
      </w:tr>
      <w:tr w:rsidR="008F655A" w:rsidRPr="007D162C" w14:paraId="75419C84" w14:textId="77777777" w:rsidTr="08D050C4">
        <w:tc>
          <w:tcPr>
            <w:tcW w:w="1129" w:type="pct"/>
            <w:hideMark/>
          </w:tcPr>
          <w:p w14:paraId="1EF3E13F" w14:textId="77777777" w:rsidR="008F655A" w:rsidRPr="007D162C" w:rsidRDefault="08D050C4" w:rsidP="08D050C4">
            <w:pPr>
              <w:rPr>
                <w:sz w:val="21"/>
                <w:szCs w:val="21"/>
              </w:rPr>
            </w:pPr>
            <w:r w:rsidRPr="007D162C">
              <w:rPr>
                <w:sz w:val="21"/>
                <w:szCs w:val="21"/>
              </w:rPr>
              <w:t xml:space="preserve">AS/NZS4282 (2019) </w:t>
            </w:r>
          </w:p>
        </w:tc>
        <w:tc>
          <w:tcPr>
            <w:tcW w:w="3871" w:type="pct"/>
            <w:hideMark/>
          </w:tcPr>
          <w:p w14:paraId="0D14E27D" w14:textId="77777777" w:rsidR="008F655A" w:rsidRPr="007D162C" w:rsidRDefault="08D050C4" w:rsidP="08D050C4">
            <w:pPr>
              <w:rPr>
                <w:sz w:val="21"/>
                <w:szCs w:val="21"/>
              </w:rPr>
            </w:pPr>
            <w:r w:rsidRPr="007D162C">
              <w:rPr>
                <w:sz w:val="21"/>
                <w:szCs w:val="21"/>
              </w:rPr>
              <w:t>Control of the obtrusive effects of outdoor lighting</w:t>
            </w:r>
          </w:p>
        </w:tc>
      </w:tr>
      <w:tr w:rsidR="008F655A" w:rsidRPr="007D162C" w14:paraId="2A99553C" w14:textId="77777777" w:rsidTr="08D050C4">
        <w:trPr>
          <w:cnfStyle w:val="000000100000" w:firstRow="0" w:lastRow="0" w:firstColumn="0" w:lastColumn="0" w:oddVBand="0" w:evenVBand="0" w:oddHBand="1" w:evenHBand="0" w:firstRowFirstColumn="0" w:firstRowLastColumn="0" w:lastRowFirstColumn="0" w:lastRowLastColumn="0"/>
        </w:trPr>
        <w:tc>
          <w:tcPr>
            <w:tcW w:w="1129" w:type="pct"/>
            <w:hideMark/>
          </w:tcPr>
          <w:p w14:paraId="711E5C40" w14:textId="77777777" w:rsidR="008F655A" w:rsidRPr="007D162C" w:rsidRDefault="08D050C4" w:rsidP="08D050C4">
            <w:pPr>
              <w:rPr>
                <w:sz w:val="21"/>
                <w:szCs w:val="21"/>
              </w:rPr>
            </w:pPr>
            <w:r w:rsidRPr="007D162C">
              <w:rPr>
                <w:sz w:val="21"/>
                <w:szCs w:val="21"/>
              </w:rPr>
              <w:t xml:space="preserve">AS/NZS10542.1 (2015) </w:t>
            </w:r>
          </w:p>
        </w:tc>
        <w:tc>
          <w:tcPr>
            <w:tcW w:w="3871" w:type="pct"/>
            <w:hideMark/>
          </w:tcPr>
          <w:p w14:paraId="34C5FD76" w14:textId="77777777" w:rsidR="008F655A" w:rsidRPr="007D162C" w:rsidRDefault="08D050C4" w:rsidP="08D050C4">
            <w:pPr>
              <w:rPr>
                <w:sz w:val="21"/>
                <w:szCs w:val="21"/>
              </w:rPr>
            </w:pPr>
            <w:r w:rsidRPr="007D162C">
              <w:rPr>
                <w:sz w:val="21"/>
                <w:szCs w:val="21"/>
              </w:rPr>
              <w:t>Technical systems and aids for people with disability—Wheelchair tiedown and occupant-restraint systems, Part 1: Requirements and test methods for all systems</w:t>
            </w:r>
          </w:p>
        </w:tc>
      </w:tr>
    </w:tbl>
    <w:p w14:paraId="5767AF92" w14:textId="77777777" w:rsidR="008F655A" w:rsidRPr="007D162C" w:rsidRDefault="008F655A" w:rsidP="008F655A">
      <w:pPr>
        <w:pStyle w:val="Heading2"/>
        <w:sectPr w:rsidR="008F655A" w:rsidRPr="007D162C" w:rsidSect="005B26D9">
          <w:headerReference w:type="default" r:id="rId21"/>
          <w:type w:val="continuous"/>
          <w:pgSz w:w="11906" w:h="16838" w:code="9"/>
          <w:pgMar w:top="1021" w:right="1021" w:bottom="1021" w:left="1021" w:header="510" w:footer="567" w:gutter="0"/>
          <w:cols w:space="708"/>
          <w:docGrid w:linePitch="360"/>
        </w:sectPr>
      </w:pPr>
    </w:p>
    <w:p w14:paraId="3FC74689" w14:textId="03131127" w:rsidR="008F655A" w:rsidRPr="007D162C" w:rsidRDefault="08D050C4" w:rsidP="008F655A">
      <w:pPr>
        <w:pStyle w:val="Heading2"/>
      </w:pPr>
      <w:bookmarkStart w:id="49" w:name="_Toc122515423"/>
      <w:bookmarkStart w:id="50" w:name="_Toc140239685"/>
      <w:r w:rsidRPr="007D162C">
        <w:lastRenderedPageBreak/>
        <w:t>Introduction</w:t>
      </w:r>
      <w:bookmarkEnd w:id="49"/>
      <w:bookmarkEnd w:id="50"/>
    </w:p>
    <w:p w14:paraId="5AE9CF15" w14:textId="05134E00" w:rsidR="008F655A" w:rsidRPr="007D162C" w:rsidRDefault="08D050C4" w:rsidP="008F655A">
      <w:pPr>
        <w:pStyle w:val="Heading3"/>
      </w:pPr>
      <w:bookmarkStart w:id="51" w:name="_Toc106630014"/>
      <w:bookmarkStart w:id="52" w:name="_Toc113956167"/>
      <w:bookmarkStart w:id="53" w:name="_Toc122515424"/>
      <w:bookmarkStart w:id="54" w:name="_Toc130912491"/>
      <w:bookmarkStart w:id="55" w:name="_Toc130914390"/>
      <w:bookmarkStart w:id="56" w:name="_Toc132381876"/>
      <w:bookmarkStart w:id="57" w:name="_Toc140239686"/>
      <w:r w:rsidRPr="007D162C">
        <w:t>Background</w:t>
      </w:r>
      <w:bookmarkEnd w:id="51"/>
      <w:bookmarkEnd w:id="52"/>
      <w:bookmarkEnd w:id="53"/>
      <w:bookmarkEnd w:id="54"/>
      <w:bookmarkEnd w:id="55"/>
      <w:bookmarkEnd w:id="56"/>
      <w:bookmarkEnd w:id="57"/>
    </w:p>
    <w:p w14:paraId="56BA463F" w14:textId="6CC60178" w:rsidR="008F655A" w:rsidRPr="007D162C" w:rsidRDefault="08D050C4" w:rsidP="008F655A">
      <w:bookmarkStart w:id="58" w:name="_Toc106630015"/>
      <w:bookmarkStart w:id="59" w:name="_Toc113956168"/>
      <w:r w:rsidRPr="007D162C">
        <w:t>The </w:t>
      </w:r>
      <w:hyperlink r:id="rId22">
        <w:r w:rsidRPr="007D162C">
          <w:t>Disability Standards for Accessible Public Transport 2002</w:t>
        </w:r>
      </w:hyperlink>
      <w:r w:rsidRPr="007D162C">
        <w:t> (Transport Standards) are formulated by the </w:t>
      </w:r>
      <w:hyperlink r:id="rId23">
        <w:r w:rsidRPr="007D162C">
          <w:t>Attorney-General</w:t>
        </w:r>
      </w:hyperlink>
      <w:r w:rsidRPr="007D162C">
        <w:t> under subsection 31(1) of the DDA. The Transport Standards seek to remove discrimination for people with disability to ensure equality and independence when accessing public transport.</w:t>
      </w:r>
    </w:p>
    <w:p w14:paraId="4325D520" w14:textId="77777777" w:rsidR="008F655A" w:rsidRPr="007D162C" w:rsidRDefault="08D050C4" w:rsidP="008F655A">
      <w:r w:rsidRPr="007D162C">
        <w:t xml:space="preserve">The Transport Standards prescribe how public transport is to be made accessible and acknowledge the rights of passengers, operators and providers. The Transport Standards impose responsibilities on public transport operators and providers and prescribe accessibility requirements for conveyances, public transport infrastructure and certain premises. </w:t>
      </w:r>
    </w:p>
    <w:p w14:paraId="1D6DF83B" w14:textId="77777777" w:rsidR="008F655A" w:rsidRPr="007D162C" w:rsidRDefault="08D050C4" w:rsidP="008F655A">
      <w:r w:rsidRPr="007D162C">
        <w:t>The DDA makes it unlawful to discriminate against a person in the provision of services such as public transport, as well as other areas of public life, such as employment and education. Discrimination occurs when a person is treated less favourably, or not given the same opportunities as others because of their background or personal characteristics, such as age, sex, race or disability.</w:t>
      </w:r>
    </w:p>
    <w:p w14:paraId="1ED8AD7A" w14:textId="6B62E319" w:rsidR="008F655A" w:rsidRPr="007D162C" w:rsidRDefault="08D050C4" w:rsidP="008F655A">
      <w:r w:rsidRPr="007D162C">
        <w:t>The Transport Standards apply to train, tram</w:t>
      </w:r>
      <w:r w:rsidR="00A453EE">
        <w:t xml:space="preserve"> and light rail</w:t>
      </w:r>
      <w:r w:rsidRPr="007D162C">
        <w:t>, bus and coach, ferry, taxi and aviation services and are designed to provide certainty to providers and operators of public transport services and infrastructure about their responsibilities under the DDA. The Transport Standards require all of Australia’s public transport networks and associated infrastructure to be fully accessible by the end of 2022 (except for trains and trams, which have until the end of 2032).</w:t>
      </w:r>
    </w:p>
    <w:p w14:paraId="7983E414" w14:textId="77777777" w:rsidR="008F655A" w:rsidRPr="007D162C" w:rsidRDefault="08D050C4" w:rsidP="008F655A">
      <w:bookmarkStart w:id="60" w:name="_Hlk118628429"/>
      <w:r w:rsidRPr="007D162C">
        <w:t>In August 2019, Commonwealth, State and Territory Transport Ministers agreed to reform the Transport Standards to modernise them and address identified shortcomings. Ministers endorsed guiding principles for the reform process to ensure people with disability and their needs were at the centre of the reform process. </w:t>
      </w:r>
      <w:bookmarkEnd w:id="60"/>
    </w:p>
    <w:p w14:paraId="53D1CD66" w14:textId="77777777" w:rsidR="008F655A" w:rsidRPr="007D162C" w:rsidRDefault="08D050C4" w:rsidP="008F655A">
      <w:pPr>
        <w:pStyle w:val="Heading4"/>
      </w:pPr>
      <w:r w:rsidRPr="007D162C">
        <w:t>The guiding principles of the reform process</w:t>
      </w:r>
    </w:p>
    <w:p w14:paraId="32C19EE4" w14:textId="77777777" w:rsidR="008F655A" w:rsidRPr="007D162C" w:rsidRDefault="08D050C4" w:rsidP="006F65FB">
      <w:pPr>
        <w:pStyle w:val="ListParagraph"/>
        <w:numPr>
          <w:ilvl w:val="0"/>
          <w:numId w:val="17"/>
        </w:numPr>
        <w:spacing w:before="240" w:after="240"/>
      </w:pPr>
      <w:r w:rsidRPr="007D162C">
        <w:t>People with disability have a right to access public transport.</w:t>
      </w:r>
    </w:p>
    <w:p w14:paraId="48F96CB1" w14:textId="77777777" w:rsidR="008F655A" w:rsidRPr="007D162C" w:rsidRDefault="08D050C4" w:rsidP="006F65FB">
      <w:pPr>
        <w:pStyle w:val="ListParagraph"/>
        <w:numPr>
          <w:ilvl w:val="0"/>
          <w:numId w:val="17"/>
        </w:numPr>
        <w:spacing w:before="240" w:after="240"/>
      </w:pPr>
      <w:r w:rsidRPr="007D162C">
        <w:t>Accessibility is a service, not an exercise in compliance.</w:t>
      </w:r>
    </w:p>
    <w:p w14:paraId="23CB904E" w14:textId="77777777" w:rsidR="008F655A" w:rsidRPr="007D162C" w:rsidRDefault="08D050C4" w:rsidP="006F65FB">
      <w:pPr>
        <w:pStyle w:val="ListParagraph"/>
        <w:numPr>
          <w:ilvl w:val="0"/>
          <w:numId w:val="17"/>
        </w:numPr>
        <w:spacing w:before="240" w:after="240"/>
      </w:pPr>
      <w:r w:rsidRPr="007D162C">
        <w:t>Solutions should meet the service needs of all stakeholders and be developed through co design.</w:t>
      </w:r>
    </w:p>
    <w:p w14:paraId="536BB72F" w14:textId="77777777" w:rsidR="008F655A" w:rsidRPr="007D162C" w:rsidRDefault="08D050C4" w:rsidP="006F65FB">
      <w:pPr>
        <w:pStyle w:val="ListParagraph"/>
        <w:numPr>
          <w:ilvl w:val="0"/>
          <w:numId w:val="17"/>
        </w:numPr>
        <w:spacing w:before="240" w:after="240"/>
      </w:pPr>
      <w:r w:rsidRPr="007D162C">
        <w:t>Reforms should strive for certainty.</w:t>
      </w:r>
    </w:p>
    <w:p w14:paraId="665F5E6A" w14:textId="6997DF52" w:rsidR="008F655A" w:rsidRPr="007D162C" w:rsidRDefault="08D050C4" w:rsidP="008F655A">
      <w:pPr>
        <w:pStyle w:val="Heading3"/>
      </w:pPr>
      <w:bookmarkStart w:id="61" w:name="_Toc122515425"/>
      <w:bookmarkStart w:id="62" w:name="_Toc130912492"/>
      <w:bookmarkStart w:id="63" w:name="_Toc130914391"/>
      <w:bookmarkStart w:id="64" w:name="_Toc132381877"/>
      <w:bookmarkStart w:id="65" w:name="_Toc140239687"/>
      <w:r w:rsidRPr="007D162C">
        <w:t>Problem statement</w:t>
      </w:r>
      <w:bookmarkEnd w:id="58"/>
      <w:bookmarkEnd w:id="59"/>
      <w:bookmarkEnd w:id="61"/>
      <w:bookmarkEnd w:id="62"/>
      <w:bookmarkEnd w:id="63"/>
      <w:bookmarkEnd w:id="64"/>
      <w:bookmarkEnd w:id="65"/>
    </w:p>
    <w:p w14:paraId="73B5E843" w14:textId="77777777" w:rsidR="008F655A" w:rsidRPr="007D162C" w:rsidRDefault="08D050C4" w:rsidP="008F655A">
      <w:pPr>
        <w:pStyle w:val="Heading4"/>
      </w:pPr>
      <w:r w:rsidRPr="007D162C">
        <w:t>Overview</w:t>
      </w:r>
      <w:r w:rsidRPr="007D162C">
        <w:rPr>
          <w:u w:val="single"/>
        </w:rPr>
        <w:t xml:space="preserve"> </w:t>
      </w:r>
    </w:p>
    <w:p w14:paraId="249C57CA" w14:textId="5D7621E8" w:rsidR="008F655A" w:rsidRPr="007D162C" w:rsidRDefault="008F655A" w:rsidP="008F655A">
      <w:r w:rsidRPr="007D162C">
        <w:t>Access to public transport is critical for people to participate fully in the community and the economy. Many people use public transport to travel to work or study, connect them to family, friends and their community, or help them access support and services, such as healthcare and education. However, 1 in 6 (17%) people aged 15</w:t>
      </w:r>
      <w:r w:rsidR="00A453EE">
        <w:t xml:space="preserve"> and over</w:t>
      </w:r>
      <w:r w:rsidRPr="007D162C">
        <w:t xml:space="preserve"> with disability have difficulty using public transport.</w:t>
      </w:r>
      <w:r w:rsidRPr="007D162C">
        <w:rPr>
          <w:rStyle w:val="FootnoteReference"/>
        </w:rPr>
        <w:footnoteReference w:id="6"/>
      </w:r>
      <w:r w:rsidRPr="007D162C">
        <w:t xml:space="preserve"> </w:t>
      </w:r>
    </w:p>
    <w:p w14:paraId="1CE0A731" w14:textId="0531AE77" w:rsidR="008F655A" w:rsidRPr="007D162C" w:rsidRDefault="08D050C4" w:rsidP="008F655A">
      <w:r w:rsidRPr="007D162C">
        <w:t>The prevalence of disability increases with age and more than doubles between the ages of 65 and 85. One in 3 people living with disability (32</w:t>
      </w:r>
      <w:r w:rsidR="00AE165A">
        <w:t xml:space="preserve"> per cent</w:t>
      </w:r>
      <w:r w:rsidRPr="007D162C">
        <w:t>) have a severe or profound disability. Three in four (77</w:t>
      </w:r>
      <w:r w:rsidR="00AE165A">
        <w:t xml:space="preserve"> per cent</w:t>
      </w:r>
      <w:r w:rsidRPr="007D162C">
        <w:t>) of these people live with a physical disability and one in four (23</w:t>
      </w:r>
      <w:r w:rsidR="00AE165A">
        <w:t xml:space="preserve"> per cent</w:t>
      </w:r>
      <w:r w:rsidRPr="007D162C">
        <w:t xml:space="preserve">) live with mental or behavioural disability. </w:t>
      </w:r>
    </w:p>
    <w:p w14:paraId="717ACF3A" w14:textId="77777777" w:rsidR="008F655A" w:rsidRPr="007D162C" w:rsidRDefault="08D050C4" w:rsidP="008F655A">
      <w:r w:rsidRPr="007D162C">
        <w:t xml:space="preserve">People living with disability have reported the barriers they face when accessing public transport compared to other commuters to the Australian Government. For example: wheelchair-users highlighted issues when they </w:t>
      </w:r>
      <w:r w:rsidRPr="007D162C">
        <w:lastRenderedPageBreak/>
        <w:t xml:space="preserve">encounter stairs with no equivalent access solution, broken or poorly maintained footpaths, lifts out of order, or staff who were not trained to assist them or absent. </w:t>
      </w:r>
    </w:p>
    <w:p w14:paraId="0F6CC867" w14:textId="77777777" w:rsidR="008F655A" w:rsidRPr="007D162C" w:rsidRDefault="08D050C4" w:rsidP="008F655A">
      <w:r w:rsidRPr="007D162C">
        <w:t xml:space="preserve">Public transport networks are complex and often involve utilisation of different modes of transport to complete a journey. The whole-of-journey concept is critical in understanding how barriers encountered by people with disability can impact their ability to travel. For many users of public transport, what may be a reasonable commuting experience is not equivalent to the experience encountered by a person with disability. </w:t>
      </w:r>
    </w:p>
    <w:p w14:paraId="5B50D349" w14:textId="77777777" w:rsidR="008F655A" w:rsidRPr="007D162C" w:rsidRDefault="08D050C4" w:rsidP="008F655A">
      <w:r w:rsidRPr="007D162C">
        <w:t>A person with disability only needs to encounter one of these barriers for their entire journey to be inaccessible. This can erode the confidence of people with disability in using public transport and reduce their independence, participation in society, employment opportunities and educational outcomes.</w:t>
      </w:r>
    </w:p>
    <w:p w14:paraId="46C67661" w14:textId="77777777" w:rsidR="008F655A" w:rsidRPr="007D162C" w:rsidRDefault="08D050C4" w:rsidP="008F655A">
      <w:pPr>
        <w:pStyle w:val="Heading5"/>
      </w:pPr>
      <w:r w:rsidRPr="007D162C">
        <w:t>Independence and participation in society</w:t>
      </w:r>
    </w:p>
    <w:p w14:paraId="46B83F6E" w14:textId="77777777" w:rsidR="008F655A" w:rsidRPr="007D162C" w:rsidRDefault="08D050C4" w:rsidP="008F655A">
      <w:r w:rsidRPr="007D162C">
        <w:t>Discrimination in the provision of public transport services contributes to social isolation of people living with disability.</w:t>
      </w:r>
    </w:p>
    <w:p w14:paraId="256630C9" w14:textId="5177A6C8" w:rsidR="008F655A" w:rsidRPr="007D162C" w:rsidRDefault="008F655A" w:rsidP="008F655A">
      <w:pPr>
        <w:rPr>
          <w:iCs/>
        </w:rPr>
      </w:pPr>
      <w:r w:rsidRPr="007D162C">
        <w:t>Around 458,000 of people living with disability need help or supervision to use public transport. A further 1 in 14 can use public transport without help or supervision</w:t>
      </w:r>
      <w:r w:rsidR="00E964EA">
        <w:t>,</w:t>
      </w:r>
      <w:r w:rsidRPr="007D162C">
        <w:t xml:space="preserve"> but have difficulty.</w:t>
      </w:r>
      <w:r w:rsidRPr="007D162C">
        <w:rPr>
          <w:vertAlign w:val="superscript"/>
        </w:rPr>
        <w:footnoteReference w:id="7"/>
      </w:r>
    </w:p>
    <w:p w14:paraId="5C6A4FFB" w14:textId="5E571C8E" w:rsidR="008F655A" w:rsidRPr="007D162C" w:rsidRDefault="008F655A" w:rsidP="008F655A">
      <w:pPr>
        <w:rPr>
          <w:iCs/>
        </w:rPr>
      </w:pPr>
      <w:r w:rsidRPr="007D162C">
        <w:t>About 4 in 9 people aged 15–64 with disability avoided situations because of their disability in the previous year. Of those who avoided at least one situation because of their disability, 24</w:t>
      </w:r>
      <w:r w:rsidR="00AE165A">
        <w:t xml:space="preserve"> </w:t>
      </w:r>
      <w:bookmarkStart w:id="66" w:name="_Hlk132102941"/>
      <w:r w:rsidR="00AE165A">
        <w:t>per cent</w:t>
      </w:r>
      <w:r w:rsidRPr="007D162C">
        <w:t xml:space="preserve"> </w:t>
      </w:r>
      <w:bookmarkEnd w:id="66"/>
      <w:r w:rsidRPr="007D162C">
        <w:t>of people avoided using public transport.</w:t>
      </w:r>
      <w:r w:rsidRPr="007D162C">
        <w:rPr>
          <w:vertAlign w:val="superscript"/>
        </w:rPr>
        <w:footnoteReference w:id="8"/>
      </w:r>
    </w:p>
    <w:p w14:paraId="758B3C87" w14:textId="77777777" w:rsidR="008F655A" w:rsidRPr="007D162C" w:rsidRDefault="08D050C4" w:rsidP="008F655A">
      <w:pPr>
        <w:pStyle w:val="Heading5"/>
      </w:pPr>
      <w:r w:rsidRPr="007D162C">
        <w:t>Employment opportunities</w:t>
      </w:r>
    </w:p>
    <w:p w14:paraId="799DF9E8" w14:textId="5C95A4B1" w:rsidR="008F655A" w:rsidRPr="007D162C" w:rsidRDefault="008F655A" w:rsidP="008F655A">
      <w:bookmarkStart w:id="67" w:name="_Hlk119406237"/>
      <w:r w:rsidRPr="007D162C">
        <w:t>Barriers to accessing public transport is a factor in limiting employment opportunities for those people living with disability. Only 53.4</w:t>
      </w:r>
      <w:r w:rsidR="00AE165A" w:rsidRPr="00AE165A">
        <w:t xml:space="preserve"> per cent</w:t>
      </w:r>
      <w:r w:rsidRPr="007D162C">
        <w:t xml:space="preserve"> of working-aged people with disability participate in the labour force,</w:t>
      </w:r>
      <w:r w:rsidRPr="007D162C">
        <w:rPr>
          <w:vertAlign w:val="superscript"/>
        </w:rPr>
        <w:footnoteReference w:id="9"/>
      </w:r>
      <w:r w:rsidRPr="007D162C">
        <w:t xml:space="preserve"> and they are twice as likely as those without disability to be unemployed.</w:t>
      </w:r>
      <w:r w:rsidRPr="007D162C">
        <w:rPr>
          <w:vertAlign w:val="superscript"/>
        </w:rPr>
        <w:footnoteReference w:id="10"/>
      </w:r>
      <w:r w:rsidRPr="007D162C">
        <w:t xml:space="preserve"> </w:t>
      </w:r>
    </w:p>
    <w:p w14:paraId="3C8924A7" w14:textId="6230720E" w:rsidR="008F655A" w:rsidRPr="007D162C" w:rsidRDefault="008F655A" w:rsidP="008F655A">
      <w:r w:rsidRPr="007D162C">
        <w:t>Most (88</w:t>
      </w:r>
      <w:r w:rsidR="00AE165A" w:rsidRPr="00AE165A">
        <w:t xml:space="preserve"> per cent</w:t>
      </w:r>
      <w:r w:rsidRPr="007D162C">
        <w:t>) employed (salary or wage earning) working-age people with disability do not require specific arrangements from their employer to work. Of those who do, 50</w:t>
      </w:r>
      <w:r w:rsidR="00AE165A" w:rsidRPr="00AE165A">
        <w:t xml:space="preserve"> per cent</w:t>
      </w:r>
      <w:r w:rsidRPr="007D162C">
        <w:t xml:space="preserve"> need special equipment or modified buildings/fittings, or to be provided special/free transport or parking.</w:t>
      </w:r>
      <w:r w:rsidRPr="007D162C">
        <w:rPr>
          <w:rStyle w:val="FootnoteReference"/>
        </w:rPr>
        <w:footnoteReference w:id="11"/>
      </w:r>
    </w:p>
    <w:p w14:paraId="744FFFBE" w14:textId="514A4DAE" w:rsidR="008F655A" w:rsidRPr="007D162C" w:rsidRDefault="08D050C4" w:rsidP="008F655A">
      <w:r w:rsidRPr="007D162C">
        <w:t>Access issues with transport and distance are encountered by 36</w:t>
      </w:r>
      <w:r w:rsidR="00AE165A" w:rsidRPr="00AE165A">
        <w:t xml:space="preserve"> per cent</w:t>
      </w:r>
      <w:r w:rsidRPr="007D162C">
        <w:t xml:space="preserve"> of unemployed Aboriginal and Torres Strait Islander people with disability aged 15– 64 who report at least one difficulty in finding employment. </w:t>
      </w:r>
    </w:p>
    <w:p w14:paraId="3C131D80" w14:textId="7ED7CB4A" w:rsidR="008F655A" w:rsidRPr="007D162C" w:rsidRDefault="008F655A" w:rsidP="008F655A">
      <w:r w:rsidRPr="007D162C">
        <w:t>The Willing to Work: National Inquiry into Employment Discrimination Against Older Australians and Australians with Disability report</w:t>
      </w:r>
      <w:r w:rsidR="0057013D">
        <w:t>,</w:t>
      </w:r>
      <w:r w:rsidRPr="007D162C">
        <w:t xml:space="preserve"> published by the </w:t>
      </w:r>
      <w:r w:rsidR="006A1CDA">
        <w:t>AHRC</w:t>
      </w:r>
      <w:r w:rsidRPr="007D162C">
        <w:t xml:space="preserve"> in 2016</w:t>
      </w:r>
      <w:r w:rsidR="0057013D">
        <w:t>,</w:t>
      </w:r>
      <w:r w:rsidRPr="007D162C">
        <w:t xml:space="preserve"> estimated the economic benefits of employing people with disability would add over $50 billion to GDP by 2050. However, this contribution to GDP by addressing discrimination against people living with a disability was premised on Australia moving up into the top eight O</w:t>
      </w:r>
      <w:r w:rsidR="0057013D">
        <w:t>rganisation for Economic Co-operation and Development (O</w:t>
      </w:r>
      <w:r w:rsidRPr="007D162C">
        <w:t>ECD</w:t>
      </w:r>
      <w:r w:rsidR="0057013D">
        <w:t>)</w:t>
      </w:r>
      <w:r w:rsidRPr="007D162C">
        <w:t xml:space="preserve"> countries for </w:t>
      </w:r>
      <w:r w:rsidRPr="007D162C">
        <w:lastRenderedPageBreak/>
        <w:t>employment of people with disability.</w:t>
      </w:r>
      <w:r w:rsidRPr="007D162C">
        <w:rPr>
          <w:vertAlign w:val="superscript"/>
        </w:rPr>
        <w:footnoteReference w:id="12"/>
      </w:r>
      <w:r w:rsidRPr="007D162C">
        <w:t xml:space="preserve"> The most recent OECD ranking placed Australia 21st out of 29 OECD countries for employment participation of people with disability.</w:t>
      </w:r>
      <w:r w:rsidRPr="007D162C">
        <w:rPr>
          <w:vertAlign w:val="superscript"/>
        </w:rPr>
        <w:footnoteReference w:id="13"/>
      </w:r>
      <w:bookmarkEnd w:id="67"/>
    </w:p>
    <w:p w14:paraId="445F8C8B" w14:textId="77777777" w:rsidR="008F655A" w:rsidRPr="007D162C" w:rsidRDefault="08D050C4" w:rsidP="008F655A">
      <w:pPr>
        <w:pStyle w:val="Heading5"/>
      </w:pPr>
      <w:r w:rsidRPr="007D162C">
        <w:t>Educational opportunities</w:t>
      </w:r>
    </w:p>
    <w:p w14:paraId="209F908E" w14:textId="0216D275" w:rsidR="008F655A" w:rsidRPr="007D162C" w:rsidRDefault="008F655A" w:rsidP="008F655A">
      <w:r w:rsidRPr="007D162C">
        <w:t xml:space="preserve">Discrimination in the provision of public transport can limit access to educational opportunities. Around 4 in 5 school students with disability aged 5–18 have one or more schooling restrictions. Students may receive multiple support arrangements, but of those receiving support 14.7 </w:t>
      </w:r>
      <w:r w:rsidR="00AE165A" w:rsidRPr="00AE165A">
        <w:t>per cent</w:t>
      </w:r>
      <w:r w:rsidRPr="007D162C">
        <w:t xml:space="preserve"> require special access or transport arrangements to attend school.</w:t>
      </w:r>
      <w:r w:rsidRPr="007D162C">
        <w:rPr>
          <w:rStyle w:val="FootnoteReference"/>
        </w:rPr>
        <w:footnoteReference w:id="14"/>
      </w:r>
    </w:p>
    <w:p w14:paraId="24796C2F" w14:textId="77777777" w:rsidR="008F655A" w:rsidRPr="007D162C" w:rsidRDefault="08D050C4" w:rsidP="008F655A">
      <w:pPr>
        <w:rPr>
          <w:iCs/>
        </w:rPr>
      </w:pPr>
      <w:r w:rsidRPr="007D162C">
        <w:t>Access to education and the level of education attained can affect participation in other key areas of life, including employment and ability to achieve economic independence. People with disability are more likely to leave school at a younger age and to have a lower level of educational attainment.</w:t>
      </w:r>
    </w:p>
    <w:p w14:paraId="6137FD52" w14:textId="77777777" w:rsidR="008F655A" w:rsidRPr="007D162C" w:rsidRDefault="08D050C4" w:rsidP="008F655A">
      <w:pPr>
        <w:pStyle w:val="Heading5"/>
      </w:pPr>
      <w:r w:rsidRPr="007D162C">
        <w:t>Data gaps</w:t>
      </w:r>
    </w:p>
    <w:p w14:paraId="1F22AC8A" w14:textId="13A81CB5" w:rsidR="008F655A" w:rsidRPr="007D162C" w:rsidRDefault="08D050C4" w:rsidP="008F655A">
      <w:pPr>
        <w:rPr>
          <w:iCs/>
        </w:rPr>
      </w:pPr>
      <w:r w:rsidRPr="007D162C">
        <w:t xml:space="preserve">The impact of discrimination in the provision of accessible public transport are likely understated due to data gaps. </w:t>
      </w:r>
      <w:r w:rsidR="008F655A" w:rsidRPr="007D162C">
        <w:t>Access to accurate information on public transport assets, modes of travel and the accessibility of transport and associated services is limited. The Australian Institute of Health and Welfare (A</w:t>
      </w:r>
      <w:r w:rsidR="006643F5">
        <w:t>I</w:t>
      </w:r>
      <w:r w:rsidR="008F655A" w:rsidRPr="007D162C">
        <w:t>HW), People with disability in Australia 2022</w:t>
      </w:r>
      <w:r w:rsidR="008F655A" w:rsidRPr="007D162C">
        <w:rPr>
          <w:rStyle w:val="FootnoteReference"/>
        </w:rPr>
        <w:footnoteReference w:id="15"/>
      </w:r>
      <w:r w:rsidR="008F655A" w:rsidRPr="007D162C">
        <w:t xml:space="preserve"> report noted this issue. Throughout the development of reforms</w:t>
      </w:r>
      <w:r w:rsidR="0057013D">
        <w:t>,</w:t>
      </w:r>
      <w:r w:rsidR="008F655A" w:rsidRPr="007D162C">
        <w:t xml:space="preserve"> attempts were made to overcome data limitations using bespoke surveys. </w:t>
      </w:r>
    </w:p>
    <w:p w14:paraId="1041DFDC" w14:textId="77777777" w:rsidR="008F655A" w:rsidRPr="007D162C" w:rsidRDefault="08D050C4" w:rsidP="008F655A">
      <w:pPr>
        <w:pStyle w:val="Heading4"/>
      </w:pPr>
      <w:r w:rsidRPr="007D162C">
        <w:t>Statutory reviews of the Disability Transport Standard</w:t>
      </w:r>
    </w:p>
    <w:p w14:paraId="4A35B777" w14:textId="2A24FF9D" w:rsidR="008F655A" w:rsidRPr="007D162C" w:rsidRDefault="08D050C4" w:rsidP="008F655A">
      <w:bookmarkStart w:id="68" w:name="_Toc106630016"/>
      <w:bookmarkStart w:id="69" w:name="_Toc113956169"/>
      <w:r w:rsidRPr="007D162C">
        <w:t>Since 2002, the effectiveness and efficiency of the Transport Standards ha</w:t>
      </w:r>
      <w:r w:rsidR="00E964EA">
        <w:t>s</w:t>
      </w:r>
      <w:r w:rsidRPr="007D162C">
        <w:t xml:space="preserve"> been reviewed every five years by the Minister </w:t>
      </w:r>
      <w:r w:rsidR="00E964EA">
        <w:t xml:space="preserve">responsible </w:t>
      </w:r>
      <w:r w:rsidRPr="007D162C">
        <w:t xml:space="preserve">for </w:t>
      </w:r>
      <w:r w:rsidR="00E964EA">
        <w:t xml:space="preserve">the </w:t>
      </w:r>
      <w:r w:rsidR="00E964EA" w:rsidRPr="00E964EA">
        <w:rPr>
          <w:i/>
        </w:rPr>
        <w:t>National Land</w:t>
      </w:r>
      <w:r w:rsidRPr="00E964EA">
        <w:rPr>
          <w:i/>
        </w:rPr>
        <w:t xml:space="preserve"> Transport</w:t>
      </w:r>
      <w:r w:rsidR="00E964EA" w:rsidRPr="00E964EA">
        <w:rPr>
          <w:i/>
        </w:rPr>
        <w:t xml:space="preserve"> Act 2014</w:t>
      </w:r>
      <w:r w:rsidRPr="007D162C">
        <w:t>, in consultation with the Attorney-General. The reviews must include whether discrimination has been removed, as far as possible, according to the requirement for compliance set out in Schedule 1 of the Transport Standards, and any necessary amendments to the Transport Standards.</w:t>
      </w:r>
    </w:p>
    <w:p w14:paraId="09CC2115" w14:textId="698B2675" w:rsidR="008F655A" w:rsidRPr="007D162C" w:rsidRDefault="08D050C4" w:rsidP="008F655A">
      <w:r w:rsidRPr="007D162C">
        <w:t>These reviews</w:t>
      </w:r>
      <w:r w:rsidR="0057013D">
        <w:t xml:space="preserve"> </w:t>
      </w:r>
      <w:r w:rsidRPr="007D162C">
        <w:t xml:space="preserve">identified the Transport Standards </w:t>
      </w:r>
      <w:r w:rsidR="0057013D">
        <w:t>are</w:t>
      </w:r>
      <w:r w:rsidRPr="007D162C">
        <w:t xml:space="preserve"> not meeting the current and future needs of people with disability. These reviews said the Transport Standards need to provide more flexibility and guidance to transport operators and providers to practically fulfil their obligations under the DDA. People with disability continue to encounter access issues at various points in their whole of journey travel. When a barrier is encountered, the disruption often results in people with disability making less use of public transport, or ceasing to use public transport altogether.</w:t>
      </w:r>
    </w:p>
    <w:p w14:paraId="0539A3D1" w14:textId="246E32F1" w:rsidR="00072E95" w:rsidRPr="007D162C" w:rsidRDefault="00D2306C" w:rsidP="008F655A">
      <w:r w:rsidRPr="007D162C">
        <w:t>Compliance targets for the Transport Standards were established in 2002 and provided a twenty-year period for transport operators and providers to achieve compliance with those requirements. Certain transport assets</w:t>
      </w:r>
      <w:r w:rsidR="00CF7427" w:rsidRPr="007D162C">
        <w:t xml:space="preserve"> </w:t>
      </w:r>
      <w:r w:rsidR="0057013D">
        <w:t>(</w:t>
      </w:r>
      <w:r w:rsidR="00CF7427" w:rsidRPr="007D162C">
        <w:t>trains and trams</w:t>
      </w:r>
      <w:r w:rsidR="0057013D">
        <w:t>)</w:t>
      </w:r>
      <w:r w:rsidRPr="007D162C">
        <w:t xml:space="preserve"> had an additional 10 years</w:t>
      </w:r>
      <w:r w:rsidR="00CF7427" w:rsidRPr="007D162C">
        <w:t xml:space="preserve"> to achieve compliance.</w:t>
      </w:r>
      <w:r w:rsidRPr="007D162C">
        <w:t xml:space="preserve"> </w:t>
      </w:r>
      <w:r w:rsidR="00CF7427" w:rsidRPr="007D162C">
        <w:t xml:space="preserve">The 2017 Review of the Transport Standards found that transport operators and providers have not met existing compliance requirements in the Transport Standards and were unlikely to do so by 2022. Comprehensive </w:t>
      </w:r>
      <w:r w:rsidR="00955F68" w:rsidRPr="007D162C">
        <w:t>compliance data is not available due to identified data gaps</w:t>
      </w:r>
      <w:r w:rsidR="00CF7427" w:rsidRPr="007D162C">
        <w:t xml:space="preserve"> and the absence of reporting requirements in the existing Transport Standards</w:t>
      </w:r>
      <w:r w:rsidR="00955F68" w:rsidRPr="007D162C">
        <w:t>.</w:t>
      </w:r>
      <w:r w:rsidR="00610FC5" w:rsidRPr="007D162C">
        <w:t xml:space="preserve"> </w:t>
      </w:r>
    </w:p>
    <w:p w14:paraId="771DD5BA" w14:textId="77777777" w:rsidR="008F655A" w:rsidRPr="007D162C" w:rsidRDefault="08D050C4" w:rsidP="008F655A">
      <w:r w:rsidRPr="007D162C">
        <w:lastRenderedPageBreak/>
        <w:t>Collectively the reviews identified barriers impacting the effectiveness and efficiency of the Transport Standards, including:</w:t>
      </w:r>
    </w:p>
    <w:p w14:paraId="4E9D3C20" w14:textId="77777777" w:rsidR="008F655A" w:rsidRPr="007D162C" w:rsidRDefault="08D050C4" w:rsidP="008F655A">
      <w:pPr>
        <w:pStyle w:val="Listparagraphbullets"/>
        <w:spacing w:after="0"/>
      </w:pPr>
      <w:r w:rsidRPr="007D162C">
        <w:t>a lack of clarity in how some provisions are written or where there are inconsistencies with other regulations.</w:t>
      </w:r>
    </w:p>
    <w:p w14:paraId="011885B3" w14:textId="77777777" w:rsidR="008F655A" w:rsidRPr="007D162C" w:rsidRDefault="08D050C4" w:rsidP="008F655A">
      <w:pPr>
        <w:pStyle w:val="Listparagraphbullets"/>
        <w:spacing w:after="0"/>
      </w:pPr>
      <w:r w:rsidRPr="007D162C">
        <w:t>a need to reflect the current and future needs of Australian society, including:</w:t>
      </w:r>
    </w:p>
    <w:p w14:paraId="24CDD0FC" w14:textId="77777777" w:rsidR="008F655A" w:rsidRPr="00AE165A" w:rsidRDefault="08D050C4" w:rsidP="0057013D">
      <w:pPr>
        <w:pStyle w:val="Listparagraphbullets"/>
        <w:numPr>
          <w:ilvl w:val="1"/>
          <w:numId w:val="4"/>
        </w:numPr>
        <w:ind w:left="993"/>
      </w:pPr>
      <w:r w:rsidRPr="00AE165A">
        <w:t>ensuring new and emerging forms of transport and technologies are adequately captured.</w:t>
      </w:r>
    </w:p>
    <w:p w14:paraId="06D72CCB" w14:textId="77777777" w:rsidR="008F655A" w:rsidRPr="00AE165A" w:rsidRDefault="08D050C4" w:rsidP="0057013D">
      <w:pPr>
        <w:pStyle w:val="Listparagraphbullets"/>
        <w:numPr>
          <w:ilvl w:val="1"/>
          <w:numId w:val="4"/>
        </w:numPr>
        <w:ind w:left="993"/>
      </w:pPr>
      <w:r w:rsidRPr="00AE165A">
        <w:t>review references to older Australian Standards which may be outdated, not fit-for-purpose or inconsistent with modern standards.</w:t>
      </w:r>
    </w:p>
    <w:p w14:paraId="07DE0D2D" w14:textId="77777777" w:rsidR="008F655A" w:rsidRPr="00AE165A" w:rsidRDefault="08D050C4" w:rsidP="0057013D">
      <w:pPr>
        <w:pStyle w:val="Listparagraphbullets"/>
        <w:numPr>
          <w:ilvl w:val="1"/>
          <w:numId w:val="4"/>
        </w:numPr>
        <w:ind w:left="993"/>
      </w:pPr>
      <w:r w:rsidRPr="00AE165A">
        <w:t>the prescriptive nature of some provisions reduces the ability of public transport operators and providers to implement innovative solutions.</w:t>
      </w:r>
    </w:p>
    <w:p w14:paraId="6CAC33A0" w14:textId="77777777" w:rsidR="008F655A" w:rsidRPr="00AE165A" w:rsidRDefault="08D050C4" w:rsidP="0057013D">
      <w:pPr>
        <w:pStyle w:val="Listparagraphbullets"/>
        <w:numPr>
          <w:ilvl w:val="1"/>
          <w:numId w:val="4"/>
        </w:numPr>
        <w:ind w:left="993"/>
      </w:pPr>
      <w:r w:rsidRPr="00AE165A">
        <w:t>a lack of funding arrangements to support upgrades to existing assets.</w:t>
      </w:r>
    </w:p>
    <w:p w14:paraId="25457321" w14:textId="77777777" w:rsidR="008F655A" w:rsidRPr="00AE165A" w:rsidRDefault="08D050C4" w:rsidP="0057013D">
      <w:pPr>
        <w:pStyle w:val="Listparagraphbullets"/>
        <w:numPr>
          <w:ilvl w:val="1"/>
          <w:numId w:val="4"/>
        </w:numPr>
        <w:ind w:left="993"/>
      </w:pPr>
      <w:r w:rsidRPr="00AE165A">
        <w:t>inconsistency in providing accessible public transport between states and territories, urban and rural areas, and modes of transport.</w:t>
      </w:r>
    </w:p>
    <w:p w14:paraId="745E8DBB" w14:textId="77777777" w:rsidR="008F655A" w:rsidRPr="00AE165A" w:rsidRDefault="08D050C4" w:rsidP="0057013D">
      <w:pPr>
        <w:pStyle w:val="Listparagraphbullets"/>
        <w:numPr>
          <w:ilvl w:val="1"/>
          <w:numId w:val="4"/>
        </w:numPr>
        <w:ind w:left="993"/>
      </w:pPr>
      <w:r w:rsidRPr="00AE165A">
        <w:t>a lack of reporting provisions in the Transport Standards.</w:t>
      </w:r>
    </w:p>
    <w:p w14:paraId="6A70297B" w14:textId="77777777" w:rsidR="008F655A" w:rsidRPr="007D162C" w:rsidRDefault="08D050C4" w:rsidP="0057013D">
      <w:pPr>
        <w:pStyle w:val="Listparagraphbullets"/>
        <w:numPr>
          <w:ilvl w:val="1"/>
          <w:numId w:val="4"/>
        </w:numPr>
        <w:ind w:left="993"/>
      </w:pPr>
      <w:r w:rsidRPr="00AE165A">
        <w:t>certain provisions place further barriers or fail to remove barriers to independent</w:t>
      </w:r>
      <w:r w:rsidRPr="007D162C">
        <w:t xml:space="preserve"> travel. </w:t>
      </w:r>
    </w:p>
    <w:p w14:paraId="6BF438E9" w14:textId="3E4E1D42" w:rsidR="008F655A" w:rsidRPr="007D162C" w:rsidRDefault="08D050C4" w:rsidP="008F655A">
      <w:r w:rsidRPr="007D162C">
        <w:t xml:space="preserve">These barriers reduce the ability of people with disability to fully participate in the community, gain employment and access the services they need. Industry stakeholders’ capacity to comply with the Transport Standards is also affected and, in some instances, resulted in expensive rectification costs and misalignment with other disability standards, such as the Premises Standards. </w:t>
      </w:r>
    </w:p>
    <w:p w14:paraId="13382BB2" w14:textId="77777777" w:rsidR="008F655A" w:rsidRPr="007D162C" w:rsidRDefault="08D050C4" w:rsidP="008F655A">
      <w:pPr>
        <w:pStyle w:val="Heading4"/>
      </w:pPr>
      <w:r w:rsidRPr="007D162C">
        <w:t xml:space="preserve">Issues for public transport operators and providers </w:t>
      </w:r>
    </w:p>
    <w:p w14:paraId="6CF1189D" w14:textId="77777777" w:rsidR="008F655A" w:rsidRPr="007D162C" w:rsidRDefault="08D050C4" w:rsidP="008F655A">
      <w:pPr>
        <w:tabs>
          <w:tab w:val="left" w:pos="2565"/>
        </w:tabs>
      </w:pPr>
      <w:r w:rsidRPr="007D162C">
        <w:t xml:space="preserve">Public transport operators and providers face a number of issues that impact their ability to comply with their requirements under the Transport Standards. Some issues relate to specific sections and others relate to the framework of the Transport Standards. </w:t>
      </w:r>
    </w:p>
    <w:p w14:paraId="784A2DC7" w14:textId="77777777" w:rsidR="008F655A" w:rsidRPr="007D162C" w:rsidRDefault="08D050C4" w:rsidP="008F655A">
      <w:pPr>
        <w:tabs>
          <w:tab w:val="left" w:pos="2565"/>
        </w:tabs>
      </w:pPr>
      <w:r w:rsidRPr="007D162C">
        <w:t>Specific sections of the Transport Standards may no longer be fit for purpose, with outdated requirements, references to antiquated Australian Standards, or they may not provide operators and providers legal certainty they have met their obligations. It may be impractical or unfeasible for public transport operators and providers to comply with specific provisions, reducing the efficiency of those provisions and increasing the risk of unintentionally purchasing or funding non-compliant conveyances or infrastructure. This results in inconsistent outcomes, or errors in interpreting the Transport Standards.</w:t>
      </w:r>
    </w:p>
    <w:p w14:paraId="50CB171D" w14:textId="232AA97C" w:rsidR="008F655A" w:rsidRPr="007D162C" w:rsidRDefault="08D050C4" w:rsidP="008F655A">
      <w:pPr>
        <w:tabs>
          <w:tab w:val="left" w:pos="2565"/>
        </w:tabs>
      </w:pPr>
      <w:r w:rsidRPr="007D162C">
        <w:t>More broadly, there are several issues with the framework of the Transport Standards. The requirements for rideshare providers are unclear. It is challenging to monitor compliance with the Transport Standards and measure the accessibility of Australia’s public transport networks. Many operators and providers are hesitant to use the equivalent access provisions.</w:t>
      </w:r>
    </w:p>
    <w:p w14:paraId="04254848" w14:textId="0F457D25" w:rsidR="00EF20B6" w:rsidRPr="007D162C" w:rsidRDefault="00EF20B6" w:rsidP="008F655A">
      <w:pPr>
        <w:tabs>
          <w:tab w:val="left" w:pos="2565"/>
        </w:tabs>
      </w:pPr>
      <w:r w:rsidRPr="007D162C">
        <w:t>Retrofitting existing assets to improve accessibility often comes at a significant cost to operators and providers. Many operators and providers have been unable to fund necessary upgrades to meet existing requirements.</w:t>
      </w:r>
      <w:r w:rsidR="00610FC5" w:rsidRPr="007D162C">
        <w:t xml:space="preserve"> </w:t>
      </w:r>
    </w:p>
    <w:p w14:paraId="1A429C10" w14:textId="35AA6A92" w:rsidR="008F655A" w:rsidRPr="007D162C" w:rsidRDefault="08D050C4" w:rsidP="008F655A">
      <w:pPr>
        <w:tabs>
          <w:tab w:val="left" w:pos="2565"/>
        </w:tabs>
      </w:pPr>
      <w:r w:rsidRPr="007D162C">
        <w:t xml:space="preserve">These problems increase the regulatory burden on operators and providers beyond the cost of compliance, and can only be rectified through government action to amend the Transport Standards. </w:t>
      </w:r>
    </w:p>
    <w:p w14:paraId="0869D434" w14:textId="1594B6FE" w:rsidR="008F655A" w:rsidRPr="007D162C" w:rsidRDefault="08D050C4" w:rsidP="008F655A">
      <w:pPr>
        <w:pStyle w:val="Heading3"/>
      </w:pPr>
      <w:bookmarkStart w:id="70" w:name="_Toc122515426"/>
      <w:bookmarkStart w:id="71" w:name="_Toc130912493"/>
      <w:bookmarkStart w:id="72" w:name="_Toc130914392"/>
      <w:bookmarkStart w:id="73" w:name="_Toc132381878"/>
      <w:bookmarkStart w:id="74" w:name="_Toc140239688"/>
      <w:r w:rsidRPr="007D162C">
        <w:t>The rationale for government action</w:t>
      </w:r>
      <w:bookmarkEnd w:id="68"/>
      <w:bookmarkEnd w:id="69"/>
      <w:bookmarkEnd w:id="70"/>
      <w:bookmarkEnd w:id="71"/>
      <w:bookmarkEnd w:id="72"/>
      <w:bookmarkEnd w:id="73"/>
      <w:bookmarkEnd w:id="74"/>
    </w:p>
    <w:p w14:paraId="5EFE7FD1" w14:textId="1B683B91" w:rsidR="008F655A" w:rsidRPr="007D162C" w:rsidRDefault="08D050C4" w:rsidP="008F655A">
      <w:r w:rsidRPr="007D162C">
        <w:t xml:space="preserve">The DDA and Transport Standards apply to the widest possible range of people with disabilities within Australia and apply to all operators and the conveyances they use to provide public transport services. They also apply to providers </w:t>
      </w:r>
      <w:r w:rsidR="00A333F8">
        <w:t>of</w:t>
      </w:r>
      <w:r w:rsidRPr="007D162C">
        <w:t xml:space="preserve"> supporting premises and infrastructure. Amendments to the Transport Standards can directly address accessibility barriers and reduce regulatory burden on operators and providers. </w:t>
      </w:r>
    </w:p>
    <w:p w14:paraId="647A6637" w14:textId="1F57D750" w:rsidR="008F655A" w:rsidRPr="007D162C" w:rsidRDefault="08D050C4" w:rsidP="008F655A">
      <w:r w:rsidRPr="007D162C">
        <w:t xml:space="preserve">The Australian Government is responsible for ensuring the Transport Standards remain up-to-date, efficient, effective and achieve their objective to eliminate discrimination as far as possible against people with disability. State and territory governments are responsible for ensuring their contracted public transport services do not discriminate against people with disability as far as possible. This requirement is shared by all </w:t>
      </w:r>
      <w:r w:rsidRPr="007D162C">
        <w:lastRenderedPageBreak/>
        <w:t>public transport operators and providers, as well as local governments and private land owners who provide public transport infrastructure.</w:t>
      </w:r>
    </w:p>
    <w:p w14:paraId="46B03E65" w14:textId="77777777" w:rsidR="008F655A" w:rsidRPr="007D162C" w:rsidRDefault="08D050C4" w:rsidP="008F655A">
      <w:r w:rsidRPr="007D162C">
        <w:t xml:space="preserve">Despite the introduction of the DDA in 1992 and the Transport Standards in 2002, and substantial improvements to the accessibility of public transport services, </w:t>
      </w:r>
      <w:bookmarkStart w:id="75" w:name="_Hlk140225774"/>
      <w:r w:rsidRPr="007D162C">
        <w:t>people with disability still encounter barriers and face discrimination in accessing public transport</w:t>
      </w:r>
      <w:bookmarkEnd w:id="75"/>
      <w:r w:rsidRPr="007D162C">
        <w:t>. Collective government action is required to address these barriers and eliminate discrimination. Without collective government action, the public transport industry is unlikely to ensure public transport is accessible by updating and implementing modern accessibility requirements.</w:t>
      </w:r>
    </w:p>
    <w:p w14:paraId="7256908A" w14:textId="77777777" w:rsidR="008F655A" w:rsidRPr="007D162C" w:rsidRDefault="08D050C4" w:rsidP="008F655A">
      <w:r w:rsidRPr="007D162C">
        <w:t>Working in coordination, collective action between the Australian Government and state and territory governments will:</w:t>
      </w:r>
    </w:p>
    <w:p w14:paraId="7DF3F4E4" w14:textId="77777777" w:rsidR="008F655A" w:rsidRPr="007D162C" w:rsidRDefault="08D050C4" w:rsidP="008F655A">
      <w:pPr>
        <w:pStyle w:val="Listparagraphbullets"/>
        <w:spacing w:after="0"/>
      </w:pPr>
      <w:r w:rsidRPr="007D162C">
        <w:t>reduce discrimination against people with disability concerning public transport services, in line with the purpose of the DDA and the Transport Standards.</w:t>
      </w:r>
    </w:p>
    <w:p w14:paraId="1306CB49" w14:textId="05D3C427" w:rsidR="008F655A" w:rsidRPr="007D162C" w:rsidRDefault="08D050C4" w:rsidP="008F655A">
      <w:pPr>
        <w:pStyle w:val="Listparagraphbullets"/>
        <w:spacing w:after="0"/>
      </w:pPr>
      <w:r w:rsidRPr="007D162C">
        <w:t>improve the accessibility of Australia's public transport services to contribute to an inclusive Australian society, in line with the commitments of</w:t>
      </w:r>
      <w:r w:rsidR="00AE165A">
        <w:t xml:space="preserve"> the Strategy.</w:t>
      </w:r>
    </w:p>
    <w:p w14:paraId="06B17E20" w14:textId="77777777" w:rsidR="008F655A" w:rsidRPr="007D162C" w:rsidRDefault="08D050C4" w:rsidP="008F655A">
      <w:pPr>
        <w:pStyle w:val="Listparagraphbullets"/>
        <w:spacing w:after="0"/>
      </w:pPr>
      <w:r w:rsidRPr="007D162C">
        <w:t>modernise the Transport Standards to meet Australians’ current and future needs by incorporating technological advances and emerging technologies.</w:t>
      </w:r>
    </w:p>
    <w:p w14:paraId="6240337E" w14:textId="575DBCA8" w:rsidR="008F655A" w:rsidRPr="007D162C" w:rsidRDefault="08D050C4" w:rsidP="008F655A">
      <w:pPr>
        <w:pStyle w:val="Listparagraphbullets"/>
        <w:spacing w:after="0"/>
      </w:pPr>
      <w:r w:rsidRPr="007D162C">
        <w:t xml:space="preserve">harmonise requirements between the Transport </w:t>
      </w:r>
      <w:r w:rsidR="00AE165A">
        <w:t xml:space="preserve">and </w:t>
      </w:r>
      <w:r w:rsidRPr="007D162C">
        <w:t>Premises Standards to promote alignment and consistency and simplify regulatory requirements where the two standards intersect.</w:t>
      </w:r>
    </w:p>
    <w:p w14:paraId="54044682" w14:textId="77777777" w:rsidR="008F655A" w:rsidRPr="007D162C" w:rsidRDefault="08D050C4" w:rsidP="00B07F1F">
      <w:pPr>
        <w:pStyle w:val="Listparagraphbullets"/>
      </w:pPr>
      <w:r w:rsidRPr="007D162C">
        <w:t>improve compliance with the Transport Standards by improving regulatory clarity and flexibility regarding how operators and providers can meet their obligations under the DDA.</w:t>
      </w:r>
    </w:p>
    <w:p w14:paraId="4311CBFB" w14:textId="18B2B466" w:rsidR="008F655A" w:rsidRPr="007D162C" w:rsidRDefault="08D050C4" w:rsidP="008F655A">
      <w:r w:rsidRPr="007D162C">
        <w:t>Further, without collective government action, the Australian Government may not meet its domestic and international obligations. In 2008, Australia ratified the U</w:t>
      </w:r>
      <w:r w:rsidR="0057013D">
        <w:t xml:space="preserve">nited </w:t>
      </w:r>
      <w:r w:rsidRPr="007D162C">
        <w:t>N</w:t>
      </w:r>
      <w:r w:rsidR="0057013D">
        <w:t>ations</w:t>
      </w:r>
      <w:r w:rsidRPr="007D162C">
        <w:t xml:space="preserve"> Convention on the Rights of Persons with Disabilities (</w:t>
      </w:r>
      <w:r w:rsidR="0057013D">
        <w:t>UN</w:t>
      </w:r>
      <w:r w:rsidRPr="007D162C">
        <w:t>CRPD). The UNCRPD is a human rights treaty establishing normative standards and principles for the treatment of people with disability under international human rights law. Australia implements the UNCRPD through a range of programs, policies and legislation, including the DDA.</w:t>
      </w:r>
    </w:p>
    <w:p w14:paraId="1CCB4576" w14:textId="7A62ACE4" w:rsidR="008F655A" w:rsidRPr="007D162C" w:rsidRDefault="08D050C4" w:rsidP="008F655A">
      <w:r w:rsidRPr="007D162C">
        <w:t xml:space="preserve">In line with Australia’s commitments under the UNCRPD, </w:t>
      </w:r>
      <w:r w:rsidR="0057013D">
        <w:t xml:space="preserve">Australia’s Disability Strategy 2021-2031 (the Strategy), </w:t>
      </w:r>
      <w:r w:rsidRPr="007D162C">
        <w:t xml:space="preserve">Australia’s national disability policy framework, plays an important role in protecting, promoting and realising the human rights of people with disability. </w:t>
      </w:r>
      <w:r w:rsidR="00AE165A">
        <w:t>The Strategy</w:t>
      </w:r>
      <w:r w:rsidR="00AE165A" w:rsidRPr="007D162C">
        <w:t xml:space="preserve"> </w:t>
      </w:r>
      <w:r w:rsidRPr="007D162C">
        <w:t xml:space="preserve">also helps governments to develop and implement policies, programs, services and systems which protect and realise the human rights of people with disability to facilitate an inclusive Australian society. </w:t>
      </w:r>
      <w:r w:rsidR="00AE165A">
        <w:t>The Strategy</w:t>
      </w:r>
      <w:r w:rsidRPr="007D162C">
        <w:t xml:space="preserve"> identified accessibility of transport systems as a policy priority area, necessary to ensure people with disability have economic security and enabling them to plan for the future and exercise choice and control over their lives. </w:t>
      </w:r>
    </w:p>
    <w:p w14:paraId="21679B10" w14:textId="058F531A" w:rsidR="008F655A" w:rsidRPr="007D162C" w:rsidRDefault="08D050C4" w:rsidP="008F655A">
      <w:pPr>
        <w:pStyle w:val="Heading3"/>
      </w:pPr>
      <w:bookmarkStart w:id="76" w:name="_Toc122515428"/>
      <w:bookmarkStart w:id="77" w:name="_Toc130912495"/>
      <w:bookmarkStart w:id="78" w:name="_Toc130914394"/>
      <w:bookmarkStart w:id="79" w:name="_Toc132381880"/>
      <w:bookmarkStart w:id="80" w:name="_Toc140239689"/>
      <w:r w:rsidRPr="007D162C">
        <w:t>Roles and responsibilities</w:t>
      </w:r>
      <w:bookmarkEnd w:id="76"/>
      <w:bookmarkEnd w:id="77"/>
      <w:bookmarkEnd w:id="78"/>
      <w:bookmarkEnd w:id="79"/>
      <w:bookmarkEnd w:id="80"/>
    </w:p>
    <w:p w14:paraId="1EB4837D" w14:textId="01D5E605" w:rsidR="008F655A" w:rsidRPr="007D162C" w:rsidRDefault="008F655A" w:rsidP="008F655A">
      <w:r w:rsidRPr="007D162C">
        <w:t xml:space="preserve">The reforms were developed in collaboration with </w:t>
      </w:r>
      <w:r w:rsidR="00151633" w:rsidRPr="007D162C">
        <w:t xml:space="preserve">the Attorney-General’s Department, </w:t>
      </w:r>
      <w:r w:rsidRPr="007D162C">
        <w:t xml:space="preserve">state and territory governments, people with disability and public transport industry at the direction of the Infrastructure and Transport Ministers Meeting (ITMM). </w:t>
      </w:r>
    </w:p>
    <w:p w14:paraId="0E25219D" w14:textId="427EC0FD" w:rsidR="008F655A" w:rsidRPr="007D162C" w:rsidRDefault="08D050C4" w:rsidP="008F655A">
      <w:pPr>
        <w:pStyle w:val="Listparagraphbullets"/>
        <w:spacing w:after="0"/>
      </w:pPr>
      <w:r w:rsidRPr="007D162C">
        <w:t xml:space="preserve">ITMM facilitates work between the Australian Government, state, territory and local governments to drive national reforms improving the safety and productivity of Australia's transport and infrastructure systems. ITMM will consider </w:t>
      </w:r>
      <w:r w:rsidR="008D4708">
        <w:t xml:space="preserve">preferred options for </w:t>
      </w:r>
      <w:r w:rsidRPr="007D162C">
        <w:t>all proposed reforms.</w:t>
      </w:r>
    </w:p>
    <w:p w14:paraId="41873749" w14:textId="73428079" w:rsidR="008F655A" w:rsidRPr="007D162C" w:rsidRDefault="08D050C4" w:rsidP="008F655A">
      <w:pPr>
        <w:pStyle w:val="Listparagraphbullets"/>
        <w:spacing w:after="0"/>
      </w:pPr>
      <w:r w:rsidRPr="007D162C">
        <w:t>The Infrastructure and Transport Senior Officials Committee (ITSOC) supports ITMM and provides a forum for senior officials to negotiate issues prior to ITMM</w:t>
      </w:r>
      <w:r w:rsidR="008D4708">
        <w:t>’s</w:t>
      </w:r>
      <w:r w:rsidRPr="007D162C">
        <w:t xml:space="preserve"> consideration and provide advice on the implementation of ITMM decisions.</w:t>
      </w:r>
    </w:p>
    <w:p w14:paraId="7B60CEA5" w14:textId="2A5A9328" w:rsidR="008F655A" w:rsidRPr="007D162C" w:rsidRDefault="08D050C4" w:rsidP="008F655A">
      <w:pPr>
        <w:pStyle w:val="Listparagraphbullets"/>
        <w:spacing w:after="0"/>
      </w:pPr>
      <w:r w:rsidRPr="007D162C">
        <w:t xml:space="preserve">The National Accessible Transport Steering Committee (Steering Committee) oversaw the reform process. The Steering Committee is comprised of senior officials from the Commonwealth (chair), state and territory governments and the </w:t>
      </w:r>
      <w:r w:rsidR="006A1CDA">
        <w:t>AHRC</w:t>
      </w:r>
      <w:r w:rsidRPr="007D162C">
        <w:t>. The Steering Committee reports to ITSOC and provides oversight and direction to the National Accessible Transport Taskforce (the Taskforce).</w:t>
      </w:r>
    </w:p>
    <w:p w14:paraId="1252C036" w14:textId="622AD099" w:rsidR="00EF20B6" w:rsidRPr="007D162C" w:rsidRDefault="008F655A" w:rsidP="008F655A">
      <w:pPr>
        <w:pStyle w:val="Listparagraphbullets"/>
        <w:spacing w:after="0"/>
      </w:pPr>
      <w:r w:rsidRPr="007D162C">
        <w:lastRenderedPageBreak/>
        <w:t>The Taskforce, chaired by the Queensland Government, comprises representatives from the disability community, the public transport industry, technical subject matter experts and governments and was responsible for the development of policy options.</w:t>
      </w:r>
      <w:r w:rsidR="00EF20B6" w:rsidRPr="007D162C">
        <w:rPr>
          <w:noProof/>
          <w:lang w:eastAsia="en-AU"/>
        </w:rPr>
        <w:t xml:space="preserve"> </w:t>
      </w:r>
    </w:p>
    <w:p w14:paraId="0DCD0195" w14:textId="57838599" w:rsidR="00D91F63" w:rsidRPr="007D162C" w:rsidRDefault="00EF20B6" w:rsidP="00EF20B6">
      <w:pPr>
        <w:pStyle w:val="Listparagraphbullets"/>
        <w:spacing w:after="0"/>
      </w:pPr>
      <w:r w:rsidRPr="007D162C">
        <w:t xml:space="preserve">The Attorney-General </w:t>
      </w:r>
      <w:r w:rsidR="00B07F1F" w:rsidRPr="007D162C">
        <w:t>is responsible for</w:t>
      </w:r>
      <w:r w:rsidRPr="007D162C">
        <w:t xml:space="preserve"> the </w:t>
      </w:r>
      <w:r w:rsidR="00373AF9">
        <w:t>DDA</w:t>
      </w:r>
      <w:r w:rsidRPr="007D162C">
        <w:t xml:space="preserve"> and the Transport </w:t>
      </w:r>
      <w:r w:rsidR="00BC27C1">
        <w:t>S</w:t>
      </w:r>
      <w:r w:rsidRPr="007D162C">
        <w:t xml:space="preserve">tandards. </w:t>
      </w:r>
      <w:r w:rsidR="00B07F1F" w:rsidRPr="007D162C">
        <w:t>The Minister for Infrastructure works in conjunction with the Attorney General to undertake statutory reviews of the Transport Standards and to recommend any necessary amendments to improve the</w:t>
      </w:r>
      <w:r w:rsidR="00BC27C1">
        <w:t>ir</w:t>
      </w:r>
      <w:r w:rsidR="00B07F1F" w:rsidRPr="007D162C">
        <w:t xml:space="preserve"> efficiency and effectiveness.</w:t>
      </w:r>
    </w:p>
    <w:p w14:paraId="7878F1AC" w14:textId="77777777" w:rsidR="00A333F8" w:rsidRPr="007D162C" w:rsidRDefault="00A333F8" w:rsidP="00A333F8">
      <w:pPr>
        <w:pStyle w:val="Listparagraphbullets"/>
        <w:numPr>
          <w:ilvl w:val="0"/>
          <w:numId w:val="0"/>
        </w:numPr>
        <w:spacing w:after="0"/>
        <w:ind w:left="360"/>
      </w:pPr>
    </w:p>
    <w:p w14:paraId="219C3EB4" w14:textId="06BD385E" w:rsidR="00EF20B6" w:rsidRPr="007D162C" w:rsidRDefault="00EF20B6" w:rsidP="00BC27C1">
      <w:pPr>
        <w:pStyle w:val="Listparagraphbullets"/>
        <w:numPr>
          <w:ilvl w:val="0"/>
          <w:numId w:val="0"/>
        </w:numPr>
        <w:spacing w:after="0"/>
        <w:ind w:left="360"/>
      </w:pPr>
      <w:r w:rsidRPr="007D162C">
        <w:rPr>
          <w:noProof/>
          <w:lang w:eastAsia="en-AU"/>
        </w:rPr>
        <w:drawing>
          <wp:inline distT="0" distB="0" distL="0" distR="0" wp14:anchorId="3F1CD5F9" wp14:editId="1D6107DB">
            <wp:extent cx="6107274" cy="3076647"/>
            <wp:effectExtent l="38100" t="0" r="27305" b="0"/>
            <wp:docPr id="3" name="Diagram 3" descr="This object outlines the governance hierarchy of the reform project described abov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5B29858" w14:textId="604233CF" w:rsidR="008F655A" w:rsidRPr="007D162C" w:rsidRDefault="08D050C4" w:rsidP="008F655A">
      <w:pPr>
        <w:pStyle w:val="Heading3"/>
      </w:pPr>
      <w:bookmarkStart w:id="81" w:name="_Toc122515429"/>
      <w:bookmarkStart w:id="82" w:name="_Toc130912496"/>
      <w:bookmarkStart w:id="83" w:name="_Toc130914395"/>
      <w:bookmarkStart w:id="84" w:name="_Toc132381881"/>
      <w:bookmarkStart w:id="85" w:name="_Toc140239690"/>
      <w:r w:rsidRPr="007D162C">
        <w:t>Development of policy options</w:t>
      </w:r>
      <w:bookmarkEnd w:id="81"/>
      <w:bookmarkEnd w:id="82"/>
      <w:bookmarkEnd w:id="83"/>
      <w:bookmarkEnd w:id="84"/>
      <w:bookmarkEnd w:id="85"/>
    </w:p>
    <w:p w14:paraId="3F8B440E" w14:textId="49F00247" w:rsidR="008F655A" w:rsidRPr="007D162C" w:rsidRDefault="08D050C4" w:rsidP="008F655A">
      <w:r w:rsidRPr="007D162C">
        <w:t xml:space="preserve">The Taskforce developed policy options </w:t>
      </w:r>
      <w:r w:rsidR="002C6460" w:rsidRPr="007D162C">
        <w:t>between 2019 and 2021</w:t>
      </w:r>
      <w:r w:rsidR="007942FE">
        <w:t xml:space="preserve"> </w:t>
      </w:r>
      <w:r w:rsidRPr="007D162C">
        <w:t>which reflect the guiding principles endorsed by Ministers and the issues raised in previous statutory reviews of the Transport Standards.</w:t>
      </w:r>
    </w:p>
    <w:p w14:paraId="5CBEAFFD" w14:textId="77777777" w:rsidR="008F655A" w:rsidRPr="007D162C" w:rsidRDefault="08D050C4" w:rsidP="008F655A">
      <w:r w:rsidRPr="007D162C">
        <w:t>The policy options aim to remove discrimination against people with disability and provide greater certainty to operators and providers regarding their responsibilities under the Transport Standards. The options developed were intended to reflect modern best practice and promote harmonisation and regulatory consistency.</w:t>
      </w:r>
    </w:p>
    <w:p w14:paraId="1A727420" w14:textId="370FAF22" w:rsidR="008F655A" w:rsidRPr="007D162C" w:rsidRDefault="08D050C4" w:rsidP="008F655A">
      <w:r w:rsidRPr="007D162C">
        <w:t xml:space="preserve">The Taskforce identified issues to be addressed in two stages, in mid-2019 and early-2021. These issues were </w:t>
      </w:r>
      <w:r w:rsidR="00987FB1">
        <w:t>identified</w:t>
      </w:r>
      <w:r w:rsidRPr="007D162C">
        <w:t xml:space="preserve"> by the disability community, governments or the operators and providers of public transport, and ranged from barriers to accessing public transport to requirements that are not feasible to comply with. Working groups under the Taskforce consulted with relevant stakeholders to further develop an understanding of the issue to be addressed. These issues were considered by the Taskforce and recommended to the Steering Committee for endorsement. </w:t>
      </w:r>
    </w:p>
    <w:p w14:paraId="33DDA2BA" w14:textId="77777777" w:rsidR="008F655A" w:rsidRPr="007D162C" w:rsidRDefault="08D050C4" w:rsidP="008F655A">
      <w:r w:rsidRPr="007D162C">
        <w:t xml:space="preserve">Following endorsement from the Steering Committee of the issues to be addressed, working groups under the Taskforce developed policy options to address each issue. This process involved further consultation with relevant stakeholders and targeted information gathering intended to ensure policy options were fit for purpose and viable. The Taskforce considered the proposed policy options making any necessary amendments, and recommended them to the Steering Committee for endorsement to be presented for public consultation. </w:t>
      </w:r>
    </w:p>
    <w:p w14:paraId="58B88EC3" w14:textId="77777777" w:rsidR="008F655A" w:rsidRPr="007D162C" w:rsidRDefault="08D050C4" w:rsidP="008F655A">
      <w:r w:rsidRPr="007D162C">
        <w:t>Before ITMM can consider reforms to modernise the Transport Standards, a Regulation Impact Statement (RIS) is required. The RIS process is designed to ensure regulatory decisions are consistent with the Principles of Best Practice Regulation agreed upon by the National Cabinet. Intergovernmental decision-making bodies, including ITMM, must subject all proposed regulatory amendments to this process.</w:t>
      </w:r>
    </w:p>
    <w:p w14:paraId="3B49BCD6" w14:textId="77777777" w:rsidR="008F655A" w:rsidRPr="007D162C" w:rsidRDefault="08D050C4" w:rsidP="008F655A">
      <w:r w:rsidRPr="007D162C">
        <w:lastRenderedPageBreak/>
        <w:t>The reform proposals have been subject to broad public consultation, consistent with the Office of Impact Analysis’ Regulatory Impact Analysis framework.</w:t>
      </w:r>
    </w:p>
    <w:p w14:paraId="16DE2A19" w14:textId="34C462DA" w:rsidR="008F655A" w:rsidRPr="007D162C" w:rsidRDefault="08D050C4" w:rsidP="008F655A">
      <w:pPr>
        <w:pStyle w:val="Heading3"/>
      </w:pPr>
      <w:bookmarkStart w:id="86" w:name="_Toc122515430"/>
      <w:bookmarkStart w:id="87" w:name="_Toc130912497"/>
      <w:bookmarkStart w:id="88" w:name="_Toc130914396"/>
      <w:bookmarkStart w:id="89" w:name="_Toc132381882"/>
      <w:bookmarkStart w:id="90" w:name="_Toc140239691"/>
      <w:r w:rsidRPr="007D162C">
        <w:t>Consultation</w:t>
      </w:r>
      <w:bookmarkEnd w:id="86"/>
      <w:bookmarkEnd w:id="87"/>
      <w:bookmarkEnd w:id="88"/>
      <w:bookmarkEnd w:id="89"/>
      <w:bookmarkEnd w:id="90"/>
    </w:p>
    <w:p w14:paraId="6401B814" w14:textId="1B9376A5" w:rsidR="008F655A" w:rsidRPr="007D162C" w:rsidRDefault="08D050C4" w:rsidP="008F655A">
      <w:r w:rsidRPr="007D162C">
        <w:t>The Stage 2 Consultation RIS was published on 15 March 2022. The Consultation RIS included status quo, non</w:t>
      </w:r>
      <w:r w:rsidR="00997260">
        <w:noBreakHyphen/>
      </w:r>
      <w:r w:rsidRPr="007D162C">
        <w:t xml:space="preserve">regulatory and regulatory options for 60 reform areas, and options for the implementation of all reform proposals. The purpose of public consultation was to learn more about the contexts in which discrimination is likely to occur for people with disability and gather a broad range of stakeholder views on the merits of the proposed policy options, including associated impacts, costs and benefits, and the extent to which each option would achieve the intended outcome. </w:t>
      </w:r>
    </w:p>
    <w:p w14:paraId="30FFBD8B" w14:textId="18682D45" w:rsidR="008F655A" w:rsidRPr="007D162C" w:rsidRDefault="08D050C4" w:rsidP="008F655A">
      <w:r w:rsidRPr="007D162C">
        <w:t xml:space="preserve">The Australian federal election was held on 21 May 2022. The Department’s engagement in the consultation process was deferred for a short period between 11 April </w:t>
      </w:r>
      <w:r w:rsidR="00997260">
        <w:t>and</w:t>
      </w:r>
      <w:r w:rsidRPr="007D162C">
        <w:t xml:space="preserve"> 23 May 2022 while Caretaker Conventions were observed. </w:t>
      </w:r>
    </w:p>
    <w:p w14:paraId="5E175503" w14:textId="77777777" w:rsidR="008F655A" w:rsidRPr="007D162C" w:rsidRDefault="08D050C4" w:rsidP="008F655A">
      <w:r w:rsidRPr="007D162C">
        <w:t>During the consultation period, a broad range of stakeholders were invited to respond to the Stage 2 Consultation RIS, including:</w:t>
      </w:r>
    </w:p>
    <w:p w14:paraId="402533EC" w14:textId="77777777" w:rsidR="008F655A" w:rsidRPr="007D162C" w:rsidRDefault="08D050C4" w:rsidP="008F655A">
      <w:pPr>
        <w:pStyle w:val="Listparagraphbullets"/>
        <w:spacing w:after="0"/>
      </w:pPr>
      <w:r w:rsidRPr="007D162C">
        <w:t xml:space="preserve">people with disability, their families and carers </w:t>
      </w:r>
    </w:p>
    <w:p w14:paraId="6E45CAC9" w14:textId="77777777" w:rsidR="008F655A" w:rsidRPr="007D162C" w:rsidRDefault="08D050C4" w:rsidP="008F655A">
      <w:pPr>
        <w:pStyle w:val="Listparagraphbullets"/>
        <w:spacing w:after="0"/>
      </w:pPr>
      <w:r w:rsidRPr="007D162C">
        <w:t>disability organisations and advocacy groups</w:t>
      </w:r>
    </w:p>
    <w:p w14:paraId="068169FF" w14:textId="77777777" w:rsidR="008F655A" w:rsidRPr="007D162C" w:rsidRDefault="08D050C4" w:rsidP="008F655A">
      <w:pPr>
        <w:pStyle w:val="Listparagraphbullets"/>
        <w:spacing w:after="0"/>
      </w:pPr>
      <w:r w:rsidRPr="007D162C">
        <w:t>operators and providers of public transport, including peak industry bodies</w:t>
      </w:r>
    </w:p>
    <w:p w14:paraId="2DCC218C" w14:textId="77777777" w:rsidR="008F655A" w:rsidRPr="007D162C" w:rsidRDefault="08D050C4" w:rsidP="008F655A">
      <w:pPr>
        <w:pStyle w:val="Listparagraphbullets"/>
        <w:spacing w:after="0"/>
      </w:pPr>
      <w:r w:rsidRPr="007D162C">
        <w:t>state, territory and local governments</w:t>
      </w:r>
    </w:p>
    <w:p w14:paraId="0B2FBD65" w14:textId="77777777" w:rsidR="008F655A" w:rsidRPr="007D162C" w:rsidRDefault="008F655A" w:rsidP="008F655A">
      <w:pPr>
        <w:pStyle w:val="Listparagraphbullets"/>
        <w:spacing w:after="0"/>
      </w:pPr>
      <w:r w:rsidRPr="007D162C">
        <w:t>Australian Government departments and agencies</w:t>
      </w:r>
    </w:p>
    <w:p w14:paraId="418194BF" w14:textId="77777777" w:rsidR="008F655A" w:rsidRPr="007D162C" w:rsidRDefault="008F655A" w:rsidP="00E451C4">
      <w:pPr>
        <w:pStyle w:val="Listparagraphbullets"/>
      </w:pPr>
      <w:r w:rsidRPr="007D162C">
        <w:t>other interested people or organisations.</w:t>
      </w:r>
    </w:p>
    <w:p w14:paraId="2334410D" w14:textId="7FD7F8A5" w:rsidR="008F655A" w:rsidRPr="007D162C" w:rsidRDefault="008F655A" w:rsidP="008F655A">
      <w:r w:rsidRPr="007D162C">
        <w:t xml:space="preserve">Stakeholders could provide feedback in written form via surveys and emails or verbally through a phone line. </w:t>
      </w:r>
      <w:r w:rsidR="169A030C" w:rsidRPr="007D162C">
        <w:t xml:space="preserve">Public written submissions are available on the Department’s website: </w:t>
      </w:r>
      <w:hyperlink r:id="rId29">
        <w:r w:rsidR="169A030C" w:rsidRPr="007D162C">
          <w:rPr>
            <w:rStyle w:val="Hyperlink"/>
          </w:rPr>
          <w:t>https://www.infrastructure.gov.au/have-your-say/stage-2-reform-disability-standards-accessible-public-transport-2002</w:t>
        </w:r>
      </w:hyperlink>
      <w:r w:rsidR="169A030C" w:rsidRPr="007D162C">
        <w:t>.</w:t>
      </w:r>
    </w:p>
    <w:p w14:paraId="26B04526" w14:textId="77777777" w:rsidR="008F655A" w:rsidRPr="007D162C" w:rsidRDefault="08D050C4" w:rsidP="008F655A">
      <w:r w:rsidRPr="007D162C">
        <w:t xml:space="preserve">The Australian Government also contracted strategic communications and engagement consultancy, The Social Deck Pty Ltd, to design, deliver and facilitate national consultation events. Consultation events were led by people with disability and delivered in partnership with disability organisations. Stakeholder engagement was designed to accommodate the needs of people across a range of disabilities. The consultation process sought to prioritise the lived experience of people with disability and leverage the expert knowledge of various stakeholder groups. </w:t>
      </w:r>
    </w:p>
    <w:p w14:paraId="535989D6" w14:textId="77777777" w:rsidR="008F655A" w:rsidRPr="007D162C" w:rsidRDefault="008F655A" w:rsidP="008F655A">
      <w:r w:rsidRPr="007D162C">
        <w:t>Various online consultation sessions were held from 17 June to 21 July 2022. Activities were designed to allow people with disability, the disability sector, and the transport industry to have open and transparent opportunities to engage and have their say. Where necessary, targeted engagements were conducted to allow deeper investigation into issues for diverse groups. During the consultation period, consultation activities were adjusted in response to feedback to support public engagement to the greatest extent possible. For example, the workshop structure was altered to facilitate group discussion on critical issues relevant to participants.</w:t>
      </w:r>
    </w:p>
    <w:p w14:paraId="2D09B813" w14:textId="77777777" w:rsidR="008F655A" w:rsidRPr="007D162C" w:rsidRDefault="008F655A" w:rsidP="008F655A">
      <w:r w:rsidRPr="007D162C">
        <w:t>To address the needs of people living with disability, supporting documentation packages were prepared in various formats, including factsheets, summary documents and translations, to support the consultation and engagement process.</w:t>
      </w:r>
    </w:p>
    <w:p w14:paraId="68E788DE" w14:textId="77777777" w:rsidR="008F655A" w:rsidRPr="007D162C" w:rsidRDefault="008F655A" w:rsidP="008F655A">
      <w:r w:rsidRPr="007D162C">
        <w:t xml:space="preserve">Standards Australia also provided viewing access to referenced standards listed in the ‘Glossary of Australian Standards and other standards references’ to ensure the broader community had the opportunity to review the standards as part of the consultation process. </w:t>
      </w:r>
    </w:p>
    <w:p w14:paraId="157A8FEE" w14:textId="77777777" w:rsidR="008F655A" w:rsidRPr="007D162C" w:rsidRDefault="008F655A" w:rsidP="008F655A">
      <w:r w:rsidRPr="007D162C">
        <w:t>The Australian Government thanks everyone who engaged in the consultation process.</w:t>
      </w:r>
    </w:p>
    <w:p w14:paraId="19F06ACA" w14:textId="06EED08F" w:rsidR="008F655A" w:rsidRPr="007D162C" w:rsidRDefault="008F655A" w:rsidP="008F655A">
      <w:pPr>
        <w:pStyle w:val="Heading3"/>
      </w:pPr>
      <w:bookmarkStart w:id="91" w:name="_Toc122515431"/>
      <w:bookmarkStart w:id="92" w:name="_Toc130912498"/>
      <w:bookmarkStart w:id="93" w:name="_Toc130914397"/>
      <w:bookmarkStart w:id="94" w:name="_Toc132381883"/>
      <w:bookmarkStart w:id="95" w:name="_Toc140239692"/>
      <w:r w:rsidRPr="007D162C">
        <w:lastRenderedPageBreak/>
        <w:t>Summary of the consultation engagement</w:t>
      </w:r>
      <w:bookmarkEnd w:id="91"/>
      <w:bookmarkEnd w:id="92"/>
      <w:bookmarkEnd w:id="93"/>
      <w:bookmarkEnd w:id="94"/>
      <w:bookmarkEnd w:id="95"/>
    </w:p>
    <w:p w14:paraId="373D8C3E" w14:textId="49CB6EAA" w:rsidR="008F655A" w:rsidRPr="007D162C" w:rsidRDefault="008F655A" w:rsidP="008F655A">
      <w:r w:rsidRPr="007D162C">
        <w:t>A summary of submissions received by stakeholder grou</w:t>
      </w:r>
      <w:r w:rsidR="004B3BC3">
        <w:t>p and a summary of the consultation activities and engagement are</w:t>
      </w:r>
      <w:r w:rsidRPr="007D162C">
        <w:t xml:space="preserve"> below.</w:t>
      </w:r>
    </w:p>
    <w:p w14:paraId="4F39FD97" w14:textId="333EB757" w:rsidR="008F655A" w:rsidRPr="007D162C" w:rsidRDefault="008F655A" w:rsidP="008B3BA2">
      <w:pPr>
        <w:pStyle w:val="Tablefigureheading"/>
      </w:pPr>
      <w:bookmarkStart w:id="96" w:name="_Toc122446311"/>
      <w:bookmarkStart w:id="97" w:name="_Toc139969163"/>
      <w:r w:rsidRPr="007D162C">
        <w:t xml:space="preserve">Table </w:t>
      </w:r>
      <w:fldSimple w:instr=" SEQ Table \* ARABIC ">
        <w:r w:rsidR="00DC26AC">
          <w:rPr>
            <w:noProof/>
          </w:rPr>
          <w:t>5</w:t>
        </w:r>
      </w:fldSimple>
      <w:r w:rsidRPr="007D162C">
        <w:t>: Summary of submissions received by stakeholder group</w:t>
      </w:r>
      <w:bookmarkEnd w:id="96"/>
      <w:bookmarkEnd w:id="97"/>
    </w:p>
    <w:tbl>
      <w:tblPr>
        <w:tblStyle w:val="DefaultTable1"/>
        <w:tblW w:w="4476" w:type="pct"/>
        <w:tblLook w:val="0420" w:firstRow="1" w:lastRow="0" w:firstColumn="0" w:lastColumn="0" w:noHBand="0" w:noVBand="1"/>
        <w:tblCaption w:val="Summary of submissions received by stakeholder group"/>
        <w:tblDescription w:val="This table summarises the number of submissions recieved from stakeholder groups, including disability organisation, individual, public transport industry, governments, other and confidential "/>
      </w:tblPr>
      <w:tblGrid>
        <w:gridCol w:w="4648"/>
        <w:gridCol w:w="4182"/>
      </w:tblGrid>
      <w:tr w:rsidR="008F655A" w:rsidRPr="007D162C" w14:paraId="61374DEA" w14:textId="77777777" w:rsidTr="08D050C4">
        <w:trPr>
          <w:cnfStyle w:val="100000000000" w:firstRow="1" w:lastRow="0" w:firstColumn="0" w:lastColumn="0" w:oddVBand="0" w:evenVBand="0" w:oddHBand="0" w:evenHBand="0" w:firstRowFirstColumn="0" w:firstRowLastColumn="0" w:lastRowFirstColumn="0" w:lastRowLastColumn="0"/>
        </w:trPr>
        <w:tc>
          <w:tcPr>
            <w:tcW w:w="2632" w:type="pct"/>
            <w:hideMark/>
          </w:tcPr>
          <w:p w14:paraId="7EC2663D" w14:textId="77777777" w:rsidR="008F655A" w:rsidRPr="007D162C" w:rsidRDefault="008F655A" w:rsidP="008F655A">
            <w:r w:rsidRPr="007D162C">
              <w:t>Submission origin</w:t>
            </w:r>
          </w:p>
        </w:tc>
        <w:tc>
          <w:tcPr>
            <w:tcW w:w="2368" w:type="pct"/>
          </w:tcPr>
          <w:p w14:paraId="02D930F1" w14:textId="77777777" w:rsidR="008F655A" w:rsidRPr="007D162C" w:rsidRDefault="008F655A" w:rsidP="008F655A">
            <w:r w:rsidRPr="007D162C">
              <w:t>Number of submissions received</w:t>
            </w:r>
          </w:p>
        </w:tc>
      </w:tr>
      <w:tr w:rsidR="008F655A" w:rsidRPr="007D162C" w14:paraId="0E8C53EA"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21B4E4FA" w14:textId="77777777" w:rsidR="008F655A" w:rsidRPr="007D162C" w:rsidRDefault="08D050C4" w:rsidP="008F655A">
            <w:r w:rsidRPr="007D162C">
              <w:t>Disability organisations and advocacy groups</w:t>
            </w:r>
          </w:p>
        </w:tc>
        <w:tc>
          <w:tcPr>
            <w:tcW w:w="2368" w:type="pct"/>
          </w:tcPr>
          <w:p w14:paraId="33C10291" w14:textId="77777777" w:rsidR="008F655A" w:rsidRPr="007D162C" w:rsidRDefault="08D050C4" w:rsidP="08D050C4">
            <w:pPr>
              <w:rPr>
                <w:color w:val="000000" w:themeColor="text1"/>
              </w:rPr>
            </w:pPr>
            <w:r w:rsidRPr="007D162C">
              <w:rPr>
                <w:color w:val="000000" w:themeColor="text1"/>
              </w:rPr>
              <w:t>18</w:t>
            </w:r>
          </w:p>
        </w:tc>
      </w:tr>
      <w:tr w:rsidR="008F655A" w:rsidRPr="007D162C" w14:paraId="108472C8" w14:textId="77777777" w:rsidTr="08D050C4">
        <w:tc>
          <w:tcPr>
            <w:tcW w:w="2632" w:type="pct"/>
          </w:tcPr>
          <w:p w14:paraId="387BE650" w14:textId="77777777" w:rsidR="008F655A" w:rsidRPr="007D162C" w:rsidRDefault="008F655A" w:rsidP="008F655A">
            <w:r w:rsidRPr="007D162C">
              <w:t>Individuals</w:t>
            </w:r>
          </w:p>
        </w:tc>
        <w:tc>
          <w:tcPr>
            <w:tcW w:w="2368" w:type="pct"/>
          </w:tcPr>
          <w:p w14:paraId="043F6EA5" w14:textId="77777777" w:rsidR="008F655A" w:rsidRPr="007D162C" w:rsidRDefault="08D050C4" w:rsidP="08D050C4">
            <w:r w:rsidRPr="007D162C">
              <w:t>18</w:t>
            </w:r>
          </w:p>
        </w:tc>
      </w:tr>
      <w:tr w:rsidR="008F655A" w:rsidRPr="007D162C" w14:paraId="2FBBFE42"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44341708" w14:textId="77777777" w:rsidR="008F655A" w:rsidRPr="007D162C" w:rsidRDefault="008F655A" w:rsidP="008F655A">
            <w:r w:rsidRPr="007D162C">
              <w:t>Public transport industry</w:t>
            </w:r>
          </w:p>
        </w:tc>
        <w:tc>
          <w:tcPr>
            <w:tcW w:w="2368" w:type="pct"/>
          </w:tcPr>
          <w:p w14:paraId="1D646679" w14:textId="77777777" w:rsidR="008F655A" w:rsidRPr="007D162C" w:rsidRDefault="08D050C4" w:rsidP="08D050C4">
            <w:pPr>
              <w:rPr>
                <w:color w:val="000000" w:themeColor="text1"/>
              </w:rPr>
            </w:pPr>
            <w:r w:rsidRPr="007D162C">
              <w:rPr>
                <w:color w:val="000000" w:themeColor="text1"/>
              </w:rPr>
              <w:t>5</w:t>
            </w:r>
          </w:p>
        </w:tc>
      </w:tr>
      <w:tr w:rsidR="008F655A" w:rsidRPr="007D162C" w14:paraId="53BC8D5C" w14:textId="77777777" w:rsidTr="08D050C4">
        <w:tc>
          <w:tcPr>
            <w:tcW w:w="2632" w:type="pct"/>
          </w:tcPr>
          <w:p w14:paraId="5A15FCB2" w14:textId="77777777" w:rsidR="008F655A" w:rsidRPr="007D162C" w:rsidRDefault="008F655A" w:rsidP="008F655A">
            <w:r w:rsidRPr="007D162C">
              <w:t>State and territory government</w:t>
            </w:r>
          </w:p>
        </w:tc>
        <w:tc>
          <w:tcPr>
            <w:tcW w:w="2368" w:type="pct"/>
          </w:tcPr>
          <w:p w14:paraId="188C26E3" w14:textId="77777777" w:rsidR="008F655A" w:rsidRPr="007D162C" w:rsidRDefault="08D050C4" w:rsidP="08D050C4">
            <w:r w:rsidRPr="007D162C">
              <w:t>3</w:t>
            </w:r>
          </w:p>
        </w:tc>
      </w:tr>
      <w:tr w:rsidR="008F655A" w:rsidRPr="007D162C" w14:paraId="39A62562"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0387D36C" w14:textId="77777777" w:rsidR="008F655A" w:rsidRPr="007D162C" w:rsidRDefault="008F655A" w:rsidP="008F655A">
            <w:r w:rsidRPr="007D162C">
              <w:t xml:space="preserve">Local government  </w:t>
            </w:r>
          </w:p>
        </w:tc>
        <w:tc>
          <w:tcPr>
            <w:tcW w:w="2368" w:type="pct"/>
          </w:tcPr>
          <w:p w14:paraId="0CC69747" w14:textId="77777777" w:rsidR="008F655A" w:rsidRPr="007D162C" w:rsidRDefault="08D050C4" w:rsidP="08D050C4">
            <w:pPr>
              <w:rPr>
                <w:color w:val="000000" w:themeColor="text1"/>
              </w:rPr>
            </w:pPr>
            <w:r w:rsidRPr="007D162C">
              <w:rPr>
                <w:color w:val="000000" w:themeColor="text1"/>
              </w:rPr>
              <w:t>4</w:t>
            </w:r>
          </w:p>
        </w:tc>
      </w:tr>
      <w:tr w:rsidR="008F655A" w:rsidRPr="007D162C" w14:paraId="414B3C12" w14:textId="77777777" w:rsidTr="08D050C4">
        <w:tc>
          <w:tcPr>
            <w:tcW w:w="2632" w:type="pct"/>
          </w:tcPr>
          <w:p w14:paraId="35F4E8FC" w14:textId="77777777" w:rsidR="008F655A" w:rsidRPr="007D162C" w:rsidRDefault="008F655A" w:rsidP="008F655A">
            <w:pPr>
              <w:rPr>
                <w:iCs/>
                <w:szCs w:val="24"/>
              </w:rPr>
            </w:pPr>
            <w:r w:rsidRPr="007D162C">
              <w:t>Other</w:t>
            </w:r>
          </w:p>
        </w:tc>
        <w:tc>
          <w:tcPr>
            <w:tcW w:w="2368" w:type="pct"/>
          </w:tcPr>
          <w:p w14:paraId="0F9AD0DC" w14:textId="77777777" w:rsidR="008F655A" w:rsidRPr="007D162C" w:rsidRDefault="08D050C4" w:rsidP="08D050C4">
            <w:r w:rsidRPr="007D162C">
              <w:t>5</w:t>
            </w:r>
          </w:p>
        </w:tc>
      </w:tr>
      <w:tr w:rsidR="008F655A" w:rsidRPr="007D162C" w14:paraId="3DCDE691"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7E4C688F" w14:textId="77777777" w:rsidR="008F655A" w:rsidRPr="007D162C" w:rsidRDefault="008F655A" w:rsidP="008F655A">
            <w:pPr>
              <w:rPr>
                <w:iCs/>
                <w:szCs w:val="24"/>
              </w:rPr>
            </w:pPr>
            <w:r w:rsidRPr="007D162C">
              <w:t>Confidential</w:t>
            </w:r>
            <w:r w:rsidR="009D538C" w:rsidRPr="007D162C">
              <w:t xml:space="preserve"> – individuals</w:t>
            </w:r>
          </w:p>
        </w:tc>
        <w:tc>
          <w:tcPr>
            <w:tcW w:w="2368" w:type="pct"/>
          </w:tcPr>
          <w:p w14:paraId="545436FA" w14:textId="77777777" w:rsidR="008F655A" w:rsidRPr="007D162C" w:rsidRDefault="08D050C4" w:rsidP="08D050C4">
            <w:pPr>
              <w:rPr>
                <w:color w:val="000000" w:themeColor="text1"/>
              </w:rPr>
            </w:pPr>
            <w:r w:rsidRPr="007D162C">
              <w:rPr>
                <w:color w:val="000000" w:themeColor="text1"/>
              </w:rPr>
              <w:t>11</w:t>
            </w:r>
          </w:p>
        </w:tc>
      </w:tr>
      <w:tr w:rsidR="009D538C" w:rsidRPr="007D162C" w14:paraId="2AC01701" w14:textId="77777777" w:rsidTr="08D050C4">
        <w:tc>
          <w:tcPr>
            <w:tcW w:w="2632" w:type="pct"/>
          </w:tcPr>
          <w:p w14:paraId="1F132909" w14:textId="77777777" w:rsidR="009D538C" w:rsidRPr="007D162C" w:rsidRDefault="009D538C" w:rsidP="008F655A">
            <w:pPr>
              <w:rPr>
                <w:iCs/>
                <w:szCs w:val="24"/>
              </w:rPr>
            </w:pPr>
            <w:r w:rsidRPr="007D162C">
              <w:t>Confidential – industry and government</w:t>
            </w:r>
          </w:p>
        </w:tc>
        <w:tc>
          <w:tcPr>
            <w:tcW w:w="2368" w:type="pct"/>
          </w:tcPr>
          <w:p w14:paraId="3D1A0860" w14:textId="77777777" w:rsidR="009D538C" w:rsidRPr="007D162C" w:rsidRDefault="08D050C4" w:rsidP="08D050C4">
            <w:r w:rsidRPr="007D162C">
              <w:t>20</w:t>
            </w:r>
          </w:p>
        </w:tc>
      </w:tr>
      <w:tr w:rsidR="008F655A" w:rsidRPr="007D162C" w14:paraId="43E49611" w14:textId="77777777" w:rsidTr="08D050C4">
        <w:trPr>
          <w:cnfStyle w:val="000000100000" w:firstRow="0" w:lastRow="0" w:firstColumn="0" w:lastColumn="0" w:oddVBand="0" w:evenVBand="0" w:oddHBand="1" w:evenHBand="0" w:firstRowFirstColumn="0" w:firstRowLastColumn="0" w:lastRowFirstColumn="0" w:lastRowLastColumn="0"/>
        </w:trPr>
        <w:tc>
          <w:tcPr>
            <w:tcW w:w="2632" w:type="pct"/>
          </w:tcPr>
          <w:p w14:paraId="263F49D2" w14:textId="77777777" w:rsidR="008F655A" w:rsidRPr="007D162C" w:rsidRDefault="008F655A" w:rsidP="008F655A">
            <w:pPr>
              <w:rPr>
                <w:b/>
              </w:rPr>
            </w:pPr>
            <w:r w:rsidRPr="007D162C">
              <w:rPr>
                <w:b/>
              </w:rPr>
              <w:t xml:space="preserve">Total number of submissions received </w:t>
            </w:r>
          </w:p>
        </w:tc>
        <w:tc>
          <w:tcPr>
            <w:tcW w:w="2368" w:type="pct"/>
          </w:tcPr>
          <w:p w14:paraId="64FFC990" w14:textId="77777777" w:rsidR="008F655A" w:rsidRPr="007D162C" w:rsidRDefault="08D050C4" w:rsidP="08D050C4">
            <w:pPr>
              <w:rPr>
                <w:b/>
                <w:bCs/>
                <w:color w:val="000000" w:themeColor="text1"/>
              </w:rPr>
            </w:pPr>
            <w:r w:rsidRPr="007D162C">
              <w:rPr>
                <w:b/>
                <w:bCs/>
                <w:color w:val="000000" w:themeColor="text1"/>
              </w:rPr>
              <w:t>84</w:t>
            </w:r>
          </w:p>
        </w:tc>
      </w:tr>
    </w:tbl>
    <w:p w14:paraId="58AB1131" w14:textId="77777777" w:rsidR="004B3BC3" w:rsidRDefault="004B3BC3" w:rsidP="004B3BC3">
      <w:pPr>
        <w:pStyle w:val="BodyText"/>
      </w:pPr>
      <w:bookmarkStart w:id="98" w:name="_Toc122446312"/>
    </w:p>
    <w:p w14:paraId="367C828B" w14:textId="77E8EE59" w:rsidR="008F655A" w:rsidRPr="007D162C" w:rsidRDefault="008F655A" w:rsidP="008B3BA2">
      <w:pPr>
        <w:pStyle w:val="Tablefigureheading"/>
      </w:pPr>
      <w:bookmarkStart w:id="99" w:name="_Toc139969164"/>
      <w:r w:rsidRPr="007D162C">
        <w:t xml:space="preserve">Table </w:t>
      </w:r>
      <w:fldSimple w:instr=" SEQ Table \* ARABIC ">
        <w:r w:rsidR="00DC26AC">
          <w:rPr>
            <w:noProof/>
          </w:rPr>
          <w:t>6</w:t>
        </w:r>
      </w:fldSimple>
      <w:r w:rsidRPr="007D162C">
        <w:t xml:space="preserve"> Summary of consultation activities and engagement</w:t>
      </w:r>
      <w:bookmarkEnd w:id="98"/>
      <w:bookmarkEnd w:id="99"/>
    </w:p>
    <w:tbl>
      <w:tblPr>
        <w:tblStyle w:val="DefaultTable1"/>
        <w:tblW w:w="4527" w:type="pct"/>
        <w:tblLook w:val="0420" w:firstRow="1" w:lastRow="0" w:firstColumn="0" w:lastColumn="0" w:noHBand="0" w:noVBand="1"/>
        <w:tblCaption w:val="Summary of consultation activities and engagement"/>
        <w:tblDescription w:val="This tabe summarises the engagement with webinars, community workshops, focus gruops, roundtables and discussion boards."/>
      </w:tblPr>
      <w:tblGrid>
        <w:gridCol w:w="4111"/>
        <w:gridCol w:w="2410"/>
        <w:gridCol w:w="2410"/>
      </w:tblGrid>
      <w:tr w:rsidR="008F655A" w:rsidRPr="007D162C" w14:paraId="5DBABF08" w14:textId="77777777" w:rsidTr="08D050C4">
        <w:trPr>
          <w:cnfStyle w:val="100000000000" w:firstRow="1" w:lastRow="0" w:firstColumn="0" w:lastColumn="0" w:oddVBand="0" w:evenVBand="0" w:oddHBand="0" w:evenHBand="0" w:firstRowFirstColumn="0" w:firstRowLastColumn="0" w:lastRowFirstColumn="0" w:lastRowLastColumn="0"/>
        </w:trPr>
        <w:tc>
          <w:tcPr>
            <w:tcW w:w="2302" w:type="pct"/>
            <w:hideMark/>
          </w:tcPr>
          <w:p w14:paraId="61A8F1D9" w14:textId="77777777" w:rsidR="008F655A" w:rsidRPr="007D162C" w:rsidRDefault="008F655A" w:rsidP="008F655A">
            <w:r w:rsidRPr="007D162C">
              <w:t>Method of public consultation</w:t>
            </w:r>
          </w:p>
        </w:tc>
        <w:tc>
          <w:tcPr>
            <w:tcW w:w="1349" w:type="pct"/>
          </w:tcPr>
          <w:p w14:paraId="29530C7E" w14:textId="77777777" w:rsidR="008F655A" w:rsidRPr="007D162C" w:rsidRDefault="008F655A" w:rsidP="008F655A">
            <w:r w:rsidRPr="007D162C">
              <w:t>Events held</w:t>
            </w:r>
          </w:p>
        </w:tc>
        <w:tc>
          <w:tcPr>
            <w:tcW w:w="1349" w:type="pct"/>
          </w:tcPr>
          <w:p w14:paraId="7212FE82" w14:textId="77777777" w:rsidR="008F655A" w:rsidRPr="007D162C" w:rsidRDefault="008F655A" w:rsidP="008F655A">
            <w:r w:rsidRPr="007D162C">
              <w:t>Number of participants</w:t>
            </w:r>
          </w:p>
        </w:tc>
      </w:tr>
      <w:tr w:rsidR="008F655A" w:rsidRPr="007D162C" w14:paraId="2D90DFF9"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603F6ED8" w14:textId="77777777" w:rsidR="008F655A" w:rsidRPr="007D162C" w:rsidRDefault="008F655A" w:rsidP="008F655A">
            <w:r w:rsidRPr="007D162C">
              <w:t>Webinar</w:t>
            </w:r>
          </w:p>
        </w:tc>
        <w:tc>
          <w:tcPr>
            <w:tcW w:w="1349" w:type="pct"/>
          </w:tcPr>
          <w:p w14:paraId="7C8C459B" w14:textId="77777777" w:rsidR="008F655A" w:rsidRPr="007D162C" w:rsidRDefault="08D050C4" w:rsidP="08D050C4">
            <w:pPr>
              <w:rPr>
                <w:color w:val="000000" w:themeColor="text1"/>
              </w:rPr>
            </w:pPr>
            <w:r w:rsidRPr="007D162C">
              <w:rPr>
                <w:color w:val="000000" w:themeColor="text1"/>
              </w:rPr>
              <w:t>2</w:t>
            </w:r>
          </w:p>
        </w:tc>
        <w:tc>
          <w:tcPr>
            <w:tcW w:w="1349" w:type="pct"/>
          </w:tcPr>
          <w:p w14:paraId="2C575627" w14:textId="77777777" w:rsidR="008F655A" w:rsidRPr="007D162C" w:rsidRDefault="08D050C4" w:rsidP="08D050C4">
            <w:pPr>
              <w:rPr>
                <w:color w:val="000000" w:themeColor="text1"/>
              </w:rPr>
            </w:pPr>
            <w:r w:rsidRPr="007D162C">
              <w:rPr>
                <w:color w:val="000000" w:themeColor="text1"/>
              </w:rPr>
              <w:t>165</w:t>
            </w:r>
          </w:p>
        </w:tc>
      </w:tr>
      <w:tr w:rsidR="008F655A" w:rsidRPr="007D162C" w14:paraId="4B05055D" w14:textId="77777777" w:rsidTr="08D050C4">
        <w:tc>
          <w:tcPr>
            <w:tcW w:w="2302" w:type="pct"/>
          </w:tcPr>
          <w:p w14:paraId="29ED2A13" w14:textId="77777777" w:rsidR="008F655A" w:rsidRPr="007D162C" w:rsidRDefault="008F655A" w:rsidP="008F655A">
            <w:r w:rsidRPr="007D162C">
              <w:t>Community workshop</w:t>
            </w:r>
          </w:p>
        </w:tc>
        <w:tc>
          <w:tcPr>
            <w:tcW w:w="1349" w:type="pct"/>
          </w:tcPr>
          <w:p w14:paraId="0A73F3D9" w14:textId="77777777" w:rsidR="008F655A" w:rsidRPr="007D162C" w:rsidRDefault="08D050C4" w:rsidP="08D050C4">
            <w:r w:rsidRPr="007D162C">
              <w:t>4</w:t>
            </w:r>
          </w:p>
        </w:tc>
        <w:tc>
          <w:tcPr>
            <w:tcW w:w="1349" w:type="pct"/>
          </w:tcPr>
          <w:p w14:paraId="1D5E7040" w14:textId="77777777" w:rsidR="008F655A" w:rsidRPr="007D162C" w:rsidRDefault="08D050C4" w:rsidP="08D050C4">
            <w:r w:rsidRPr="007D162C">
              <w:t>75</w:t>
            </w:r>
          </w:p>
        </w:tc>
      </w:tr>
      <w:tr w:rsidR="008F655A" w:rsidRPr="007D162C" w14:paraId="31BD4CF3"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1AABB0E1" w14:textId="77777777" w:rsidR="008F655A" w:rsidRPr="007D162C" w:rsidRDefault="008F655A" w:rsidP="008F655A">
            <w:pPr>
              <w:rPr>
                <w:iCs/>
                <w:szCs w:val="24"/>
              </w:rPr>
            </w:pPr>
            <w:r w:rsidRPr="007D162C">
              <w:t>Focus group</w:t>
            </w:r>
          </w:p>
        </w:tc>
        <w:tc>
          <w:tcPr>
            <w:tcW w:w="1349" w:type="pct"/>
          </w:tcPr>
          <w:p w14:paraId="47AD7763" w14:textId="77777777" w:rsidR="008F655A" w:rsidRPr="007D162C" w:rsidRDefault="08D050C4" w:rsidP="08D050C4">
            <w:pPr>
              <w:rPr>
                <w:color w:val="000000" w:themeColor="text1"/>
              </w:rPr>
            </w:pPr>
            <w:r w:rsidRPr="007D162C">
              <w:rPr>
                <w:color w:val="000000" w:themeColor="text1"/>
              </w:rPr>
              <w:t>6</w:t>
            </w:r>
          </w:p>
        </w:tc>
        <w:tc>
          <w:tcPr>
            <w:tcW w:w="1349" w:type="pct"/>
          </w:tcPr>
          <w:p w14:paraId="64C9EE06" w14:textId="77777777" w:rsidR="008F655A" w:rsidRPr="007D162C" w:rsidRDefault="08D050C4" w:rsidP="08D050C4">
            <w:pPr>
              <w:rPr>
                <w:color w:val="000000" w:themeColor="text1"/>
              </w:rPr>
            </w:pPr>
            <w:r w:rsidRPr="007D162C">
              <w:rPr>
                <w:color w:val="000000" w:themeColor="text1"/>
              </w:rPr>
              <w:t>47</w:t>
            </w:r>
          </w:p>
        </w:tc>
      </w:tr>
      <w:tr w:rsidR="008F655A" w:rsidRPr="007D162C" w14:paraId="03EADAB2" w14:textId="77777777" w:rsidTr="08D050C4">
        <w:tc>
          <w:tcPr>
            <w:tcW w:w="2302" w:type="pct"/>
          </w:tcPr>
          <w:p w14:paraId="463DC7EA" w14:textId="77777777" w:rsidR="008F655A" w:rsidRPr="007D162C" w:rsidRDefault="008F655A" w:rsidP="008F655A">
            <w:pPr>
              <w:rPr>
                <w:iCs/>
                <w:szCs w:val="24"/>
              </w:rPr>
            </w:pPr>
            <w:r w:rsidRPr="007D162C">
              <w:t>Stakeholder roundtable</w:t>
            </w:r>
          </w:p>
        </w:tc>
        <w:tc>
          <w:tcPr>
            <w:tcW w:w="1349" w:type="pct"/>
          </w:tcPr>
          <w:p w14:paraId="4B2B3A58" w14:textId="77777777" w:rsidR="008F655A" w:rsidRPr="007D162C" w:rsidRDefault="08D050C4" w:rsidP="08D050C4">
            <w:r w:rsidRPr="007D162C">
              <w:t>3</w:t>
            </w:r>
          </w:p>
        </w:tc>
        <w:tc>
          <w:tcPr>
            <w:tcW w:w="1349" w:type="pct"/>
          </w:tcPr>
          <w:p w14:paraId="546A0FBE" w14:textId="77777777" w:rsidR="008F655A" w:rsidRPr="007D162C" w:rsidRDefault="08D050C4" w:rsidP="08D050C4">
            <w:r w:rsidRPr="007D162C">
              <w:t>95</w:t>
            </w:r>
          </w:p>
        </w:tc>
      </w:tr>
      <w:tr w:rsidR="008F655A" w:rsidRPr="007D162C" w14:paraId="5D65A3DA" w14:textId="77777777" w:rsidTr="08D050C4">
        <w:trPr>
          <w:cnfStyle w:val="000000100000" w:firstRow="0" w:lastRow="0" w:firstColumn="0" w:lastColumn="0" w:oddVBand="0" w:evenVBand="0" w:oddHBand="1" w:evenHBand="0" w:firstRowFirstColumn="0" w:firstRowLastColumn="0" w:lastRowFirstColumn="0" w:lastRowLastColumn="0"/>
        </w:trPr>
        <w:tc>
          <w:tcPr>
            <w:tcW w:w="2302" w:type="pct"/>
          </w:tcPr>
          <w:p w14:paraId="63D49D01" w14:textId="77777777" w:rsidR="008F655A" w:rsidRPr="007D162C" w:rsidRDefault="008F655A" w:rsidP="008F655A">
            <w:pPr>
              <w:rPr>
                <w:iCs/>
                <w:szCs w:val="24"/>
              </w:rPr>
            </w:pPr>
            <w:r w:rsidRPr="007D162C">
              <w:t>Discussion Board</w:t>
            </w:r>
          </w:p>
        </w:tc>
        <w:tc>
          <w:tcPr>
            <w:tcW w:w="1349" w:type="pct"/>
          </w:tcPr>
          <w:p w14:paraId="6E980DFF" w14:textId="77777777" w:rsidR="008F655A" w:rsidRPr="007D162C" w:rsidRDefault="08D050C4" w:rsidP="08D050C4">
            <w:pPr>
              <w:rPr>
                <w:color w:val="000000" w:themeColor="text1"/>
              </w:rPr>
            </w:pPr>
            <w:r w:rsidRPr="007D162C">
              <w:rPr>
                <w:color w:val="000000" w:themeColor="text1"/>
              </w:rPr>
              <w:t>2</w:t>
            </w:r>
          </w:p>
        </w:tc>
        <w:tc>
          <w:tcPr>
            <w:tcW w:w="1349" w:type="pct"/>
          </w:tcPr>
          <w:p w14:paraId="5A5DD949" w14:textId="77777777" w:rsidR="008F655A" w:rsidRPr="007D162C" w:rsidRDefault="08D050C4" w:rsidP="08D050C4">
            <w:pPr>
              <w:rPr>
                <w:color w:val="000000" w:themeColor="text1"/>
              </w:rPr>
            </w:pPr>
            <w:r w:rsidRPr="007D162C">
              <w:rPr>
                <w:color w:val="000000" w:themeColor="text1"/>
              </w:rPr>
              <w:t>39</w:t>
            </w:r>
          </w:p>
        </w:tc>
      </w:tr>
      <w:tr w:rsidR="008F655A" w:rsidRPr="007D162C" w14:paraId="0A9BE6F3" w14:textId="77777777" w:rsidTr="08D050C4">
        <w:tc>
          <w:tcPr>
            <w:tcW w:w="2302" w:type="pct"/>
          </w:tcPr>
          <w:p w14:paraId="1F4BD656" w14:textId="77777777" w:rsidR="008F655A" w:rsidRPr="007D162C" w:rsidRDefault="008F655A" w:rsidP="008F655A">
            <w:pPr>
              <w:rPr>
                <w:b/>
              </w:rPr>
            </w:pPr>
            <w:r w:rsidRPr="007D162C">
              <w:rPr>
                <w:b/>
              </w:rPr>
              <w:t xml:space="preserve">Total </w:t>
            </w:r>
          </w:p>
        </w:tc>
        <w:tc>
          <w:tcPr>
            <w:tcW w:w="1349" w:type="pct"/>
          </w:tcPr>
          <w:p w14:paraId="3B6A698C" w14:textId="77777777" w:rsidR="008F655A" w:rsidRPr="007D162C" w:rsidRDefault="08D050C4" w:rsidP="08D050C4">
            <w:pPr>
              <w:rPr>
                <w:b/>
                <w:bCs/>
              </w:rPr>
            </w:pPr>
            <w:r w:rsidRPr="007D162C">
              <w:rPr>
                <w:b/>
                <w:bCs/>
              </w:rPr>
              <w:t>17</w:t>
            </w:r>
          </w:p>
        </w:tc>
        <w:tc>
          <w:tcPr>
            <w:tcW w:w="1349" w:type="pct"/>
          </w:tcPr>
          <w:p w14:paraId="7C60048F" w14:textId="77777777" w:rsidR="008F655A" w:rsidRPr="007D162C" w:rsidRDefault="08D050C4" w:rsidP="08D050C4">
            <w:pPr>
              <w:rPr>
                <w:b/>
                <w:bCs/>
              </w:rPr>
            </w:pPr>
            <w:r w:rsidRPr="007D162C">
              <w:rPr>
                <w:b/>
                <w:bCs/>
              </w:rPr>
              <w:t>421</w:t>
            </w:r>
          </w:p>
        </w:tc>
      </w:tr>
    </w:tbl>
    <w:p w14:paraId="4FE6415E" w14:textId="76CD8C87" w:rsidR="008F655A" w:rsidRPr="007D162C" w:rsidRDefault="00987FB1" w:rsidP="008F655A">
      <w:r>
        <w:br/>
      </w:r>
      <w:r w:rsidR="08D050C4" w:rsidRPr="007D162C">
        <w:t xml:space="preserve">A report summarising the key findings of the consultation activities is provided in </w:t>
      </w:r>
      <w:r w:rsidR="08D050C4" w:rsidRPr="007D162C">
        <w:rPr>
          <w:b/>
          <w:bCs/>
        </w:rPr>
        <w:t>Appendix B</w:t>
      </w:r>
      <w:r w:rsidR="08D050C4" w:rsidRPr="007D162C">
        <w:t>.</w:t>
      </w:r>
    </w:p>
    <w:p w14:paraId="4F66953B" w14:textId="447C873A" w:rsidR="008F655A" w:rsidRPr="007D162C" w:rsidRDefault="008F655A" w:rsidP="008F655A">
      <w:pPr>
        <w:pStyle w:val="Heading3"/>
      </w:pPr>
      <w:bookmarkStart w:id="100" w:name="_Toc121824559"/>
      <w:bookmarkStart w:id="101" w:name="_Toc122515432"/>
      <w:bookmarkStart w:id="102" w:name="_Toc130912499"/>
      <w:bookmarkStart w:id="103" w:name="_Toc130914398"/>
      <w:bookmarkStart w:id="104" w:name="_Toc132381884"/>
      <w:bookmarkStart w:id="105" w:name="_Toc140239693"/>
      <w:r w:rsidRPr="007D162C">
        <w:t>Analysis and development of the preferred policy options</w:t>
      </w:r>
      <w:bookmarkEnd w:id="100"/>
      <w:bookmarkEnd w:id="101"/>
      <w:bookmarkEnd w:id="102"/>
      <w:bookmarkEnd w:id="103"/>
      <w:bookmarkEnd w:id="104"/>
      <w:bookmarkEnd w:id="105"/>
    </w:p>
    <w:p w14:paraId="2D77C95C" w14:textId="59875192" w:rsidR="008F655A" w:rsidRPr="007D162C" w:rsidRDefault="008F655A" w:rsidP="008F655A">
      <w:pPr>
        <w:rPr>
          <w:iCs/>
        </w:rPr>
      </w:pPr>
      <w:r w:rsidRPr="007D162C">
        <w:t>The role of the Decision RIS in this process has been to collate feedback from the Consultation RIS, conduct a</w:t>
      </w:r>
      <w:r w:rsidR="00BC27C1">
        <w:t xml:space="preserve"> </w:t>
      </w:r>
      <w:r w:rsidR="00987FB1">
        <w:t>cost-benefit analysis (CBA)</w:t>
      </w:r>
      <w:r w:rsidRPr="007D162C">
        <w:t xml:space="preserve"> on plausible options and identify, refine and validate preferred options based on consultation and the CBA. </w:t>
      </w:r>
      <w:r w:rsidRPr="007D162C">
        <w:rPr>
          <w:iCs/>
        </w:rPr>
        <w:t>To identify the Decision RIS preferred package of policy options, the Department considered a body of evidence from: consultation findings, a CBA developed by PricewaterhouseCoopers</w:t>
      </w:r>
      <w:r w:rsidR="00BC27C1">
        <w:rPr>
          <w:iCs/>
        </w:rPr>
        <w:t xml:space="preserve"> (PwC)</w:t>
      </w:r>
      <w:r w:rsidRPr="007D162C">
        <w:rPr>
          <w:iCs/>
        </w:rPr>
        <w:t xml:space="preserve"> and findings from previous reviews of the Transport Standards. </w:t>
      </w:r>
    </w:p>
    <w:p w14:paraId="6774887D" w14:textId="77777777" w:rsidR="008F655A" w:rsidRPr="007D162C" w:rsidRDefault="008F655A" w:rsidP="008F655A">
      <w:pPr>
        <w:rPr>
          <w:iCs/>
        </w:rPr>
      </w:pPr>
      <w:r w:rsidRPr="007D162C">
        <w:rPr>
          <w:iCs/>
        </w:rPr>
        <w:t xml:space="preserve">In considering this body of evidence, the Department considered: </w:t>
      </w:r>
    </w:p>
    <w:p w14:paraId="7CA51AD8" w14:textId="77777777" w:rsidR="008F655A" w:rsidRPr="007D162C" w:rsidRDefault="008F655A" w:rsidP="008F655A">
      <w:pPr>
        <w:pStyle w:val="Listparagraphbullets"/>
        <w:spacing w:after="0"/>
      </w:pPr>
      <w:r w:rsidRPr="007D162C">
        <w:t>Whether there was evidence of an issue that needed to be solved and the scale of this issue.</w:t>
      </w:r>
    </w:p>
    <w:p w14:paraId="6503BED6" w14:textId="77777777" w:rsidR="008F655A" w:rsidRPr="007D162C" w:rsidRDefault="008F655A" w:rsidP="008F655A">
      <w:pPr>
        <w:pStyle w:val="Listparagraphbullets"/>
        <w:spacing w:after="0"/>
      </w:pPr>
      <w:r w:rsidRPr="007D162C">
        <w:t>If the proposed options for reform would address this issue.</w:t>
      </w:r>
    </w:p>
    <w:p w14:paraId="5BBD0702" w14:textId="77777777" w:rsidR="008F655A" w:rsidRPr="007D162C" w:rsidRDefault="008F655A" w:rsidP="008F655A">
      <w:pPr>
        <w:pStyle w:val="Listparagraphbullets"/>
        <w:spacing w:after="0"/>
      </w:pPr>
      <w:r w:rsidRPr="007D162C">
        <w:t>Whether implementing an option was support by stakeholders.</w:t>
      </w:r>
    </w:p>
    <w:p w14:paraId="7DC2CDCF" w14:textId="77777777" w:rsidR="008F655A" w:rsidRPr="007D162C" w:rsidRDefault="008F655A" w:rsidP="008F655A">
      <w:pPr>
        <w:pStyle w:val="Listparagraphbullets"/>
        <w:spacing w:after="0"/>
      </w:pPr>
      <w:r w:rsidRPr="007D162C">
        <w:t>What the cost of each option would be to stakeholders</w:t>
      </w:r>
      <w:r w:rsidRPr="007D162C">
        <w:rPr>
          <w:lang w:val="en-US"/>
        </w:rPr>
        <w:t>.</w:t>
      </w:r>
    </w:p>
    <w:p w14:paraId="355E8898" w14:textId="77777777" w:rsidR="008F655A" w:rsidRPr="007D162C" w:rsidRDefault="008F655A" w:rsidP="008F655A">
      <w:pPr>
        <w:pStyle w:val="Listparagraphbullets"/>
        <w:spacing w:after="0"/>
      </w:pPr>
      <w:r w:rsidRPr="007D162C">
        <w:t>What the benefits of each option would be for stakeholders</w:t>
      </w:r>
      <w:r w:rsidRPr="007D162C">
        <w:rPr>
          <w:lang w:val="en-US"/>
        </w:rPr>
        <w:t>.</w:t>
      </w:r>
    </w:p>
    <w:p w14:paraId="06AAF595" w14:textId="257784AF" w:rsidR="008F655A" w:rsidRDefault="008F655A" w:rsidP="008F655A">
      <w:pPr>
        <w:pStyle w:val="Listparagraphbullets"/>
        <w:spacing w:after="0"/>
      </w:pPr>
      <w:r w:rsidRPr="007D162C">
        <w:t xml:space="preserve">Whether the option met the purpose of the Transport Standards to eliminate discrimination as far as possible. </w:t>
      </w:r>
    </w:p>
    <w:p w14:paraId="7529E312" w14:textId="77777777" w:rsidR="00BC27C1" w:rsidRPr="007D162C" w:rsidRDefault="00BC27C1" w:rsidP="00BC27C1">
      <w:pPr>
        <w:pStyle w:val="Listparagraphbullets"/>
        <w:numPr>
          <w:ilvl w:val="0"/>
          <w:numId w:val="0"/>
        </w:numPr>
        <w:spacing w:after="0"/>
      </w:pPr>
    </w:p>
    <w:p w14:paraId="6873AC2C" w14:textId="4E729398" w:rsidR="008F655A" w:rsidRPr="007D162C" w:rsidRDefault="008F655A" w:rsidP="008F655A">
      <w:r w:rsidRPr="007D162C">
        <w:rPr>
          <w:iCs/>
        </w:rPr>
        <w:t xml:space="preserve">Based on this analysis the Department has identified a preferred package of options in the Decision RIS, including </w:t>
      </w:r>
      <w:r w:rsidR="00373D03" w:rsidRPr="007D162C">
        <w:t xml:space="preserve">44 regulatory, 13 non-regulatory and 3 status quo </w:t>
      </w:r>
      <w:r w:rsidRPr="007D162C">
        <w:rPr>
          <w:iCs/>
        </w:rPr>
        <w:t>policy options.</w:t>
      </w:r>
      <w:bookmarkStart w:id="106" w:name="_Toc121824560"/>
      <w:bookmarkStart w:id="107" w:name="_Toc122515433"/>
    </w:p>
    <w:p w14:paraId="38A10101" w14:textId="044DD641" w:rsidR="008F655A" w:rsidRPr="007D162C" w:rsidRDefault="008F655A" w:rsidP="008F655A">
      <w:pPr>
        <w:pStyle w:val="Heading3"/>
      </w:pPr>
      <w:bookmarkStart w:id="108" w:name="_Toc130912500"/>
      <w:bookmarkStart w:id="109" w:name="_Toc130914399"/>
      <w:bookmarkStart w:id="110" w:name="_Toc132381885"/>
      <w:bookmarkStart w:id="111" w:name="_Toc140239694"/>
      <w:r w:rsidRPr="007D162C">
        <w:t>Stage 1 and 2 reform proposals interactions</w:t>
      </w:r>
      <w:bookmarkEnd w:id="106"/>
      <w:bookmarkEnd w:id="107"/>
      <w:bookmarkEnd w:id="108"/>
      <w:bookmarkEnd w:id="109"/>
      <w:bookmarkEnd w:id="110"/>
      <w:bookmarkEnd w:id="111"/>
      <w:r w:rsidRPr="007D162C">
        <w:t xml:space="preserve"> </w:t>
      </w:r>
    </w:p>
    <w:p w14:paraId="13B06838" w14:textId="77777777" w:rsidR="008F655A" w:rsidRPr="007D162C" w:rsidRDefault="008F655A" w:rsidP="008F655A">
      <w:r w:rsidRPr="007D162C">
        <w:t xml:space="preserve">Options for 16 reform areas were confirmed by Transport Ministers at the Infrastructure and Transport Ministers Meeting (ITMM) on 11 February 2022 as part of Stage 1 of the reforms. Interactions between proposals in Stage 1 and Stage 2 of the reform process have been identified. Some of these reforms are complementary and do not involve duplication between stages. </w:t>
      </w:r>
    </w:p>
    <w:p w14:paraId="719AF28D" w14:textId="5A741192" w:rsidR="008F655A" w:rsidRPr="007D162C" w:rsidRDefault="008F655A" w:rsidP="008F655A">
      <w:r w:rsidRPr="007D162C">
        <w:t>However, some Stage 2 reform areas contradict requirements addressed in some of the Stage 1 reform areas due to updated Australian Standards, superseded or more</w:t>
      </w:r>
      <w:r w:rsidR="00B07F1F" w:rsidRPr="007D162C">
        <w:t xml:space="preserve"> detailed </w:t>
      </w:r>
      <w:r w:rsidRPr="007D162C">
        <w:t>requirements. Where applicable, any interactions between Stage 1 and 2 requirements have been addressed in the corresponding reform area chapter of the Decision RIS.</w:t>
      </w:r>
    </w:p>
    <w:p w14:paraId="6057ECA1" w14:textId="6D66BFE0" w:rsidR="008F655A" w:rsidRPr="007D162C" w:rsidRDefault="008F655A" w:rsidP="008F655A">
      <w:pPr>
        <w:pStyle w:val="Heading3"/>
      </w:pPr>
      <w:bookmarkStart w:id="112" w:name="_Toc122515434"/>
      <w:bookmarkStart w:id="113" w:name="_Toc130912501"/>
      <w:bookmarkStart w:id="114" w:name="_Toc130914400"/>
      <w:bookmarkStart w:id="115" w:name="_Toc132381886"/>
      <w:bookmarkStart w:id="116" w:name="_Toc140239695"/>
      <w:r w:rsidRPr="007D162C">
        <w:t>Final consideration of options</w:t>
      </w:r>
      <w:bookmarkEnd w:id="112"/>
      <w:bookmarkEnd w:id="113"/>
      <w:bookmarkEnd w:id="114"/>
      <w:bookmarkEnd w:id="115"/>
      <w:bookmarkEnd w:id="116"/>
    </w:p>
    <w:p w14:paraId="281DBB6D" w14:textId="256BBA01" w:rsidR="008F655A" w:rsidRPr="007D162C" w:rsidRDefault="008F655A" w:rsidP="008F655A">
      <w:r w:rsidRPr="007D162C">
        <w:t>Decisions on the reform options are made through consideration of a Decision RIS, which is presented to ministers through the ITMM process. Ministers will also decide on the implementation approach for the whole package of reforms (Stages 1 and 2), including whether they should be applied retrospectively (to all assets regardless of age) or prospectively (new assets acquired after a specific date), as part of their decision on the final scope of the reforms in mid-2023. Implementation is discussed further in chapter 6</w:t>
      </w:r>
      <w:r w:rsidR="0087049B">
        <w:t>2</w:t>
      </w:r>
      <w:r w:rsidRPr="007D162C">
        <w:t>.</w:t>
      </w:r>
    </w:p>
    <w:p w14:paraId="3C24D965" w14:textId="1571D709" w:rsidR="008F655A" w:rsidRPr="007D162C" w:rsidRDefault="008F655A" w:rsidP="008F655A">
      <w:pPr>
        <w:pStyle w:val="Heading3"/>
      </w:pPr>
      <w:bookmarkStart w:id="117" w:name="_Toc122515435"/>
      <w:bookmarkStart w:id="118" w:name="_Toc130912502"/>
      <w:bookmarkStart w:id="119" w:name="_Toc130914401"/>
      <w:bookmarkStart w:id="120" w:name="_Toc132381887"/>
      <w:bookmarkStart w:id="121" w:name="_Toc140239696"/>
      <w:r w:rsidRPr="007D162C">
        <w:t>Cost-benefit analysis</w:t>
      </w:r>
      <w:bookmarkEnd w:id="117"/>
      <w:bookmarkEnd w:id="118"/>
      <w:bookmarkEnd w:id="119"/>
      <w:bookmarkEnd w:id="120"/>
      <w:bookmarkEnd w:id="121"/>
    </w:p>
    <w:p w14:paraId="6CB4B907" w14:textId="77777777" w:rsidR="008F655A" w:rsidRPr="007D162C" w:rsidRDefault="008F655A" w:rsidP="008F655A">
      <w:bookmarkStart w:id="122" w:name="_Toc121824566"/>
      <w:r w:rsidRPr="007D162C">
        <w:t>The Stage 2 reforms to the Transport Standards aim to provide a pathway to improve the accessibility of public transport, including an equivalent standard of amenity, availability, comfort, convenience, dignity, cost and safety for people with disability. These will result in a range of economic benefits for people with disability and flow-on impacts to the rest of the community, public transport operators, providers and government.</w:t>
      </w:r>
    </w:p>
    <w:p w14:paraId="6C2B2A5E" w14:textId="080DB696" w:rsidR="008F655A" w:rsidRPr="007D162C" w:rsidRDefault="008F655A" w:rsidP="008F655A">
      <w:r w:rsidRPr="007D162C">
        <w:t xml:space="preserve">The Department commissioned PwC to undertake a </w:t>
      </w:r>
      <w:r w:rsidR="00587126">
        <w:t>CBA</w:t>
      </w:r>
      <w:r w:rsidRPr="007D162C">
        <w:t xml:space="preserve"> of the Stage 2 reforms of the Transport Standards. The CBA assists stakeholders understand the impacts, including economic costs and benefits, of the preferred regulatory reforms on a national basis. The purpose of the CBA is to assess whether a proposal delivers a net gain to society as a whole. </w:t>
      </w:r>
    </w:p>
    <w:p w14:paraId="4F05367C" w14:textId="77777777" w:rsidR="008F655A" w:rsidRPr="007D162C" w:rsidRDefault="008F655A" w:rsidP="008F655A">
      <w:r w:rsidRPr="007D162C">
        <w:t>The use of CBA to assess regulatory reform is an important tool for better decision-making because it:</w:t>
      </w:r>
    </w:p>
    <w:p w14:paraId="160800E6" w14:textId="77777777" w:rsidR="008F655A" w:rsidRPr="007D162C" w:rsidRDefault="008F655A" w:rsidP="008F655A">
      <w:pPr>
        <w:pStyle w:val="Listparagraphbullets"/>
        <w:spacing w:after="0"/>
      </w:pPr>
      <w:r w:rsidRPr="007D162C">
        <w:t>enables consideration of the gains and losses of all members of society.</w:t>
      </w:r>
    </w:p>
    <w:p w14:paraId="4C1746D4" w14:textId="77777777" w:rsidR="008F655A" w:rsidRPr="007D162C" w:rsidRDefault="008F655A" w:rsidP="008F655A">
      <w:pPr>
        <w:pStyle w:val="Listparagraphbullets"/>
        <w:spacing w:after="0"/>
      </w:pPr>
      <w:r w:rsidRPr="007D162C">
        <w:t>enables the valuation of impacts in terms of a single, familiar measurement scale ($ dollars). It can therefore assist in showing if implementing an option is worthwhile relative to the status quo.</w:t>
      </w:r>
    </w:p>
    <w:p w14:paraId="34051399" w14:textId="77777777" w:rsidR="008F655A" w:rsidRPr="007D162C" w:rsidRDefault="008F655A" w:rsidP="00E451C4">
      <w:pPr>
        <w:pStyle w:val="Listparagraphbullets"/>
      </w:pPr>
      <w:r w:rsidRPr="007D162C">
        <w:t>quantifies the impact of regulatory proposals in a standard way, promoting comparability, assessing relative priorities, and encouraging consistent decision-making.</w:t>
      </w:r>
    </w:p>
    <w:p w14:paraId="41CDB397" w14:textId="77777777" w:rsidR="008F655A" w:rsidRPr="007D162C" w:rsidRDefault="008F655A" w:rsidP="008F655A">
      <w:r w:rsidRPr="007D162C">
        <w:t xml:space="preserve">The costs and benefits represent indicative figures and are illustrative estimates based on survey responses and a range of simplifying assumptions. The Decision RIS presents a quantitative and qualitative assessment where applicable for each reform area. This information is presented to help readers understand the specific costs and benefits of each reform. The Decision RIS recommends these costs and benefits be viewed collectively, due to the interdependencies between reforms. </w:t>
      </w:r>
    </w:p>
    <w:p w14:paraId="0B6F8DFC" w14:textId="77777777" w:rsidR="008F655A" w:rsidRPr="007D162C" w:rsidRDefault="008F655A" w:rsidP="008F655A">
      <w:pPr>
        <w:pStyle w:val="Heading3"/>
      </w:pPr>
      <w:bookmarkStart w:id="123" w:name="_Toc122515436"/>
      <w:bookmarkStart w:id="124" w:name="_Toc130912503"/>
      <w:bookmarkStart w:id="125" w:name="_Toc130914402"/>
      <w:bookmarkStart w:id="126" w:name="_Toc132381888"/>
      <w:bookmarkStart w:id="127" w:name="_Toc140239697"/>
      <w:bookmarkStart w:id="128" w:name="_Hlk124146542"/>
      <w:r w:rsidRPr="007D162C">
        <w:t xml:space="preserve">Approach </w:t>
      </w:r>
      <w:bookmarkEnd w:id="122"/>
      <w:r w:rsidRPr="007D162C">
        <w:t>to CBA</w:t>
      </w:r>
      <w:bookmarkEnd w:id="123"/>
      <w:bookmarkEnd w:id="124"/>
      <w:bookmarkEnd w:id="125"/>
      <w:bookmarkEnd w:id="126"/>
      <w:bookmarkEnd w:id="127"/>
    </w:p>
    <w:bookmarkEnd w:id="128"/>
    <w:p w14:paraId="51A6C620" w14:textId="77777777" w:rsidR="008F655A" w:rsidRPr="007D162C" w:rsidRDefault="008F655A" w:rsidP="008F655A">
      <w:r w:rsidRPr="007D162C">
        <w:t xml:space="preserve">To understand the extent to which the Stage 2 reforms to the Transport Standards will impact Australians, two economic assessment approaches have been developed to assess the economic costs and benefits associated with the </w:t>
      </w:r>
      <w:r w:rsidR="008B3BA2" w:rsidRPr="007D162C">
        <w:t>reform’s</w:t>
      </w:r>
      <w:r w:rsidRPr="007D162C">
        <w:t xml:space="preserve"> options. </w:t>
      </w:r>
    </w:p>
    <w:p w14:paraId="060BA1B4" w14:textId="77777777" w:rsidR="008F655A" w:rsidRPr="007D162C" w:rsidRDefault="008F655A" w:rsidP="008F655A">
      <w:pPr>
        <w:pStyle w:val="Listparagraphbullets"/>
        <w:spacing w:after="0"/>
      </w:pPr>
      <w:r w:rsidRPr="007D162C">
        <w:rPr>
          <w:b/>
        </w:rPr>
        <w:lastRenderedPageBreak/>
        <w:t>Definitional assessment</w:t>
      </w:r>
      <w:r w:rsidRPr="007D162C">
        <w:t> which applies to reforms involving changes to wording of the Transport Standards only. This assessment includes a high-level summary of the definitional reforms and potential impacts.</w:t>
      </w:r>
    </w:p>
    <w:p w14:paraId="07473556" w14:textId="77777777" w:rsidR="008F655A" w:rsidRPr="007D162C" w:rsidRDefault="008F655A" w:rsidP="008F655A">
      <w:pPr>
        <w:pStyle w:val="Listparagraphbullets"/>
        <w:spacing w:after="0"/>
      </w:pPr>
      <w:r w:rsidRPr="007D162C">
        <w:rPr>
          <w:b/>
        </w:rPr>
        <w:t>Cost-benefit analysis</w:t>
      </w:r>
      <w:r w:rsidRPr="007D162C">
        <w:t xml:space="preserve"> sets out both qualitative and quantitative assessment to articulate the reform areas' economic benefits and costs and a monetised assessment used to estimate economic outcomes using discounted cashflow analysis to calculate a net present value (NPV) and benefit-cost ratio (BCR).</w:t>
      </w:r>
      <w:r w:rsidR="00AB008C" w:rsidRPr="007D162C">
        <w:br/>
      </w:r>
    </w:p>
    <w:p w14:paraId="51D5C788" w14:textId="77EC6778" w:rsidR="008F655A" w:rsidRPr="007D162C" w:rsidRDefault="08D050C4" w:rsidP="008F655A">
      <w:r w:rsidRPr="007D162C">
        <w:t>These economic assessments have been conducted for 60 reform areas (</w:t>
      </w:r>
      <w:r w:rsidR="00ED1721">
        <w:t xml:space="preserve">the </w:t>
      </w:r>
      <w:r w:rsidRPr="007D162C">
        <w:t>implementation approach</w:t>
      </w:r>
      <w:r w:rsidR="00ED1721">
        <w:t xml:space="preserve">es were </w:t>
      </w:r>
      <w:r w:rsidRPr="007D162C">
        <w:t>not costed</w:t>
      </w:r>
      <w:r w:rsidR="00ED1721">
        <w:t xml:space="preserve"> separately</w:t>
      </w:r>
      <w:r w:rsidRPr="007D162C">
        <w:t xml:space="preserve">). Six reform areas were identified as changes in definition and, therefore, subject only to the definitional assessment, and 1 reform area was assessed qualitatively only as it was not possible to monetise costs for this reform. These have been identified in the respective chapters in this Decision RIS. </w:t>
      </w:r>
    </w:p>
    <w:p w14:paraId="11549B74" w14:textId="77777777" w:rsidR="008F655A" w:rsidRPr="007D162C" w:rsidRDefault="08D050C4" w:rsidP="008F655A">
      <w:r w:rsidRPr="007D162C">
        <w:t>The remaining 53 reforms were taken through a CBA, including a qualitative, quantitative and monetised assessment. The results of the economic assessment are reported on a thematic basis.</w:t>
      </w:r>
    </w:p>
    <w:p w14:paraId="75DC6BF5" w14:textId="05C347AA" w:rsidR="008F655A" w:rsidRPr="007D162C" w:rsidRDefault="008F655A" w:rsidP="008F655A">
      <w:pPr>
        <w:pStyle w:val="Heading3"/>
      </w:pPr>
      <w:bookmarkStart w:id="129" w:name="_Toc122515437"/>
      <w:bookmarkStart w:id="130" w:name="_Toc130912504"/>
      <w:bookmarkStart w:id="131" w:name="_Toc130914403"/>
      <w:bookmarkStart w:id="132" w:name="_Toc132381889"/>
      <w:bookmarkStart w:id="133" w:name="_Toc140239698"/>
      <w:r w:rsidRPr="007D162C">
        <w:t>CBA framework</w:t>
      </w:r>
      <w:bookmarkEnd w:id="129"/>
      <w:bookmarkEnd w:id="130"/>
      <w:bookmarkEnd w:id="131"/>
      <w:bookmarkEnd w:id="132"/>
      <w:bookmarkEnd w:id="133"/>
    </w:p>
    <w:p w14:paraId="24268666" w14:textId="77777777" w:rsidR="008F655A" w:rsidRPr="007D162C" w:rsidRDefault="08D050C4" w:rsidP="008F655A">
      <w:r w:rsidRPr="007D162C">
        <w:t>An overarching CBA framework was developed to define the principles guiding the assessment, the guidelines used, the key parameters and assumptions and the summary metrics used to inform decision-making. The key steps which support the CBA monetised assessment are listed below.</w:t>
      </w:r>
    </w:p>
    <w:p w14:paraId="74FEBC36" w14:textId="77777777" w:rsidR="008F655A" w:rsidRPr="007D162C" w:rsidRDefault="008F655A" w:rsidP="006F65FB">
      <w:pPr>
        <w:pStyle w:val="ListParagraph"/>
        <w:numPr>
          <w:ilvl w:val="0"/>
          <w:numId w:val="18"/>
        </w:numPr>
        <w:spacing w:before="240" w:after="240"/>
      </w:pPr>
      <w:r w:rsidRPr="007D162C">
        <w:t>CBA framework definition</w:t>
      </w:r>
    </w:p>
    <w:p w14:paraId="6B87568E" w14:textId="77777777" w:rsidR="008F655A" w:rsidRPr="007D162C" w:rsidRDefault="008F655A" w:rsidP="006F65FB">
      <w:pPr>
        <w:pStyle w:val="ListParagraph"/>
        <w:numPr>
          <w:ilvl w:val="1"/>
          <w:numId w:val="19"/>
        </w:numPr>
        <w:spacing w:before="240" w:after="240"/>
      </w:pPr>
      <w:r w:rsidRPr="007D162C">
        <w:t>Define the purpose and considerations for the Decision RIS CBA</w:t>
      </w:r>
    </w:p>
    <w:p w14:paraId="42107800" w14:textId="77777777" w:rsidR="008F655A" w:rsidRPr="007D162C" w:rsidRDefault="008F655A" w:rsidP="006F65FB">
      <w:pPr>
        <w:pStyle w:val="ListParagraph"/>
        <w:numPr>
          <w:ilvl w:val="1"/>
          <w:numId w:val="19"/>
        </w:numPr>
        <w:spacing w:before="240" w:after="240"/>
      </w:pPr>
      <w:r w:rsidRPr="007D162C">
        <w:t>Investigate national CBA guidelines and literature</w:t>
      </w:r>
    </w:p>
    <w:p w14:paraId="0CD87FEE" w14:textId="77777777" w:rsidR="008F655A" w:rsidRPr="007D162C" w:rsidRDefault="008F655A" w:rsidP="006F65FB">
      <w:pPr>
        <w:pStyle w:val="ListParagraph"/>
        <w:numPr>
          <w:ilvl w:val="1"/>
          <w:numId w:val="19"/>
        </w:numPr>
        <w:spacing w:before="240" w:after="240"/>
      </w:pPr>
      <w:r w:rsidRPr="007D162C">
        <w:t>Define CBA assumptions/parameters, including appraisal period, discount rate and others.</w:t>
      </w:r>
    </w:p>
    <w:p w14:paraId="68B07E76" w14:textId="77777777" w:rsidR="008F655A" w:rsidRPr="007D162C" w:rsidRDefault="008F655A" w:rsidP="006F65FB">
      <w:pPr>
        <w:pStyle w:val="ListParagraph"/>
        <w:numPr>
          <w:ilvl w:val="0"/>
          <w:numId w:val="18"/>
        </w:numPr>
        <w:spacing w:before="240" w:after="240"/>
      </w:pPr>
      <w:r w:rsidRPr="007D162C">
        <w:t>Input collation and scenario definition</w:t>
      </w:r>
    </w:p>
    <w:p w14:paraId="55F06D20" w14:textId="77777777" w:rsidR="008F655A" w:rsidRPr="007D162C" w:rsidRDefault="008F655A" w:rsidP="006F65FB">
      <w:pPr>
        <w:pStyle w:val="ListParagraph"/>
        <w:numPr>
          <w:ilvl w:val="1"/>
          <w:numId w:val="20"/>
        </w:numPr>
        <w:spacing w:before="240" w:after="240"/>
      </w:pPr>
      <w:r w:rsidRPr="007D162C">
        <w:t>Collate inputs from surveys and other sources to inform analysis</w:t>
      </w:r>
    </w:p>
    <w:p w14:paraId="039752EC" w14:textId="77777777" w:rsidR="008F655A" w:rsidRPr="007D162C" w:rsidRDefault="008F655A" w:rsidP="006F65FB">
      <w:pPr>
        <w:pStyle w:val="ListParagraph"/>
        <w:numPr>
          <w:ilvl w:val="1"/>
          <w:numId w:val="20"/>
        </w:numPr>
        <w:spacing w:before="240" w:after="240"/>
      </w:pPr>
      <w:r w:rsidRPr="007D162C">
        <w:t>Specify Stage 2 reform areas using available data</w:t>
      </w:r>
    </w:p>
    <w:p w14:paraId="5F54E998" w14:textId="77777777" w:rsidR="008F655A" w:rsidRPr="007D162C" w:rsidRDefault="008F655A" w:rsidP="006F65FB">
      <w:pPr>
        <w:pStyle w:val="ListParagraph"/>
        <w:numPr>
          <w:ilvl w:val="0"/>
          <w:numId w:val="18"/>
        </w:numPr>
        <w:spacing w:before="240" w:after="240"/>
      </w:pPr>
      <w:r w:rsidRPr="007D162C">
        <w:t>Understand benefits and beneficiaries</w:t>
      </w:r>
    </w:p>
    <w:p w14:paraId="57925F75" w14:textId="77777777" w:rsidR="008F655A" w:rsidRPr="007D162C" w:rsidRDefault="008F655A" w:rsidP="006F65FB">
      <w:pPr>
        <w:pStyle w:val="ListParagraph"/>
        <w:numPr>
          <w:ilvl w:val="1"/>
          <w:numId w:val="20"/>
        </w:numPr>
        <w:spacing w:before="240" w:after="240"/>
      </w:pPr>
      <w:r w:rsidRPr="007D162C">
        <w:t>Identify the range of benefits associated with the Stage 2 reforms</w:t>
      </w:r>
    </w:p>
    <w:p w14:paraId="2564F348" w14:textId="77777777" w:rsidR="008F655A" w:rsidRPr="007D162C" w:rsidRDefault="008F655A" w:rsidP="006F65FB">
      <w:pPr>
        <w:pStyle w:val="ListParagraph"/>
        <w:numPr>
          <w:ilvl w:val="1"/>
          <w:numId w:val="20"/>
        </w:numPr>
        <w:spacing w:before="240" w:after="240"/>
      </w:pPr>
      <w:r w:rsidRPr="007D162C">
        <w:t>Understand users/beneficiaries of the reform areas</w:t>
      </w:r>
    </w:p>
    <w:p w14:paraId="2CD5DA96" w14:textId="77777777" w:rsidR="008F655A" w:rsidRPr="007D162C" w:rsidRDefault="008F655A" w:rsidP="006F65FB">
      <w:pPr>
        <w:pStyle w:val="ListParagraph"/>
        <w:numPr>
          <w:ilvl w:val="0"/>
          <w:numId w:val="18"/>
        </w:numPr>
        <w:spacing w:before="240" w:after="240"/>
      </w:pPr>
      <w:r w:rsidRPr="007D162C">
        <w:t>Quantification of economic costs and benefits</w:t>
      </w:r>
    </w:p>
    <w:p w14:paraId="232F86A2" w14:textId="77777777" w:rsidR="008F655A" w:rsidRPr="007D162C" w:rsidRDefault="008F655A" w:rsidP="006F65FB">
      <w:pPr>
        <w:pStyle w:val="ListParagraph"/>
        <w:numPr>
          <w:ilvl w:val="1"/>
          <w:numId w:val="20"/>
        </w:numPr>
        <w:spacing w:before="240" w:after="240"/>
      </w:pPr>
      <w:r w:rsidRPr="007D162C">
        <w:t>Economic costs represent the opportunity cost of the investment provided through the surveys or estimated by technical advisors.</w:t>
      </w:r>
    </w:p>
    <w:p w14:paraId="714CBC08" w14:textId="77777777" w:rsidR="008F655A" w:rsidRPr="007D162C" w:rsidRDefault="008F655A" w:rsidP="006F65FB">
      <w:pPr>
        <w:pStyle w:val="ListParagraph"/>
        <w:numPr>
          <w:ilvl w:val="1"/>
          <w:numId w:val="20"/>
        </w:numPr>
        <w:spacing w:before="240" w:after="240"/>
      </w:pPr>
      <w:r w:rsidRPr="007D162C">
        <w:t>Economic benefits are estimated for the Stage 2 reforms using methodologies based on CBA guidelines and available literature.</w:t>
      </w:r>
    </w:p>
    <w:p w14:paraId="27D66E2D" w14:textId="77777777" w:rsidR="008F655A" w:rsidRPr="007D162C" w:rsidRDefault="008F655A" w:rsidP="006F65FB">
      <w:pPr>
        <w:pStyle w:val="ListParagraph"/>
        <w:numPr>
          <w:ilvl w:val="0"/>
          <w:numId w:val="18"/>
        </w:numPr>
        <w:spacing w:before="240" w:after="240"/>
      </w:pPr>
      <w:r w:rsidRPr="007D162C">
        <w:t>CBA modelling</w:t>
      </w:r>
    </w:p>
    <w:p w14:paraId="684D8425" w14:textId="77777777" w:rsidR="008F655A" w:rsidRPr="007D162C" w:rsidRDefault="008F655A" w:rsidP="006F65FB">
      <w:pPr>
        <w:pStyle w:val="ListParagraph"/>
        <w:numPr>
          <w:ilvl w:val="1"/>
          <w:numId w:val="20"/>
        </w:numPr>
        <w:spacing w:before="240" w:after="240"/>
      </w:pPr>
      <w:r w:rsidRPr="007D162C">
        <w:t>Costs and benefits are converted into present values using discounted cash flow analysis.</w:t>
      </w:r>
    </w:p>
    <w:p w14:paraId="00D36A71" w14:textId="77777777" w:rsidR="008F655A" w:rsidRPr="007D162C" w:rsidRDefault="008F655A" w:rsidP="006F65FB">
      <w:pPr>
        <w:pStyle w:val="ListParagraph"/>
        <w:numPr>
          <w:ilvl w:val="1"/>
          <w:numId w:val="20"/>
        </w:numPr>
        <w:spacing w:before="240" w:after="240"/>
      </w:pPr>
      <w:r w:rsidRPr="007D162C">
        <w:t>Estimate key appraisal measures, including the benefit-cost-ratio and the net present value</w:t>
      </w:r>
    </w:p>
    <w:p w14:paraId="49A73336" w14:textId="77777777" w:rsidR="008F655A" w:rsidRPr="007D162C" w:rsidRDefault="008F655A" w:rsidP="006F65FB">
      <w:pPr>
        <w:pStyle w:val="ListParagraph"/>
        <w:numPr>
          <w:ilvl w:val="1"/>
          <w:numId w:val="20"/>
        </w:numPr>
        <w:spacing w:before="240" w:after="240"/>
      </w:pPr>
      <w:r w:rsidRPr="007D162C">
        <w:t>Conduct sensitivity analysis to test the sensitivity of the results to changes in the underlying appraisal parameters and assumptions</w:t>
      </w:r>
    </w:p>
    <w:p w14:paraId="2E64875F" w14:textId="5B9CC210" w:rsidR="008F655A" w:rsidRPr="007D162C" w:rsidRDefault="008F655A" w:rsidP="008F655A">
      <w:pPr>
        <w:pStyle w:val="Heading3"/>
      </w:pPr>
      <w:bookmarkStart w:id="134" w:name="_Toc122515438"/>
      <w:bookmarkStart w:id="135" w:name="_Toc130912505"/>
      <w:bookmarkStart w:id="136" w:name="_Toc130914404"/>
      <w:bookmarkStart w:id="137" w:name="_Toc132381890"/>
      <w:bookmarkStart w:id="138" w:name="_Toc140239699"/>
      <w:r w:rsidRPr="007D162C">
        <w:t>Understanding the CBA</w:t>
      </w:r>
      <w:bookmarkEnd w:id="134"/>
      <w:bookmarkEnd w:id="135"/>
      <w:bookmarkEnd w:id="136"/>
      <w:bookmarkEnd w:id="137"/>
      <w:bookmarkEnd w:id="138"/>
    </w:p>
    <w:p w14:paraId="61AA03E7" w14:textId="77777777" w:rsidR="008F655A" w:rsidRPr="007D162C" w:rsidRDefault="008F655A" w:rsidP="008F655A">
      <w:r w:rsidRPr="007D162C">
        <w:t xml:space="preserve">A CBA is a way to compare the costs and benefits of a policy option, where both costs and benefits are expressed in monetary units. The monetary units, dollars in this case, are reported at their value currently, this is known as present value. </w:t>
      </w:r>
    </w:p>
    <w:p w14:paraId="52649E31" w14:textId="77777777" w:rsidR="008F655A" w:rsidRPr="007D162C" w:rsidRDefault="008F655A" w:rsidP="008F655A">
      <w:r w:rsidRPr="007D162C">
        <w:t>Converting benefits and costs of a reform option into monetary units at their present value is a method to determine the net benefits (benefits minus costs) of a policy option. A CBA reports in the form of a benefit-cost ratio (BCR). A BCR greater than 1.0 suggests the benefits of a policy option are higher than the costs. A BCR less than 1.0 suggests the benefits are lower than the costs. Each reform in the DRIS has a BCR figure.</w:t>
      </w:r>
    </w:p>
    <w:p w14:paraId="79159F81" w14:textId="77777777" w:rsidR="008F655A" w:rsidRPr="007D162C" w:rsidRDefault="008F655A" w:rsidP="008F655A">
      <w:r w:rsidRPr="007D162C">
        <w:t xml:space="preserve">In addition to the BCR figure, a net present value (NPV) figure is provided for the preferred options as a group. The net present value assumes money today is worth more than an identical amount of money in the future, </w:t>
      </w:r>
      <w:r w:rsidRPr="007D162C">
        <w:lastRenderedPageBreak/>
        <w:t xml:space="preserve">because inflation could reduce the value of the money, or the money could be invested and be worth more in the future. </w:t>
      </w:r>
    </w:p>
    <w:p w14:paraId="4D9512AC" w14:textId="77777777" w:rsidR="008F655A" w:rsidRPr="007D162C" w:rsidRDefault="008F655A" w:rsidP="008F655A">
      <w:r w:rsidRPr="007D162C">
        <w:t xml:space="preserve">The difference between money today and an identical amount of money in the future is known as the discount rate. For this CBA, a discount rate of 7% was used, meaning a dollar in the present is worth 7% more than a dollar in one year’s time. The NPV enables the implementation of all preferred option for the Stage 2 reforms to be compared against a base case, or the status-quo, to articulate the benefits and costs to society overtime. </w:t>
      </w:r>
    </w:p>
    <w:p w14:paraId="6AFA1F3B" w14:textId="77777777" w:rsidR="008F655A" w:rsidRPr="007D162C" w:rsidRDefault="008F655A" w:rsidP="008F655A">
      <w:r w:rsidRPr="007D162C">
        <w:t xml:space="preserve">Detailed information on the cost-benefit metrics are at </w:t>
      </w:r>
      <w:r w:rsidRPr="007D162C">
        <w:rPr>
          <w:b/>
        </w:rPr>
        <w:t>Appendix C</w:t>
      </w:r>
      <w:r w:rsidRPr="007D162C">
        <w:t xml:space="preserve">. </w:t>
      </w:r>
    </w:p>
    <w:p w14:paraId="188D16F8" w14:textId="47A9254F" w:rsidR="008F655A" w:rsidRPr="007D162C" w:rsidRDefault="008F655A" w:rsidP="008F655A">
      <w:pPr>
        <w:pStyle w:val="Heading3"/>
      </w:pPr>
      <w:bookmarkStart w:id="139" w:name="_Toc121824569"/>
      <w:bookmarkStart w:id="140" w:name="_Toc122515439"/>
      <w:bookmarkStart w:id="141" w:name="_Toc130912506"/>
      <w:bookmarkStart w:id="142" w:name="_Toc130914405"/>
      <w:bookmarkStart w:id="143" w:name="_Toc132381891"/>
      <w:bookmarkStart w:id="144" w:name="_Toc140239700"/>
      <w:r w:rsidRPr="007D162C">
        <w:t>Overview of data inputs</w:t>
      </w:r>
      <w:bookmarkEnd w:id="139"/>
      <w:bookmarkEnd w:id="140"/>
      <w:r w:rsidR="00D502F2" w:rsidRPr="007D162C">
        <w:t xml:space="preserve"> for CBA</w:t>
      </w:r>
      <w:bookmarkEnd w:id="141"/>
      <w:bookmarkEnd w:id="142"/>
      <w:bookmarkEnd w:id="143"/>
      <w:bookmarkEnd w:id="144"/>
    </w:p>
    <w:p w14:paraId="77B6D75F" w14:textId="77777777" w:rsidR="008F655A" w:rsidRPr="007D162C" w:rsidRDefault="008F655A" w:rsidP="008F655A">
      <w:pPr>
        <w:rPr>
          <w:rFonts w:ascii="Calibri" w:hAnsi="Calibri"/>
          <w:lang w:eastAsia="zh-TW"/>
        </w:rPr>
      </w:pPr>
      <w:r w:rsidRPr="007D162C">
        <w:rPr>
          <w:rFonts w:ascii="Calibri" w:hAnsi="Calibri"/>
          <w:lang w:eastAsia="zh-TW"/>
        </w:rPr>
        <w:t>PwC undertook a consultation process to inform the development of the CBA supporting the Consultation and Decision RIS. The consultation on the CBA occurred between October 2021 and September 2022, and involved several consultation activities:</w:t>
      </w:r>
    </w:p>
    <w:p w14:paraId="3C7148F4" w14:textId="3982D6B5" w:rsidR="008F655A" w:rsidRPr="007D162C" w:rsidRDefault="008F655A" w:rsidP="008F655A">
      <w:pPr>
        <w:pStyle w:val="Listparagraphbullets"/>
        <w:spacing w:after="0"/>
      </w:pPr>
      <w:r w:rsidRPr="007D162C">
        <w:t>A detailed survey on each of the 6</w:t>
      </w:r>
      <w:r w:rsidR="00AB008C" w:rsidRPr="007D162C">
        <w:t>0</w:t>
      </w:r>
      <w:r w:rsidRPr="007D162C">
        <w:t xml:space="preserve"> reform areas </w:t>
      </w:r>
      <w:r w:rsidR="00AB008C" w:rsidRPr="007D162C">
        <w:t xml:space="preserve">being costed </w:t>
      </w:r>
      <w:r w:rsidRPr="007D162C">
        <w:t xml:space="preserve">was distributed to </w:t>
      </w:r>
      <w:r w:rsidR="00E673F5">
        <w:t>t</w:t>
      </w:r>
      <w:r w:rsidRPr="007D162C">
        <w:t xml:space="preserve">ransport </w:t>
      </w:r>
      <w:r w:rsidR="00E673F5">
        <w:t>d</w:t>
      </w:r>
      <w:r w:rsidRPr="007D162C">
        <w:t xml:space="preserve">epartments of State and Territory Governments, </w:t>
      </w:r>
      <w:r w:rsidR="00E673F5">
        <w:t xml:space="preserve">the </w:t>
      </w:r>
      <w:r w:rsidR="00786B6B">
        <w:t>Australian</w:t>
      </w:r>
      <w:r w:rsidRPr="007D162C">
        <w:t xml:space="preserve"> Local Government </w:t>
      </w:r>
      <w:r w:rsidR="00786B6B">
        <w:t>Association</w:t>
      </w:r>
      <w:r w:rsidRPr="007D162C">
        <w:t xml:space="preserve"> and industry bodies (such as airline, ferry, bus, taxi and rideshare representatives) to capture the quantity of assets and compliance of assets associated with each reform area by mode, jurisdiction and locality (metro or regional). This provided the core data used to inform the CBA. </w:t>
      </w:r>
    </w:p>
    <w:p w14:paraId="610892C7" w14:textId="77777777" w:rsidR="008F655A" w:rsidRPr="007D162C" w:rsidRDefault="008F655A" w:rsidP="008F655A">
      <w:pPr>
        <w:pStyle w:val="Listparagraphbullets"/>
        <w:spacing w:after="0"/>
      </w:pPr>
      <w:r w:rsidRPr="007D162C">
        <w:t>A survey was sent to a broad range of disability organisations and individuals to understand their experience using public transport and how the reforms could improve their use of public transport. This provided insights into the development of the economic benefits framework supporting the CBA.</w:t>
      </w:r>
    </w:p>
    <w:p w14:paraId="20F3C9D7" w14:textId="05731315" w:rsidR="008F655A" w:rsidRPr="007D162C" w:rsidRDefault="008F655A" w:rsidP="008F655A">
      <w:pPr>
        <w:pStyle w:val="Listparagraphbullets"/>
        <w:spacing w:after="0"/>
      </w:pPr>
      <w:r w:rsidRPr="007D162C">
        <w:t xml:space="preserve">Workshops with </w:t>
      </w:r>
      <w:r w:rsidR="00E673F5">
        <w:t>t</w:t>
      </w:r>
      <w:r w:rsidRPr="007D162C">
        <w:t xml:space="preserve">ransport </w:t>
      </w:r>
      <w:r w:rsidR="00E673F5">
        <w:t>d</w:t>
      </w:r>
      <w:r w:rsidRPr="007D162C">
        <w:t xml:space="preserve">epartments of State and Territory Governments, </w:t>
      </w:r>
      <w:r w:rsidR="00786B6B">
        <w:t>Australian</w:t>
      </w:r>
      <w:r w:rsidRPr="007D162C">
        <w:t xml:space="preserve"> Local Government</w:t>
      </w:r>
      <w:r w:rsidR="00786B6B" w:rsidRPr="007D162C">
        <w:t xml:space="preserve"> </w:t>
      </w:r>
      <w:r w:rsidR="00786B6B">
        <w:t>Association</w:t>
      </w:r>
      <w:r w:rsidRPr="007D162C">
        <w:t>, industry bodies, and disability representative organisations. These workshops were held in November and December 2021 to discuss the Stage 2 Transport Standards – Public Transport Survey</w:t>
      </w:r>
      <w:r w:rsidR="00E673F5">
        <w:t>,</w:t>
      </w:r>
      <w:r w:rsidRPr="007D162C">
        <w:t xml:space="preserve"> and inputs used to inform the CBA.</w:t>
      </w:r>
    </w:p>
    <w:p w14:paraId="43930603" w14:textId="77777777" w:rsidR="008F655A" w:rsidRPr="007D162C" w:rsidRDefault="008F655A" w:rsidP="008F655A">
      <w:pPr>
        <w:pStyle w:val="Listparagraphbullets"/>
        <w:spacing w:after="0"/>
      </w:pPr>
      <w:r w:rsidRPr="007D162C">
        <w:t xml:space="preserve">The Consultation RIS was published on 15 March 2022 and open for public consultation until 9 August 2022. The feedback from this consultation process supported the development of the evidence-base supporting refinement of the Decision RIS CBA and recommendations within the Decision RIS. </w:t>
      </w:r>
    </w:p>
    <w:p w14:paraId="7A5A70CF" w14:textId="77777777" w:rsidR="008F655A" w:rsidRPr="007D162C" w:rsidRDefault="008F655A" w:rsidP="008F655A">
      <w:pPr>
        <w:pStyle w:val="Listparagraphbullets"/>
        <w:spacing w:after="0"/>
      </w:pPr>
      <w:r w:rsidRPr="007D162C">
        <w:t>In addition to the survey data discussed above, a range of additional data sources was used to supplement the inputs received through the consultations to plug gaps, including public transport patronage data and population projections.</w:t>
      </w:r>
    </w:p>
    <w:p w14:paraId="7AA6BF97" w14:textId="358499CC" w:rsidR="008F655A" w:rsidRPr="007D162C" w:rsidRDefault="008F655A" w:rsidP="008F655A">
      <w:pPr>
        <w:pStyle w:val="Listparagraphbullets"/>
        <w:spacing w:after="0"/>
      </w:pPr>
      <w:r w:rsidRPr="007D162C">
        <w:t>57 survey responses were received across six jurisdictions with varying degrees of completion.</w:t>
      </w:r>
    </w:p>
    <w:p w14:paraId="6A10F093" w14:textId="77777777" w:rsidR="008B3BA2" w:rsidRPr="007D162C" w:rsidRDefault="008B3BA2" w:rsidP="008B3BA2">
      <w:pPr>
        <w:pStyle w:val="Listparagraphbullets"/>
        <w:numPr>
          <w:ilvl w:val="0"/>
          <w:numId w:val="0"/>
        </w:numPr>
        <w:spacing w:after="0"/>
        <w:ind w:left="360"/>
      </w:pPr>
    </w:p>
    <w:p w14:paraId="26EA26D3" w14:textId="3D4275B7" w:rsidR="008F655A" w:rsidRPr="007D162C" w:rsidRDefault="008F655A" w:rsidP="008F655A">
      <w:pPr>
        <w:pStyle w:val="Heading3"/>
      </w:pPr>
      <w:bookmarkStart w:id="145" w:name="_Toc121824570"/>
      <w:bookmarkStart w:id="146" w:name="_Toc122515440"/>
      <w:bookmarkStart w:id="147" w:name="_Toc130912507"/>
      <w:bookmarkStart w:id="148" w:name="_Toc130914406"/>
      <w:bookmarkStart w:id="149" w:name="_Toc132381892"/>
      <w:bookmarkStart w:id="150" w:name="_Toc140239701"/>
      <w:r w:rsidRPr="007D162C">
        <w:t>Analysis and preparation of inputs for the Decision RIS CBA</w:t>
      </w:r>
      <w:bookmarkEnd w:id="145"/>
      <w:bookmarkEnd w:id="146"/>
      <w:bookmarkEnd w:id="147"/>
      <w:bookmarkEnd w:id="148"/>
      <w:bookmarkEnd w:id="149"/>
      <w:bookmarkEnd w:id="150"/>
    </w:p>
    <w:p w14:paraId="7FE023F2" w14:textId="77777777" w:rsidR="008F655A" w:rsidRPr="007D162C" w:rsidRDefault="08D050C4" w:rsidP="008F655A">
      <w:r w:rsidRPr="007D162C">
        <w:t>The inputs described in the section above were synthesised to estimate the economic benefits and costs associated with the reforms. The process involved consolidating data inputs into a single dataset. Once consolidated, a series of rules were used to cleanse the data. Where data gaps were identified, an assumptions-based approach was used to address those data gaps. For example, in cases where data was not received for certain jurisdictions, data was extrapolated using existing conveyances and/or infrastructure.</w:t>
      </w:r>
    </w:p>
    <w:p w14:paraId="54CFFD10" w14:textId="37BB1A11" w:rsidR="008F655A" w:rsidRPr="007D162C" w:rsidRDefault="008F655A" w:rsidP="008F655A">
      <w:pPr>
        <w:pStyle w:val="Heading3"/>
      </w:pPr>
      <w:bookmarkStart w:id="151" w:name="_Toc121824572"/>
      <w:bookmarkStart w:id="152" w:name="_Toc122515441"/>
      <w:bookmarkStart w:id="153" w:name="_Toc130912508"/>
      <w:bookmarkStart w:id="154" w:name="_Toc130914407"/>
      <w:bookmarkStart w:id="155" w:name="_Toc132381893"/>
      <w:bookmarkStart w:id="156" w:name="_Toc140239702"/>
      <w:r w:rsidRPr="007D162C">
        <w:t xml:space="preserve">Economic benefits and costs </w:t>
      </w:r>
      <w:bookmarkEnd w:id="151"/>
      <w:r w:rsidRPr="007D162C">
        <w:t>categories</w:t>
      </w:r>
      <w:bookmarkEnd w:id="152"/>
      <w:bookmarkEnd w:id="153"/>
      <w:bookmarkEnd w:id="154"/>
      <w:bookmarkEnd w:id="155"/>
      <w:bookmarkEnd w:id="156"/>
    </w:p>
    <w:p w14:paraId="1E117E75" w14:textId="72FB4854" w:rsidR="008F655A" w:rsidRPr="007D162C" w:rsidRDefault="008F655A" w:rsidP="00E673F5">
      <w:pPr>
        <w:pStyle w:val="NoSpacing"/>
      </w:pPr>
      <w:r w:rsidRPr="007D162C">
        <w:t>The potential benefits and costs were categorised, which allows the decision RIS to articulate which categories drive the cost and benefit of each reform.</w:t>
      </w:r>
      <w:r w:rsidR="00E673F5">
        <w:t xml:space="preserve"> </w:t>
      </w:r>
      <w:r w:rsidR="08D050C4" w:rsidRPr="007D162C">
        <w:t>Economic benefit categories, which were monetised, were consolidated into the following areas:</w:t>
      </w:r>
    </w:p>
    <w:p w14:paraId="202D225A" w14:textId="77777777" w:rsidR="008F655A" w:rsidRPr="007D162C" w:rsidRDefault="008F655A" w:rsidP="008F655A">
      <w:pPr>
        <w:pStyle w:val="Listparagraphbullets"/>
        <w:spacing w:after="0"/>
      </w:pPr>
      <w:r w:rsidRPr="007D162C">
        <w:rPr>
          <w:b/>
        </w:rPr>
        <w:t>Improved safety</w:t>
      </w:r>
      <w:r w:rsidRPr="007D162C">
        <w:t xml:space="preserve"> - Increased accessibility of public transport will enhance safety, in terms of feeling safer and improved physical safety, for people with disability and, more broadly, to society overall.</w:t>
      </w:r>
    </w:p>
    <w:p w14:paraId="7E8B93FC" w14:textId="77777777" w:rsidR="008F655A" w:rsidRPr="007D162C" w:rsidRDefault="008F655A" w:rsidP="008F655A">
      <w:pPr>
        <w:pStyle w:val="Listparagraphbullets"/>
        <w:spacing w:after="0"/>
      </w:pPr>
      <w:r w:rsidRPr="007D162C">
        <w:rPr>
          <w:b/>
        </w:rPr>
        <w:t>Improved amenity</w:t>
      </w:r>
      <w:r w:rsidRPr="007D162C">
        <w:t xml:space="preserve"> - Improvements in the condition and appearance of public transport will improve the overall experience of public transport users. Improved amenity can be delivered through the reforms to physical infrastructure and are beneficial for people with disability and society.</w:t>
      </w:r>
    </w:p>
    <w:p w14:paraId="4BB91AB7" w14:textId="77777777" w:rsidR="008F655A" w:rsidRPr="007D162C" w:rsidRDefault="008F655A" w:rsidP="00440A5E">
      <w:pPr>
        <w:pStyle w:val="Listparagraphbullets"/>
        <w:rPr>
          <w:lang w:val="en-US"/>
        </w:rPr>
      </w:pPr>
      <w:r w:rsidRPr="007D162C">
        <w:rPr>
          <w:b/>
        </w:rPr>
        <w:lastRenderedPageBreak/>
        <w:t>Increased accessibility</w:t>
      </w:r>
      <w:r w:rsidRPr="007D162C">
        <w:t xml:space="preserve"> - Increased accessibility of public transport will encourage existing public transport users to take more trips and encourage new users to take public transport for specific cohorts targeted by the reforms.</w:t>
      </w:r>
    </w:p>
    <w:p w14:paraId="1742B52D" w14:textId="77777777" w:rsidR="008F655A" w:rsidRPr="007D162C" w:rsidRDefault="008F655A" w:rsidP="008F655A">
      <w:r w:rsidRPr="007D162C">
        <w:t>The qualitative assessments were consolidated into the following areas:</w:t>
      </w:r>
    </w:p>
    <w:p w14:paraId="752D38E4" w14:textId="77777777" w:rsidR="008F655A" w:rsidRPr="007D162C" w:rsidRDefault="008F655A" w:rsidP="008F655A">
      <w:pPr>
        <w:pStyle w:val="Listparagraphbullets"/>
        <w:spacing w:after="0"/>
      </w:pPr>
      <w:r w:rsidRPr="007D162C">
        <w:rPr>
          <w:b/>
        </w:rPr>
        <w:t>Increased opportunities for education and employment</w:t>
      </w:r>
      <w:r w:rsidRPr="007D162C">
        <w:t xml:space="preserve"> - Improved access to public transport will allow people with disability to access education and employment more efficiently and increase the quantity and variability of opportunities. </w:t>
      </w:r>
    </w:p>
    <w:p w14:paraId="62EC6FD9" w14:textId="77777777" w:rsidR="008F655A" w:rsidRPr="007D162C" w:rsidRDefault="008F655A" w:rsidP="008F655A">
      <w:pPr>
        <w:pStyle w:val="Listparagraphbullets"/>
        <w:spacing w:after="0"/>
      </w:pPr>
      <w:r w:rsidRPr="007D162C">
        <w:rPr>
          <w:b/>
        </w:rPr>
        <w:t>Increased optionality</w:t>
      </w:r>
      <w:r w:rsidRPr="007D162C">
        <w:t xml:space="preserve"> - Improved accessibility of public transport will provide an alternative transport option to people with disability, which can improve engagement and accessibility of other services and reduce costs to the user.</w:t>
      </w:r>
    </w:p>
    <w:p w14:paraId="238BBCC3" w14:textId="77777777" w:rsidR="008F655A" w:rsidRPr="007D162C" w:rsidRDefault="008F655A" w:rsidP="008F655A">
      <w:pPr>
        <w:pStyle w:val="Listparagraphbullets"/>
        <w:spacing w:after="0"/>
      </w:pPr>
      <w:r w:rsidRPr="007D162C">
        <w:rPr>
          <w:b/>
        </w:rPr>
        <w:t>Enhanced independence and inclusion</w:t>
      </w:r>
      <w:r w:rsidRPr="007D162C">
        <w:t xml:space="preserve"> - Improved accessibility of public transport will increase the likelihood of using public transport, increasing confidence and independence and improving mental health and wellbeing.</w:t>
      </w:r>
    </w:p>
    <w:p w14:paraId="42D55204" w14:textId="77777777" w:rsidR="008F655A" w:rsidRPr="007D162C" w:rsidRDefault="008F655A" w:rsidP="008F655A">
      <w:pPr>
        <w:pStyle w:val="Listparagraphbullets"/>
        <w:spacing w:after="0"/>
      </w:pPr>
      <w:r w:rsidRPr="007D162C">
        <w:rPr>
          <w:b/>
        </w:rPr>
        <w:t>Improved health outcomes</w:t>
      </w:r>
      <w:r w:rsidRPr="007D162C">
        <w:t xml:space="preserve"> - Improved accessibility of public transport will enable better access to health services and facilities, contributing to improved health outcomes for individuals with disability.</w:t>
      </w:r>
    </w:p>
    <w:p w14:paraId="0CB840BE" w14:textId="77777777" w:rsidR="008F655A" w:rsidRPr="007D162C" w:rsidRDefault="008F655A" w:rsidP="008F655A">
      <w:pPr>
        <w:pStyle w:val="Listparagraphbullets"/>
        <w:spacing w:after="0"/>
      </w:pPr>
      <w:r w:rsidRPr="007D162C">
        <w:rPr>
          <w:b/>
        </w:rPr>
        <w:t>Improved access to services</w:t>
      </w:r>
      <w:r w:rsidRPr="007D162C">
        <w:t xml:space="preserve"> - With more equitable access to public transport, people with disability will have greater access to government and non-government services.</w:t>
      </w:r>
    </w:p>
    <w:p w14:paraId="139871F9" w14:textId="77777777" w:rsidR="008F655A" w:rsidRPr="007D162C" w:rsidRDefault="008F655A" w:rsidP="00440A5E">
      <w:pPr>
        <w:pStyle w:val="Listparagraphbullets"/>
      </w:pPr>
      <w:r w:rsidRPr="007D162C">
        <w:rPr>
          <w:b/>
        </w:rPr>
        <w:t>Greater sense of connection to community and place</w:t>
      </w:r>
      <w:r w:rsidRPr="007D162C">
        <w:t xml:space="preserve"> - A higher uptake of public transport usage will lead to a range of flow on outcomes for the community. Individuals may develop a greater sense of connection to their community and participation in activities – social, cultural, leisure, sports, events, volunteering, etc.</w:t>
      </w:r>
    </w:p>
    <w:p w14:paraId="5A5912BB" w14:textId="77777777" w:rsidR="008F655A" w:rsidRPr="007D162C" w:rsidRDefault="08D050C4" w:rsidP="008F655A">
      <w:r w:rsidRPr="007D162C">
        <w:t>Economic cost categories, which were monetised, were consolidated into the following areas:</w:t>
      </w:r>
    </w:p>
    <w:p w14:paraId="26306F65" w14:textId="77777777" w:rsidR="008F655A" w:rsidRPr="007D162C" w:rsidRDefault="008F655A" w:rsidP="008F655A">
      <w:pPr>
        <w:pStyle w:val="Listparagraphbullets"/>
        <w:spacing w:after="0"/>
      </w:pPr>
      <w:r w:rsidRPr="007D162C">
        <w:rPr>
          <w:b/>
        </w:rPr>
        <w:t>Compliance costs (administrative</w:t>
      </w:r>
      <w:r w:rsidRPr="007D162C">
        <w:t>) - Administrative costs reflect the cost incurred by regulated entities primarily to demonstrate compliance with the regulation, such as record keeping, etc. and the initial audit cost to understand the existing asset base to comply with regulatory options.</w:t>
      </w:r>
    </w:p>
    <w:p w14:paraId="2B2E38E7" w14:textId="77777777" w:rsidR="008F655A" w:rsidRPr="007D162C" w:rsidRDefault="008F655A" w:rsidP="008F655A">
      <w:pPr>
        <w:pStyle w:val="Listparagraphbullets"/>
        <w:spacing w:after="0"/>
      </w:pPr>
      <w:r w:rsidRPr="007D162C">
        <w:rPr>
          <w:b/>
        </w:rPr>
        <w:t>Compliance costs (substantive)</w:t>
      </w:r>
      <w:r w:rsidRPr="007D162C">
        <w:t xml:space="preserve"> - These costs reflect the costs incurred to deliver the regulated outcomes being sought, such as capital, operations and maintenance costs, client costs and contingency.</w:t>
      </w:r>
    </w:p>
    <w:p w14:paraId="2749CD23" w14:textId="77777777" w:rsidR="008F655A" w:rsidRPr="007D162C" w:rsidRDefault="008F655A" w:rsidP="008F655A">
      <w:pPr>
        <w:pStyle w:val="Listparagraphbullets"/>
        <w:spacing w:after="0"/>
      </w:pPr>
      <w:r w:rsidRPr="007D162C">
        <w:rPr>
          <w:b/>
        </w:rPr>
        <w:t>Costs of delay</w:t>
      </w:r>
      <w:r w:rsidRPr="007D162C">
        <w:t xml:space="preserve"> - </w:t>
      </w:r>
      <w:r w:rsidRPr="007D162C">
        <w:rPr>
          <w:lang w:val="en-US"/>
        </w:rPr>
        <w:t>Delay costs relate to expenses and loss of income incurred by a regulated entity through an application or approval delay.</w:t>
      </w:r>
    </w:p>
    <w:p w14:paraId="554F7BAD" w14:textId="77777777" w:rsidR="008F655A" w:rsidRPr="007D162C" w:rsidRDefault="008F655A" w:rsidP="008B3BA2">
      <w:pPr>
        <w:pStyle w:val="Listparagraphbullets"/>
        <w:numPr>
          <w:ilvl w:val="0"/>
          <w:numId w:val="0"/>
        </w:numPr>
        <w:spacing w:after="0"/>
        <w:ind w:left="360"/>
      </w:pPr>
    </w:p>
    <w:p w14:paraId="65486C05" w14:textId="28B25F7A" w:rsidR="008F655A" w:rsidRPr="007D162C" w:rsidRDefault="008F655A" w:rsidP="008F655A">
      <w:pPr>
        <w:pStyle w:val="Heading3"/>
      </w:pPr>
      <w:bookmarkStart w:id="157" w:name="_Toc121824573"/>
      <w:bookmarkStart w:id="158" w:name="_Toc122515442"/>
      <w:bookmarkStart w:id="159" w:name="_Toc130912509"/>
      <w:bookmarkStart w:id="160" w:name="_Toc130914408"/>
      <w:bookmarkStart w:id="161" w:name="_Toc132381894"/>
      <w:bookmarkStart w:id="162" w:name="_Toc140239703"/>
      <w:r w:rsidRPr="007D162C">
        <w:t>Economic assessment outcomes</w:t>
      </w:r>
      <w:bookmarkEnd w:id="157"/>
      <w:bookmarkEnd w:id="158"/>
      <w:bookmarkEnd w:id="159"/>
      <w:bookmarkEnd w:id="160"/>
      <w:bookmarkEnd w:id="161"/>
      <w:bookmarkEnd w:id="162"/>
    </w:p>
    <w:p w14:paraId="2664E34B" w14:textId="77777777" w:rsidR="008F655A" w:rsidRPr="007D162C" w:rsidRDefault="008F655A" w:rsidP="008F655A">
      <w:r w:rsidRPr="007D162C">
        <w:t xml:space="preserve">The Decision RIS CBA has been prepared to reflect the preferred package of Stage 2 reform policy options. The CBA sets out the NPV and BCR for the package of preferred reform options. </w:t>
      </w:r>
    </w:p>
    <w:p w14:paraId="0770882B" w14:textId="0564D075" w:rsidR="008F655A" w:rsidRPr="007D162C" w:rsidRDefault="008F655A" w:rsidP="008F655A">
      <w:r w:rsidRPr="007D162C">
        <w:t>The results of the CBA indicate the package of Stage 2 reforms produces overall positive economic outcomes, and there is a net benefit for the Australian community with a BCR of 1.81 and NPV of $3.280 billion (at a 7</w:t>
      </w:r>
      <w:r w:rsidR="00587126">
        <w:t xml:space="preserve"> per cent</w:t>
      </w:r>
      <w:r w:rsidRPr="007D162C">
        <w:t xml:space="preserve"> discount rate over a 20-year implementation period and 15-year appraisal period). </w:t>
      </w:r>
    </w:p>
    <w:p w14:paraId="59928474" w14:textId="00FD893B" w:rsidR="00FC1033" w:rsidRPr="007D162C" w:rsidRDefault="00FC1033" w:rsidP="08D050C4">
      <w:r w:rsidRPr="007D162C">
        <w:t xml:space="preserve">The NPV and BCR must be considered in the context of </w:t>
      </w:r>
      <w:r w:rsidR="00DB0B11" w:rsidRPr="007D162C">
        <w:t>qualitative</w:t>
      </w:r>
      <w:r w:rsidRPr="007D162C">
        <w:t xml:space="preserve"> impacts</w:t>
      </w:r>
      <w:r w:rsidR="00DB0B11" w:rsidRPr="007D162C">
        <w:t xml:space="preserve">. </w:t>
      </w:r>
      <w:r w:rsidR="00B07F1F" w:rsidRPr="007D162C">
        <w:t xml:space="preserve">There were nine categories of qualitative benefits for people with disability identified during consultation; however, only three of those categories could be monetised for the purpose of the CBA. It is important to acknowledge the </w:t>
      </w:r>
      <w:r w:rsidR="00962EB3" w:rsidRPr="007D162C">
        <w:t xml:space="preserve">Decision RIS </w:t>
      </w:r>
      <w:r w:rsidR="00B07F1F" w:rsidRPr="007D162C">
        <w:t>provides information on those non-monetised benefits for people with disability</w:t>
      </w:r>
      <w:r w:rsidR="00962EB3" w:rsidRPr="007D162C">
        <w:t>. The Decision RIS</w:t>
      </w:r>
      <w:r w:rsidR="00B07F1F" w:rsidRPr="007D162C">
        <w:t xml:space="preserve"> </w:t>
      </w:r>
      <w:r w:rsidR="00962EB3" w:rsidRPr="007D162C">
        <w:t>include</w:t>
      </w:r>
      <w:r w:rsidR="00440A5E" w:rsidRPr="007D162C">
        <w:t>s</w:t>
      </w:r>
      <w:r w:rsidR="00962EB3" w:rsidRPr="007D162C">
        <w:t xml:space="preserve"> these additional benefit categories to</w:t>
      </w:r>
      <w:r w:rsidR="00B07F1F" w:rsidRPr="007D162C">
        <w:t xml:space="preserve"> ensure decision makers are aware of the additional benefits that the package of preferred options would have for people with disability.</w:t>
      </w:r>
      <w:r w:rsidR="00962EB3" w:rsidRPr="007D162C">
        <w:t xml:space="preserve"> </w:t>
      </w:r>
    </w:p>
    <w:p w14:paraId="3BBBFE3B" w14:textId="57195379" w:rsidR="00962EB3" w:rsidRPr="007D162C" w:rsidRDefault="08D050C4" w:rsidP="00FC1033">
      <w:r w:rsidRPr="007D162C">
        <w:t xml:space="preserve">Disability stakeholders consistently emphasised the importance of the intangible benefits associated with the removal of discrimination in accessing public transport. The increased independence, inclusion, dignity, participation in the community and access to health care, education and other services were all cited as key benefits from these reforms. </w:t>
      </w:r>
    </w:p>
    <w:p w14:paraId="67B173C9" w14:textId="034778F3" w:rsidR="005F1F98" w:rsidRPr="007D162C" w:rsidRDefault="00962EB3" w:rsidP="008F655A">
      <w:r w:rsidRPr="007D162C">
        <w:t xml:space="preserve">Several reforms </w:t>
      </w:r>
      <w:r w:rsidR="005F1F98" w:rsidRPr="007D162C">
        <w:t xml:space="preserve">had high BCRs and are key enablers of other reforms. The preferred options presented consider these interdependencies to produce optimal outcomes for stakeholders. For example, </w:t>
      </w:r>
      <w:r w:rsidR="00E673F5">
        <w:t>R</w:t>
      </w:r>
      <w:r w:rsidR="005F1F98" w:rsidRPr="007D162C">
        <w:t>eform 5</w:t>
      </w:r>
      <w:r w:rsidR="00E673F5">
        <w:t>:</w:t>
      </w:r>
      <w:r w:rsidR="005F1F98" w:rsidRPr="007D162C">
        <w:t xml:space="preserve"> </w:t>
      </w:r>
      <w:r w:rsidRPr="007D162C">
        <w:lastRenderedPageBreak/>
        <w:t>Better communication of accessibility features</w:t>
      </w:r>
      <w:r w:rsidR="00E673F5">
        <w:t>,</w:t>
      </w:r>
      <w:r w:rsidR="005F1F98" w:rsidRPr="007D162C">
        <w:t xml:space="preserve"> has a BCR of 31.33 and the preferred option is an enabler of benefits across all modes of public transport. </w:t>
      </w:r>
    </w:p>
    <w:p w14:paraId="03249DE3" w14:textId="26640F73" w:rsidR="008F655A" w:rsidRPr="007D162C" w:rsidRDefault="008F655A" w:rsidP="008F655A">
      <w:r w:rsidRPr="007D162C">
        <w:t xml:space="preserve">Individual reforms figures are detailed in each reform chapter. The BCR and NPV of reforms themes used during the consultation RIS are provided in Table 7. </w:t>
      </w:r>
    </w:p>
    <w:p w14:paraId="2EC9ACC9" w14:textId="12459925" w:rsidR="008F655A" w:rsidRPr="007D162C" w:rsidRDefault="008F655A" w:rsidP="008B3BA2">
      <w:pPr>
        <w:pStyle w:val="Tablefigureheading"/>
      </w:pPr>
      <w:bookmarkStart w:id="163" w:name="_Toc122446313"/>
      <w:bookmarkStart w:id="164" w:name="_Toc139969165"/>
      <w:r w:rsidRPr="007D162C">
        <w:t xml:space="preserve">Table </w:t>
      </w:r>
      <w:fldSimple w:instr=" SEQ Table \* ARABIC ">
        <w:r w:rsidR="00DC26AC">
          <w:rPr>
            <w:noProof/>
          </w:rPr>
          <w:t>7</w:t>
        </w:r>
      </w:fldSimple>
      <w:r w:rsidRPr="007D162C">
        <w:t>: Cost benefit analysis results</w:t>
      </w:r>
      <w:bookmarkStart w:id="165" w:name="_Hlk122091052"/>
      <w:bookmarkEnd w:id="163"/>
      <w:r w:rsidRPr="007D162C">
        <w:t xml:space="preserve"> by reform theme</w:t>
      </w:r>
      <w:bookmarkEnd w:id="164"/>
    </w:p>
    <w:tbl>
      <w:tblPr>
        <w:tblStyle w:val="DefaultTable1"/>
        <w:tblW w:w="10096" w:type="dxa"/>
        <w:tblLook w:val="04A0" w:firstRow="1" w:lastRow="0" w:firstColumn="1" w:lastColumn="0" w:noHBand="0" w:noVBand="1"/>
        <w:tblCaption w:val="Cost Benefit analysis results "/>
        <w:tblDescription w:val="This table summarises the CBA results for preferred options by reform part and provides a net present value figure, and a benefit cost ratio figure."/>
      </w:tblPr>
      <w:tblGrid>
        <w:gridCol w:w="4253"/>
        <w:gridCol w:w="2004"/>
        <w:gridCol w:w="1702"/>
        <w:gridCol w:w="1306"/>
        <w:gridCol w:w="831"/>
      </w:tblGrid>
      <w:tr w:rsidR="008F655A" w:rsidRPr="007D162C" w14:paraId="11940C8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3" w:type="dxa"/>
            <w:vAlign w:val="center"/>
          </w:tcPr>
          <w:bookmarkEnd w:id="165"/>
          <w:p w14:paraId="09F67204" w14:textId="77777777" w:rsidR="008F655A" w:rsidRPr="007D162C" w:rsidRDefault="008F655A" w:rsidP="008F655A">
            <w:r w:rsidRPr="007D162C">
              <w:t>Reform Part</w:t>
            </w:r>
          </w:p>
        </w:tc>
        <w:tc>
          <w:tcPr>
            <w:tcW w:w="2004" w:type="dxa"/>
            <w:vAlign w:val="center"/>
          </w:tcPr>
          <w:p w14:paraId="4E80C983"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Total benefits ($ mil)</w:t>
            </w:r>
          </w:p>
        </w:tc>
        <w:tc>
          <w:tcPr>
            <w:tcW w:w="1702" w:type="dxa"/>
            <w:vAlign w:val="center"/>
          </w:tcPr>
          <w:p w14:paraId="3DBF7A0F"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Total costs ($ mil)</w:t>
            </w:r>
          </w:p>
        </w:tc>
        <w:tc>
          <w:tcPr>
            <w:tcW w:w="1306" w:type="dxa"/>
            <w:vAlign w:val="center"/>
          </w:tcPr>
          <w:p w14:paraId="75BA789F"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rPr>
                <w:b w:val="0"/>
              </w:rPr>
            </w:pPr>
            <w:r w:rsidRPr="007D162C">
              <w:t>NPV ($ mil)</w:t>
            </w:r>
          </w:p>
        </w:tc>
        <w:tc>
          <w:tcPr>
            <w:tcW w:w="831" w:type="dxa"/>
            <w:vAlign w:val="center"/>
          </w:tcPr>
          <w:p w14:paraId="0DB2708A" w14:textId="77777777" w:rsidR="008F655A" w:rsidRPr="007D162C" w:rsidRDefault="008F655A" w:rsidP="008F655A">
            <w:pPr>
              <w:jc w:val="center"/>
              <w:cnfStyle w:val="100000000000" w:firstRow="1" w:lastRow="0" w:firstColumn="0" w:lastColumn="0" w:oddVBand="0" w:evenVBand="0" w:oddHBand="0" w:evenHBand="0" w:firstRowFirstColumn="0" w:firstRowLastColumn="0" w:lastRowFirstColumn="0" w:lastRowLastColumn="0"/>
            </w:pPr>
            <w:r w:rsidRPr="007D162C">
              <w:t>BCR</w:t>
            </w:r>
          </w:p>
        </w:tc>
      </w:tr>
      <w:tr w:rsidR="008F655A" w:rsidRPr="007D162C" w14:paraId="796CC64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7B0E823" w14:textId="77777777" w:rsidR="008F655A" w:rsidRPr="007D162C" w:rsidRDefault="008F655A" w:rsidP="008F655A">
            <w:pPr>
              <w:tabs>
                <w:tab w:val="left" w:pos="740"/>
              </w:tabs>
              <w:ind w:left="740" w:hanging="709"/>
              <w:rPr>
                <w:b w:val="0"/>
              </w:rPr>
            </w:pPr>
            <w:r w:rsidRPr="007D162C">
              <w:t xml:space="preserve">Part 1: </w:t>
            </w:r>
            <w:r w:rsidRPr="007D162C">
              <w:tab/>
              <w:t xml:space="preserve">Transport Standards principles </w:t>
            </w:r>
          </w:p>
        </w:tc>
        <w:tc>
          <w:tcPr>
            <w:tcW w:w="2004" w:type="dxa"/>
            <w:vAlign w:val="center"/>
          </w:tcPr>
          <w:p w14:paraId="58C66BCB"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69</w:t>
            </w:r>
          </w:p>
        </w:tc>
        <w:tc>
          <w:tcPr>
            <w:tcW w:w="1702" w:type="dxa"/>
            <w:vAlign w:val="center"/>
          </w:tcPr>
          <w:p w14:paraId="4F2225EF"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183</w:t>
            </w:r>
          </w:p>
        </w:tc>
        <w:tc>
          <w:tcPr>
            <w:tcW w:w="1306" w:type="dxa"/>
            <w:vAlign w:val="center"/>
          </w:tcPr>
          <w:p w14:paraId="6C161DD5"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114</w:t>
            </w:r>
          </w:p>
        </w:tc>
        <w:tc>
          <w:tcPr>
            <w:tcW w:w="831" w:type="dxa"/>
            <w:vAlign w:val="center"/>
          </w:tcPr>
          <w:p w14:paraId="278376AE"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0.37</w:t>
            </w:r>
          </w:p>
        </w:tc>
      </w:tr>
      <w:tr w:rsidR="008F655A" w:rsidRPr="007D162C" w14:paraId="0E40115F"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5CFE8BAC" w14:textId="77777777" w:rsidR="008F655A" w:rsidRPr="007D162C" w:rsidRDefault="008F655A" w:rsidP="008F655A">
            <w:pPr>
              <w:tabs>
                <w:tab w:val="left" w:pos="740"/>
              </w:tabs>
              <w:ind w:left="740" w:hanging="709"/>
              <w:rPr>
                <w:b w:val="0"/>
              </w:rPr>
            </w:pPr>
            <w:r w:rsidRPr="007D162C">
              <w:t xml:space="preserve">Part 2: </w:t>
            </w:r>
            <w:r w:rsidRPr="007D162C">
              <w:tab/>
              <w:t>Information, communication and wayfinding</w:t>
            </w:r>
          </w:p>
        </w:tc>
        <w:tc>
          <w:tcPr>
            <w:tcW w:w="2004" w:type="dxa"/>
            <w:vAlign w:val="center"/>
          </w:tcPr>
          <w:p w14:paraId="2C411A3B"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3,806</w:t>
            </w:r>
          </w:p>
        </w:tc>
        <w:tc>
          <w:tcPr>
            <w:tcW w:w="1702" w:type="dxa"/>
            <w:vAlign w:val="center"/>
          </w:tcPr>
          <w:p w14:paraId="58980D9E"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1,932</w:t>
            </w:r>
          </w:p>
        </w:tc>
        <w:tc>
          <w:tcPr>
            <w:tcW w:w="1306" w:type="dxa"/>
            <w:vAlign w:val="center"/>
          </w:tcPr>
          <w:p w14:paraId="5C4F4B7A"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1,874</w:t>
            </w:r>
          </w:p>
        </w:tc>
        <w:tc>
          <w:tcPr>
            <w:tcW w:w="831" w:type="dxa"/>
            <w:vAlign w:val="center"/>
          </w:tcPr>
          <w:p w14:paraId="690F626E" w14:textId="77777777" w:rsidR="008F655A" w:rsidRPr="007D162C" w:rsidRDefault="08D050C4" w:rsidP="008F655A">
            <w:pPr>
              <w:jc w:val="center"/>
              <w:cnfStyle w:val="000000000000" w:firstRow="0" w:lastRow="0" w:firstColumn="0" w:lastColumn="0" w:oddVBand="0" w:evenVBand="0" w:oddHBand="0" w:evenHBand="0" w:firstRowFirstColumn="0" w:firstRowLastColumn="0" w:lastRowFirstColumn="0" w:lastRowLastColumn="0"/>
            </w:pPr>
            <w:r w:rsidRPr="007D162C">
              <w:t>1.97</w:t>
            </w:r>
          </w:p>
        </w:tc>
      </w:tr>
      <w:tr w:rsidR="008F655A" w:rsidRPr="007D162C" w14:paraId="58B9487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4AE72335" w14:textId="77777777" w:rsidR="008F655A" w:rsidRPr="007D162C" w:rsidRDefault="008F655A" w:rsidP="008F655A">
            <w:pPr>
              <w:tabs>
                <w:tab w:val="left" w:pos="740"/>
              </w:tabs>
              <w:ind w:left="740" w:hanging="709"/>
              <w:rPr>
                <w:b w:val="0"/>
              </w:rPr>
            </w:pPr>
            <w:r w:rsidRPr="007D162C">
              <w:t xml:space="preserve">Part 3: </w:t>
            </w:r>
            <w:r w:rsidRPr="007D162C">
              <w:tab/>
              <w:t>Accessibility at stations, stops, wharves and access routes</w:t>
            </w:r>
          </w:p>
        </w:tc>
        <w:tc>
          <w:tcPr>
            <w:tcW w:w="2004" w:type="dxa"/>
            <w:vAlign w:val="center"/>
          </w:tcPr>
          <w:p w14:paraId="203E7CDA"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1,065</w:t>
            </w:r>
          </w:p>
        </w:tc>
        <w:tc>
          <w:tcPr>
            <w:tcW w:w="1702" w:type="dxa"/>
            <w:vAlign w:val="center"/>
          </w:tcPr>
          <w:p w14:paraId="18486D72"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502</w:t>
            </w:r>
          </w:p>
        </w:tc>
        <w:tc>
          <w:tcPr>
            <w:tcW w:w="1306" w:type="dxa"/>
            <w:vAlign w:val="center"/>
          </w:tcPr>
          <w:p w14:paraId="2D9B755F"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563</w:t>
            </w:r>
          </w:p>
        </w:tc>
        <w:tc>
          <w:tcPr>
            <w:tcW w:w="831" w:type="dxa"/>
            <w:vAlign w:val="center"/>
          </w:tcPr>
          <w:p w14:paraId="3FF297E0"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2.12</w:t>
            </w:r>
          </w:p>
        </w:tc>
      </w:tr>
      <w:tr w:rsidR="008F655A" w:rsidRPr="007D162C" w14:paraId="19F91841"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571DB9C5" w14:textId="77777777" w:rsidR="008F655A" w:rsidRPr="007D162C" w:rsidRDefault="008F655A" w:rsidP="008F655A">
            <w:pPr>
              <w:tabs>
                <w:tab w:val="left" w:pos="740"/>
              </w:tabs>
              <w:ind w:left="740" w:hanging="709"/>
              <w:rPr>
                <w:b w:val="0"/>
              </w:rPr>
            </w:pPr>
            <w:r w:rsidRPr="007D162C">
              <w:t xml:space="preserve">Part 4: </w:t>
            </w:r>
            <w:r w:rsidRPr="007D162C">
              <w:tab/>
              <w:t>Accessibility of boarding and alighting and egress of infrastructure</w:t>
            </w:r>
          </w:p>
        </w:tc>
        <w:tc>
          <w:tcPr>
            <w:tcW w:w="2004" w:type="dxa"/>
            <w:vAlign w:val="center"/>
          </w:tcPr>
          <w:p w14:paraId="2A6CB1C7"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2,060</w:t>
            </w:r>
          </w:p>
        </w:tc>
        <w:tc>
          <w:tcPr>
            <w:tcW w:w="1702" w:type="dxa"/>
            <w:vAlign w:val="center"/>
          </w:tcPr>
          <w:p w14:paraId="26ECF8C2"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1,284</w:t>
            </w:r>
          </w:p>
        </w:tc>
        <w:tc>
          <w:tcPr>
            <w:tcW w:w="1306" w:type="dxa"/>
            <w:vAlign w:val="center"/>
          </w:tcPr>
          <w:p w14:paraId="6C0FFFAB" w14:textId="77777777" w:rsidR="008F655A" w:rsidRPr="007D162C" w:rsidRDefault="08D050C4" w:rsidP="008F655A">
            <w:pPr>
              <w:jc w:val="right"/>
              <w:cnfStyle w:val="000000000000" w:firstRow="0" w:lastRow="0" w:firstColumn="0" w:lastColumn="0" w:oddVBand="0" w:evenVBand="0" w:oddHBand="0" w:evenHBand="0" w:firstRowFirstColumn="0" w:firstRowLastColumn="0" w:lastRowFirstColumn="0" w:lastRowLastColumn="0"/>
            </w:pPr>
            <w:r w:rsidRPr="007D162C">
              <w:t>776</w:t>
            </w:r>
          </w:p>
        </w:tc>
        <w:tc>
          <w:tcPr>
            <w:tcW w:w="831" w:type="dxa"/>
            <w:vAlign w:val="center"/>
          </w:tcPr>
          <w:p w14:paraId="3CD0311E" w14:textId="77777777" w:rsidR="008F655A" w:rsidRPr="007D162C" w:rsidRDefault="08D050C4" w:rsidP="008F655A">
            <w:pPr>
              <w:jc w:val="center"/>
              <w:cnfStyle w:val="000000000000" w:firstRow="0" w:lastRow="0" w:firstColumn="0" w:lastColumn="0" w:oddVBand="0" w:evenVBand="0" w:oddHBand="0" w:evenHBand="0" w:firstRowFirstColumn="0" w:firstRowLastColumn="0" w:lastRowFirstColumn="0" w:lastRowLastColumn="0"/>
            </w:pPr>
            <w:r w:rsidRPr="007D162C">
              <w:t>1.60</w:t>
            </w:r>
          </w:p>
        </w:tc>
      </w:tr>
      <w:tr w:rsidR="008F655A" w:rsidRPr="007D162C" w14:paraId="506B2B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4242C9D" w14:textId="77777777" w:rsidR="008F655A" w:rsidRPr="007D162C" w:rsidRDefault="008F655A" w:rsidP="008F655A">
            <w:pPr>
              <w:tabs>
                <w:tab w:val="left" w:pos="740"/>
              </w:tabs>
              <w:ind w:left="740" w:hanging="709"/>
              <w:rPr>
                <w:b w:val="0"/>
              </w:rPr>
            </w:pPr>
            <w:r w:rsidRPr="007D162C">
              <w:t xml:space="preserve">Part 5: </w:t>
            </w:r>
            <w:r w:rsidRPr="007D162C">
              <w:tab/>
              <w:t>Accessibility in conveyances</w:t>
            </w:r>
          </w:p>
        </w:tc>
        <w:tc>
          <w:tcPr>
            <w:tcW w:w="2004" w:type="dxa"/>
            <w:vAlign w:val="center"/>
          </w:tcPr>
          <w:p w14:paraId="7AD042F2"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351</w:t>
            </w:r>
          </w:p>
        </w:tc>
        <w:tc>
          <w:tcPr>
            <w:tcW w:w="1702" w:type="dxa"/>
            <w:vAlign w:val="center"/>
          </w:tcPr>
          <w:p w14:paraId="22A53BCC"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170</w:t>
            </w:r>
          </w:p>
        </w:tc>
        <w:tc>
          <w:tcPr>
            <w:tcW w:w="1306" w:type="dxa"/>
            <w:vAlign w:val="center"/>
          </w:tcPr>
          <w:p w14:paraId="37F3BA95" w14:textId="77777777" w:rsidR="008F655A" w:rsidRPr="007D162C" w:rsidRDefault="08D050C4" w:rsidP="008F655A">
            <w:pPr>
              <w:jc w:val="right"/>
              <w:cnfStyle w:val="000000100000" w:firstRow="0" w:lastRow="0" w:firstColumn="0" w:lastColumn="0" w:oddVBand="0" w:evenVBand="0" w:oddHBand="1" w:evenHBand="0" w:firstRowFirstColumn="0" w:firstRowLastColumn="0" w:lastRowFirstColumn="0" w:lastRowLastColumn="0"/>
            </w:pPr>
            <w:r w:rsidRPr="007D162C">
              <w:t>181</w:t>
            </w:r>
          </w:p>
        </w:tc>
        <w:tc>
          <w:tcPr>
            <w:tcW w:w="831" w:type="dxa"/>
            <w:vAlign w:val="center"/>
          </w:tcPr>
          <w:p w14:paraId="1C49A5D2" w14:textId="77777777" w:rsidR="008F655A" w:rsidRPr="007D162C" w:rsidRDefault="08D050C4" w:rsidP="008F655A">
            <w:pPr>
              <w:jc w:val="center"/>
              <w:cnfStyle w:val="000000100000" w:firstRow="0" w:lastRow="0" w:firstColumn="0" w:lastColumn="0" w:oddVBand="0" w:evenVBand="0" w:oddHBand="1" w:evenHBand="0" w:firstRowFirstColumn="0" w:firstRowLastColumn="0" w:lastRowFirstColumn="0" w:lastRowLastColumn="0"/>
            </w:pPr>
            <w:r w:rsidRPr="007D162C">
              <w:t>2.06</w:t>
            </w:r>
          </w:p>
        </w:tc>
      </w:tr>
      <w:tr w:rsidR="008F655A" w:rsidRPr="007D162C" w14:paraId="4DDBB696" w14:textId="77777777" w:rsidTr="08D050C4">
        <w:tc>
          <w:tcPr>
            <w:cnfStyle w:val="001000000000" w:firstRow="0" w:lastRow="0" w:firstColumn="1" w:lastColumn="0" w:oddVBand="0" w:evenVBand="0" w:oddHBand="0" w:evenHBand="0" w:firstRowFirstColumn="0" w:firstRowLastColumn="0" w:lastRowFirstColumn="0" w:lastRowLastColumn="0"/>
            <w:tcW w:w="4253" w:type="dxa"/>
          </w:tcPr>
          <w:p w14:paraId="3A8002C0" w14:textId="77777777" w:rsidR="008F655A" w:rsidRPr="007D162C" w:rsidRDefault="008F655A" w:rsidP="008F655A">
            <w:r w:rsidRPr="007D162C">
              <w:t>Total</w:t>
            </w:r>
          </w:p>
        </w:tc>
        <w:tc>
          <w:tcPr>
            <w:tcW w:w="2004" w:type="dxa"/>
            <w:vAlign w:val="center"/>
          </w:tcPr>
          <w:p w14:paraId="5BF664AD"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7,351</w:t>
            </w:r>
          </w:p>
        </w:tc>
        <w:tc>
          <w:tcPr>
            <w:tcW w:w="1702" w:type="dxa"/>
            <w:vAlign w:val="center"/>
          </w:tcPr>
          <w:p w14:paraId="16813464"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4,071</w:t>
            </w:r>
          </w:p>
        </w:tc>
        <w:tc>
          <w:tcPr>
            <w:tcW w:w="1306" w:type="dxa"/>
            <w:vAlign w:val="center"/>
          </w:tcPr>
          <w:p w14:paraId="75C3973F" w14:textId="77777777" w:rsidR="008F655A" w:rsidRPr="007D162C" w:rsidRDefault="08D050C4" w:rsidP="08D050C4">
            <w:pPr>
              <w:jc w:val="right"/>
              <w:cnfStyle w:val="000000000000" w:firstRow="0" w:lastRow="0" w:firstColumn="0" w:lastColumn="0" w:oddVBand="0" w:evenVBand="0" w:oddHBand="0" w:evenHBand="0" w:firstRowFirstColumn="0" w:firstRowLastColumn="0" w:lastRowFirstColumn="0" w:lastRowLastColumn="0"/>
              <w:rPr>
                <w:b/>
                <w:bCs/>
              </w:rPr>
            </w:pPr>
            <w:r w:rsidRPr="007D162C">
              <w:rPr>
                <w:b/>
                <w:bCs/>
              </w:rPr>
              <w:t>3,280</w:t>
            </w:r>
          </w:p>
        </w:tc>
        <w:tc>
          <w:tcPr>
            <w:tcW w:w="831" w:type="dxa"/>
            <w:vAlign w:val="center"/>
          </w:tcPr>
          <w:p w14:paraId="6B8E518E" w14:textId="77777777" w:rsidR="008F655A" w:rsidRPr="007D162C" w:rsidRDefault="08D050C4" w:rsidP="08D050C4">
            <w:pPr>
              <w:jc w:val="center"/>
              <w:cnfStyle w:val="000000000000" w:firstRow="0" w:lastRow="0" w:firstColumn="0" w:lastColumn="0" w:oddVBand="0" w:evenVBand="0" w:oddHBand="0" w:evenHBand="0" w:firstRowFirstColumn="0" w:firstRowLastColumn="0" w:lastRowFirstColumn="0" w:lastRowLastColumn="0"/>
              <w:rPr>
                <w:b/>
                <w:bCs/>
              </w:rPr>
            </w:pPr>
            <w:r w:rsidRPr="007D162C">
              <w:rPr>
                <w:b/>
                <w:bCs/>
              </w:rPr>
              <w:t>1.81</w:t>
            </w:r>
          </w:p>
        </w:tc>
      </w:tr>
    </w:tbl>
    <w:p w14:paraId="00F87808" w14:textId="77777777" w:rsidR="008F655A" w:rsidRPr="007D162C" w:rsidRDefault="008F655A" w:rsidP="008F655A">
      <w:pPr>
        <w:rPr>
          <w:sz w:val="18"/>
          <w:szCs w:val="18"/>
        </w:rPr>
      </w:pPr>
      <w:r w:rsidRPr="007D162C">
        <w:rPr>
          <w:sz w:val="18"/>
          <w:szCs w:val="18"/>
        </w:rPr>
        <w:t>Note: The CBA does not consider definitional reforms, including reform 13, 14, 25, 36, 41 and 47. In addition, only a qualitative assessment has been undertaken for reform 56.</w:t>
      </w:r>
    </w:p>
    <w:p w14:paraId="57216EB9" w14:textId="3AE8638F" w:rsidR="008F655A" w:rsidRPr="007D162C" w:rsidRDefault="008F655A" w:rsidP="008F655A">
      <w:pPr>
        <w:pStyle w:val="Heading3"/>
      </w:pPr>
      <w:bookmarkStart w:id="166" w:name="_Toc122515443"/>
      <w:bookmarkStart w:id="167" w:name="_Toc130912510"/>
      <w:bookmarkStart w:id="168" w:name="_Toc130914409"/>
      <w:bookmarkStart w:id="169" w:name="_Toc132381895"/>
      <w:bookmarkStart w:id="170" w:name="_Toc140239704"/>
      <w:r w:rsidRPr="007D162C">
        <w:t>Implementation</w:t>
      </w:r>
      <w:bookmarkEnd w:id="166"/>
      <w:bookmarkEnd w:id="167"/>
      <w:bookmarkEnd w:id="168"/>
      <w:bookmarkEnd w:id="169"/>
      <w:bookmarkEnd w:id="170"/>
    </w:p>
    <w:p w14:paraId="38A1824E" w14:textId="51E6B990" w:rsidR="008F655A" w:rsidRPr="007D162C" w:rsidRDefault="008F655A" w:rsidP="008F655A">
      <w:r w:rsidRPr="007D162C">
        <w:t>Public transport operators and providers across all jurisdictions are responsible for compliance with the Transport Standards. Where preferred options are agreed by Ministers and legislative amendments to the Transport Standards are required, an implementation approach must be considered for the reform process</w:t>
      </w:r>
      <w:r w:rsidR="00E673F5">
        <w:t xml:space="preserve"> (including both</w:t>
      </w:r>
      <w:r w:rsidRPr="007D162C">
        <w:t xml:space="preserve"> Stage 1 and 2</w:t>
      </w:r>
      <w:r w:rsidR="00E673F5">
        <w:t xml:space="preserve"> reform areas)</w:t>
      </w:r>
      <w:r w:rsidRPr="007D162C">
        <w:t xml:space="preserve">. </w:t>
      </w:r>
    </w:p>
    <w:p w14:paraId="47C19559" w14:textId="227D1383" w:rsidR="008F655A" w:rsidRPr="007D162C" w:rsidRDefault="008F655A" w:rsidP="008F655A">
      <w:r w:rsidRPr="007D162C">
        <w:t>Chapter 6</w:t>
      </w:r>
      <w:r w:rsidR="0087049B">
        <w:t>2</w:t>
      </w:r>
      <w:r w:rsidRPr="007D162C">
        <w:t>: Implementation</w:t>
      </w:r>
      <w:r w:rsidR="00E673F5">
        <w:t>,</w:t>
      </w:r>
      <w:r w:rsidRPr="007D162C">
        <w:t xml:space="preserve"> analyses feedback provided during the Consultation RIS process and address the preferred implementation approach for the whole package of reforms (including both stages 1 and 2). The recommended implementation approach details whether new regulatory requirements should be applied retrospectively or prospectively, and how new guidance material will be provided for non-regulatory options.</w:t>
      </w:r>
    </w:p>
    <w:p w14:paraId="688B5FDB" w14:textId="098E116A" w:rsidR="008F655A" w:rsidRPr="007D162C" w:rsidRDefault="008F655A" w:rsidP="008F655A">
      <w:pPr>
        <w:pStyle w:val="Heading3"/>
      </w:pPr>
      <w:bookmarkStart w:id="171" w:name="_Toc122515444"/>
      <w:bookmarkStart w:id="172" w:name="_Toc130912511"/>
      <w:bookmarkStart w:id="173" w:name="_Toc130914410"/>
      <w:bookmarkStart w:id="174" w:name="_Toc132381896"/>
      <w:bookmarkStart w:id="175" w:name="_Toc140239705"/>
      <w:r w:rsidRPr="007D162C">
        <w:t>Evaluation</w:t>
      </w:r>
      <w:bookmarkEnd w:id="171"/>
      <w:bookmarkEnd w:id="172"/>
      <w:bookmarkEnd w:id="173"/>
      <w:bookmarkEnd w:id="174"/>
      <w:bookmarkEnd w:id="175"/>
    </w:p>
    <w:p w14:paraId="3C25A467" w14:textId="3B124C88" w:rsidR="00E64800" w:rsidRPr="007D162C" w:rsidRDefault="008F655A" w:rsidP="00844DB1">
      <w:r w:rsidRPr="007D162C">
        <w:t xml:space="preserve">The preferred options will be evaluated following implementation to test their effectiveness and ongoing relevance. </w:t>
      </w:r>
      <w:r w:rsidR="00844DB1">
        <w:t xml:space="preserve">Chapter 63 </w:t>
      </w:r>
      <w:r w:rsidR="00C85FB1">
        <w:t>Evaluation sets out how the evaluation arrangements for the preferred options.</w:t>
      </w:r>
    </w:p>
    <w:p w14:paraId="0B20D3F8" w14:textId="77777777" w:rsidR="00E64800" w:rsidRPr="007D162C" w:rsidRDefault="00E64800" w:rsidP="00E64800">
      <w:r w:rsidRPr="007D162C">
        <w:br w:type="page"/>
      </w:r>
    </w:p>
    <w:p w14:paraId="05708EB0" w14:textId="6A708C79" w:rsidR="00E64800" w:rsidRPr="007D162C" w:rsidRDefault="00E64800" w:rsidP="000855E5">
      <w:pPr>
        <w:pStyle w:val="Heading2"/>
        <w:rPr>
          <w:lang w:val="en-AU"/>
        </w:rPr>
      </w:pPr>
      <w:bookmarkStart w:id="176" w:name="_Toc106630024"/>
      <w:bookmarkStart w:id="177" w:name="_Toc127351747"/>
      <w:bookmarkStart w:id="178" w:name="_Toc140239706"/>
      <w:r w:rsidRPr="007D162C">
        <w:rPr>
          <w:lang w:val="en-AU"/>
        </w:rPr>
        <w:lastRenderedPageBreak/>
        <w:t>Part 1: Transport Standards principles</w:t>
      </w:r>
      <w:bookmarkEnd w:id="176"/>
      <w:bookmarkEnd w:id="177"/>
      <w:bookmarkEnd w:id="178"/>
    </w:p>
    <w:p w14:paraId="4A1EB540" w14:textId="77777777" w:rsidR="00E64800" w:rsidRPr="007D162C" w:rsidRDefault="00E64800" w:rsidP="00E64800">
      <w:pPr>
        <w:rPr>
          <w:rStyle w:val="Emphasis"/>
        </w:rPr>
      </w:pPr>
      <w:r w:rsidRPr="007D162C">
        <w:rPr>
          <w:rStyle w:val="Emphasis"/>
        </w:rPr>
        <w:t>This Part includes the following reform areas:</w:t>
      </w:r>
    </w:p>
    <w:p w14:paraId="171C44C0" w14:textId="77777777" w:rsidR="005C7B03" w:rsidRPr="007D162C" w:rsidRDefault="00E64800" w:rsidP="005C7B03">
      <w:pPr>
        <w:pStyle w:val="ListNumbered1"/>
        <w:rPr>
          <w:rStyle w:val="Emphasis"/>
          <w:lang w:val="en-AU"/>
        </w:rPr>
      </w:pPr>
      <w:r w:rsidRPr="007D162C">
        <w:rPr>
          <w:rStyle w:val="Emphasis"/>
          <w:lang w:val="en-AU"/>
        </w:rPr>
        <w:t xml:space="preserve">Reporting </w:t>
      </w:r>
    </w:p>
    <w:p w14:paraId="32862DD4" w14:textId="77777777" w:rsidR="005C7B03" w:rsidRPr="007D162C" w:rsidRDefault="00E64800" w:rsidP="005C7B03">
      <w:pPr>
        <w:pStyle w:val="ListNumbered1"/>
        <w:rPr>
          <w:rStyle w:val="Emphasis"/>
          <w:lang w:val="en-AU"/>
        </w:rPr>
      </w:pPr>
      <w:r w:rsidRPr="007D162C">
        <w:rPr>
          <w:rStyle w:val="Emphasis"/>
          <w:lang w:val="en-AU"/>
        </w:rPr>
        <w:t>Equivalent Access</w:t>
      </w:r>
    </w:p>
    <w:p w14:paraId="6098DAB5" w14:textId="77777777" w:rsidR="005C7B03" w:rsidRPr="007D162C" w:rsidRDefault="00E64800" w:rsidP="005C7B03">
      <w:pPr>
        <w:pStyle w:val="ListNumbered1"/>
        <w:rPr>
          <w:rStyle w:val="Emphasis"/>
          <w:lang w:val="en-AU"/>
        </w:rPr>
      </w:pPr>
      <w:r w:rsidRPr="007D162C">
        <w:rPr>
          <w:rStyle w:val="Emphasis"/>
          <w:lang w:val="en-AU"/>
        </w:rPr>
        <w:t>Rideshare</w:t>
      </w:r>
    </w:p>
    <w:p w14:paraId="630B3089" w14:textId="77777777" w:rsidR="00E64800" w:rsidRPr="007D162C" w:rsidRDefault="00E64800" w:rsidP="005C7B03">
      <w:pPr>
        <w:pStyle w:val="ListNumbered1"/>
        <w:rPr>
          <w:rStyle w:val="Emphasis"/>
          <w:lang w:val="en-AU"/>
        </w:rPr>
      </w:pPr>
      <w:r w:rsidRPr="007D162C">
        <w:rPr>
          <w:rStyle w:val="Emphasis"/>
          <w:lang w:val="en-AU"/>
        </w:rPr>
        <w:t>Dedicated school buses</w:t>
      </w:r>
    </w:p>
    <w:p w14:paraId="3F51EF5B" w14:textId="77777777" w:rsidR="008F655A" w:rsidRPr="007D162C" w:rsidRDefault="008F655A" w:rsidP="008F655A">
      <w:pPr>
        <w:spacing w:line="259" w:lineRule="auto"/>
        <w:rPr>
          <w:rFonts w:ascii="Calibri" w:eastAsia="Calibri" w:hAnsi="Calibri" w:cs="Calibri"/>
          <w:color w:val="081E3E"/>
          <w:kern w:val="12"/>
          <w:sz w:val="36"/>
          <w:szCs w:val="36"/>
        </w:rPr>
      </w:pPr>
      <w:r w:rsidRPr="007D162C">
        <w:br w:type="page"/>
      </w:r>
    </w:p>
    <w:p w14:paraId="45584C00" w14:textId="77777777" w:rsidR="00E216AB" w:rsidRPr="007D162C" w:rsidRDefault="00E216AB" w:rsidP="00894D47">
      <w:pPr>
        <w:pStyle w:val="Heading2"/>
        <w:numPr>
          <w:ilvl w:val="0"/>
          <w:numId w:val="25"/>
        </w:numPr>
        <w:ind w:hanging="720"/>
      </w:pPr>
      <w:bookmarkStart w:id="179" w:name="_Toc140239707"/>
      <w:bookmarkStart w:id="180" w:name="_Hlk127960098"/>
      <w:r w:rsidRPr="007D162C">
        <w:lastRenderedPageBreak/>
        <w:t>Reporting</w:t>
      </w:r>
      <w:bookmarkEnd w:id="6"/>
      <w:bookmarkEnd w:id="7"/>
      <w:bookmarkEnd w:id="179"/>
      <w:r w:rsidRPr="007D162C">
        <w:t xml:space="preserve"> </w:t>
      </w:r>
    </w:p>
    <w:p w14:paraId="676882F3" w14:textId="77777777" w:rsidR="00E216AB" w:rsidRPr="00D979B2" w:rsidRDefault="00E216AB" w:rsidP="00D979B2">
      <w:pPr>
        <w:pStyle w:val="Heading4"/>
      </w:pPr>
      <w:r w:rsidRPr="00D979B2">
        <w:t>Issue</w:t>
      </w:r>
    </w:p>
    <w:p w14:paraId="2F749426" w14:textId="77777777" w:rsidR="00E216AB" w:rsidRPr="007D162C" w:rsidRDefault="00E216AB" w:rsidP="00E216AB">
      <w:pPr>
        <w:tabs>
          <w:tab w:val="left" w:pos="284"/>
        </w:tabs>
      </w:pPr>
      <w:r w:rsidRPr="007D162C">
        <w:t xml:space="preserve">There are no provisions for operators and providers to report compliance with the Transport Standards and therefore no nationally consistent compliance data currently exists. Without this data it is challenging for the Australian Government to measure the effectiveness and efficiency of the Transport Standards. </w:t>
      </w:r>
    </w:p>
    <w:p w14:paraId="2664308D" w14:textId="0DF853B0" w:rsidR="00E216AB" w:rsidRPr="007D162C" w:rsidRDefault="00E216AB" w:rsidP="00E216AB">
      <w:pPr>
        <w:tabs>
          <w:tab w:val="left" w:pos="284"/>
        </w:tabs>
      </w:pPr>
      <w:r w:rsidRPr="007D162C">
        <w:t xml:space="preserve">The Australian Government has obligations to report data on public transport accessibility under </w:t>
      </w:r>
      <w:r w:rsidR="00D13E09">
        <w:t>the Strategy</w:t>
      </w:r>
      <w:r w:rsidR="00D13E09" w:rsidRPr="007D162C">
        <w:t xml:space="preserve"> </w:t>
      </w:r>
      <w:r w:rsidRPr="007D162C">
        <w:t xml:space="preserve">and obligations under Article 31 of </w:t>
      </w:r>
      <w:r w:rsidR="00D9485F">
        <w:t xml:space="preserve">the </w:t>
      </w:r>
      <w:r w:rsidRPr="007D162C">
        <w:t>UNCRPD. Currently, the Government is unable to effectively report this data. There are also challenges with measuring compliance due to varying interpretations of the Transport Standards, particularly where requirements are performance based and specify an outcome rather than particular measurements for operators and providers to comply with.</w:t>
      </w:r>
    </w:p>
    <w:p w14:paraId="6CA75448" w14:textId="77777777" w:rsidR="00E216AB" w:rsidRPr="007D162C" w:rsidRDefault="00E216AB" w:rsidP="00E216AB">
      <w:pPr>
        <w:tabs>
          <w:tab w:val="left" w:pos="284"/>
        </w:tabs>
      </w:pPr>
      <w:r w:rsidRPr="007D162C">
        <w:t xml:space="preserve">Nationally consistent and effective reporting would ensure the Australian Government can measure, track and report outcomes on progress being made on compliance with the Transport Standards. </w:t>
      </w:r>
    </w:p>
    <w:p w14:paraId="6A593DCC" w14:textId="77777777" w:rsidR="00E216AB" w:rsidRPr="007D162C" w:rsidRDefault="00E216AB" w:rsidP="00E216AB">
      <w:pPr>
        <w:tabs>
          <w:tab w:val="left" w:pos="284"/>
        </w:tabs>
      </w:pPr>
      <w:r w:rsidRPr="007D162C">
        <w:t xml:space="preserve">This reform does not include how accessibility information is communicated to the public for the purpose of journey planning. This issue is covered in Reform 5: Better communication of accessibility features. </w:t>
      </w:r>
    </w:p>
    <w:p w14:paraId="7CA4ADD2" w14:textId="77777777" w:rsidR="00E216AB" w:rsidRPr="007D162C" w:rsidRDefault="00E216AB" w:rsidP="00E216AB">
      <w:pPr>
        <w:tabs>
          <w:tab w:val="left" w:pos="284"/>
        </w:tabs>
        <w:suppressAutoHyphens/>
        <w:rPr>
          <w:rFonts w:asciiTheme="majorHAnsi" w:eastAsiaTheme="majorEastAsia" w:hAnsiTheme="majorHAnsi" w:cstheme="majorBidi"/>
          <w:b/>
          <w:color w:val="806000"/>
          <w:sz w:val="26"/>
          <w:szCs w:val="26"/>
        </w:rPr>
      </w:pPr>
      <w:r w:rsidRPr="007D162C">
        <w:t>Collective government action is necessary to effectively and consistently measure operator and provider compliance with the Transport Standards and to address key stakeholder issues raised through the Transport Standards review process.</w:t>
      </w:r>
    </w:p>
    <w:p w14:paraId="54AD5503" w14:textId="77777777" w:rsidR="00E216AB" w:rsidRPr="007D162C" w:rsidRDefault="00E216AB" w:rsidP="00E216AB">
      <w:pPr>
        <w:pStyle w:val="Heading4"/>
        <w:tabs>
          <w:tab w:val="left" w:pos="284"/>
        </w:tabs>
      </w:pPr>
      <w:r w:rsidRPr="007D162C">
        <w:t>Reform options</w:t>
      </w:r>
    </w:p>
    <w:p w14:paraId="18A33A85" w14:textId="77777777" w:rsidR="00E216AB" w:rsidRPr="007D162C" w:rsidRDefault="00E216AB" w:rsidP="00E216AB">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4908BF68" w14:textId="66015DBE" w:rsidR="00E216AB" w:rsidRPr="007D162C" w:rsidRDefault="00E216AB" w:rsidP="004228D6">
      <w:pPr>
        <w:pStyle w:val="Tablefigureheading"/>
      </w:pPr>
      <w:bookmarkStart w:id="181" w:name="_Toc122446314"/>
      <w:bookmarkStart w:id="182" w:name="_Toc139969166"/>
      <w:r w:rsidRPr="007D162C">
        <w:t xml:space="preserve">Table </w:t>
      </w:r>
      <w:fldSimple w:instr=" SEQ Table \* ARABIC ">
        <w:r w:rsidR="00DC26AC">
          <w:rPr>
            <w:noProof/>
          </w:rPr>
          <w:t>8</w:t>
        </w:r>
      </w:fldSimple>
      <w:r w:rsidRPr="007D162C">
        <w:t xml:space="preserve">: Reform options for </w:t>
      </w:r>
      <w:r w:rsidR="00754992" w:rsidRPr="007D162C">
        <w:t>R</w:t>
      </w:r>
      <w:r w:rsidRPr="007D162C">
        <w:t>eporting</w:t>
      </w:r>
      <w:bookmarkEnd w:id="181"/>
      <w:bookmarkEnd w:id="182"/>
    </w:p>
    <w:tbl>
      <w:tblPr>
        <w:tblStyle w:val="DefaultTable1"/>
        <w:tblW w:w="9214" w:type="dxa"/>
        <w:tblLook w:val="04A0" w:firstRow="1" w:lastRow="0" w:firstColumn="1" w:lastColumn="0" w:noHBand="0" w:noVBand="1"/>
        <w:tblCaption w:val="Reform options for reporting"/>
        <w:tblDescription w:val="This table provides a description of each of the options for this reform area. Status quo, non-regulatory and regulatory."/>
      </w:tblPr>
      <w:tblGrid>
        <w:gridCol w:w="1843"/>
        <w:gridCol w:w="7371"/>
      </w:tblGrid>
      <w:tr w:rsidR="00E216AB" w:rsidRPr="007D162C" w14:paraId="4354E5FE" w14:textId="77777777" w:rsidTr="00894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FA3D05F" w14:textId="77777777" w:rsidR="00E216AB" w:rsidRPr="007D162C" w:rsidRDefault="00E216AB" w:rsidP="00E216AB">
            <w:pPr>
              <w:suppressAutoHyphens/>
              <w:rPr>
                <w:sz w:val="22"/>
                <w:szCs w:val="22"/>
                <w:lang w:val="en-AU"/>
              </w:rPr>
            </w:pPr>
            <w:r w:rsidRPr="007D162C">
              <w:rPr>
                <w:sz w:val="22"/>
                <w:szCs w:val="22"/>
                <w:lang w:val="en-AU"/>
              </w:rPr>
              <w:t>Option</w:t>
            </w:r>
          </w:p>
        </w:tc>
        <w:tc>
          <w:tcPr>
            <w:tcW w:w="7371" w:type="dxa"/>
          </w:tcPr>
          <w:p w14:paraId="7A7DB34F" w14:textId="77777777" w:rsidR="00E216AB" w:rsidRPr="007D162C" w:rsidRDefault="00E216AB" w:rsidP="00E216AB">
            <w:pPr>
              <w:suppressAutoHyphens/>
              <w:cnfStyle w:val="100000000000" w:firstRow="1" w:lastRow="0" w:firstColumn="0" w:lastColumn="0" w:oddVBand="0" w:evenVBand="0" w:oddHBand="0" w:evenHBand="0" w:firstRowFirstColumn="0" w:firstRowLastColumn="0" w:lastRowFirstColumn="0" w:lastRowLastColumn="0"/>
              <w:rPr>
                <w:sz w:val="22"/>
                <w:szCs w:val="22"/>
                <w:lang w:val="en-AU"/>
              </w:rPr>
            </w:pPr>
            <w:r w:rsidRPr="007D162C">
              <w:rPr>
                <w:sz w:val="22"/>
                <w:szCs w:val="22"/>
                <w:lang w:val="en-AU"/>
              </w:rPr>
              <w:t>Description</w:t>
            </w:r>
          </w:p>
        </w:tc>
      </w:tr>
      <w:tr w:rsidR="00E216AB" w:rsidRPr="007D162C" w14:paraId="656C956A" w14:textId="77777777" w:rsidTr="0089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B082AB3" w14:textId="77777777" w:rsidR="00E216AB" w:rsidRPr="007D162C" w:rsidRDefault="00E216AB" w:rsidP="001645AF">
            <w:r w:rsidRPr="007D162C">
              <w:t>Status Quo</w:t>
            </w:r>
          </w:p>
        </w:tc>
        <w:tc>
          <w:tcPr>
            <w:tcW w:w="7371" w:type="dxa"/>
          </w:tcPr>
          <w:p w14:paraId="735ADE4E"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There would continue to be no provisions in the Transport Standards for reporting compliance with the Transport Standards.</w:t>
            </w:r>
          </w:p>
          <w:p w14:paraId="000F48E8"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E216AB" w:rsidRPr="007D162C" w14:paraId="2DE9D6DF" w14:textId="77777777" w:rsidTr="00894D47">
        <w:tc>
          <w:tcPr>
            <w:cnfStyle w:val="001000000000" w:firstRow="0" w:lastRow="0" w:firstColumn="1" w:lastColumn="0" w:oddVBand="0" w:evenVBand="0" w:oddHBand="0" w:evenHBand="0" w:firstRowFirstColumn="0" w:firstRowLastColumn="0" w:lastRowFirstColumn="0" w:lastRowLastColumn="0"/>
            <w:tcW w:w="1843" w:type="dxa"/>
          </w:tcPr>
          <w:p w14:paraId="11ACF900" w14:textId="77777777" w:rsidR="00E216AB" w:rsidRPr="007D162C" w:rsidRDefault="00E216AB" w:rsidP="001645AF">
            <w:r w:rsidRPr="007D162C">
              <w:t>Non-Regulatory</w:t>
            </w:r>
          </w:p>
        </w:tc>
        <w:tc>
          <w:tcPr>
            <w:tcW w:w="7371" w:type="dxa"/>
          </w:tcPr>
          <w:p w14:paraId="33D92EEC" w14:textId="6F92EF9D" w:rsidR="00E216AB" w:rsidRPr="007D162C" w:rsidRDefault="00E216AB" w:rsidP="001645AF">
            <w:pPr>
              <w:cnfStyle w:val="000000000000" w:firstRow="0" w:lastRow="0" w:firstColumn="0" w:lastColumn="0" w:oddVBand="0" w:evenVBand="0" w:oddHBand="0" w:evenHBand="0" w:firstRowFirstColumn="0" w:firstRowLastColumn="0" w:lastRowFirstColumn="0" w:lastRowLastColumn="0"/>
            </w:pPr>
            <w:r w:rsidRPr="007D162C">
              <w:t>Guidance would be developed to encourage operators and providers to develop and publish individual plans on how they are meeting, and progress towards compliance with the Transport Standards.</w:t>
            </w:r>
          </w:p>
        </w:tc>
      </w:tr>
      <w:tr w:rsidR="00E216AB" w:rsidRPr="007D162C" w14:paraId="68C3AF0F" w14:textId="77777777" w:rsidTr="00894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7EE4F942" w14:textId="77777777" w:rsidR="00E216AB" w:rsidRPr="007D162C" w:rsidRDefault="00E216AB" w:rsidP="001645AF">
            <w:r w:rsidRPr="007D162C">
              <w:t>Regulatory</w:t>
            </w:r>
          </w:p>
        </w:tc>
        <w:tc>
          <w:tcPr>
            <w:tcW w:w="7371" w:type="dxa"/>
          </w:tcPr>
          <w:p w14:paraId="313B476C" w14:textId="7E83535C"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A national reporting framework and database would be developed to facilitate mandatory reporting on public transport assets. Consultation with all stakeholders would be undertaken to develop the reporting framework, including but not limited to</w:t>
            </w:r>
            <w:r w:rsidR="00F46A56">
              <w:t>,</w:t>
            </w:r>
            <w:r w:rsidRPr="007D162C">
              <w:t xml:space="preserve"> the purpose, methodology, responsibilities of data collection and collation, how data will be stored and used, frequency of reporting and scope. </w:t>
            </w:r>
          </w:p>
          <w:p w14:paraId="4A2FCA2F"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p w14:paraId="266C3FA6"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There are three regulatory options that were consulted on:</w:t>
            </w:r>
          </w:p>
          <w:p w14:paraId="21D27D3A"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31ADD35"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only.</w:t>
            </w:r>
          </w:p>
          <w:p w14:paraId="58A50A80" w14:textId="77777777" w:rsidR="00E216AB" w:rsidRPr="007D162C" w:rsidRDefault="00E216AB" w:rsidP="001645AF">
            <w:pPr>
              <w:tabs>
                <w:tab w:val="left" w:pos="1530"/>
              </w:tabs>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4E90BEF2"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AND all assets for select sections of the Transport Standards (with the scope of the Transport Standards sections to be determined in consultation with stakeholders).</w:t>
            </w:r>
          </w:p>
          <w:p w14:paraId="21FA19B7"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rPr>
                <w:b/>
              </w:rPr>
            </w:pPr>
            <w:r w:rsidRPr="007D162C">
              <w:rPr>
                <w:b/>
              </w:rPr>
              <w:lastRenderedPageBreak/>
              <w:t>Option 3</w:t>
            </w:r>
          </w:p>
          <w:p w14:paraId="12B9461E" w14:textId="77777777" w:rsidR="00E216AB" w:rsidRPr="007D162C" w:rsidRDefault="00E216AB" w:rsidP="001645AF">
            <w:pPr>
              <w:cnfStyle w:val="000000100000" w:firstRow="0" w:lastRow="0" w:firstColumn="0" w:lastColumn="0" w:oddVBand="0" w:evenVBand="0" w:oddHBand="1" w:evenHBand="0" w:firstRowFirstColumn="0" w:firstRowLastColumn="0" w:lastRowFirstColumn="0" w:lastRowLastColumn="0"/>
            </w:pPr>
            <w:r w:rsidRPr="007D162C">
              <w:t>Public transport operators and providers would be required to report data for all new or substantially refurbished / upgraded conveyances, infrastructure and premises AND specific transport assets (with the scope of transport assets to be determined in consultation with stakeholders).</w:t>
            </w:r>
          </w:p>
        </w:tc>
      </w:tr>
    </w:tbl>
    <w:p w14:paraId="361FBB33" w14:textId="77777777" w:rsidR="00E216AB" w:rsidRPr="007D162C" w:rsidRDefault="00E216AB" w:rsidP="00E216AB">
      <w:pPr>
        <w:rPr>
          <w:lang w:val="en-AU"/>
        </w:rPr>
      </w:pPr>
    </w:p>
    <w:p w14:paraId="7A5D6AD1" w14:textId="77777777" w:rsidR="00E216AB" w:rsidRPr="007D162C" w:rsidRDefault="00E216AB" w:rsidP="00E216AB">
      <w:pPr>
        <w:pStyle w:val="Heading4"/>
      </w:pPr>
      <w:r w:rsidRPr="007D162C">
        <w:t>Cost benefit analysis</w:t>
      </w:r>
    </w:p>
    <w:p w14:paraId="6CD7C537" w14:textId="77777777" w:rsidR="00E216AB" w:rsidRPr="007D162C" w:rsidRDefault="00E216AB" w:rsidP="00E8377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Quantitative assessment</w:t>
      </w:r>
    </w:p>
    <w:p w14:paraId="2CB5C166" w14:textId="77777777" w:rsidR="00E216AB" w:rsidRPr="007D162C" w:rsidRDefault="00E216AB" w:rsidP="00E216AB">
      <w:r w:rsidRPr="007D162C">
        <w:t xml:space="preserve">The following categories of quantitative costs and benefits were identified in the CBA as pertaining to the reform options. </w:t>
      </w:r>
    </w:p>
    <w:p w14:paraId="53C9279E" w14:textId="248D646E" w:rsidR="00E216AB" w:rsidRPr="007D162C" w:rsidRDefault="00E216AB" w:rsidP="00E83777">
      <w:pPr>
        <w:pStyle w:val="Tablefigureheading"/>
      </w:pPr>
      <w:bookmarkStart w:id="183" w:name="_Toc122446315"/>
      <w:bookmarkStart w:id="184" w:name="_Toc139969167"/>
      <w:r w:rsidRPr="007D162C">
        <w:t xml:space="preserve">Table </w:t>
      </w:r>
      <w:fldSimple w:instr=" SEQ Table \* ARABIC ">
        <w:r w:rsidR="00DC26AC">
          <w:rPr>
            <w:noProof/>
          </w:rPr>
          <w:t>9</w:t>
        </w:r>
      </w:fldSimple>
      <w:r w:rsidRPr="007D162C">
        <w:t>: Benefit</w:t>
      </w:r>
      <w:r w:rsidR="00754992" w:rsidRPr="007D162C">
        <w:t>-</w:t>
      </w:r>
      <w:r w:rsidRPr="007D162C">
        <w:t>cost ratios for Reporting</w:t>
      </w:r>
      <w:bookmarkEnd w:id="183"/>
      <w:bookmarkEnd w:id="184"/>
    </w:p>
    <w:tbl>
      <w:tblPr>
        <w:tblStyle w:val="DefaultTable1"/>
        <w:tblW w:w="9356" w:type="dxa"/>
        <w:tblLayout w:type="fixed"/>
        <w:tblLook w:val="04A0" w:firstRow="1" w:lastRow="0" w:firstColumn="1" w:lastColumn="0" w:noHBand="0" w:noVBand="1"/>
        <w:tblCaption w:val="Benefit cost ratios for reporting"/>
      </w:tblPr>
      <w:tblGrid>
        <w:gridCol w:w="1985"/>
        <w:gridCol w:w="1276"/>
        <w:gridCol w:w="1842"/>
        <w:gridCol w:w="1843"/>
        <w:gridCol w:w="1701"/>
        <w:gridCol w:w="709"/>
      </w:tblGrid>
      <w:tr w:rsidR="00645CAB" w:rsidRPr="007D162C" w14:paraId="6219A4F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01AFC3" w14:textId="77777777" w:rsidR="00E216AB" w:rsidRPr="007D162C" w:rsidRDefault="00E216AB" w:rsidP="001645AF">
            <w:pPr>
              <w:rPr>
                <w:sz w:val="22"/>
                <w:szCs w:val="22"/>
              </w:rPr>
            </w:pPr>
            <w:r w:rsidRPr="007D162C">
              <w:rPr>
                <w:sz w:val="22"/>
                <w:szCs w:val="22"/>
              </w:rPr>
              <w:t>Reform Option</w:t>
            </w:r>
          </w:p>
        </w:tc>
        <w:tc>
          <w:tcPr>
            <w:tcW w:w="1276" w:type="dxa"/>
          </w:tcPr>
          <w:p w14:paraId="46C0C41A"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842" w:type="dxa"/>
          </w:tcPr>
          <w:p w14:paraId="6C2FE160"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3" w:type="dxa"/>
          </w:tcPr>
          <w:p w14:paraId="03E6081B"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2AD19A66" w14:textId="77777777" w:rsidR="00E216A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709" w:type="dxa"/>
          </w:tcPr>
          <w:p w14:paraId="461D036F" w14:textId="77777777" w:rsidR="00E216AB" w:rsidRPr="007D162C" w:rsidRDefault="00E216AB" w:rsidP="001645AF">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A45B27" w:rsidRPr="007D162C" w14:paraId="6205F9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DBA527" w14:textId="77777777" w:rsidR="00A45B27" w:rsidRPr="007D162C" w:rsidRDefault="00A45B27" w:rsidP="00A45B27">
            <w:r w:rsidRPr="007D162C">
              <w:t>Status Quo</w:t>
            </w:r>
          </w:p>
        </w:tc>
        <w:tc>
          <w:tcPr>
            <w:tcW w:w="1276" w:type="dxa"/>
          </w:tcPr>
          <w:p w14:paraId="615B8CD4"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10367BAF"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153393D0"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76BA3E9E"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9" w:type="dxa"/>
          </w:tcPr>
          <w:p w14:paraId="62012C1B"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A45B27" w:rsidRPr="007D162C" w14:paraId="71A6117D"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1A464598" w14:textId="77777777" w:rsidR="00A45B27" w:rsidRPr="007D162C" w:rsidRDefault="00A45B27" w:rsidP="00A45B27">
            <w:r w:rsidRPr="007D162C">
              <w:t xml:space="preserve">Non-regulatory </w:t>
            </w:r>
          </w:p>
        </w:tc>
        <w:tc>
          <w:tcPr>
            <w:tcW w:w="1276" w:type="dxa"/>
          </w:tcPr>
          <w:p w14:paraId="14E8A33A"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2" w:type="dxa"/>
          </w:tcPr>
          <w:p w14:paraId="3BCA94BA"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3" w:type="dxa"/>
          </w:tcPr>
          <w:p w14:paraId="65B8874C"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5.0</w:t>
            </w:r>
          </w:p>
        </w:tc>
        <w:tc>
          <w:tcPr>
            <w:tcW w:w="1701" w:type="dxa"/>
          </w:tcPr>
          <w:p w14:paraId="732B65BE" w14:textId="77777777" w:rsidR="00A45B27" w:rsidRPr="007D162C" w:rsidRDefault="00A45B27" w:rsidP="00A45B27">
            <w:pPr>
              <w:cnfStyle w:val="000000000000" w:firstRow="0" w:lastRow="0" w:firstColumn="0" w:lastColumn="0" w:oddVBand="0" w:evenVBand="0" w:oddHBand="0" w:evenHBand="0" w:firstRowFirstColumn="0" w:firstRowLastColumn="0" w:lastRowFirstColumn="0" w:lastRowLastColumn="0"/>
            </w:pPr>
            <w:r w:rsidRPr="007D162C">
              <w:t>5.0</w:t>
            </w:r>
            <w:r w:rsidRPr="007D162C">
              <w:rPr>
                <w:vertAlign w:val="superscript"/>
              </w:rPr>
              <w:t>i</w:t>
            </w:r>
          </w:p>
        </w:tc>
        <w:tc>
          <w:tcPr>
            <w:tcW w:w="709" w:type="dxa"/>
          </w:tcPr>
          <w:p w14:paraId="62EB22E2"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A45B27" w:rsidRPr="007D162C" w14:paraId="3B3AF7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F9DD01" w14:textId="77777777" w:rsidR="00A45B27" w:rsidRPr="007D162C" w:rsidRDefault="00A45B27" w:rsidP="00A45B27">
            <w:r w:rsidRPr="007D162C">
              <w:t>Regulatory option 1</w:t>
            </w:r>
          </w:p>
        </w:tc>
        <w:tc>
          <w:tcPr>
            <w:tcW w:w="1276" w:type="dxa"/>
          </w:tcPr>
          <w:p w14:paraId="2EA014C1"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4E48FC1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FBDF3C"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33.2</w:t>
            </w:r>
          </w:p>
        </w:tc>
        <w:tc>
          <w:tcPr>
            <w:tcW w:w="1701" w:type="dxa"/>
          </w:tcPr>
          <w:p w14:paraId="39AFFBAE"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33.2</w:t>
            </w:r>
          </w:p>
        </w:tc>
        <w:tc>
          <w:tcPr>
            <w:tcW w:w="709" w:type="dxa"/>
          </w:tcPr>
          <w:p w14:paraId="2F5717DB"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A45B27" w:rsidRPr="007D162C" w14:paraId="32B11BEC"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603B0234" w14:textId="77777777" w:rsidR="00A45B27" w:rsidRPr="007D162C" w:rsidRDefault="00A45B27" w:rsidP="00A45B27">
            <w:r w:rsidRPr="007D162C">
              <w:t>Regulatory option 2</w:t>
            </w:r>
          </w:p>
        </w:tc>
        <w:tc>
          <w:tcPr>
            <w:tcW w:w="1276" w:type="dxa"/>
          </w:tcPr>
          <w:p w14:paraId="52D06480"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2" w:type="dxa"/>
          </w:tcPr>
          <w:p w14:paraId="1FAC53A6"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3" w:type="dxa"/>
          </w:tcPr>
          <w:p w14:paraId="3111D648"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74.1</w:t>
            </w:r>
          </w:p>
        </w:tc>
        <w:tc>
          <w:tcPr>
            <w:tcW w:w="1701" w:type="dxa"/>
          </w:tcPr>
          <w:p w14:paraId="14564CDE"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t>74.1</w:t>
            </w:r>
          </w:p>
        </w:tc>
        <w:tc>
          <w:tcPr>
            <w:tcW w:w="709" w:type="dxa"/>
          </w:tcPr>
          <w:p w14:paraId="4DCFA9C7" w14:textId="77777777" w:rsidR="00A45B27" w:rsidRPr="007D162C" w:rsidRDefault="08D050C4" w:rsidP="00A45B2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A45B27" w:rsidRPr="007D162C" w14:paraId="629158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890466" w14:textId="77777777" w:rsidR="00A45B27" w:rsidRPr="007D162C" w:rsidRDefault="00A45B27" w:rsidP="00A45B27">
            <w:r w:rsidRPr="007D162C">
              <w:t>Regulatory option 3</w:t>
            </w:r>
          </w:p>
        </w:tc>
        <w:tc>
          <w:tcPr>
            <w:tcW w:w="1276" w:type="dxa"/>
          </w:tcPr>
          <w:p w14:paraId="567AAAD3"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3AF83E7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811E97"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74.1</w:t>
            </w:r>
          </w:p>
        </w:tc>
        <w:tc>
          <w:tcPr>
            <w:tcW w:w="1701" w:type="dxa"/>
          </w:tcPr>
          <w:p w14:paraId="547F6C02"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t>74.1</w:t>
            </w:r>
          </w:p>
        </w:tc>
        <w:tc>
          <w:tcPr>
            <w:tcW w:w="709" w:type="dxa"/>
          </w:tcPr>
          <w:p w14:paraId="375F6ACF" w14:textId="77777777" w:rsidR="00A45B27" w:rsidRPr="007D162C" w:rsidRDefault="08D050C4" w:rsidP="00A45B2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7CEE7DB1" w14:textId="77777777" w:rsidR="00E216AB" w:rsidRPr="007D162C" w:rsidRDefault="00E216AB" w:rsidP="00E216AB">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198A8D1" w14:textId="1DA2BAC9" w:rsidR="00E83777" w:rsidRPr="00894D47" w:rsidRDefault="08D050C4" w:rsidP="00894D47">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r w:rsidR="00894D47">
        <w:rPr>
          <w:sz w:val="20"/>
          <w:szCs w:val="20"/>
        </w:rPr>
        <w:br/>
      </w:r>
    </w:p>
    <w:p w14:paraId="189130B2" w14:textId="77777777" w:rsidR="00E216AB" w:rsidRPr="007D162C" w:rsidRDefault="00E216AB" w:rsidP="00E216AB">
      <w:pPr>
        <w:pStyle w:val="Heading6"/>
      </w:pPr>
      <w:r w:rsidRPr="007D162C">
        <w:t>Considerations to note in interpreting analysis</w:t>
      </w:r>
    </w:p>
    <w:p w14:paraId="1505DD2E" w14:textId="77777777" w:rsidR="00E216AB" w:rsidRPr="007D162C" w:rsidRDefault="00E216AB" w:rsidP="00645CAB">
      <w:pPr>
        <w:pStyle w:val="Heading7"/>
      </w:pPr>
      <w:r w:rsidRPr="007D162C">
        <w:t>Limitations</w:t>
      </w:r>
    </w:p>
    <w:p w14:paraId="1D02F040" w14:textId="77777777" w:rsidR="00E216AB" w:rsidRPr="007D162C" w:rsidRDefault="00E216AB" w:rsidP="00105D34">
      <w:pPr>
        <w:pStyle w:val="Heading8"/>
      </w:pPr>
      <w:r w:rsidRPr="007D162C">
        <w:t>Non-regulatory</w:t>
      </w:r>
    </w:p>
    <w:p w14:paraId="14C7861E" w14:textId="77777777" w:rsidR="00E216AB" w:rsidRPr="00587126" w:rsidRDefault="08D050C4" w:rsidP="00E216AB">
      <w:r w:rsidRPr="007D162C">
        <w:t xml:space="preserve">The costs associated with this non-regulatory reform are lower than its regulatory counterpart, regulatory option 1, reflecting an assumed lower rate of compliance with the reform and lower cost implications for government. An estimated uptake rate of 15% was applied to the option. The compliance rate is assumption-based and has been estimated by the Department through insights gained from the Consultation RIS rather than observed behaviour or direct consultation responses. This </w:t>
      </w:r>
      <w:r w:rsidRPr="00587126">
        <w:t>implies that costs quantified for the non-regulatory reform may not reflect future take-up of this reform.</w:t>
      </w:r>
    </w:p>
    <w:p w14:paraId="4570EF96" w14:textId="77777777" w:rsidR="00E216AB" w:rsidRPr="00587126" w:rsidRDefault="00E216AB" w:rsidP="00105D34">
      <w:pPr>
        <w:pStyle w:val="Heading8"/>
        <w:rPr>
          <w:lang w:val="en-AU"/>
        </w:rPr>
      </w:pPr>
      <w:r w:rsidRPr="00587126">
        <w:t>Regulatory</w:t>
      </w:r>
    </w:p>
    <w:p w14:paraId="18A41A4C" w14:textId="77777777" w:rsidR="00E216AB" w:rsidRPr="00587126" w:rsidRDefault="00E216AB" w:rsidP="00E216AB">
      <w:r w:rsidRPr="00587126">
        <w:t>There are no quantified benefits associated with the regulatory options. It reflects the regulatory reporting requirements borne by providers, operators and government on new or substantially refurbished assets associated with the preferred package of reforms.</w:t>
      </w:r>
    </w:p>
    <w:p w14:paraId="6A91900D" w14:textId="77777777" w:rsidR="00E216AB" w:rsidRPr="007D162C" w:rsidRDefault="00E216AB" w:rsidP="00E216AB">
      <w:r w:rsidRPr="00587126">
        <w:t>Compliance costs reflect initial audit and administrative costs received from two respondents</w:t>
      </w:r>
      <w:r w:rsidRPr="007D162C">
        <w:t xml:space="preserve"> and were proxied at a national level. This implies that costs may not be fully reflective of the regulatory burden experienced by public transport operators / providers and government. </w:t>
      </w:r>
    </w:p>
    <w:p w14:paraId="6D5036A2" w14:textId="77777777" w:rsidR="00E216AB" w:rsidRPr="007D162C" w:rsidRDefault="00E216AB" w:rsidP="00E216AB">
      <w:r w:rsidRPr="007D162C">
        <w:t>The cost for a central repository is an estimate, and was provided by the Department based on market research and previous experience. This cost may not be reflective of future costs.</w:t>
      </w:r>
    </w:p>
    <w:p w14:paraId="394CE4FB" w14:textId="77777777" w:rsidR="00E216AB" w:rsidRPr="007D162C" w:rsidRDefault="00E216AB" w:rsidP="00645CAB">
      <w:pPr>
        <w:pStyle w:val="Heading7"/>
        <w:rPr>
          <w:lang w:val="en-AU"/>
        </w:rPr>
      </w:pPr>
      <w:r w:rsidRPr="007D162C">
        <w:rPr>
          <w:lang w:val="en-AU"/>
        </w:rPr>
        <w:lastRenderedPageBreak/>
        <w:t>Interdependencies</w:t>
      </w:r>
    </w:p>
    <w:p w14:paraId="55F93C09" w14:textId="77777777" w:rsidR="00E216AB" w:rsidRPr="007D162C" w:rsidRDefault="00E216AB" w:rsidP="00105D34">
      <w:pPr>
        <w:pStyle w:val="Heading8"/>
      </w:pPr>
      <w:r w:rsidRPr="007D162C">
        <w:t>Non-regulatory</w:t>
      </w:r>
    </w:p>
    <w:p w14:paraId="558110B7" w14:textId="77777777" w:rsidR="00E216AB" w:rsidRPr="007D162C" w:rsidRDefault="08D050C4" w:rsidP="00E216AB">
      <w:r w:rsidRPr="007D162C">
        <w:t>This is an enabling reform providing guidance to support the modernisation of the Transport Standards allowing the Department to understand compliance nationally. This reform is important for enabling the suite of Transport Standards reforms in achieving desired outcomes for the community.</w:t>
      </w:r>
    </w:p>
    <w:p w14:paraId="536B2874" w14:textId="77777777" w:rsidR="00E216AB" w:rsidRPr="007D162C" w:rsidRDefault="00E216AB" w:rsidP="00105D34">
      <w:pPr>
        <w:pStyle w:val="Heading8"/>
      </w:pPr>
      <w:r w:rsidRPr="007D162C">
        <w:t>Regulatory options</w:t>
      </w:r>
    </w:p>
    <w:p w14:paraId="50FBBA2A" w14:textId="77777777" w:rsidR="00E216AB" w:rsidRPr="007D162C" w:rsidRDefault="08D050C4" w:rsidP="00E216AB">
      <w:r w:rsidRPr="007D162C">
        <w:t>This is an enabling reform required to support the modernisation of the Transport Standards. It allows the Department to understand compliance nationally through mandatory reporting requirements. This reform is important for enabling the suite of Transport Standards reforms in achieving desired outcomes for the community.</w:t>
      </w:r>
    </w:p>
    <w:p w14:paraId="6421B6CC" w14:textId="77777777" w:rsidR="00E216AB" w:rsidRPr="007D162C" w:rsidRDefault="00E216AB" w:rsidP="004228D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C6E8C45" w14:textId="77777777" w:rsidR="00E216AB" w:rsidRPr="007D162C" w:rsidRDefault="00E216AB" w:rsidP="00E216AB">
      <w:r w:rsidRPr="007D162C">
        <w:t xml:space="preserve">The CBA qualitative benefits categories </w:t>
      </w:r>
      <w:r w:rsidR="004228D6" w:rsidRPr="007D162C">
        <w:t>are not applicable to the</w:t>
      </w:r>
      <w:r w:rsidRPr="007D162C">
        <w:t xml:space="preserve"> reporting reform. However, consultations with stakeholders did identify qualitative benefits, such as accountability, transparency and reporting data that would inform future regulatory reforms and reviews of the Transport Standards.</w:t>
      </w:r>
    </w:p>
    <w:p w14:paraId="38081CF1" w14:textId="77777777" w:rsidR="00E216AB" w:rsidRPr="007D162C" w:rsidRDefault="00E216AB" w:rsidP="00645CAB">
      <w:pPr>
        <w:pStyle w:val="Heading4"/>
      </w:pPr>
      <w:r w:rsidRPr="007D162C">
        <w:t xml:space="preserve">Analysis of submissions </w:t>
      </w:r>
    </w:p>
    <w:p w14:paraId="2A4B165B" w14:textId="77777777" w:rsidR="00E216AB" w:rsidRPr="007D162C" w:rsidRDefault="00E216AB" w:rsidP="00E216AB">
      <w:pPr>
        <w:pStyle w:val="Heading5"/>
      </w:pPr>
      <w:r w:rsidRPr="007D162C">
        <w:t>Status quo</w:t>
      </w:r>
    </w:p>
    <w:p w14:paraId="1DA55B81" w14:textId="5F7D16DC" w:rsidR="00E216AB" w:rsidRPr="007D162C" w:rsidRDefault="00E216AB" w:rsidP="00E216AB">
      <w:r w:rsidRPr="007D162C">
        <w:t xml:space="preserve">The Australian Government will continue to be unable to accurately measure the effectiveness and efficiency of the Transport Standards. In the absence of consistent national data, the Australian Government will be unable to effectively report data on public transport accessibility to support the Government’s obligations under the UNCRPD obligations and </w:t>
      </w:r>
      <w:r w:rsidR="00D13E09">
        <w:t>the Strategy</w:t>
      </w:r>
      <w:r w:rsidRPr="007D162C">
        <w:t xml:space="preserve">. </w:t>
      </w:r>
    </w:p>
    <w:p w14:paraId="6BB43169" w14:textId="77777777" w:rsidR="00E216AB" w:rsidRPr="007D162C" w:rsidRDefault="08D050C4" w:rsidP="00E216AB">
      <w:r w:rsidRPr="007D162C">
        <w:t xml:space="preserve">Individual operators and providers may choose to measure compliance within their organisation, and may choose to provide this data to the Australian Government or the public. This will lead to a lack of comparable, complete and consistent compliance data across Australia’s public transport networks. </w:t>
      </w:r>
    </w:p>
    <w:p w14:paraId="7AD88945" w14:textId="77777777" w:rsidR="00E216AB" w:rsidRPr="007D162C" w:rsidRDefault="00E216AB" w:rsidP="00E216AB">
      <w:r w:rsidRPr="007D162C">
        <w:t xml:space="preserve">There will continue to be no objective tools to measure compliance that can be used by operators and providers across different modes of transport and states and territories. There will continue to be challenges with measuring compliance due to varying interpretations of the Transport Standards, particularly where requirements are performance based. </w:t>
      </w:r>
    </w:p>
    <w:p w14:paraId="60170D48" w14:textId="77777777" w:rsidR="00E216AB" w:rsidRPr="007D162C" w:rsidRDefault="00E216AB" w:rsidP="00E216AB">
      <w:r w:rsidRPr="007D162C">
        <w:t xml:space="preserve">The status quo would not impose additional regulatory or cost burden on operators and providers as they will have the flexibility to measure compliance and report in a way that suits to their operational / administrative needs. Some operators and providers supported the status quo for this reason and noted existing assets are particularly costly to audit and report on. Several submissions also supported the status quo because they did not support redirecting resources away from accessibility upgrades towards an issue they did not consider to be beneficial to the public, as the funding will not be used to directly improve accessibility and the data may not be available to the public. Submissions supporting the status quo broadly indicated they already have substantial reporting requirements, including gathering data on the Transport Standards. Overall there was very little support to maintain the status quo, with more than 90% of submissions supporting reform to reporting, including the development of a reporting framework. </w:t>
      </w:r>
    </w:p>
    <w:p w14:paraId="6F656EAD" w14:textId="77777777" w:rsidR="00E216AB" w:rsidRPr="007D162C" w:rsidRDefault="00E216AB" w:rsidP="00E216AB">
      <w:r w:rsidRPr="007D162C">
        <w:t xml:space="preserve">The status quo would not impose any economic costs, or create any economic benefits. </w:t>
      </w:r>
    </w:p>
    <w:p w14:paraId="2153D5CA" w14:textId="77777777" w:rsidR="00E216AB" w:rsidRPr="007D162C" w:rsidRDefault="00E216AB" w:rsidP="00E216AB">
      <w:pPr>
        <w:pStyle w:val="Heading5"/>
      </w:pPr>
      <w:r w:rsidRPr="007D162C">
        <w:t>Non-regulatory</w:t>
      </w:r>
    </w:p>
    <w:p w14:paraId="27AE9F68" w14:textId="77D7E4CD" w:rsidR="00E216AB" w:rsidRPr="007D162C" w:rsidRDefault="00E216AB" w:rsidP="00E216AB">
      <w:r w:rsidRPr="007D162C">
        <w:t>The non-regulatory option would see a non-mandatory reporting framework developed in consultation with stakeholders. The non-regulatory option was supported by a mix of public transport operators and providers and state and territory governments. These submissions were not opposed to reporting their data to the Australian Government</w:t>
      </w:r>
      <w:r w:rsidR="00F46A56">
        <w:t>;</w:t>
      </w:r>
      <w:r w:rsidRPr="007D162C">
        <w:t xml:space="preserve"> however</w:t>
      </w:r>
      <w:r w:rsidR="00F46A56">
        <w:t>,</w:t>
      </w:r>
      <w:r w:rsidRPr="007D162C">
        <w:t xml:space="preserve"> were concerned about being required to report against a framework they had not yet </w:t>
      </w:r>
      <w:r w:rsidR="00F46A56">
        <w:t xml:space="preserve">been </w:t>
      </w:r>
      <w:r w:rsidRPr="007D162C">
        <w:t xml:space="preserve">seen or consulted on. The non-regulatory option will offer the opportunity to develop and refine a reporting framework in consultation with all stakeholders. </w:t>
      </w:r>
    </w:p>
    <w:p w14:paraId="71262056" w14:textId="77777777" w:rsidR="00E216AB" w:rsidRPr="007D162C" w:rsidRDefault="08D050C4" w:rsidP="00E216AB">
      <w:r w:rsidRPr="007D162C">
        <w:lastRenderedPageBreak/>
        <w:t xml:space="preserve">Submissions raised several uses for reporting beyond those set out in the Consultation RIS. The non-regulatory option provides an opportunity to develop a framework that captures all these additional uses. These ideas included: reporting information to assist with planning transport services, reporting complaints made to an organisation, reporting data useful to assist journey planning, and reporting data for the purpose of enabling innovation. </w:t>
      </w:r>
    </w:p>
    <w:p w14:paraId="5EB36EFD" w14:textId="77777777" w:rsidR="00E216AB" w:rsidRPr="007D162C" w:rsidRDefault="00E216AB" w:rsidP="00BE72A4">
      <w:pPr>
        <w:pStyle w:val="Quote"/>
      </w:pPr>
      <w:r w:rsidRPr="007D162C">
        <w:t>If the purpose of publishing compliance data is to provide information to providers of public transport, then this could be a useful tool to identify accessible bus stops and subsequent planning and provision of new (or updated) public transport services.</w:t>
      </w:r>
    </w:p>
    <w:p w14:paraId="24B5C18B" w14:textId="77777777" w:rsidR="00E216AB" w:rsidRPr="007D162C" w:rsidRDefault="00E216AB" w:rsidP="00BE72A4">
      <w:pPr>
        <w:pStyle w:val="Quote"/>
      </w:pPr>
      <w:r w:rsidRPr="007D162C">
        <w:t>Bus Industry Confederation</w:t>
      </w:r>
    </w:p>
    <w:p w14:paraId="6BCEBEF8" w14:textId="77777777" w:rsidR="00E216AB" w:rsidRPr="007D162C" w:rsidRDefault="00E216AB" w:rsidP="08D050C4">
      <w:pPr>
        <w:rPr>
          <w:rFonts w:ascii="Calibri" w:hAnsi="Calibri" w:cs="Calibri"/>
          <w:color w:val="000000" w:themeColor="text1"/>
        </w:rPr>
      </w:pPr>
      <w:r w:rsidRPr="007D162C">
        <w:rPr>
          <w:rFonts w:ascii="Calibri" w:hAnsi="Calibri" w:cs="Calibri"/>
          <w:color w:val="000000"/>
          <w:shd w:val="clear" w:color="auto" w:fill="FFFFFF"/>
        </w:rPr>
        <w:t xml:space="preserve">The non-regulatory option will also provide the opportunity to scale the reporting requirements, in terms of the volume of assets reported on, the detail reported and the size of the organisation reporting. It may be prudent for larger organisations to report data at a macro level across their assets, sooner than smaller organisations, prior to more detailed reporting. Consultation with stakeholders may also identify data sources that can be reported without a significant auditing burden imposed on operators and providers. </w:t>
      </w:r>
    </w:p>
    <w:p w14:paraId="75812940" w14:textId="5622A494" w:rsidR="00E216AB" w:rsidRPr="007D162C" w:rsidRDefault="00E216AB" w:rsidP="00E216AB">
      <w:r w:rsidRPr="007D162C">
        <w:t>State governments raised concerns about requiring reporting of ‘strict compliance’</w:t>
      </w:r>
      <w:r w:rsidR="00D9485F">
        <w:t>,</w:t>
      </w:r>
      <w:r w:rsidRPr="007D162C">
        <w:t xml:space="preserve"> warning this may not be a true indicator of positive or functional outcomes for passengers. This feedback urges flexibility in a reporting framework to allow reporting of all compliance activities, including direct assistance or equivalent access in a measured manner. </w:t>
      </w:r>
    </w:p>
    <w:p w14:paraId="77187182" w14:textId="69C79D85" w:rsidR="00E216AB" w:rsidRPr="007D162C" w:rsidRDefault="08D050C4" w:rsidP="00E216AB">
      <w:r w:rsidRPr="007D162C">
        <w:t>Submissions from governments and operators and providers also noted concerns that cases of non</w:t>
      </w:r>
      <w:r w:rsidR="00F25294">
        <w:noBreakHyphen/>
      </w:r>
      <w:r w:rsidRPr="007D162C">
        <w:t>compliance could be seen as discriminatory</w:t>
      </w:r>
      <w:r w:rsidR="00F25294">
        <w:t>,</w:t>
      </w:r>
      <w:r w:rsidRPr="007D162C">
        <w:t xml:space="preserve"> which may impact their willingness to report. The non-regulatory option would offer this flexibility and allow operators and providers to report data and would not impose significant cost burden on operators and providers. Submissions indicated the level of data being gathered at a state or operator level varies between jurisdictions and organisations, with some not collecting data on compliance at all.</w:t>
      </w:r>
    </w:p>
    <w:p w14:paraId="7FC792C4" w14:textId="4912ED25" w:rsidR="00E216AB" w:rsidRPr="007D162C" w:rsidRDefault="08D050C4" w:rsidP="00E216AB">
      <w:r w:rsidRPr="007D162C">
        <w:t xml:space="preserve">The non-regulatory option was not preferred by any disability organisations. Submissions from disability organisations argued that data reported under a voluntary framework may not be consistent. These submissions also argued that without </w:t>
      </w:r>
      <w:r w:rsidR="00F25294">
        <w:t>a</w:t>
      </w:r>
      <w:r w:rsidRPr="007D162C">
        <w:t xml:space="preserve"> regulatory requirement there will not be certainty that operators and providers will report data on their compliance. While a reporting framework may improve transparency of data reporting compared to the status quo, disability stakeholders argued it would not improve transparency to the level that may be achieved by a regulatory option. The non-regulatory option may also fail to highlight areas for improvement if organisations chose not to report where they are not compliant. </w:t>
      </w:r>
    </w:p>
    <w:p w14:paraId="265663DD" w14:textId="77777777" w:rsidR="00E216AB" w:rsidRPr="007D162C" w:rsidRDefault="00E216AB" w:rsidP="00BE72A4">
      <w:pPr>
        <w:pStyle w:val="Quote"/>
      </w:pPr>
      <w:r w:rsidRPr="007D162C">
        <w:t xml:space="preserve">It is more likely that providers and operators will provide data if they are mandated to do so. A legislated compliance framework would ensure that public transport systems are required to be accessible and that operators/providers can be held accountable for not following the Standards. </w:t>
      </w:r>
    </w:p>
    <w:p w14:paraId="5B41D619" w14:textId="77777777" w:rsidR="00E216AB" w:rsidRPr="007D162C" w:rsidRDefault="00E216AB" w:rsidP="00BE72A4">
      <w:pPr>
        <w:pStyle w:val="Quote"/>
      </w:pPr>
      <w:r w:rsidRPr="007D162C">
        <w:t>Disability Rights Advocacy Service</w:t>
      </w:r>
    </w:p>
    <w:p w14:paraId="07BF5B7F" w14:textId="77777777" w:rsidR="00E216AB" w:rsidRPr="007D162C" w:rsidRDefault="00E216AB" w:rsidP="00E216AB">
      <w:r w:rsidRPr="007D162C">
        <w:t xml:space="preserve">Two submissions from governments noted the impact of implementing other reforms to the Transport Standards should be considered and argued a non-regulatory approach would allow flexibility to changes to the Transport Standards in the development of a reporting framework. This would ensure a reporting framework is appropriate for how the reforms are implemented. </w:t>
      </w:r>
    </w:p>
    <w:p w14:paraId="5325C584" w14:textId="77777777" w:rsidR="00E216AB" w:rsidRPr="007D162C" w:rsidRDefault="00E216AB" w:rsidP="00E216AB">
      <w:pPr>
        <w:rPr>
          <w:rFonts w:ascii="Calibri" w:hAnsi="Calibri" w:cs="Calibri"/>
          <w:color w:val="000000" w:themeColor="text1"/>
        </w:rPr>
      </w:pPr>
      <w:r w:rsidRPr="007D162C">
        <w:rPr>
          <w:rFonts w:ascii="Calibri" w:hAnsi="Calibri" w:cs="Calibri"/>
          <w:color w:val="000000"/>
          <w:shd w:val="clear" w:color="auto" w:fill="FFFFFF"/>
        </w:rPr>
        <w:t>The non-regulatory option, where followed by operators and providers, would impose administrative and substantive costs, and would benefit the Australian Government’s administration of the Transport Standards. In the short term, no economic or social benefits are expected for people with disability.</w:t>
      </w:r>
    </w:p>
    <w:p w14:paraId="6B174380" w14:textId="77777777" w:rsidR="00E216AB" w:rsidRPr="007D162C" w:rsidRDefault="00E216AB" w:rsidP="00E216AB">
      <w:pPr>
        <w:pStyle w:val="Heading5"/>
      </w:pPr>
      <w:r w:rsidRPr="007D162C">
        <w:t>Regulatory</w:t>
      </w:r>
    </w:p>
    <w:p w14:paraId="76856A93" w14:textId="3452D9F9" w:rsidR="00E216AB" w:rsidRPr="007D162C" w:rsidRDefault="00E216AB" w:rsidP="00E216AB">
      <w:r w:rsidRPr="007D162C">
        <w:t xml:space="preserve">Submissions from the disability community strongly support development of a reporting framework and argued only mandated reporting requirements would ensure data is reported. Submissions from disability stakeholders primarily supported option 2, reporting on all assets for section of the Transport Standards. Disability stakeholders argued option 2 would be the most effective approach to deliver a reporting </w:t>
      </w:r>
      <w:r w:rsidRPr="007D162C">
        <w:lastRenderedPageBreak/>
        <w:t xml:space="preserve">framework and metrics to measure compliance. However, some submissions argued the regulatory options did not go far enough to require comprehensive reporting on all assets and without this level of data available reporting arrangements would not be effective. Submissions from the disability community raised concerns </w:t>
      </w:r>
      <w:r w:rsidR="003A3630">
        <w:t xml:space="preserve">that </w:t>
      </w:r>
      <w:r w:rsidRPr="007D162C">
        <w:t xml:space="preserve">a lack of reporting requirements may hide discrimination on public transport services. </w:t>
      </w:r>
    </w:p>
    <w:p w14:paraId="4E1D8EBA" w14:textId="77777777" w:rsidR="00E216AB" w:rsidRPr="007D162C" w:rsidRDefault="00E216AB" w:rsidP="00BE72A4">
      <w:pPr>
        <w:pStyle w:val="Quote"/>
      </w:pPr>
      <w:r w:rsidRPr="007D162C">
        <w:t xml:space="preserve">We have learnt from evidence to the Royal Commission into Violence, Abuse, Neglect and Exploitation of People with Disability (Royal Commission) that reporting processes that are not mandatory or sufficiently independent perpetuate and cover-up discrimination and harm. </w:t>
      </w:r>
    </w:p>
    <w:p w14:paraId="5EF9588D" w14:textId="77777777" w:rsidR="00E216AB" w:rsidRPr="007D162C" w:rsidRDefault="00E216AB" w:rsidP="00BE72A4">
      <w:pPr>
        <w:pStyle w:val="Quote"/>
      </w:pPr>
      <w:r w:rsidRPr="007D162C">
        <w:t>Spinal Cord Injuries Australia</w:t>
      </w:r>
    </w:p>
    <w:p w14:paraId="1EC6F10A" w14:textId="77777777" w:rsidR="00E216AB" w:rsidRPr="007D162C" w:rsidRDefault="00E216AB" w:rsidP="00E216AB">
      <w:r w:rsidRPr="007D162C">
        <w:t xml:space="preserve">It was well supported by submissions from state governments that mandated reporting would most likely produce sufficient data to support future reviews of the Transport Standards. These submissions also argued mandatory reporting was a necessary safeguard to ensure transport accessibility is improved and without mandatory reporting, it will be challenging or impossible to evaluate progress or lack of progress against the Transport Standards. </w:t>
      </w:r>
    </w:p>
    <w:p w14:paraId="5119E1FA" w14:textId="77777777" w:rsidR="00E216AB" w:rsidRPr="007D162C" w:rsidRDefault="00E216AB" w:rsidP="00E216AB">
      <w:r w:rsidRPr="007D162C">
        <w:t xml:space="preserve">Submissions strongly supported the co-design of a reporting framework with people with disability. Many submissions from the disability community argued reporting should be made publicly available to ensure effective reporting. However, state governments noted concerns about the high cost to audit and report on significant amounts of data in a short time period. While submissions from state governments and operators and providers broadly supported the principle of reporting data against the Transport Standards, they did not indicate an overall willingness to report data if it was not mandated. </w:t>
      </w:r>
    </w:p>
    <w:p w14:paraId="68FF0963" w14:textId="77777777" w:rsidR="00E216AB" w:rsidRPr="007D162C" w:rsidRDefault="00E216AB" w:rsidP="00E216AB">
      <w:r w:rsidRPr="007D162C">
        <w:t xml:space="preserve">Three submissions from operators and providers and state governments raised concerns the regulatory options do not contain sufficient information to support a mandate to report, but supported a reporting framework and mandatory requirement to report against this framework in principle, pending the development of a reporting framework. Submissions from operators and providers that did not support a regulatory option cited concerns about the cost to implement a full reporting requirement, particularly if a new reporting regime required the collection of data across all public transport assets. Flexibility in reporting would reduce the cost to operators and providers and may allow data already reported to be used, rather than requiring new reporting procedures. One submission was concerned they may be required to report existing data not intended to be made available to the public. For these reasons, many submissions from industry and government did not support the regulatory option. </w:t>
      </w:r>
    </w:p>
    <w:p w14:paraId="1B180571" w14:textId="77777777" w:rsidR="00E216AB" w:rsidRPr="007D162C" w:rsidRDefault="00E216AB" w:rsidP="00E216AB">
      <w:r w:rsidRPr="007D162C">
        <w:rPr>
          <w:rFonts w:ascii="Calibri" w:hAnsi="Calibri" w:cs="Calibri"/>
          <w:color w:val="000000"/>
          <w:shd w:val="clear" w:color="auto" w:fill="FFFFFF"/>
        </w:rPr>
        <w:t>Regulatory options would impose administrative and substantive costs for the Australian Government and operators and providers to implement and deliver reporting requirements. Economic and social benefits would be realised for people with disability.</w:t>
      </w:r>
    </w:p>
    <w:p w14:paraId="039577CD" w14:textId="77777777" w:rsidR="00E216AB" w:rsidRPr="007D162C" w:rsidRDefault="00E216AB" w:rsidP="00E216AB">
      <w:pPr>
        <w:pStyle w:val="Heading4"/>
      </w:pPr>
      <w:r w:rsidRPr="007D162C">
        <w:t>Preferred option</w:t>
      </w:r>
    </w:p>
    <w:p w14:paraId="4FD63E35" w14:textId="77777777" w:rsidR="002E4819" w:rsidRPr="007D162C" w:rsidRDefault="002E4819" w:rsidP="002E4819">
      <w:r w:rsidRPr="007D162C">
        <w:t xml:space="preserve">Informed by the outcomes of public consultation, stakeholder impacts, costs and outcomes analysis, the preferred option for this reform is </w:t>
      </w:r>
      <w:r w:rsidRPr="007D162C">
        <w:rPr>
          <w:b/>
        </w:rPr>
        <w:t>non-regulatory</w:t>
      </w:r>
      <w:r w:rsidRPr="007D162C">
        <w:t xml:space="preserve">. </w:t>
      </w:r>
    </w:p>
    <w:p w14:paraId="691D5849" w14:textId="4CF48C46" w:rsidR="002E4819" w:rsidRPr="007D162C" w:rsidRDefault="002E4819" w:rsidP="002E4819">
      <w:r w:rsidRPr="007D162C">
        <w:t>Stakeholders broadly agreed mandatory reporting is required to improve public transport accessibility and accountability in the future. Without a formal compliance framework, it will be challenging to evaluate progress and / or compliance against the Transport Standards. No specific regulatory option was preferred across stakeholders. Stakeholders identified a number of matters during consultation which require further work before a mandatory framework can be implemented. In recognition of the complexity of developing and implementing reporting requirements, the non-regulatory option is recommended as a pathway towards developing a robust re</w:t>
      </w:r>
      <w:r w:rsidR="00F25294">
        <w:t>porting</w:t>
      </w:r>
      <w:r w:rsidRPr="007D162C">
        <w:t xml:space="preserve"> framework. </w:t>
      </w:r>
    </w:p>
    <w:p w14:paraId="25D0CAFA" w14:textId="470A8E2E" w:rsidR="002E4819" w:rsidRPr="007D162C" w:rsidRDefault="002E4819" w:rsidP="002E4819">
      <w:r w:rsidRPr="007D162C">
        <w:t>A regulatory option would likely impose significant administrative and economic burden on operators and providers. Additionally, stakeholder feedback noted the regulatory option does not present a fully developed reporting framework</w:t>
      </w:r>
      <w:r w:rsidR="00F25294">
        <w:t>,</w:t>
      </w:r>
      <w:r w:rsidRPr="007D162C">
        <w:t xml:space="preserve"> which may result in the agreement of a solution that is not fit-for-purpose and may impact the potential benefits of reform. In the interim, the proposed non-regulatory option will allow the Australian Government to develop guidance to encourage operators and providers to publish plans on </w:t>
      </w:r>
      <w:r w:rsidRPr="007D162C">
        <w:lastRenderedPageBreak/>
        <w:t>compliance with the Transport Standards, publish progress reports based on their compliance against these plans, and support operators and providers when developing new solutions.</w:t>
      </w:r>
    </w:p>
    <w:p w14:paraId="5607A638" w14:textId="77777777" w:rsidR="002E4819" w:rsidRPr="007D162C" w:rsidRDefault="002E4819" w:rsidP="002E4819">
      <w:r w:rsidRPr="007D162C">
        <w:t>This Decision RIS recommends the Australian Government establish a working group made up of representatives of people with disability, state and territory governments, and operators and providers of public transport to co-design the reporting framework.</w:t>
      </w:r>
    </w:p>
    <w:p w14:paraId="0502E4F3" w14:textId="0177ACA0" w:rsidR="001B4346" w:rsidRPr="007D162C" w:rsidRDefault="002E4819" w:rsidP="00205D3F">
      <w:r w:rsidRPr="007D162C">
        <w:t>The working group would report its finding</w:t>
      </w:r>
      <w:r w:rsidR="001A2558" w:rsidRPr="007D162C">
        <w:t>s</w:t>
      </w:r>
      <w:r w:rsidRPr="007D162C">
        <w:t xml:space="preserve"> to the National Accessible Transport Steering Committee</w:t>
      </w:r>
      <w:r w:rsidR="0080557A" w:rsidRPr="007D162C">
        <w:t xml:space="preserve"> (NATSC)</w:t>
      </w:r>
      <w:r w:rsidRPr="007D162C">
        <w:t>. The NATSC would agree the reporting framework for implementation by public transport operators and providers. Evaluation of the reporting framework would occur as part of the 2027 statutory review of the Transport Standards.</w:t>
      </w:r>
    </w:p>
    <w:bookmarkEnd w:id="180"/>
    <w:p w14:paraId="5B15F2A7" w14:textId="77777777" w:rsidR="001B4346" w:rsidRPr="007D162C" w:rsidRDefault="001B4346">
      <w:pPr>
        <w:spacing w:line="259" w:lineRule="auto"/>
      </w:pPr>
      <w:r w:rsidRPr="007D162C">
        <w:br w:type="page"/>
      </w:r>
    </w:p>
    <w:p w14:paraId="740AC93B" w14:textId="3A8A413F" w:rsidR="00694DB1" w:rsidRPr="007D162C" w:rsidRDefault="00694DB1" w:rsidP="00EA2AC5">
      <w:pPr>
        <w:pStyle w:val="Heading2"/>
        <w:numPr>
          <w:ilvl w:val="0"/>
          <w:numId w:val="25"/>
        </w:numPr>
        <w:ind w:hanging="720"/>
      </w:pPr>
      <w:bookmarkStart w:id="185" w:name="_Toc112050081"/>
      <w:bookmarkStart w:id="186" w:name="_Toc127351749"/>
      <w:bookmarkStart w:id="187" w:name="_Toc140239708"/>
      <w:bookmarkStart w:id="188" w:name="_Toc122515449"/>
      <w:r w:rsidRPr="007D162C">
        <w:lastRenderedPageBreak/>
        <w:t>Equivalent Access</w:t>
      </w:r>
      <w:bookmarkEnd w:id="185"/>
      <w:bookmarkEnd w:id="186"/>
      <w:bookmarkEnd w:id="187"/>
    </w:p>
    <w:p w14:paraId="5CD6D118" w14:textId="77777777" w:rsidR="00694DB1" w:rsidRPr="007D162C" w:rsidRDefault="00694DB1" w:rsidP="00694DB1">
      <w:pPr>
        <w:pStyle w:val="Heading4"/>
      </w:pPr>
      <w:r w:rsidRPr="007D162C">
        <w:t xml:space="preserve">Issue </w:t>
      </w:r>
    </w:p>
    <w:p w14:paraId="38207EE1" w14:textId="00D63FFA" w:rsidR="00694DB1" w:rsidRPr="007D162C" w:rsidRDefault="00694DB1" w:rsidP="00694DB1">
      <w:r w:rsidRPr="007D162C">
        <w:t>Equivalent access provides people with disability with equivalent safety, amenity, availability, comfort, convenience dignity and affordability. While equivalent access provides operators and providers with flexibility to use innovative solutions to achieve an equivalent level of accessibility, operators and providers do not have certainty the solutions comply with the Transport Standards, and can consequently be reluctant to use equivalent access provisions prescribed in the Transport Standards. As a result, equivalent access solutions may not be fit for purpose and non-discriminatory</w:t>
      </w:r>
      <w:r w:rsidR="00B4538E">
        <w:t>,</w:t>
      </w:r>
      <w:r w:rsidRPr="007D162C">
        <w:t xml:space="preserve"> and / or public transport services may be non-compliant with the Transport Standards.</w:t>
      </w:r>
    </w:p>
    <w:p w14:paraId="51B04C90" w14:textId="77777777" w:rsidR="00CB442B" w:rsidRPr="007D162C" w:rsidRDefault="00694DB1" w:rsidP="00694DB1">
      <w:pPr>
        <w:spacing w:line="259" w:lineRule="auto"/>
      </w:pPr>
      <w:r w:rsidRPr="007D162C">
        <w:t>Collective government action may provide greater legal assurance and flexibility to develop solutions that are fit for purpose and non-discriminatory.</w:t>
      </w:r>
    </w:p>
    <w:p w14:paraId="73760D72" w14:textId="77777777" w:rsidR="00CB442B" w:rsidRPr="007D162C" w:rsidRDefault="00CB442B" w:rsidP="00CB442B">
      <w:pPr>
        <w:pStyle w:val="Heading4"/>
        <w:tabs>
          <w:tab w:val="left" w:pos="284"/>
        </w:tabs>
      </w:pPr>
      <w:r w:rsidRPr="007D162C">
        <w:t>Reform options</w:t>
      </w:r>
    </w:p>
    <w:p w14:paraId="12EEC627" w14:textId="62DB4FD9" w:rsidR="00CB442B" w:rsidRPr="007D162C" w:rsidRDefault="00CB442B" w:rsidP="00CB442B">
      <w:pPr>
        <w:tabs>
          <w:tab w:val="left" w:pos="284"/>
        </w:tabs>
        <w:rPr>
          <w:rFonts w:ascii="Calibri" w:hAnsi="Calibri"/>
          <w:b/>
          <w:color w:val="002D72"/>
          <w:lang w:val="en-AU"/>
        </w:rPr>
      </w:pPr>
      <w:r w:rsidRPr="007D162C">
        <w:t xml:space="preserve">Following is a summary of the proposed options for this reform. Full details of each reform option </w:t>
      </w:r>
      <w:r w:rsidR="002545D4" w:rsidRPr="007D162C">
        <w:t>are</w:t>
      </w:r>
      <w:r w:rsidRPr="007D162C">
        <w:t xml:space="preserve"> provided at Appendix A.</w:t>
      </w:r>
    </w:p>
    <w:p w14:paraId="6D3483D5" w14:textId="77777777" w:rsidR="00CB442B" w:rsidRPr="007D162C" w:rsidRDefault="00CB442B" w:rsidP="00CB442B">
      <w:pPr>
        <w:pStyle w:val="Tablefigureheading"/>
      </w:pPr>
      <w:r w:rsidRPr="007D162C">
        <w:t xml:space="preserve">Table 2: Reform options for Equivalent </w:t>
      </w:r>
      <w:r w:rsidR="00754992" w:rsidRPr="007D162C">
        <w:t>A</w:t>
      </w:r>
      <w:r w:rsidRPr="007D162C">
        <w:t>ccess</w:t>
      </w:r>
    </w:p>
    <w:tbl>
      <w:tblPr>
        <w:tblStyle w:val="DefaultTable1"/>
        <w:tblW w:w="9073" w:type="dxa"/>
        <w:tblLook w:val="04A0" w:firstRow="1" w:lastRow="0" w:firstColumn="1" w:lastColumn="0" w:noHBand="0" w:noVBand="1"/>
        <w:tblCaption w:val="Reform options for Dedicated school buses"/>
        <w:tblDescription w:val="This table provides a description of each of the options for this reform area. Status quo, non-regulatory and regulatory."/>
      </w:tblPr>
      <w:tblGrid>
        <w:gridCol w:w="1560"/>
        <w:gridCol w:w="7513"/>
      </w:tblGrid>
      <w:tr w:rsidR="00CB442B" w:rsidRPr="007D162C" w14:paraId="36CBDF24"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12B26F07" w14:textId="77777777" w:rsidR="00CB442B" w:rsidRPr="007D162C" w:rsidRDefault="00CB442B" w:rsidP="00C17787">
            <w:pPr>
              <w:rPr>
                <w:sz w:val="22"/>
                <w:szCs w:val="22"/>
              </w:rPr>
            </w:pPr>
            <w:r w:rsidRPr="007D162C">
              <w:rPr>
                <w:sz w:val="22"/>
                <w:szCs w:val="22"/>
              </w:rPr>
              <w:t>Option</w:t>
            </w:r>
          </w:p>
        </w:tc>
        <w:tc>
          <w:tcPr>
            <w:tcW w:w="7513" w:type="dxa"/>
          </w:tcPr>
          <w:p w14:paraId="625A21B4" w14:textId="77777777" w:rsidR="00CB442B" w:rsidRPr="007D162C" w:rsidRDefault="00CB442B" w:rsidP="00C17787">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Description</w:t>
            </w:r>
          </w:p>
        </w:tc>
      </w:tr>
      <w:tr w:rsidR="00CB442B" w:rsidRPr="007D162C" w14:paraId="17C9BD1B"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463C3F5F" w14:textId="77777777" w:rsidR="00CB442B" w:rsidRPr="007D162C" w:rsidRDefault="00CB442B" w:rsidP="00CB442B">
            <w:r w:rsidRPr="007D162C">
              <w:t>Status Quo</w:t>
            </w:r>
          </w:p>
        </w:tc>
        <w:tc>
          <w:tcPr>
            <w:tcW w:w="7513" w:type="dxa"/>
          </w:tcPr>
          <w:p w14:paraId="1057EA71"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Equivalent access provisions in the Transport Standards would remain. These provisions provide flexibility for operators and providers to use innovative solutions in situations where compliance with technical requirements are difficult, while ensuring people with disability are provided with equivalent safety, amenity, availability, comfort, convenience, dignity and affordability. The Transport Standards would remain unchanged and no additional guidance would be issued.</w:t>
            </w:r>
          </w:p>
        </w:tc>
      </w:tr>
      <w:tr w:rsidR="00CB442B" w:rsidRPr="007D162C" w14:paraId="7EB2ACBE"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560" w:type="dxa"/>
          </w:tcPr>
          <w:p w14:paraId="3168764C" w14:textId="77777777" w:rsidR="00CB442B" w:rsidRPr="007D162C" w:rsidRDefault="00CB442B" w:rsidP="00CB442B">
            <w:r w:rsidRPr="007D162C">
              <w:rPr>
                <w:color w:val="auto"/>
              </w:rPr>
              <w:t>Non-regulatory</w:t>
            </w:r>
          </w:p>
        </w:tc>
        <w:tc>
          <w:tcPr>
            <w:tcW w:w="7513" w:type="dxa"/>
          </w:tcPr>
          <w:p w14:paraId="0F8F1203"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rPr>
                <w:color w:val="auto"/>
              </w:rPr>
              <w:t>The Australian Government would develop a web-based centralised repository of equivalent access solutions (i.e. examples) to assist operators and providers of equivalent access applications in their own settings. The use and navigation of the repository would be supported by guidance.</w:t>
            </w:r>
            <w:r w:rsidRPr="007D162C">
              <w:t xml:space="preserve"> </w:t>
            </w:r>
          </w:p>
        </w:tc>
      </w:tr>
      <w:tr w:rsidR="00CB442B" w:rsidRPr="007D162C" w14:paraId="038FA5E7" w14:textId="77777777" w:rsidTr="08D050C4">
        <w:trPr>
          <w:cnfStyle w:val="000000100000" w:firstRow="0" w:lastRow="0" w:firstColumn="0" w:lastColumn="0" w:oddVBand="0" w:evenVBand="0" w:oddHBand="1" w:evenHBand="0" w:firstRowFirstColumn="0" w:firstRowLastColumn="0" w:lastRowFirstColumn="0" w:lastRowLastColumn="0"/>
          <w:cantSplit/>
          <w:trHeight w:val="50"/>
        </w:trPr>
        <w:tc>
          <w:tcPr>
            <w:cnfStyle w:val="001000000000" w:firstRow="0" w:lastRow="0" w:firstColumn="1" w:lastColumn="0" w:oddVBand="0" w:evenVBand="0" w:oddHBand="0" w:evenHBand="0" w:firstRowFirstColumn="0" w:firstRowLastColumn="0" w:lastRowFirstColumn="0" w:lastRowLastColumn="0"/>
            <w:tcW w:w="1560" w:type="dxa"/>
          </w:tcPr>
          <w:p w14:paraId="2799E2F2" w14:textId="77777777" w:rsidR="00CB442B" w:rsidRPr="007D162C" w:rsidRDefault="00CB442B" w:rsidP="00CB442B">
            <w:r w:rsidRPr="007D162C">
              <w:t>Regulatory</w:t>
            </w:r>
          </w:p>
        </w:tc>
        <w:tc>
          <w:tcPr>
            <w:tcW w:w="7513" w:type="dxa"/>
          </w:tcPr>
          <w:p w14:paraId="55A4235F"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an alternative approach for equivalent access, such as a performance solution process. An alternative process may include the establishment of appropriate peer review processes, certification mechanisms and a certification body. </w:t>
            </w:r>
          </w:p>
          <w:p w14:paraId="14EDDBF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This process would include co-design and consultation with the disability community and set out certification methods to provide certainty that an equivalent access solution is fit for purpose and not discriminatory.</w:t>
            </w:r>
          </w:p>
          <w:p w14:paraId="041C4E2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This option would be further developed in consultation with the disability community, state and territory governments and the transport industry.</w:t>
            </w:r>
          </w:p>
          <w:p w14:paraId="4CEEE337" w14:textId="77777777" w:rsidR="00CB442B" w:rsidRPr="007D162C" w:rsidRDefault="00CB442B" w:rsidP="00CB442B">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tc>
      </w:tr>
    </w:tbl>
    <w:p w14:paraId="38DC3821" w14:textId="77777777" w:rsidR="00CB442B" w:rsidRPr="007D162C" w:rsidRDefault="00CB442B" w:rsidP="00CB442B"/>
    <w:p w14:paraId="73622014" w14:textId="77777777" w:rsidR="00CB442B" w:rsidRPr="007D162C" w:rsidRDefault="00CB442B" w:rsidP="00CB442B">
      <w:pPr>
        <w:pStyle w:val="Heading4"/>
      </w:pPr>
      <w:r w:rsidRPr="007D162C">
        <w:t xml:space="preserve">Cost benefit analysis </w:t>
      </w:r>
    </w:p>
    <w:p w14:paraId="16759428" w14:textId="77777777" w:rsidR="00CB442B" w:rsidRPr="007D162C" w:rsidRDefault="00CB442B" w:rsidP="00CB442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37C183CB" w14:textId="77777777" w:rsidR="00CB442B" w:rsidRPr="007D162C" w:rsidRDefault="00CB442B" w:rsidP="00CB442B">
      <w:r w:rsidRPr="007D162C">
        <w:t xml:space="preserve">The following categories of quantitative costs and benefits were identified in the CBA as pertaining to the reform options. </w:t>
      </w:r>
    </w:p>
    <w:p w14:paraId="15E9E49B" w14:textId="2FD76E00" w:rsidR="00CB442B" w:rsidRPr="007D162C" w:rsidRDefault="00CB442B" w:rsidP="00CB442B">
      <w:pPr>
        <w:pStyle w:val="Tablefigureheading"/>
      </w:pPr>
      <w:bookmarkStart w:id="189" w:name="_Toc139969168"/>
      <w:r w:rsidRPr="007D162C">
        <w:lastRenderedPageBreak/>
        <w:t xml:space="preserve">Table </w:t>
      </w:r>
      <w:fldSimple w:instr=" SEQ Table \* ARABIC ">
        <w:r w:rsidR="00DC26AC">
          <w:rPr>
            <w:noProof/>
          </w:rPr>
          <w:t>10</w:t>
        </w:r>
      </w:fldSimple>
      <w:r w:rsidRPr="007D162C">
        <w:t>: Benefit</w:t>
      </w:r>
      <w:r w:rsidR="00754992" w:rsidRPr="007D162C">
        <w:t>-</w:t>
      </w:r>
      <w:r w:rsidRPr="007D162C">
        <w:t>cost ratios for Equivalent Access</w:t>
      </w:r>
      <w:bookmarkEnd w:id="189"/>
    </w:p>
    <w:tbl>
      <w:tblPr>
        <w:tblStyle w:val="DefaultTable1"/>
        <w:tblW w:w="9356" w:type="dxa"/>
        <w:tblLayout w:type="fixed"/>
        <w:tblLook w:val="04A0" w:firstRow="1" w:lastRow="0" w:firstColumn="1" w:lastColumn="0" w:noHBand="0" w:noVBand="1"/>
        <w:tblCaption w:val="Benefit cost ratios for reporting"/>
      </w:tblPr>
      <w:tblGrid>
        <w:gridCol w:w="1985"/>
        <w:gridCol w:w="1276"/>
        <w:gridCol w:w="1842"/>
        <w:gridCol w:w="1843"/>
        <w:gridCol w:w="1701"/>
        <w:gridCol w:w="709"/>
      </w:tblGrid>
      <w:tr w:rsidR="00CB442B" w:rsidRPr="007D162C" w14:paraId="01BED67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F3CA53" w14:textId="77777777" w:rsidR="00CB442B" w:rsidRPr="007D162C" w:rsidRDefault="00CB442B" w:rsidP="00C17787">
            <w:pPr>
              <w:rPr>
                <w:sz w:val="22"/>
                <w:szCs w:val="22"/>
              </w:rPr>
            </w:pPr>
            <w:r w:rsidRPr="007D162C">
              <w:rPr>
                <w:sz w:val="22"/>
                <w:szCs w:val="22"/>
              </w:rPr>
              <w:t>Reform Option</w:t>
            </w:r>
          </w:p>
        </w:tc>
        <w:tc>
          <w:tcPr>
            <w:tcW w:w="1276" w:type="dxa"/>
          </w:tcPr>
          <w:p w14:paraId="4BA5BEF3"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842" w:type="dxa"/>
          </w:tcPr>
          <w:p w14:paraId="309B403A"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3" w:type="dxa"/>
          </w:tcPr>
          <w:p w14:paraId="4EFBC3A4"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2B8D4ADD" w14:textId="77777777" w:rsidR="00CB442B"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709" w:type="dxa"/>
          </w:tcPr>
          <w:p w14:paraId="667DC36B" w14:textId="77777777" w:rsidR="00CB442B" w:rsidRPr="007D162C" w:rsidRDefault="00CB442B" w:rsidP="00C17787">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CB442B" w:rsidRPr="007D162C" w14:paraId="41D70FD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371B22" w14:textId="77777777" w:rsidR="00CB442B" w:rsidRPr="007D162C" w:rsidRDefault="00CB442B" w:rsidP="00C17787">
            <w:r w:rsidRPr="007D162C">
              <w:t>Status Quo</w:t>
            </w:r>
          </w:p>
        </w:tc>
        <w:tc>
          <w:tcPr>
            <w:tcW w:w="1276" w:type="dxa"/>
          </w:tcPr>
          <w:p w14:paraId="0A1890CB"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2" w:type="dxa"/>
          </w:tcPr>
          <w:p w14:paraId="6B777105"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6037AC46"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52D8E327"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9" w:type="dxa"/>
          </w:tcPr>
          <w:p w14:paraId="658F3452" w14:textId="77777777" w:rsidR="00CB442B"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B442B" w:rsidRPr="007D162C" w14:paraId="64E0EAC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7288AEEE" w14:textId="77777777" w:rsidR="00CB442B" w:rsidRPr="007D162C" w:rsidRDefault="00CB442B" w:rsidP="00CB442B">
            <w:r w:rsidRPr="007D162C">
              <w:t xml:space="preserve">Non-regulatory </w:t>
            </w:r>
          </w:p>
        </w:tc>
        <w:tc>
          <w:tcPr>
            <w:tcW w:w="1276" w:type="dxa"/>
          </w:tcPr>
          <w:p w14:paraId="00ABE743"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47.4</w:t>
            </w:r>
          </w:p>
        </w:tc>
        <w:tc>
          <w:tcPr>
            <w:tcW w:w="1842" w:type="dxa"/>
          </w:tcPr>
          <w:p w14:paraId="5DD3A01F"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1AB2BA9A"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158.0</w:t>
            </w:r>
          </w:p>
        </w:tc>
        <w:tc>
          <w:tcPr>
            <w:tcW w:w="1701" w:type="dxa"/>
          </w:tcPr>
          <w:p w14:paraId="55AD761E" w14:textId="77777777" w:rsidR="00CB442B" w:rsidRPr="007D162C" w:rsidRDefault="00CB442B" w:rsidP="00CB442B">
            <w:pPr>
              <w:cnfStyle w:val="000000000000" w:firstRow="0" w:lastRow="0" w:firstColumn="0" w:lastColumn="0" w:oddVBand="0" w:evenVBand="0" w:oddHBand="0" w:evenHBand="0" w:firstRowFirstColumn="0" w:firstRowLastColumn="0" w:lastRowFirstColumn="0" w:lastRowLastColumn="0"/>
              <w:rPr>
                <w:vertAlign w:val="superscript"/>
              </w:rPr>
            </w:pPr>
            <w:r w:rsidRPr="007D162C">
              <w:t>158.0</w:t>
            </w:r>
            <w:r w:rsidRPr="007D162C">
              <w:rPr>
                <w:vertAlign w:val="superscript"/>
              </w:rPr>
              <w:t>i</w:t>
            </w:r>
          </w:p>
        </w:tc>
        <w:tc>
          <w:tcPr>
            <w:tcW w:w="709" w:type="dxa"/>
          </w:tcPr>
          <w:p w14:paraId="7A99445F" w14:textId="77777777" w:rsidR="00CB442B" w:rsidRPr="007D162C" w:rsidRDefault="08D050C4" w:rsidP="00CB442B">
            <w:pPr>
              <w:cnfStyle w:val="000000000000" w:firstRow="0" w:lastRow="0" w:firstColumn="0" w:lastColumn="0" w:oddVBand="0" w:evenVBand="0" w:oddHBand="0" w:evenHBand="0" w:firstRowFirstColumn="0" w:firstRowLastColumn="0" w:lastRowFirstColumn="0" w:lastRowLastColumn="0"/>
            </w:pPr>
            <w:r w:rsidRPr="007D162C">
              <w:t>0.30</w:t>
            </w:r>
          </w:p>
        </w:tc>
      </w:tr>
      <w:tr w:rsidR="00CB442B" w:rsidRPr="007D162C" w14:paraId="0D0F44A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9C585F" w14:textId="77777777" w:rsidR="00CB442B" w:rsidRPr="007D162C" w:rsidRDefault="00CB442B" w:rsidP="00CB442B">
            <w:r w:rsidRPr="007D162C">
              <w:t>Regulatory option</w:t>
            </w:r>
          </w:p>
        </w:tc>
        <w:tc>
          <w:tcPr>
            <w:tcW w:w="1276" w:type="dxa"/>
          </w:tcPr>
          <w:p w14:paraId="3FF6FA32"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352.0</w:t>
            </w:r>
          </w:p>
        </w:tc>
        <w:tc>
          <w:tcPr>
            <w:tcW w:w="1842" w:type="dxa"/>
          </w:tcPr>
          <w:p w14:paraId="00E92729"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22.9</w:t>
            </w:r>
          </w:p>
        </w:tc>
        <w:tc>
          <w:tcPr>
            <w:tcW w:w="1843" w:type="dxa"/>
          </w:tcPr>
          <w:p w14:paraId="0B8FFEF4"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444.6</w:t>
            </w:r>
          </w:p>
        </w:tc>
        <w:tc>
          <w:tcPr>
            <w:tcW w:w="1701" w:type="dxa"/>
          </w:tcPr>
          <w:p w14:paraId="2E348CD1"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467.5</w:t>
            </w:r>
          </w:p>
        </w:tc>
        <w:tc>
          <w:tcPr>
            <w:tcW w:w="709" w:type="dxa"/>
          </w:tcPr>
          <w:p w14:paraId="310AF96B" w14:textId="77777777" w:rsidR="00CB442B" w:rsidRPr="007D162C" w:rsidRDefault="08D050C4" w:rsidP="00CB442B">
            <w:pPr>
              <w:cnfStyle w:val="000000100000" w:firstRow="0" w:lastRow="0" w:firstColumn="0" w:lastColumn="0" w:oddVBand="0" w:evenVBand="0" w:oddHBand="1" w:evenHBand="0" w:firstRowFirstColumn="0" w:firstRowLastColumn="0" w:lastRowFirstColumn="0" w:lastRowLastColumn="0"/>
            </w:pPr>
            <w:r w:rsidRPr="007D162C">
              <w:t>0.75</w:t>
            </w:r>
          </w:p>
        </w:tc>
      </w:tr>
    </w:tbl>
    <w:p w14:paraId="1DC923B4" w14:textId="77777777" w:rsidR="00CB442B" w:rsidRPr="007D162C" w:rsidRDefault="00CB442B" w:rsidP="00CB442B">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86B8399" w14:textId="77777777" w:rsidR="004815D7"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5FA4668D" w14:textId="77777777" w:rsidR="00CB442B" w:rsidRPr="007D162C" w:rsidRDefault="00CB442B" w:rsidP="00CB442B">
      <w:pPr>
        <w:spacing w:before="120" w:after="0"/>
        <w:rPr>
          <w:sz w:val="20"/>
          <w:szCs w:val="20"/>
        </w:rPr>
      </w:pPr>
    </w:p>
    <w:p w14:paraId="40FF08D6" w14:textId="77777777" w:rsidR="00CB442B" w:rsidRPr="007D162C" w:rsidRDefault="00CB442B" w:rsidP="00CB442B">
      <w:pPr>
        <w:pStyle w:val="Heading6"/>
      </w:pPr>
      <w:r w:rsidRPr="007D162C">
        <w:t>Considerations to note in interpreting analysis</w:t>
      </w:r>
    </w:p>
    <w:p w14:paraId="1302DCE0" w14:textId="77777777" w:rsidR="00CB442B" w:rsidRPr="007D162C" w:rsidRDefault="00CB442B" w:rsidP="00CB442B">
      <w:pPr>
        <w:pStyle w:val="Heading7"/>
      </w:pPr>
      <w:r w:rsidRPr="007D162C">
        <w:t>Limitations</w:t>
      </w:r>
    </w:p>
    <w:p w14:paraId="6FE03CC3" w14:textId="77777777" w:rsidR="00CB442B" w:rsidRPr="007D162C" w:rsidRDefault="00CB442B" w:rsidP="00105D34">
      <w:pPr>
        <w:pStyle w:val="Heading8"/>
      </w:pPr>
      <w:r w:rsidRPr="007D162C">
        <w:t>Non-regulatory</w:t>
      </w:r>
    </w:p>
    <w:p w14:paraId="0887F84F" w14:textId="403F0CAE" w:rsidR="00CB442B" w:rsidRPr="007D162C" w:rsidRDefault="08D050C4" w:rsidP="00CB442B">
      <w:r w:rsidRPr="007D162C">
        <w:t>The costs and benefits associated with the non-regulatory reform are lower than its regulatory counterpart. Through the provision of guidance and best practice examples its assumed there would be a lower rate of compliance and lower costs to government. An estimated uptake rate of 15</w:t>
      </w:r>
      <w:r w:rsidR="00587126">
        <w:t xml:space="preserve"> per cent</w:t>
      </w:r>
      <w:r w:rsidRPr="007D162C">
        <w:t xml:space="preserve"> was applied to this option. The compliance rate is assumption-based and has been estimated by the Department through insights gained from the Consultation RIS rather than observed behaviour or direct consultation responses. This implies that the benefits and costs quantified for this non-regulatory reform may not reflect future take-up of the reform.</w:t>
      </w:r>
    </w:p>
    <w:p w14:paraId="634D9EBA" w14:textId="77777777" w:rsidR="00CB442B" w:rsidRPr="007D162C" w:rsidRDefault="00CB442B" w:rsidP="00105D34">
      <w:pPr>
        <w:pStyle w:val="Heading8"/>
        <w:rPr>
          <w:lang w:val="en-AU"/>
        </w:rPr>
      </w:pPr>
      <w:r w:rsidRPr="007D162C">
        <w:t>Regulatory</w:t>
      </w:r>
    </w:p>
    <w:p w14:paraId="33CF2FF8" w14:textId="77777777" w:rsidR="00CB442B" w:rsidRPr="007D162C" w:rsidRDefault="00CB442B" w:rsidP="00CB442B">
      <w:r w:rsidRPr="007D162C">
        <w:t>The benefits and costs for this reform reflect the provision of equivalent access. Without an indication of the types of equivalent access potentially implemented through this reform, an assumptions-based approach has been taken which may not be reflective of future compliance or the types of equivalent access provided.</w:t>
      </w:r>
    </w:p>
    <w:p w14:paraId="2E70143D" w14:textId="77777777" w:rsidR="00CB442B" w:rsidRPr="007D162C" w:rsidRDefault="00CB442B" w:rsidP="00CB442B">
      <w:r w:rsidRPr="007D162C">
        <w:t>The benefits and costs reflect equivalent access associated with the preferred package of reforms and are over and above the quantified impacts reported for the other reforms.</w:t>
      </w:r>
    </w:p>
    <w:p w14:paraId="1CC52527" w14:textId="77777777" w:rsidR="00CB442B" w:rsidRPr="007D162C" w:rsidRDefault="00CB442B" w:rsidP="00CB442B">
      <w:r w:rsidRPr="007D162C">
        <w:t>The cost and time implications of setting up a Legal Certification Body are estimates, and were provided by the Department based on market research and previous experience. The costs may not be reflective of future costs.</w:t>
      </w:r>
    </w:p>
    <w:p w14:paraId="522F1D76" w14:textId="77777777" w:rsidR="00CB442B" w:rsidRPr="007D162C" w:rsidRDefault="00CB442B" w:rsidP="00CB442B">
      <w:pPr>
        <w:pStyle w:val="Heading7"/>
        <w:rPr>
          <w:lang w:val="en-AU"/>
        </w:rPr>
      </w:pPr>
      <w:r w:rsidRPr="007D162C">
        <w:rPr>
          <w:lang w:val="en-AU"/>
        </w:rPr>
        <w:t>Interdependencies</w:t>
      </w:r>
    </w:p>
    <w:p w14:paraId="748A1EF7" w14:textId="77777777" w:rsidR="00013823" w:rsidRPr="007D162C" w:rsidRDefault="00013823" w:rsidP="00013823">
      <w:r w:rsidRPr="007D162C">
        <w:t>The costs and benefits associated with this reform is a function of all other quantified costs and benefits for the preferred package of reforms.</w:t>
      </w:r>
    </w:p>
    <w:p w14:paraId="71D2E788" w14:textId="77777777" w:rsidR="00CB442B" w:rsidRPr="007D162C" w:rsidRDefault="00CB442B" w:rsidP="00CB442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3094BB6" w14:textId="77777777" w:rsidR="000334CD" w:rsidRPr="007D162C" w:rsidRDefault="00013823" w:rsidP="00013823">
      <w:r w:rsidRPr="007D162C">
        <w:t>The following categories of qualitative benefits were identified in the CBA as pertaining to the reform options.</w:t>
      </w:r>
    </w:p>
    <w:p w14:paraId="56AA4FF8" w14:textId="77777777" w:rsidR="000334CD" w:rsidRPr="007D162C" w:rsidRDefault="000334CD" w:rsidP="000334CD">
      <w:r w:rsidRPr="007D162C">
        <w:br w:type="page"/>
      </w:r>
    </w:p>
    <w:p w14:paraId="5ECAC88A" w14:textId="77777777" w:rsidR="00013823" w:rsidRPr="007D162C" w:rsidRDefault="00013823" w:rsidP="00013823"/>
    <w:p w14:paraId="247C421B" w14:textId="2959B17E" w:rsidR="00013823" w:rsidRPr="007D162C" w:rsidRDefault="00013823" w:rsidP="00013823">
      <w:pPr>
        <w:pStyle w:val="Tablefigureheading"/>
      </w:pPr>
      <w:bookmarkStart w:id="190" w:name="_Toc139969169"/>
      <w:r w:rsidRPr="007D162C">
        <w:t xml:space="preserve">Table </w:t>
      </w:r>
      <w:fldSimple w:instr=" SEQ Table \* ARABIC ">
        <w:r w:rsidR="00DC26AC">
          <w:rPr>
            <w:noProof/>
          </w:rPr>
          <w:t>11</w:t>
        </w:r>
      </w:fldSimple>
      <w:r w:rsidRPr="007D162C">
        <w:t xml:space="preserve">: Qualitative benefits for </w:t>
      </w:r>
      <w:r w:rsidR="00754992" w:rsidRPr="007D162C">
        <w:t>Equivalent Access</w:t>
      </w:r>
      <w:bookmarkEnd w:id="190"/>
    </w:p>
    <w:tbl>
      <w:tblPr>
        <w:tblStyle w:val="DefaultTable1"/>
        <w:tblW w:w="9781" w:type="dxa"/>
        <w:tblLayout w:type="fixed"/>
        <w:tblLook w:val="04A0" w:firstRow="1" w:lastRow="0" w:firstColumn="1" w:lastColumn="0" w:noHBand="0" w:noVBand="1"/>
      </w:tblPr>
      <w:tblGrid>
        <w:gridCol w:w="1134"/>
        <w:gridCol w:w="1276"/>
        <w:gridCol w:w="1559"/>
        <w:gridCol w:w="1418"/>
        <w:gridCol w:w="1134"/>
        <w:gridCol w:w="1701"/>
        <w:gridCol w:w="1559"/>
      </w:tblGrid>
      <w:tr w:rsidR="00013823" w:rsidRPr="007D162C" w14:paraId="0501431A"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00D5D5" w14:textId="77777777" w:rsidR="00013823" w:rsidRPr="007D162C" w:rsidRDefault="08D050C4" w:rsidP="00C17787">
            <w:pPr>
              <w:rPr>
                <w:sz w:val="21"/>
                <w:szCs w:val="21"/>
              </w:rPr>
            </w:pPr>
            <w:r w:rsidRPr="007D162C">
              <w:rPr>
                <w:sz w:val="21"/>
                <w:szCs w:val="21"/>
              </w:rPr>
              <w:t>Reform Option</w:t>
            </w:r>
          </w:p>
        </w:tc>
        <w:tc>
          <w:tcPr>
            <w:tcW w:w="1276" w:type="dxa"/>
          </w:tcPr>
          <w:p w14:paraId="111825EC"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559" w:type="dxa"/>
          </w:tcPr>
          <w:p w14:paraId="66738488"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418" w:type="dxa"/>
          </w:tcPr>
          <w:p w14:paraId="78B03F47"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1C7879E3"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54E8ACF1"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59" w:type="dxa"/>
          </w:tcPr>
          <w:p w14:paraId="7D3F6B38" w14:textId="77777777" w:rsidR="00013823"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013823" w:rsidRPr="007D162C" w14:paraId="0BD3A60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77E462" w14:textId="77777777" w:rsidR="00013823" w:rsidRPr="007D162C" w:rsidRDefault="00013823" w:rsidP="00013823">
            <w:r w:rsidRPr="007D162C">
              <w:t>Status Quo</w:t>
            </w:r>
          </w:p>
        </w:tc>
        <w:tc>
          <w:tcPr>
            <w:tcW w:w="1276" w:type="dxa"/>
          </w:tcPr>
          <w:p w14:paraId="3E815653"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02D97603"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418" w:type="dxa"/>
          </w:tcPr>
          <w:p w14:paraId="6B910BFB"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134" w:type="dxa"/>
          </w:tcPr>
          <w:p w14:paraId="3685938C"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D7A39E7"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150C16CE"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r>
      <w:tr w:rsidR="00013823" w:rsidRPr="007D162C" w14:paraId="622A06D8"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5195B93B" w14:textId="77777777" w:rsidR="00013823" w:rsidRPr="007D162C" w:rsidRDefault="00013823" w:rsidP="00013823">
            <w:r w:rsidRPr="007D162C">
              <w:t xml:space="preserve">Non-regulatory </w:t>
            </w:r>
          </w:p>
        </w:tc>
        <w:tc>
          <w:tcPr>
            <w:tcW w:w="1276" w:type="dxa"/>
          </w:tcPr>
          <w:p w14:paraId="77EFDFFA"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c>
          <w:tcPr>
            <w:tcW w:w="1559" w:type="dxa"/>
          </w:tcPr>
          <w:p w14:paraId="487067F7"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tcPr>
          <w:p w14:paraId="1B51492C"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c>
          <w:tcPr>
            <w:tcW w:w="1134" w:type="dxa"/>
          </w:tcPr>
          <w:p w14:paraId="1870D9AE"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tcPr>
          <w:p w14:paraId="3C5BA0A2" w14:textId="77777777" w:rsidR="00013823" w:rsidRPr="007D162C" w:rsidRDefault="00013823" w:rsidP="0001382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222E3813" w14:textId="77777777" w:rsidR="00013823" w:rsidRPr="007D162C" w:rsidRDefault="08D050C4" w:rsidP="00013823">
            <w:pPr>
              <w:cnfStyle w:val="000000000000" w:firstRow="0" w:lastRow="0" w:firstColumn="0" w:lastColumn="0" w:oddVBand="0" w:evenVBand="0" w:oddHBand="0" w:evenHBand="0" w:firstRowFirstColumn="0" w:firstRowLastColumn="0" w:lastRowFirstColumn="0" w:lastRowLastColumn="0"/>
            </w:pPr>
            <w:r w:rsidRPr="007D162C">
              <w:t>-</w:t>
            </w:r>
          </w:p>
        </w:tc>
      </w:tr>
      <w:tr w:rsidR="00013823" w:rsidRPr="007D162C" w14:paraId="64E19FA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155736D" w14:textId="77777777" w:rsidR="00013823" w:rsidRPr="007D162C" w:rsidRDefault="00013823" w:rsidP="00013823">
            <w:r w:rsidRPr="007D162C">
              <w:t xml:space="preserve">Regulatory </w:t>
            </w:r>
          </w:p>
        </w:tc>
        <w:tc>
          <w:tcPr>
            <w:tcW w:w="1276" w:type="dxa"/>
          </w:tcPr>
          <w:p w14:paraId="4639BFBD"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307D96C5"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418" w:type="dxa"/>
          </w:tcPr>
          <w:p w14:paraId="5D0DD217"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c>
          <w:tcPr>
            <w:tcW w:w="1134" w:type="dxa"/>
          </w:tcPr>
          <w:p w14:paraId="7641A3FA"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tcPr>
          <w:p w14:paraId="4F3CB60A" w14:textId="77777777" w:rsidR="00013823" w:rsidRPr="007D162C" w:rsidRDefault="00013823" w:rsidP="0001382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tcPr>
          <w:p w14:paraId="67208029" w14:textId="77777777" w:rsidR="00013823" w:rsidRPr="007D162C" w:rsidRDefault="08D050C4" w:rsidP="00013823">
            <w:pPr>
              <w:cnfStyle w:val="000000100000" w:firstRow="0" w:lastRow="0" w:firstColumn="0" w:lastColumn="0" w:oddVBand="0" w:evenVBand="0" w:oddHBand="1" w:evenHBand="0" w:firstRowFirstColumn="0" w:firstRowLastColumn="0" w:lastRowFirstColumn="0" w:lastRowLastColumn="0"/>
            </w:pPr>
            <w:r w:rsidRPr="007D162C">
              <w:t>-</w:t>
            </w:r>
          </w:p>
        </w:tc>
      </w:tr>
    </w:tbl>
    <w:p w14:paraId="3EB5AB32" w14:textId="77777777" w:rsidR="00013823" w:rsidRPr="007D162C" w:rsidRDefault="00013823" w:rsidP="00CB442B"/>
    <w:p w14:paraId="5A75707C" w14:textId="77777777" w:rsidR="00013823" w:rsidRPr="007D162C" w:rsidRDefault="00013823" w:rsidP="00013823">
      <w:pPr>
        <w:pStyle w:val="Heading4"/>
        <w:tabs>
          <w:tab w:val="left" w:pos="284"/>
        </w:tabs>
      </w:pPr>
      <w:r w:rsidRPr="007D162C">
        <w:t xml:space="preserve">Analysis of submissions </w:t>
      </w:r>
    </w:p>
    <w:p w14:paraId="66691E49" w14:textId="77777777" w:rsidR="00013823" w:rsidRPr="007D162C" w:rsidRDefault="00013823" w:rsidP="00013823">
      <w:pPr>
        <w:pStyle w:val="Heading5"/>
      </w:pPr>
      <w:r w:rsidRPr="007D162C">
        <w:t>Status quo</w:t>
      </w:r>
    </w:p>
    <w:p w14:paraId="69BBBD2B" w14:textId="438FEB32" w:rsidR="00013823" w:rsidRPr="007D162C" w:rsidRDefault="00013823" w:rsidP="00013823">
      <w:r w:rsidRPr="007D162C">
        <w:t>The value of equivalent access solutions in delivering accessible outcomes where full compliance with the Transport Standards is not feasible was well supported across submissions from all stakeholder groups. Submissions primarily from operators and providers provided examples where equivalent access solutions have been developed through co-design with passengers, including people with disability</w:t>
      </w:r>
      <w:r w:rsidR="0058133C">
        <w:t>,</w:t>
      </w:r>
      <w:r w:rsidRPr="007D162C">
        <w:t xml:space="preserve"> to address areas where Transport Standards provisions are either outdated or the operating conditions of public transport services require an alternate accessibility solution.</w:t>
      </w:r>
    </w:p>
    <w:p w14:paraId="625514FA" w14:textId="77777777" w:rsidR="00013823" w:rsidRPr="007D162C" w:rsidRDefault="00013823" w:rsidP="00013823">
      <w:pPr>
        <w:pStyle w:val="Quote"/>
      </w:pPr>
      <w:r w:rsidRPr="007D162C">
        <w:t xml:space="preserve">Divisions within TMR have been involved in co-design solutions and equivalent access processes and consider the outcomes successful. These solutions have been identified as successful where the Australian Standards referenced in the Transport Standards are outdated, and the adoption of newer versions of the Australian Standards or other solutions have resulted in improved accessibility outcomes. </w:t>
      </w:r>
    </w:p>
    <w:p w14:paraId="7512AC69" w14:textId="77777777" w:rsidR="00013823" w:rsidRPr="007D162C" w:rsidRDefault="00013823" w:rsidP="00013823">
      <w:pPr>
        <w:pStyle w:val="Quote"/>
      </w:pPr>
      <w:r w:rsidRPr="007D162C">
        <w:t>Queensland Government - Department of Transport and Main Roads</w:t>
      </w:r>
    </w:p>
    <w:p w14:paraId="686D2011" w14:textId="77777777" w:rsidR="00013823" w:rsidRPr="007D162C" w:rsidRDefault="00013823" w:rsidP="00013823">
      <w:r w:rsidRPr="007D162C">
        <w:t>However, feedback from operator and provider submissions identified a reluctance to develop and employ equivalent access solutions due to the lack of assurance the process fulfils their obligations under the Transport Standards. This is supported by stakeholder feedback through reviews of the Transport Standards.</w:t>
      </w:r>
    </w:p>
    <w:p w14:paraId="3D7429FB" w14:textId="77777777" w:rsidR="00013823" w:rsidRPr="007D162C" w:rsidRDefault="00013823" w:rsidP="00013823">
      <w:r w:rsidRPr="007D162C">
        <w:t>Feedback received from all stakeholder groups noted the success of equivalent access solutions is dependent on the process used to develop the solution. Importantly, it is integral that consultation with people with disability must precede the design of a solution. In recognition of this, the majority of submissions from industry and government noted that equivalent access requirements in the Transport Standards do not provide sufficient clarity regarding community consultation.</w:t>
      </w:r>
    </w:p>
    <w:p w14:paraId="2C7B5B0D" w14:textId="77777777" w:rsidR="00013823" w:rsidRPr="007D162C" w:rsidRDefault="00013823" w:rsidP="00013823">
      <w:pPr>
        <w:pStyle w:val="Quote"/>
      </w:pPr>
      <w:r w:rsidRPr="007D162C">
        <w:t>Our experience has been that the way equivalent access works well is where it is codesigned. When it is not codesigned but imposed, it does not work well.</w:t>
      </w:r>
    </w:p>
    <w:p w14:paraId="1360C589" w14:textId="77777777" w:rsidR="00013823" w:rsidRPr="007D162C" w:rsidRDefault="00013823" w:rsidP="00013823">
      <w:pPr>
        <w:pStyle w:val="Quote"/>
      </w:pPr>
      <w:r w:rsidRPr="007D162C">
        <w:t>Stakeholder roundtable participant</w:t>
      </w:r>
    </w:p>
    <w:p w14:paraId="0286DB03" w14:textId="77777777" w:rsidR="00013823" w:rsidRPr="007D162C" w:rsidRDefault="00013823" w:rsidP="00013823">
      <w:r w:rsidRPr="007D162C">
        <w:t>Operators and providers also consistently identified issues relating to legal uncertainty when developing equivalent access solutions, particularly regarding what constitutes an acceptable level of equivalency. This was noted as a flaw of the status quo, and submissions suggested that people may avoid pursuing equivalent access provisions if they are seen as onerous or lack certainty. For this reason, a more systematic approach to implementing equivalent access solutions, including a nationally consistent process that would minimize risk for operators and providers and benefit people with disability, was well supported during consultations.</w:t>
      </w:r>
    </w:p>
    <w:p w14:paraId="0A8CA516" w14:textId="77777777" w:rsidR="00013823" w:rsidRPr="007D162C" w:rsidRDefault="00013823" w:rsidP="00013823">
      <w:r w:rsidRPr="007D162C">
        <w:t xml:space="preserve">One individual’s submission preferred the status quo option to preserve current regulatory requirements, and suggested the proposed certification body would be unlikely operate effectively. As an alternative, the submission suggested citing the AHRC </w:t>
      </w:r>
      <w:r w:rsidRPr="007D162C">
        <w:rPr>
          <w:i/>
          <w:iCs/>
        </w:rPr>
        <w:t xml:space="preserve">Guidelines: Equivalent Access under the Disability Standards for </w:t>
      </w:r>
      <w:r w:rsidRPr="007D162C">
        <w:rPr>
          <w:i/>
          <w:iCs/>
        </w:rPr>
        <w:lastRenderedPageBreak/>
        <w:t>Accessible Public Transport 2002 (Ct</w:t>
      </w:r>
      <w:r w:rsidR="005E7371" w:rsidRPr="007D162C">
        <w:rPr>
          <w:i/>
          <w:iCs/>
        </w:rPr>
        <w:t>h)</w:t>
      </w:r>
      <w:r w:rsidRPr="007D162C">
        <w:rPr>
          <w:rStyle w:val="EndnoteReference"/>
          <w:i/>
          <w:iCs/>
        </w:rPr>
        <w:endnoteReference w:id="2"/>
      </w:r>
      <w:r w:rsidRPr="007D162C">
        <w:t xml:space="preserve"> in new guidance material, to support operators and providers by providing useful definitions of amenity, availability, comfort, convenience, dignity, price and safety, and the criteria for ensuring the equivalency of a solution. One submission from a disability organisation suggested the removal of equivalent access provisions entirely from the Transport Standards, instead advocating for upgrade of assets to meet compliance.</w:t>
      </w:r>
    </w:p>
    <w:p w14:paraId="50A5E9CD" w14:textId="77777777" w:rsidR="00013823" w:rsidRPr="007D162C" w:rsidRDefault="00013823" w:rsidP="00013823">
      <w:pPr>
        <w:pStyle w:val="Quote"/>
      </w:pPr>
      <w:r w:rsidRPr="007D162C">
        <w:t>Along with the aforementioned ‘unjustifiable hardship’ and ‘temporary exemption’ provisions, so-called ‘equivalent access’ arrangements segregate people with disability, deny them guaranteed scheduled arrival, and often provide a delayed journey when, with the example above, a taxi is called and takes a while to turn up.</w:t>
      </w:r>
    </w:p>
    <w:p w14:paraId="08073FC6" w14:textId="77777777" w:rsidR="00013823" w:rsidRPr="007D162C" w:rsidRDefault="00013823" w:rsidP="00013823">
      <w:pPr>
        <w:pStyle w:val="Quote"/>
      </w:pPr>
      <w:r w:rsidRPr="007D162C">
        <w:t>Physical Disability Australia</w:t>
      </w:r>
    </w:p>
    <w:p w14:paraId="19263F1C" w14:textId="77777777" w:rsidR="00013823" w:rsidRPr="007D162C" w:rsidRDefault="00013823" w:rsidP="00013823">
      <w:r w:rsidRPr="007D162C">
        <w:t>People with disability will be negatively impacted if equivalent access is not used effectively under the Transport Standards, which will lead to reduced confidence to use public transport.</w:t>
      </w:r>
    </w:p>
    <w:p w14:paraId="6B4FE724" w14:textId="77777777" w:rsidR="00013823" w:rsidRPr="007D162C" w:rsidRDefault="00013823" w:rsidP="00013823">
      <w:r w:rsidRPr="007D162C">
        <w:t xml:space="preserve">Maintaining status quo will continue to provide operators and providers the flexibility to develop, design and implement equivalent access solutions that meet their operational needs, but will not address the lack of assurance or legal certainty for operators and providers that is a current barrier to their use. </w:t>
      </w:r>
    </w:p>
    <w:p w14:paraId="73634557" w14:textId="77777777" w:rsidR="00013823" w:rsidRPr="007D162C" w:rsidRDefault="00013823" w:rsidP="00013823">
      <w:pPr>
        <w:pStyle w:val="Heading5"/>
      </w:pPr>
      <w:r w:rsidRPr="007D162C">
        <w:t>Non-regulatory</w:t>
      </w:r>
    </w:p>
    <w:p w14:paraId="4267FEC9" w14:textId="77777777" w:rsidR="00013823" w:rsidRPr="007D162C" w:rsidRDefault="00013823" w:rsidP="00013823">
      <w:r w:rsidRPr="007D162C">
        <w:t xml:space="preserve">There was agreement across all submissions that a robust process must be in place to support operators and providers to deliver accessible outcomes where prescriptive requirements included in the Transport Standards cannot be met. Feedback provided by the disability community noted that equivalent access solutions should be used and encouraged where full compliance with the Transport Standards is not possible or practical, rather than settling for non-compliance. </w:t>
      </w:r>
    </w:p>
    <w:p w14:paraId="2AA63951" w14:textId="77777777" w:rsidR="00013823" w:rsidRPr="007D162C" w:rsidRDefault="00013823" w:rsidP="00013823">
      <w:r w:rsidRPr="007D162C">
        <w:t xml:space="preserve">The majority of submissions from government and operators and providers supported the non-regulatory option. One of the eight submissions from the disability sector supported the non-regulatory option. </w:t>
      </w:r>
    </w:p>
    <w:p w14:paraId="45F1992A" w14:textId="6952F9E5" w:rsidR="00013823" w:rsidRPr="007D162C" w:rsidRDefault="0058133C" w:rsidP="00013823">
      <w:r>
        <w:t>S</w:t>
      </w:r>
      <w:r w:rsidR="00013823" w:rsidRPr="007D162C">
        <w:t>ubmissions from industry and government largely supported a non-regulatory approach as an interim measure, while a more robust framework is developed and tested prior to making regulatory amendments. Some submissions, however, raised concerns that an oversight and certification body may add unnecessary complexity to an already working solution, and potentially remove personable interactive aspects provided through the Transport Standards requirements.</w:t>
      </w:r>
    </w:p>
    <w:p w14:paraId="608DB7B3" w14:textId="77777777" w:rsidR="00013823" w:rsidRPr="007D162C" w:rsidRDefault="00013823" w:rsidP="00013823">
      <w:pPr>
        <w:pStyle w:val="Quote"/>
      </w:pPr>
      <w:r w:rsidRPr="007D162C">
        <w:t xml:space="preserve">Who would accredit the independent authority? How would their accreditation be maintained? Would there be a number of service providers available to enable operator choice? Is an expiry date requiring re-certification on the equivalent access options? </w:t>
      </w:r>
    </w:p>
    <w:p w14:paraId="37CD26E5" w14:textId="77777777" w:rsidR="00013823" w:rsidRPr="007D162C" w:rsidRDefault="00013823" w:rsidP="00013823">
      <w:pPr>
        <w:pStyle w:val="Quote"/>
      </w:pPr>
      <w:r w:rsidRPr="007D162C">
        <w:t>Stakeholder roundtable participant</w:t>
      </w:r>
    </w:p>
    <w:p w14:paraId="5459E300" w14:textId="77777777" w:rsidR="00013823" w:rsidRPr="007D162C" w:rsidRDefault="00013823" w:rsidP="00013823">
      <w:r w:rsidRPr="007D162C">
        <w:t>The development of a central repository of examples of successful equivalent access solutions was well supported by industry and government, and submissions highlighted the benefit of the repository as a resource to support the development of new solutions. An important factor that would strengthen a repository of examples would be the inclusion of guidance to articulate the responsibility of all parties for the development and implementation of equivalent access solutions. One submission from government noted, however, that without guidance and a robust framework to guide the development of equivalent access solutions, operators and providers of published 'successful' solutions would still lack legal certainty. Additionally, if the repository is unmoderated, the publishing of solutions may result in promotion of poor examples and potentially poor outcomes for people with disability using public transport.</w:t>
      </w:r>
    </w:p>
    <w:p w14:paraId="17665F9A" w14:textId="77777777" w:rsidR="00013823" w:rsidRPr="007D162C" w:rsidRDefault="00013823" w:rsidP="00013823">
      <w:pPr>
        <w:pStyle w:val="Heading5"/>
      </w:pPr>
      <w:r w:rsidRPr="007D162C">
        <w:t>Regulatory</w:t>
      </w:r>
    </w:p>
    <w:p w14:paraId="4D6E604D" w14:textId="6B1AC7E4" w:rsidR="00013823" w:rsidRPr="007D162C" w:rsidRDefault="08D050C4" w:rsidP="00013823">
      <w:r w:rsidRPr="007D162C">
        <w:t>Although reform was well supported</w:t>
      </w:r>
      <w:r w:rsidR="00B4538E" w:rsidRPr="00B4538E">
        <w:t xml:space="preserve"> </w:t>
      </w:r>
      <w:r w:rsidR="00B4538E" w:rsidRPr="007D162C">
        <w:t>in-principle</w:t>
      </w:r>
      <w:r w:rsidRPr="007D162C">
        <w:t xml:space="preserve">, the majority of submissions from industry and government noted they could not support the proposed regulatory option due to the lack of detail provided, and instead opted to support the non-regulatory option. These submissions noted the need for a more robust co-designed framework to be developed and </w:t>
      </w:r>
      <w:r w:rsidR="00B4538E" w:rsidRPr="007D162C">
        <w:t>trialed</w:t>
      </w:r>
      <w:r w:rsidRPr="007D162C">
        <w:t xml:space="preserve"> before being incorporated into legislation. </w:t>
      </w:r>
    </w:p>
    <w:p w14:paraId="1E713D25" w14:textId="77777777" w:rsidR="00013823" w:rsidRPr="007D162C" w:rsidRDefault="00013823" w:rsidP="00013823">
      <w:r w:rsidRPr="007D162C">
        <w:lastRenderedPageBreak/>
        <w:t xml:space="preserve">Submissions generally agreed a certification body would be beneficial to address uncertainty, in particular the additional protection it would provide operators and providers. However, concerns were noted around the level of resourcing and time that development of a certification body would require. </w:t>
      </w:r>
    </w:p>
    <w:p w14:paraId="79437FBE" w14:textId="56787ABB" w:rsidR="00013823" w:rsidRPr="007D162C" w:rsidRDefault="00013823" w:rsidP="00013823">
      <w:r w:rsidRPr="007D162C">
        <w:t>There was general agreement among all stakeholders that a co</w:t>
      </w:r>
      <w:r w:rsidR="0058133C">
        <w:t>-</w:t>
      </w:r>
      <w:r w:rsidRPr="007D162C">
        <w:t xml:space="preserve">designed understanding of the required outcome must be reached prior to the design and procurement of an equivalent access solution. Likewise, submissions noted that while co-designed solutions can support accessibility, the effectiveness of processes is significantly impacted by the availability of technical expertise and experience, and capacity of participants. </w:t>
      </w:r>
    </w:p>
    <w:p w14:paraId="2D888AEB" w14:textId="2069635E" w:rsidR="00013823" w:rsidRPr="007D162C" w:rsidRDefault="08D050C4" w:rsidP="00013823">
      <w:r w:rsidRPr="007D162C">
        <w:t xml:space="preserve">The majority of submissions from individuals, people with disability and disability organisations supported the regulatory option. There was </w:t>
      </w:r>
      <w:r w:rsidR="00B4538E">
        <w:t>some</w:t>
      </w:r>
      <w:r w:rsidRPr="007D162C">
        <w:t xml:space="preserve"> support for the regulatory option by industry and government. There was broad acknowledgement by industry and government that if requirements set for equivalent access is followed, equivalent access solutions can produce significant and tangible benefits for people with disability using public transport. Submissions from the disability community noted, however, that equivalent access solutions are generally bespoke and site specific, resulting in outcomes that can lead to inconsistent customer experience within and across different public transport modes, networks and jurisdictions.</w:t>
      </w:r>
    </w:p>
    <w:p w14:paraId="6A462C9D" w14:textId="77777777" w:rsidR="00013823" w:rsidRPr="007D162C" w:rsidRDefault="08D050C4" w:rsidP="00013823">
      <w:r w:rsidRPr="007D162C">
        <w:t>Submissions from the disability sector widely recognised the regulatory option was seen as the most effective way of providing confidence to people with disability that operators and providers will follow best-practice, while providing a greater level of confidence to all parties. Submissions in support of the regulatory option suggested that neither the status quo or non-regulatory options would deliver effective equivalent access solutions that provide certainty.</w:t>
      </w:r>
    </w:p>
    <w:p w14:paraId="212A7BAC" w14:textId="77777777" w:rsidR="00013823" w:rsidRPr="007D162C" w:rsidRDefault="00013823" w:rsidP="00013823">
      <w:pPr>
        <w:pStyle w:val="Quote"/>
      </w:pPr>
      <w:r w:rsidRPr="007D162C">
        <w:t>Mechanisms need to exist to track whether a proposed alternative constitutes a satisfactory alternative to prescriptive requirements under the DSAPT. At the same time, it must be established that any alternatives explored to achieve equivalent access are determined in Codesign with the disability community and are safe for use.</w:t>
      </w:r>
    </w:p>
    <w:p w14:paraId="75D739E4" w14:textId="77777777" w:rsidR="00013823" w:rsidRPr="007D162C" w:rsidRDefault="00013823" w:rsidP="00013823">
      <w:pPr>
        <w:pStyle w:val="Quote"/>
      </w:pPr>
      <w:r w:rsidRPr="007D162C">
        <w:t>Physical Disability Council of NSW</w:t>
      </w:r>
    </w:p>
    <w:p w14:paraId="5CD4D9CF" w14:textId="77777777" w:rsidR="00013823" w:rsidRPr="007D162C" w:rsidRDefault="00013823" w:rsidP="00013823">
      <w:r w:rsidRPr="007D162C">
        <w:t xml:space="preserve">Five submissions from industry and government noted that while they support regulatory amendments in-principle, the conceptual nature of the proposal lacks critical detail which will determine how certification mechanisms would operate, the level of legal assurance their oversight would provide to operators and providers, and how to determine whether an equivalent access solution actually provides equivalence. </w:t>
      </w:r>
    </w:p>
    <w:p w14:paraId="6CB4CF4F" w14:textId="77777777" w:rsidR="00013823" w:rsidRPr="007D162C" w:rsidRDefault="00013823" w:rsidP="00013823">
      <w:r w:rsidRPr="007D162C">
        <w:t xml:space="preserve">Another factor which submissions from industry and government raised requiring further exploration is the nature of the certification body – including the roles and membership (qualifications and experience of certifiers working with people with disability), the independence of any peer-review mechanisms and overall governance arrangements. This was noted as particularly important in relation to the implications of a certified equivalent access solution for a transport network. For this reason, safeguard mechanisms must also be considered through ongoing consultation with all stakeholders. </w:t>
      </w:r>
    </w:p>
    <w:p w14:paraId="6F82063A" w14:textId="77777777" w:rsidR="00013823" w:rsidRPr="007D162C" w:rsidRDefault="00013823" w:rsidP="00013823">
      <w:pPr>
        <w:pStyle w:val="Quote"/>
      </w:pPr>
      <w:r w:rsidRPr="007D162C">
        <w:t>The Commission also supports amending the equivalent access defence to provide greater certainty to all stakeholders but is concerned that privately engaged consultants may act as de facto decision-makers with little oversight. Particularly where a decision may have implications for a transport network, it is important there are strict safeguards in place. Any consultation mechanism should also expressly consider traditionally unrepresented groups, such as individuals with an intellectual disability.</w:t>
      </w:r>
    </w:p>
    <w:p w14:paraId="6A35DB13" w14:textId="77777777" w:rsidR="00013823" w:rsidRPr="007D162C" w:rsidRDefault="00013823" w:rsidP="00013823">
      <w:pPr>
        <w:pStyle w:val="Quote"/>
      </w:pPr>
      <w:r w:rsidRPr="007D162C">
        <w:t>Australian Human Rights Commission</w:t>
      </w:r>
    </w:p>
    <w:p w14:paraId="2F22596C" w14:textId="77777777" w:rsidR="00013823" w:rsidRPr="007D162C" w:rsidRDefault="00013823" w:rsidP="00013823">
      <w:r w:rsidRPr="007D162C">
        <w:t xml:space="preserve">Submissions in support of the regulatory option noted the importance of equivalent access outcomes being endorsed as compliant and non-discriminatory, despite the potentially strenuous nature of the process. This could alleviate concerns with the status quo relating to legal certainty, and provide a greater level of transparency to all stakeholders. </w:t>
      </w:r>
    </w:p>
    <w:p w14:paraId="53CD3ED4" w14:textId="77777777" w:rsidR="00013823" w:rsidRPr="007D162C" w:rsidRDefault="00013823" w:rsidP="00013823">
      <w:pPr>
        <w:pStyle w:val="Heading4"/>
      </w:pPr>
      <w:r w:rsidRPr="007D162C">
        <w:lastRenderedPageBreak/>
        <w:t>Preferred option</w:t>
      </w:r>
    </w:p>
    <w:p w14:paraId="03F02682" w14:textId="77777777" w:rsidR="00013823" w:rsidRPr="007D162C" w:rsidRDefault="00013823" w:rsidP="00013823">
      <w:r w:rsidRPr="007D162C">
        <w:t xml:space="preserve">Informed by the outcomes of consultation, impacts, cost and outcomes analysis above, the preferred option is the </w:t>
      </w:r>
      <w:r w:rsidRPr="007D162C">
        <w:rPr>
          <w:b/>
        </w:rPr>
        <w:t>non-regulatory option</w:t>
      </w:r>
      <w:r w:rsidRPr="007D162C">
        <w:t>.</w:t>
      </w:r>
    </w:p>
    <w:p w14:paraId="2F01F463" w14:textId="77777777" w:rsidR="00013823" w:rsidRPr="007D162C" w:rsidRDefault="08D050C4" w:rsidP="00013823">
      <w:r w:rsidRPr="007D162C">
        <w:t xml:space="preserve">Stakeholders shared a broad range of views regarding reforms to Equivalent Access provisions. The majority of submissions from industry and government supported the non-regulatory option, whilst the majority of submissions from individuals, people with disability and disability organisations supported regulatory reform. </w:t>
      </w:r>
    </w:p>
    <w:p w14:paraId="7909456A" w14:textId="6F6C5AD5" w:rsidR="00013823" w:rsidRPr="007D162C" w:rsidRDefault="0058133C" w:rsidP="00013823">
      <w:r>
        <w:t>S</w:t>
      </w:r>
      <w:r w:rsidR="00013823" w:rsidRPr="007D162C">
        <w:t>takeholders who have been involved in the development of equivalent access solutions shared a range of examples of the strengths and weaknesses of the status quo in ensuring accessible outcomes in circumstances where full compliance with the Transport Standards is not feasible. Overall, a more systematic and nationally consistent approach was identified as an important mechanism in addressing current issues of inconsistency and legal uncertainty.</w:t>
      </w:r>
    </w:p>
    <w:p w14:paraId="73B8F056" w14:textId="2FDC2C99" w:rsidR="00013823" w:rsidRPr="007D162C" w:rsidRDefault="08D050C4" w:rsidP="00013823">
      <w:r w:rsidRPr="007D162C">
        <w:t xml:space="preserve">In recognition of the complexity of developing and implementing equivalent access solutions, the non-regulatory option has been recommended as a pathway towards developing a robust framework. Stakeholders from all stakeholder groups emphasised the importance of a reformed equivalent access framework having clarity – in terms of both the consultation process and certification mechanism. Although the regulatory option may deliver a greater level of certainty to people with disability, feedback received has highlighted that further work is required to ensure a new approach to equivalent access is fit-for-purpose. In the interim, the proposed repository of successful equivalent access solutions included in the non-regulatory option will support operators and providers when developing new solutions. </w:t>
      </w:r>
    </w:p>
    <w:p w14:paraId="18E904C3" w14:textId="2AB3A30C" w:rsidR="00013823" w:rsidRPr="007D162C" w:rsidRDefault="00013823" w:rsidP="00013823">
      <w:r w:rsidRPr="007D162C">
        <w:t xml:space="preserve">This Decision RIS recommends the Australian Government establish an online repository of equivalent access solution examples, which will be hosted on the Department’s website. The repository will be accompanied by additional guidance regarding the usage and purpose of the repository. The Department will be responsible for managing and updating the repository and accompanying guidance material with additional content as appropriate. </w:t>
      </w:r>
      <w:r w:rsidR="008D5948" w:rsidRPr="007D162C">
        <w:t>The examples included in the repository will be provided by public transport operators and providers. The guidance material would focus on the process undertaken to develop the solution, and lessons learnt from all involved stakeholders.</w:t>
      </w:r>
    </w:p>
    <w:p w14:paraId="3E686782" w14:textId="77777777" w:rsidR="008E7312" w:rsidRPr="007D162C" w:rsidRDefault="00013823" w:rsidP="00013823">
      <w:pPr>
        <w:spacing w:line="259" w:lineRule="auto"/>
      </w:pPr>
      <w:r w:rsidRPr="007D162C">
        <w:t>The effectiveness of the non-regulatory option in enabling the development of effective equivalent access solutions will be evaluated in a future statutory review of the Transport Standards.</w:t>
      </w:r>
    </w:p>
    <w:p w14:paraId="4657C8AF" w14:textId="77777777" w:rsidR="008E7312" w:rsidRPr="007D162C" w:rsidRDefault="008E7312">
      <w:pPr>
        <w:spacing w:line="259" w:lineRule="auto"/>
      </w:pPr>
      <w:r w:rsidRPr="007D162C">
        <w:br w:type="page"/>
      </w:r>
    </w:p>
    <w:p w14:paraId="30BAAEFA" w14:textId="77777777" w:rsidR="008E7312" w:rsidRPr="007D162C" w:rsidRDefault="008E7312" w:rsidP="00095B7D">
      <w:pPr>
        <w:pStyle w:val="Heading2"/>
        <w:numPr>
          <w:ilvl w:val="0"/>
          <w:numId w:val="25"/>
        </w:numPr>
        <w:ind w:hanging="720"/>
      </w:pPr>
      <w:bookmarkStart w:id="191" w:name="_Toc127351750"/>
      <w:bookmarkStart w:id="192" w:name="_Toc140239709"/>
      <w:r w:rsidRPr="007D162C">
        <w:lastRenderedPageBreak/>
        <w:t>Rideshare</w:t>
      </w:r>
      <w:bookmarkEnd w:id="191"/>
      <w:bookmarkEnd w:id="192"/>
    </w:p>
    <w:p w14:paraId="04D778A7" w14:textId="77777777" w:rsidR="008E7312" w:rsidRPr="007D162C" w:rsidRDefault="008E7312" w:rsidP="008E7312">
      <w:pPr>
        <w:pStyle w:val="Heading4"/>
        <w:tabs>
          <w:tab w:val="left" w:pos="284"/>
        </w:tabs>
      </w:pPr>
      <w:r w:rsidRPr="007D162C">
        <w:t>Issue</w:t>
      </w:r>
    </w:p>
    <w:p w14:paraId="593C4B40" w14:textId="323681EE" w:rsidR="008E7312" w:rsidRPr="007D162C" w:rsidRDefault="008E7312" w:rsidP="008E7312">
      <w:r w:rsidRPr="007D162C">
        <w:t>The Transport Standards are not clear whether rideshare is a public transport service as defined in the Transport Standards. This leads to ambiguity in the obligations of rideshare operators and providers and expectations of passengers. Rideshare passengers</w:t>
      </w:r>
      <w:r w:rsidR="00630F92">
        <w:t xml:space="preserve"> may</w:t>
      </w:r>
      <w:r w:rsidRPr="007D162C">
        <w:t xml:space="preserve"> face discrimination and barriers when accessing rideshare services, including using booking and payment services, accessibility and safety of rideshare services, availability of assistance and amenity.</w:t>
      </w:r>
    </w:p>
    <w:p w14:paraId="791FB302" w14:textId="77777777" w:rsidR="008E7312" w:rsidRPr="007D162C" w:rsidRDefault="008E7312" w:rsidP="008E7312">
      <w:r w:rsidRPr="007D162C">
        <w:t>Collective government action could clarify the requirements of rideshare operators and providers under the Transport Standards and remove accessibility barriers discrimination for people with disability in relation to rideshare services, in line with the objectives of the DDA and the Transport Standards.</w:t>
      </w:r>
    </w:p>
    <w:p w14:paraId="50234EFC" w14:textId="77777777" w:rsidR="008E7312" w:rsidRPr="007D162C" w:rsidRDefault="008E7312" w:rsidP="008E7312">
      <w:pPr>
        <w:pStyle w:val="Heading4"/>
        <w:tabs>
          <w:tab w:val="left" w:pos="284"/>
        </w:tabs>
      </w:pPr>
      <w:r w:rsidRPr="007D162C">
        <w:t>Reform options</w:t>
      </w:r>
    </w:p>
    <w:p w14:paraId="7599EBBE" w14:textId="77777777" w:rsidR="008E7312" w:rsidRPr="007D162C" w:rsidRDefault="008E7312" w:rsidP="008E7312">
      <w:pPr>
        <w:tabs>
          <w:tab w:val="left" w:pos="284"/>
        </w:tabs>
      </w:pPr>
      <w:r w:rsidRPr="007D162C">
        <w:t>Following is a summary of the proposed options for this reform. Full details of each reform option is provided at Appendix A.</w:t>
      </w:r>
    </w:p>
    <w:p w14:paraId="2CF5BBD4" w14:textId="601CDB4F" w:rsidR="008E7312" w:rsidRPr="007D162C" w:rsidRDefault="008E7312" w:rsidP="008E7312">
      <w:pPr>
        <w:pStyle w:val="Tablefigureheading"/>
      </w:pPr>
      <w:bookmarkStart w:id="193" w:name="_Toc122446320"/>
      <w:bookmarkStart w:id="194" w:name="_Toc139969170"/>
      <w:r w:rsidRPr="007D162C">
        <w:t xml:space="preserve">Table </w:t>
      </w:r>
      <w:fldSimple w:instr=" SEQ Table \* ARABIC ">
        <w:r w:rsidR="00DC26AC">
          <w:rPr>
            <w:noProof/>
          </w:rPr>
          <w:t>12</w:t>
        </w:r>
      </w:fldSimple>
      <w:r w:rsidRPr="007D162C">
        <w:t>: Reform options for Rideshare</w:t>
      </w:r>
      <w:bookmarkEnd w:id="193"/>
      <w:bookmarkEnd w:id="194"/>
    </w:p>
    <w:tbl>
      <w:tblPr>
        <w:tblStyle w:val="DefaultTable1"/>
        <w:tblW w:w="9072" w:type="dxa"/>
        <w:tblLook w:val="04A0" w:firstRow="1" w:lastRow="0" w:firstColumn="1" w:lastColumn="0" w:noHBand="0" w:noVBand="1"/>
        <w:tblCaption w:val="Reform options for rideshare"/>
        <w:tblDescription w:val="This table provides a description of each of the options for this reform area. Status quo, non-regulatory and regulatory."/>
      </w:tblPr>
      <w:tblGrid>
        <w:gridCol w:w="2232"/>
        <w:gridCol w:w="6840"/>
      </w:tblGrid>
      <w:tr w:rsidR="008E7312" w:rsidRPr="007D162C" w14:paraId="55BB07E2"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6A338BC1" w14:textId="77777777" w:rsidR="008E7312" w:rsidRPr="007D162C" w:rsidRDefault="008E7312" w:rsidP="00C17787">
            <w:r w:rsidRPr="007D162C">
              <w:t>Option</w:t>
            </w:r>
          </w:p>
        </w:tc>
        <w:tc>
          <w:tcPr>
            <w:tcW w:w="6840" w:type="dxa"/>
          </w:tcPr>
          <w:p w14:paraId="56855FDA" w14:textId="77777777" w:rsidR="008E7312" w:rsidRPr="007D162C" w:rsidRDefault="008E7312"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8E7312" w:rsidRPr="007D162C" w14:paraId="2E9FE54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32A5334" w14:textId="77777777" w:rsidR="008E7312" w:rsidRPr="007D162C" w:rsidRDefault="008E7312" w:rsidP="00C17787">
            <w:r w:rsidRPr="007D162C">
              <w:t>Status Quo</w:t>
            </w:r>
          </w:p>
        </w:tc>
        <w:tc>
          <w:tcPr>
            <w:tcW w:w="6840" w:type="dxa"/>
          </w:tcPr>
          <w:p w14:paraId="09C6AD2A" w14:textId="30438C7D"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It would continue to be unclear in the Transport Standards if rideshare is defined as a public transport services and conveyance, </w:t>
            </w:r>
            <w:r w:rsidR="00BC72AC">
              <w:t>and</w:t>
            </w:r>
            <w:r w:rsidRPr="007D162C">
              <w:t xml:space="preserve"> the obligations and responsibilities of operators and providers in relation to rideshare. </w:t>
            </w:r>
          </w:p>
          <w:p w14:paraId="25EDCB60"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8E7312" w:rsidRPr="007D162C" w14:paraId="3B52C3D0"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72C97D9" w14:textId="77777777" w:rsidR="008E7312" w:rsidRPr="007D162C" w:rsidRDefault="008E7312" w:rsidP="00C17787">
            <w:r w:rsidRPr="007D162C">
              <w:t>Non-Regulatory</w:t>
            </w:r>
          </w:p>
        </w:tc>
        <w:tc>
          <w:tcPr>
            <w:tcW w:w="6840" w:type="dxa"/>
          </w:tcPr>
          <w:p w14:paraId="14CA2C00" w14:textId="77777777" w:rsidR="008E7312" w:rsidRPr="007D162C" w:rsidRDefault="008E7312"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 xml:space="preserve">future transport modes to consider accessibility requirements to ensure these services meet the Transport Standards. </w:t>
            </w:r>
          </w:p>
          <w:p w14:paraId="2B06B4CC" w14:textId="77777777" w:rsidR="008E7312" w:rsidRPr="007D162C" w:rsidRDefault="008E7312" w:rsidP="00C17787">
            <w:pPr>
              <w:cnfStyle w:val="000000000000" w:firstRow="0" w:lastRow="0" w:firstColumn="0" w:lastColumn="0" w:oddVBand="0" w:evenVBand="0" w:oddHBand="0" w:evenHBand="0" w:firstRowFirstColumn="0" w:firstRowLastColumn="0" w:lastRowFirstColumn="0" w:lastRowLastColumn="0"/>
            </w:pPr>
            <w:r w:rsidRPr="007D162C">
              <w:t xml:space="preserve">An education campaign would be developed targeted at the rideshare sector, providing advice on their responsibilities under the DDA. </w:t>
            </w:r>
          </w:p>
        </w:tc>
      </w:tr>
      <w:tr w:rsidR="008E7312" w:rsidRPr="007D162C" w14:paraId="6EB56F2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12EC3E6" w14:textId="77777777" w:rsidR="008E7312" w:rsidRPr="007D162C" w:rsidRDefault="008E7312" w:rsidP="00C17787">
            <w:r w:rsidRPr="007D162C">
              <w:t>Regulatory</w:t>
            </w:r>
          </w:p>
        </w:tc>
        <w:tc>
          <w:tcPr>
            <w:tcW w:w="6840" w:type="dxa"/>
          </w:tcPr>
          <w:p w14:paraId="2A1E3762"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t>
            </w:r>
            <w:bookmarkStart w:id="195" w:name="_Hlk128410049"/>
            <w:r w:rsidRPr="007D162C">
              <w:t>would be amended to ensure rideshare services are explicitly identified in the Transport Standards and applicable Transport Standards requirements for taxi-travel are fit for purpose in application to rideshare conveyances.</w:t>
            </w:r>
          </w:p>
          <w:bookmarkEnd w:id="195"/>
          <w:p w14:paraId="643F6292" w14:textId="77777777" w:rsidR="008E7312" w:rsidRPr="007D162C" w:rsidRDefault="008E7312" w:rsidP="00C17787">
            <w:pPr>
              <w:cnfStyle w:val="000000100000" w:firstRow="0" w:lastRow="0" w:firstColumn="0" w:lastColumn="0" w:oddVBand="0" w:evenVBand="0" w:oddHBand="1" w:evenHBand="0" w:firstRowFirstColumn="0" w:firstRowLastColumn="0" w:lastRowFirstColumn="0" w:lastRowLastColumn="0"/>
            </w:pPr>
            <w:r w:rsidRPr="007D162C">
              <w:t xml:space="preserve">Guidance would be provided to reflect any new requirements. </w:t>
            </w:r>
          </w:p>
        </w:tc>
      </w:tr>
    </w:tbl>
    <w:p w14:paraId="41770004" w14:textId="77777777" w:rsidR="00960FA5" w:rsidRPr="007D162C" w:rsidRDefault="00960FA5" w:rsidP="00960FA5"/>
    <w:p w14:paraId="0D487E3C" w14:textId="77777777" w:rsidR="008E7312" w:rsidRPr="007D162C" w:rsidRDefault="008E7312" w:rsidP="008E7312">
      <w:pPr>
        <w:pStyle w:val="Heading4"/>
        <w:tabs>
          <w:tab w:val="left" w:pos="284"/>
        </w:tabs>
      </w:pPr>
      <w:r w:rsidRPr="007D162C">
        <w:t>Cost benefit analysis</w:t>
      </w:r>
    </w:p>
    <w:p w14:paraId="311F830A" w14:textId="77777777" w:rsidR="008E7312" w:rsidRPr="007D162C" w:rsidRDefault="008E7312" w:rsidP="008E7312">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0F2D5CD" w14:textId="77777777" w:rsidR="008E7312" w:rsidRPr="007D162C" w:rsidRDefault="008E7312" w:rsidP="008E7312">
      <w:r w:rsidRPr="007D162C">
        <w:t xml:space="preserve">The following categories of quantitative costs and benefits were identified in the CBA as pertaining to the reform options. </w:t>
      </w:r>
    </w:p>
    <w:p w14:paraId="1F00D1AC" w14:textId="77777777" w:rsidR="008E7312" w:rsidRPr="007D162C" w:rsidRDefault="008E7312" w:rsidP="008E7312">
      <w:r w:rsidRPr="007D162C">
        <w:br w:type="page"/>
      </w:r>
    </w:p>
    <w:p w14:paraId="7D786FCC" w14:textId="370EA27A" w:rsidR="008E7312" w:rsidRPr="007D162C" w:rsidRDefault="008E7312" w:rsidP="00960FA5">
      <w:pPr>
        <w:pStyle w:val="Tablefigureheading"/>
      </w:pPr>
      <w:bookmarkStart w:id="196" w:name="_Toc122446321"/>
      <w:bookmarkStart w:id="197" w:name="_Toc139969171"/>
      <w:r w:rsidRPr="007D162C">
        <w:lastRenderedPageBreak/>
        <w:t xml:space="preserve">Table </w:t>
      </w:r>
      <w:fldSimple w:instr=" SEQ Table \* ARABIC ">
        <w:r w:rsidR="00DC26AC">
          <w:rPr>
            <w:noProof/>
          </w:rPr>
          <w:t>13</w:t>
        </w:r>
      </w:fldSimple>
      <w:r w:rsidRPr="007D162C">
        <w:t>: Benefit-cost ratios for Rideshare</w:t>
      </w:r>
      <w:bookmarkEnd w:id="196"/>
      <w:bookmarkEnd w:id="197"/>
    </w:p>
    <w:tbl>
      <w:tblPr>
        <w:tblStyle w:val="DefaultTable1"/>
        <w:tblW w:w="9072" w:type="dxa"/>
        <w:tblLayout w:type="fixed"/>
        <w:tblLook w:val="04A0" w:firstRow="1" w:lastRow="0" w:firstColumn="1" w:lastColumn="0" w:noHBand="0" w:noVBand="1"/>
        <w:tblCaption w:val="Benefit-cost ratios for Rideshare"/>
        <w:tblDescription w:val="This table provides the monetised benefits and costs for each of the options for this reform area."/>
      </w:tblPr>
      <w:tblGrid>
        <w:gridCol w:w="1985"/>
        <w:gridCol w:w="1134"/>
        <w:gridCol w:w="1843"/>
        <w:gridCol w:w="1843"/>
        <w:gridCol w:w="1417"/>
        <w:gridCol w:w="850"/>
      </w:tblGrid>
      <w:tr w:rsidR="008E7312" w:rsidRPr="007D162C" w14:paraId="46D03E8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65EDC8" w14:textId="77777777" w:rsidR="008E7312" w:rsidRPr="007D162C" w:rsidRDefault="08D050C4" w:rsidP="00C17787">
            <w:pPr>
              <w:rPr>
                <w:sz w:val="21"/>
                <w:szCs w:val="21"/>
              </w:rPr>
            </w:pPr>
            <w:r w:rsidRPr="007D162C">
              <w:rPr>
                <w:sz w:val="21"/>
                <w:szCs w:val="21"/>
              </w:rPr>
              <w:t>Reform Option</w:t>
            </w:r>
          </w:p>
        </w:tc>
        <w:tc>
          <w:tcPr>
            <w:tcW w:w="1134" w:type="dxa"/>
          </w:tcPr>
          <w:p w14:paraId="315FD11F" w14:textId="77777777" w:rsidR="008E7312" w:rsidRPr="007D162C" w:rsidRDefault="08D050C4" w:rsidP="08D050C4">
            <w:pPr>
              <w:ind w:right="-111"/>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benefits*</w:t>
            </w:r>
          </w:p>
        </w:tc>
        <w:tc>
          <w:tcPr>
            <w:tcW w:w="1843" w:type="dxa"/>
          </w:tcPr>
          <w:p w14:paraId="43E66655" w14:textId="77777777" w:rsidR="008E7312"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(administrative)*</w:t>
            </w:r>
          </w:p>
        </w:tc>
        <w:tc>
          <w:tcPr>
            <w:tcW w:w="1843" w:type="dxa"/>
          </w:tcPr>
          <w:p w14:paraId="78F09D12" w14:textId="77777777" w:rsidR="008E7312" w:rsidRPr="007D162C" w:rsidRDefault="08D050C4" w:rsidP="08D050C4">
            <w:pPr>
              <w:ind w:left="-114"/>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(substantive)*</w:t>
            </w:r>
          </w:p>
        </w:tc>
        <w:tc>
          <w:tcPr>
            <w:tcW w:w="1417" w:type="dxa"/>
          </w:tcPr>
          <w:p w14:paraId="41C6C5B5" w14:textId="77777777" w:rsidR="008E7312"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total compliance costs*</w:t>
            </w:r>
          </w:p>
        </w:tc>
        <w:tc>
          <w:tcPr>
            <w:tcW w:w="850" w:type="dxa"/>
          </w:tcPr>
          <w:p w14:paraId="019B8880"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BCR</w:t>
            </w:r>
          </w:p>
        </w:tc>
      </w:tr>
      <w:tr w:rsidR="008E7312" w:rsidRPr="007D162C" w14:paraId="5F9A08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FB0148" w14:textId="77777777" w:rsidR="008E7312" w:rsidRPr="007D162C" w:rsidRDefault="008E7312" w:rsidP="00C17787">
            <w:r w:rsidRPr="007D162C">
              <w:t>Status Quo</w:t>
            </w:r>
          </w:p>
        </w:tc>
        <w:tc>
          <w:tcPr>
            <w:tcW w:w="1134" w:type="dxa"/>
          </w:tcPr>
          <w:p w14:paraId="616CF65B"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rPr>
            </w:pPr>
            <w:r w:rsidRPr="007D162C">
              <w:rPr>
                <w:b/>
                <w:bCs/>
                <w:sz w:val="21"/>
                <w:szCs w:val="21"/>
              </w:rPr>
              <w:t>-</w:t>
            </w:r>
          </w:p>
        </w:tc>
        <w:tc>
          <w:tcPr>
            <w:tcW w:w="1843" w:type="dxa"/>
          </w:tcPr>
          <w:p w14:paraId="2C33DAA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1843" w:type="dxa"/>
          </w:tcPr>
          <w:p w14:paraId="5C58DB9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1417" w:type="dxa"/>
          </w:tcPr>
          <w:p w14:paraId="57EDFBC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c>
          <w:tcPr>
            <w:tcW w:w="850" w:type="dxa"/>
          </w:tcPr>
          <w:p w14:paraId="5FE1417B"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07D162C">
              <w:rPr>
                <w:b/>
                <w:bCs/>
                <w:sz w:val="21"/>
                <w:szCs w:val="21"/>
              </w:rPr>
              <w:t>-</w:t>
            </w:r>
          </w:p>
        </w:tc>
      </w:tr>
      <w:tr w:rsidR="008E7312" w:rsidRPr="007D162C" w14:paraId="3FDD74C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333FBB37" w14:textId="77777777" w:rsidR="008E7312" w:rsidRPr="007D162C" w:rsidRDefault="008E7312" w:rsidP="00C17787">
            <w:pPr>
              <w:rPr>
                <w:color w:val="auto"/>
              </w:rPr>
            </w:pPr>
            <w:r w:rsidRPr="007D162C">
              <w:rPr>
                <w:color w:val="auto"/>
              </w:rPr>
              <w:t xml:space="preserve">Non-regulatory </w:t>
            </w:r>
          </w:p>
        </w:tc>
        <w:tc>
          <w:tcPr>
            <w:tcW w:w="1134" w:type="dxa"/>
            <w:vAlign w:val="center"/>
          </w:tcPr>
          <w:p w14:paraId="2EFE083F"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vertAlign w:val="superscript"/>
              </w:rPr>
            </w:pPr>
            <w:r w:rsidRPr="007D162C">
              <w:rPr>
                <w:color w:val="auto"/>
              </w:rPr>
              <w:t>3.0</w:t>
            </w:r>
          </w:p>
        </w:tc>
        <w:tc>
          <w:tcPr>
            <w:tcW w:w="1843" w:type="dxa"/>
            <w:vAlign w:val="center"/>
          </w:tcPr>
          <w:p w14:paraId="628F1580"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sz w:val="21"/>
                <w:szCs w:val="21"/>
              </w:rPr>
            </w:pPr>
            <w:r w:rsidRPr="007D162C">
              <w:rPr>
                <w:color w:val="auto"/>
                <w:sz w:val="21"/>
                <w:szCs w:val="21"/>
              </w:rPr>
              <w:t>-</w:t>
            </w:r>
          </w:p>
        </w:tc>
        <w:tc>
          <w:tcPr>
            <w:tcW w:w="1843" w:type="dxa"/>
            <w:vAlign w:val="center"/>
          </w:tcPr>
          <w:p w14:paraId="2638CDAE"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2.9</w:t>
            </w:r>
          </w:p>
        </w:tc>
        <w:tc>
          <w:tcPr>
            <w:tcW w:w="1417" w:type="dxa"/>
            <w:vAlign w:val="center"/>
          </w:tcPr>
          <w:p w14:paraId="6C37618D" w14:textId="77777777" w:rsidR="008E7312" w:rsidRPr="007D162C" w:rsidRDefault="008E7312" w:rsidP="007E7D92">
            <w:pPr>
              <w:cnfStyle w:val="000000000000" w:firstRow="0" w:lastRow="0" w:firstColumn="0" w:lastColumn="0" w:oddVBand="0" w:evenVBand="0" w:oddHBand="0" w:evenHBand="0" w:firstRowFirstColumn="0" w:firstRowLastColumn="0" w:lastRowFirstColumn="0" w:lastRowLastColumn="0"/>
              <w:rPr>
                <w:color w:val="auto"/>
                <w:vertAlign w:val="superscript"/>
              </w:rPr>
            </w:pPr>
            <w:r w:rsidRPr="007D162C">
              <w:rPr>
                <w:color w:val="auto"/>
              </w:rPr>
              <w:t>2.9</w:t>
            </w:r>
            <w:r w:rsidR="004815D7" w:rsidRPr="007D162C">
              <w:rPr>
                <w:color w:val="auto"/>
                <w:vertAlign w:val="superscript"/>
              </w:rPr>
              <w:t>i</w:t>
            </w:r>
          </w:p>
        </w:tc>
        <w:tc>
          <w:tcPr>
            <w:tcW w:w="850" w:type="dxa"/>
            <w:vAlign w:val="center"/>
          </w:tcPr>
          <w:p w14:paraId="23A65A28" w14:textId="77777777" w:rsidR="008E7312"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1.04</w:t>
            </w:r>
          </w:p>
        </w:tc>
      </w:tr>
      <w:tr w:rsidR="008E7312" w:rsidRPr="007D162C" w14:paraId="57F3B8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D6556E" w14:textId="77777777" w:rsidR="008E7312" w:rsidRPr="007D162C" w:rsidRDefault="008E7312" w:rsidP="00C17787">
            <w:r w:rsidRPr="007D162C">
              <w:t>Regulatory</w:t>
            </w:r>
          </w:p>
        </w:tc>
        <w:tc>
          <w:tcPr>
            <w:tcW w:w="1134" w:type="dxa"/>
            <w:vAlign w:val="center"/>
          </w:tcPr>
          <w:p w14:paraId="129833F5"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21.5</w:t>
            </w:r>
          </w:p>
        </w:tc>
        <w:tc>
          <w:tcPr>
            <w:tcW w:w="1843" w:type="dxa"/>
            <w:vAlign w:val="center"/>
          </w:tcPr>
          <w:p w14:paraId="740DED0E"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0.03</w:t>
            </w:r>
          </w:p>
        </w:tc>
        <w:tc>
          <w:tcPr>
            <w:tcW w:w="1843" w:type="dxa"/>
            <w:vAlign w:val="center"/>
          </w:tcPr>
          <w:p w14:paraId="554C34FC"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20.0</w:t>
            </w:r>
          </w:p>
        </w:tc>
        <w:tc>
          <w:tcPr>
            <w:tcW w:w="1417" w:type="dxa"/>
            <w:vAlign w:val="center"/>
          </w:tcPr>
          <w:p w14:paraId="67998DF9"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20.0</w:t>
            </w:r>
          </w:p>
        </w:tc>
        <w:tc>
          <w:tcPr>
            <w:tcW w:w="850" w:type="dxa"/>
            <w:vAlign w:val="center"/>
          </w:tcPr>
          <w:p w14:paraId="08E86EEA" w14:textId="77777777" w:rsidR="008E7312" w:rsidRPr="007D162C" w:rsidRDefault="08D050C4" w:rsidP="007E7D92">
            <w:pPr>
              <w:cnfStyle w:val="000000100000" w:firstRow="0" w:lastRow="0" w:firstColumn="0" w:lastColumn="0" w:oddVBand="0" w:evenVBand="0" w:oddHBand="1" w:evenHBand="0" w:firstRowFirstColumn="0" w:firstRowLastColumn="0" w:lastRowFirstColumn="0" w:lastRowLastColumn="0"/>
            </w:pPr>
            <w:r w:rsidRPr="007D162C">
              <w:t>1.07</w:t>
            </w:r>
          </w:p>
        </w:tc>
      </w:tr>
    </w:tbl>
    <w:p w14:paraId="3BEFBC99" w14:textId="77777777" w:rsidR="008E7312" w:rsidRPr="007D162C" w:rsidRDefault="008E7312" w:rsidP="008E7312">
      <w:pPr>
        <w:spacing w:before="120" w:after="0"/>
        <w:rPr>
          <w:sz w:val="20"/>
          <w:szCs w:val="20"/>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7231B83" w14:textId="77777777" w:rsidR="008E7312"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8E359F1" w14:textId="77777777" w:rsidR="008E7312" w:rsidRPr="007D162C" w:rsidRDefault="008E7312" w:rsidP="008E7312"/>
    <w:p w14:paraId="64FE3503" w14:textId="77777777" w:rsidR="008E7312" w:rsidRPr="007D162C" w:rsidRDefault="008E7312" w:rsidP="008E7312">
      <w:pPr>
        <w:pStyle w:val="Heading6"/>
      </w:pPr>
      <w:r w:rsidRPr="007D162C">
        <w:t>Considerations to note in interpreting analysis</w:t>
      </w:r>
    </w:p>
    <w:p w14:paraId="0744925A" w14:textId="77777777" w:rsidR="008E7312" w:rsidRPr="007D162C" w:rsidRDefault="008E7312" w:rsidP="008E7312">
      <w:pPr>
        <w:pStyle w:val="Heading7"/>
      </w:pPr>
      <w:r w:rsidRPr="007D162C">
        <w:t>Limitations</w:t>
      </w:r>
    </w:p>
    <w:p w14:paraId="6CAF4D80" w14:textId="77777777" w:rsidR="008E7312" w:rsidRPr="007D162C" w:rsidRDefault="008E7312" w:rsidP="00105D34">
      <w:pPr>
        <w:pStyle w:val="Heading8"/>
      </w:pPr>
      <w:r w:rsidRPr="007D162C">
        <w:t>Non-regulatory</w:t>
      </w:r>
    </w:p>
    <w:p w14:paraId="1C3D1A4B" w14:textId="5E7D0AB2" w:rsidR="008E7312" w:rsidRPr="007D162C" w:rsidRDefault="08D050C4" w:rsidP="008E7312">
      <w:r w:rsidRPr="007D162C">
        <w:t>An estimated rate of uptake of 15</w:t>
      </w:r>
      <w:r w:rsidR="00587126">
        <w:t xml:space="preserve"> per cent</w:t>
      </w:r>
      <w:r w:rsidRPr="007D162C">
        <w:t xml:space="preserve"> was applied to the non-regulatory option based on disability community submissions and the lack of engagement by the rideshare sector with the Transport Standards modernisation project. This implies that the costs and benefits quantified for this non-regulatory reform may not reflect future take-up. </w:t>
      </w:r>
    </w:p>
    <w:p w14:paraId="6F266D36" w14:textId="77777777" w:rsidR="008E7312" w:rsidRPr="007D162C" w:rsidRDefault="008E7312" w:rsidP="008E7312">
      <w:r w:rsidRPr="007D162C">
        <w:t>The costs for an education campaign are estimated, and were provided by the Department based on market research and previous national campaigns. This estimate may not be reflective of future costs.</w:t>
      </w:r>
    </w:p>
    <w:p w14:paraId="303892C6" w14:textId="77777777" w:rsidR="008E7312" w:rsidRPr="007D162C" w:rsidRDefault="008E7312" w:rsidP="00105D34">
      <w:pPr>
        <w:pStyle w:val="Heading8"/>
      </w:pPr>
      <w:r w:rsidRPr="007D162C">
        <w:t>Regulatory</w:t>
      </w:r>
    </w:p>
    <w:p w14:paraId="05638DF9" w14:textId="77777777" w:rsidR="008E7312" w:rsidRPr="007D162C" w:rsidRDefault="08D050C4" w:rsidP="008E7312">
      <w:r w:rsidRPr="007D162C">
        <w:t>The costs and benefits for this reform were estimated based on publicly available information on the rideshare industry in Australia implying that the benefits may not reflect the future compliance or changes to the market behaviour.</w:t>
      </w:r>
    </w:p>
    <w:p w14:paraId="574A4D57" w14:textId="77777777" w:rsidR="008E7312" w:rsidRPr="007D162C" w:rsidRDefault="008E7312" w:rsidP="008E7312">
      <w:pPr>
        <w:pStyle w:val="Heading7"/>
        <w:rPr>
          <w:lang w:val="en-AU"/>
        </w:rPr>
      </w:pPr>
      <w:r w:rsidRPr="007D162C">
        <w:rPr>
          <w:lang w:val="en-AU"/>
        </w:rPr>
        <w:t>Interdependencies</w:t>
      </w:r>
    </w:p>
    <w:p w14:paraId="5885F22C" w14:textId="77777777" w:rsidR="008E7312" w:rsidRPr="007D162C" w:rsidRDefault="08D050C4" w:rsidP="008E7312">
      <w:r w:rsidRPr="007D162C">
        <w:t>The accessibility benefits associated with the reform will only be realised if there was equitable access across the whole public transport journey, with benefits reliant on implementation of other reforms such as accessible taxi ranks and accessible passenger loading zones.</w:t>
      </w:r>
    </w:p>
    <w:p w14:paraId="25A86D95" w14:textId="77777777" w:rsidR="008E7312" w:rsidRPr="007D162C" w:rsidRDefault="008E7312" w:rsidP="008E7312">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980C0AC" w14:textId="77777777" w:rsidR="00960FA5" w:rsidRPr="007D162C" w:rsidRDefault="008E7312" w:rsidP="008E7312">
      <w:r w:rsidRPr="007D162C">
        <w:t>The following categories of qualitative benefits were identified in the CBA as pertaining to the reform options.</w:t>
      </w:r>
    </w:p>
    <w:p w14:paraId="6A808D7C" w14:textId="2DA3761E" w:rsidR="008E7312" w:rsidRPr="007D162C" w:rsidRDefault="008E7312" w:rsidP="00960FA5">
      <w:pPr>
        <w:pStyle w:val="Tablefigureheading"/>
      </w:pPr>
      <w:bookmarkStart w:id="198" w:name="_Toc122446322"/>
      <w:bookmarkStart w:id="199" w:name="_Toc139969172"/>
      <w:r w:rsidRPr="007D162C">
        <w:t xml:space="preserve">Table </w:t>
      </w:r>
      <w:fldSimple w:instr=" SEQ Table \* ARABIC ">
        <w:r w:rsidR="00DC26AC">
          <w:rPr>
            <w:noProof/>
          </w:rPr>
          <w:t>14</w:t>
        </w:r>
      </w:fldSimple>
      <w:r w:rsidRPr="007D162C">
        <w:t>: Qualitative benefits for Rideshare</w:t>
      </w:r>
      <w:bookmarkEnd w:id="198"/>
      <w:bookmarkEnd w:id="199"/>
    </w:p>
    <w:tbl>
      <w:tblPr>
        <w:tblStyle w:val="DefaultTable1"/>
        <w:tblW w:w="9781" w:type="dxa"/>
        <w:tblLook w:val="04A0" w:firstRow="1" w:lastRow="0" w:firstColumn="1" w:lastColumn="0" w:noHBand="0" w:noVBand="1"/>
        <w:tblCaption w:val="Qualitative benefits for Rideshare"/>
      </w:tblPr>
      <w:tblGrid>
        <w:gridCol w:w="1196"/>
        <w:gridCol w:w="1199"/>
        <w:gridCol w:w="1490"/>
        <w:gridCol w:w="1502"/>
        <w:gridCol w:w="1193"/>
        <w:gridCol w:w="1701"/>
        <w:gridCol w:w="1500"/>
      </w:tblGrid>
      <w:tr w:rsidR="007E7D92" w:rsidRPr="007D162C" w14:paraId="6985B457" w14:textId="77777777" w:rsidTr="08D050C4">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1196" w:type="dxa"/>
          </w:tcPr>
          <w:p w14:paraId="60C0BC0A" w14:textId="77777777" w:rsidR="008E7312" w:rsidRPr="007D162C" w:rsidRDefault="08D050C4" w:rsidP="00C17787">
            <w:pPr>
              <w:rPr>
                <w:sz w:val="21"/>
                <w:szCs w:val="21"/>
              </w:rPr>
            </w:pPr>
            <w:r w:rsidRPr="007D162C">
              <w:rPr>
                <w:sz w:val="21"/>
                <w:szCs w:val="21"/>
              </w:rPr>
              <w:t>Reform Option</w:t>
            </w:r>
          </w:p>
        </w:tc>
        <w:tc>
          <w:tcPr>
            <w:tcW w:w="1199" w:type="dxa"/>
          </w:tcPr>
          <w:p w14:paraId="5CFABE59"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90" w:type="dxa"/>
          </w:tcPr>
          <w:p w14:paraId="1A6539B2"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502" w:type="dxa"/>
          </w:tcPr>
          <w:p w14:paraId="38632194"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93" w:type="dxa"/>
          </w:tcPr>
          <w:p w14:paraId="4E0C0248"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3DC063FD"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00" w:type="dxa"/>
          </w:tcPr>
          <w:p w14:paraId="18C8C6F7" w14:textId="77777777" w:rsidR="008E7312" w:rsidRPr="007D162C" w:rsidRDefault="08D050C4" w:rsidP="00C17787">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7E7D92" w:rsidRPr="007D162C" w14:paraId="2236B5EB" w14:textId="77777777" w:rsidTr="08D050C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196" w:type="dxa"/>
          </w:tcPr>
          <w:p w14:paraId="496459CD" w14:textId="77777777" w:rsidR="008E7312" w:rsidRPr="007D162C" w:rsidRDefault="008E7312" w:rsidP="00C17787">
            <w:pPr>
              <w:rPr>
                <w:sz w:val="21"/>
                <w:szCs w:val="21"/>
              </w:rPr>
            </w:pPr>
            <w:r w:rsidRPr="007D162C">
              <w:rPr>
                <w:sz w:val="21"/>
                <w:szCs w:val="21"/>
              </w:rPr>
              <w:t>Status Quo</w:t>
            </w:r>
          </w:p>
        </w:tc>
        <w:tc>
          <w:tcPr>
            <w:tcW w:w="1199" w:type="dxa"/>
          </w:tcPr>
          <w:p w14:paraId="29D5F267"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90" w:type="dxa"/>
          </w:tcPr>
          <w:p w14:paraId="0FC1269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02" w:type="dxa"/>
          </w:tcPr>
          <w:p w14:paraId="7FF27280"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193" w:type="dxa"/>
          </w:tcPr>
          <w:p w14:paraId="131F9E2D"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F03D99F"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00" w:type="dxa"/>
          </w:tcPr>
          <w:p w14:paraId="11C08839" w14:textId="77777777" w:rsidR="008E7312"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7E7D92" w:rsidRPr="007D162C" w14:paraId="022F5167" w14:textId="77777777" w:rsidTr="08D050C4">
        <w:trPr>
          <w:trHeight w:val="597"/>
        </w:trPr>
        <w:tc>
          <w:tcPr>
            <w:cnfStyle w:val="001000000000" w:firstRow="0" w:lastRow="0" w:firstColumn="1" w:lastColumn="0" w:oddVBand="0" w:evenVBand="0" w:oddHBand="0" w:evenHBand="0" w:firstRowFirstColumn="0" w:firstRowLastColumn="0" w:lastRowFirstColumn="0" w:lastRowLastColumn="0"/>
            <w:tcW w:w="1196" w:type="dxa"/>
          </w:tcPr>
          <w:p w14:paraId="27EDCF97" w14:textId="77777777" w:rsidR="008E7312" w:rsidRPr="007D162C" w:rsidRDefault="008E7312" w:rsidP="00C17787">
            <w:pPr>
              <w:rPr>
                <w:sz w:val="21"/>
                <w:szCs w:val="21"/>
              </w:rPr>
            </w:pPr>
            <w:r w:rsidRPr="007D162C">
              <w:rPr>
                <w:sz w:val="21"/>
                <w:szCs w:val="21"/>
              </w:rPr>
              <w:t xml:space="preserve">Non-regulatory </w:t>
            </w:r>
          </w:p>
        </w:tc>
        <w:tc>
          <w:tcPr>
            <w:tcW w:w="1199" w:type="dxa"/>
            <w:vAlign w:val="center"/>
          </w:tcPr>
          <w:p w14:paraId="694197D0"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490" w:type="dxa"/>
            <w:vAlign w:val="center"/>
          </w:tcPr>
          <w:p w14:paraId="1469FD1A"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502" w:type="dxa"/>
            <w:vAlign w:val="center"/>
          </w:tcPr>
          <w:p w14:paraId="411F8F8F"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193" w:type="dxa"/>
            <w:vAlign w:val="center"/>
          </w:tcPr>
          <w:p w14:paraId="72D334DE"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2BA01346"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c>
          <w:tcPr>
            <w:tcW w:w="1500" w:type="dxa"/>
            <w:vAlign w:val="center"/>
          </w:tcPr>
          <w:p w14:paraId="37102A30" w14:textId="77777777" w:rsidR="008E7312" w:rsidRPr="007D162C" w:rsidRDefault="008E7312" w:rsidP="00E64800">
            <w:pPr>
              <w:cnfStyle w:val="000000000000" w:firstRow="0" w:lastRow="0" w:firstColumn="0" w:lastColumn="0" w:oddVBand="0" w:evenVBand="0" w:oddHBand="0" w:evenHBand="0" w:firstRowFirstColumn="0" w:firstRowLastColumn="0" w:lastRowFirstColumn="0" w:lastRowLastColumn="0"/>
            </w:pPr>
            <w:r w:rsidRPr="007D162C">
              <w:t>Yes</w:t>
            </w:r>
          </w:p>
        </w:tc>
      </w:tr>
      <w:tr w:rsidR="007E7D92" w:rsidRPr="007D162C" w14:paraId="04AB2438" w14:textId="77777777" w:rsidTr="08D050C4">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96" w:type="dxa"/>
          </w:tcPr>
          <w:p w14:paraId="6C528759" w14:textId="77777777" w:rsidR="008E7312" w:rsidRPr="007D162C" w:rsidRDefault="008E7312" w:rsidP="00C17787">
            <w:pPr>
              <w:rPr>
                <w:sz w:val="21"/>
                <w:szCs w:val="21"/>
              </w:rPr>
            </w:pPr>
            <w:r w:rsidRPr="007D162C">
              <w:rPr>
                <w:sz w:val="21"/>
                <w:szCs w:val="21"/>
              </w:rPr>
              <w:t>Regulatory</w:t>
            </w:r>
          </w:p>
        </w:tc>
        <w:tc>
          <w:tcPr>
            <w:tcW w:w="1199" w:type="dxa"/>
            <w:vAlign w:val="center"/>
          </w:tcPr>
          <w:p w14:paraId="351F649C"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490" w:type="dxa"/>
            <w:vAlign w:val="center"/>
          </w:tcPr>
          <w:p w14:paraId="10638838"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502" w:type="dxa"/>
            <w:vAlign w:val="center"/>
          </w:tcPr>
          <w:p w14:paraId="556D9420"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193" w:type="dxa"/>
            <w:vAlign w:val="center"/>
          </w:tcPr>
          <w:p w14:paraId="67D869E9"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vAlign w:val="center"/>
          </w:tcPr>
          <w:p w14:paraId="74640B20"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c>
          <w:tcPr>
            <w:tcW w:w="1500" w:type="dxa"/>
            <w:vAlign w:val="center"/>
          </w:tcPr>
          <w:p w14:paraId="3D0BB1A7" w14:textId="77777777" w:rsidR="008E7312" w:rsidRPr="007D162C" w:rsidRDefault="008E7312" w:rsidP="00E64800">
            <w:pPr>
              <w:cnfStyle w:val="000000100000" w:firstRow="0" w:lastRow="0" w:firstColumn="0" w:lastColumn="0" w:oddVBand="0" w:evenVBand="0" w:oddHBand="1" w:evenHBand="0" w:firstRowFirstColumn="0" w:firstRowLastColumn="0" w:lastRowFirstColumn="0" w:lastRowLastColumn="0"/>
            </w:pPr>
            <w:r w:rsidRPr="007D162C">
              <w:t>Yes</w:t>
            </w:r>
          </w:p>
        </w:tc>
      </w:tr>
    </w:tbl>
    <w:p w14:paraId="349935F0" w14:textId="77777777" w:rsidR="00960FA5" w:rsidRPr="007D162C" w:rsidRDefault="00960FA5" w:rsidP="00960FA5"/>
    <w:p w14:paraId="74B6F780" w14:textId="77777777" w:rsidR="008E7312" w:rsidRPr="007D162C" w:rsidRDefault="008E7312" w:rsidP="008E7312">
      <w:pPr>
        <w:pStyle w:val="Heading4"/>
      </w:pPr>
      <w:r w:rsidRPr="007D162C">
        <w:lastRenderedPageBreak/>
        <w:t xml:space="preserve">Analysis of submissions </w:t>
      </w:r>
    </w:p>
    <w:p w14:paraId="2A41D5FF" w14:textId="77777777" w:rsidR="008E7312" w:rsidRPr="007D162C" w:rsidRDefault="008E7312" w:rsidP="008E7312">
      <w:pPr>
        <w:pStyle w:val="Heading5"/>
      </w:pPr>
      <w:r w:rsidRPr="007D162C">
        <w:t>Status quo</w:t>
      </w:r>
    </w:p>
    <w:p w14:paraId="3ABB7213" w14:textId="77777777" w:rsidR="008E7312" w:rsidRPr="007D162C" w:rsidRDefault="008E7312" w:rsidP="008E7312">
      <w:r w:rsidRPr="007D162C">
        <w:t>Ambiguity in relation to obligations of rideshare operators and providers would remain and there would be a lost opportunity to provide clarity regarding their requirements under the Transport Standards.</w:t>
      </w:r>
    </w:p>
    <w:p w14:paraId="441425F5" w14:textId="77777777" w:rsidR="008E7312" w:rsidRPr="007D162C" w:rsidRDefault="008E7312" w:rsidP="008E7312">
      <w:r w:rsidRPr="007D162C">
        <w:t>Consultation findings indicated people with disability face barriers when accessing rideshare services, including:</w:t>
      </w:r>
    </w:p>
    <w:p w14:paraId="540106CA" w14:textId="77777777" w:rsidR="008E7312" w:rsidRPr="007D162C" w:rsidRDefault="008E7312" w:rsidP="00960FA5">
      <w:pPr>
        <w:pStyle w:val="Listparagraphbullets"/>
        <w:spacing w:after="0"/>
      </w:pPr>
      <w:r w:rsidRPr="007D162C">
        <w:t>requirement to use smartphones to book rideshare services and credit card or smartphone payment options to pay for booked services</w:t>
      </w:r>
    </w:p>
    <w:p w14:paraId="466E449B" w14:textId="77777777" w:rsidR="008E7312" w:rsidRPr="007D162C" w:rsidRDefault="008E7312" w:rsidP="00960FA5">
      <w:pPr>
        <w:pStyle w:val="Listparagraphbullets"/>
        <w:spacing w:after="0"/>
      </w:pPr>
      <w:r w:rsidRPr="007D162C">
        <w:t>refusal of service for passengers traveling with a mobility device or assistance animal</w:t>
      </w:r>
    </w:p>
    <w:p w14:paraId="0F4AC441" w14:textId="77777777" w:rsidR="00402B76" w:rsidRPr="007D162C" w:rsidRDefault="008E7312" w:rsidP="00402B76">
      <w:pPr>
        <w:pStyle w:val="Listparagraphbullets"/>
        <w:spacing w:after="0"/>
      </w:pPr>
      <w:r w:rsidRPr="007D162C">
        <w:t>lack of staff training or available staff to assist people with disability to access rideshare services.</w:t>
      </w:r>
    </w:p>
    <w:p w14:paraId="4257B234" w14:textId="77777777" w:rsidR="00402B76" w:rsidRPr="007D162C" w:rsidRDefault="00402B76" w:rsidP="00402B76">
      <w:pPr>
        <w:pStyle w:val="Listparagraphbullets"/>
        <w:numPr>
          <w:ilvl w:val="0"/>
          <w:numId w:val="0"/>
        </w:numPr>
        <w:spacing w:after="0"/>
        <w:ind w:left="360"/>
      </w:pPr>
    </w:p>
    <w:p w14:paraId="395C3E65" w14:textId="77777777" w:rsidR="008E7312" w:rsidRPr="007D162C" w:rsidRDefault="008E7312" w:rsidP="008E7312">
      <w:r w:rsidRPr="007D162C">
        <w:t>This feedback indicates rideshare services are not meeting the varying needs of people with disability. Two submissions from the disability community strongly argued the status quo results in highly discriminatory outcomes.</w:t>
      </w:r>
    </w:p>
    <w:p w14:paraId="22D289CD" w14:textId="77777777" w:rsidR="008E7312" w:rsidRPr="007D162C" w:rsidRDefault="008E7312" w:rsidP="008E7312">
      <w:pPr>
        <w:pStyle w:val="Quote"/>
      </w:pPr>
      <w:r w:rsidRPr="007D162C">
        <w:t>Consequently, people who struggle with digital booking, digital payments, and those whose mobility aids such as wheelchairs, and particularly power wheelchairs do not have access to vehicles that are accessible for them to travel in and therefore cannot access a service. This is highly discriminatory and not in keeping with requirements under the Disability Discrimination Act 1992.</w:t>
      </w:r>
    </w:p>
    <w:p w14:paraId="01FD408A" w14:textId="77777777" w:rsidR="008E7312" w:rsidRPr="007D162C" w:rsidRDefault="008E7312" w:rsidP="008E7312">
      <w:pPr>
        <w:pStyle w:val="Quote"/>
      </w:pPr>
      <w:r w:rsidRPr="007D162C">
        <w:t>Queenslanders with Disability Network</w:t>
      </w:r>
    </w:p>
    <w:p w14:paraId="6BA1910C" w14:textId="77777777" w:rsidR="008E7312" w:rsidRPr="007D162C" w:rsidRDefault="008E7312" w:rsidP="008E7312">
      <w:r w:rsidRPr="007D162C">
        <w:t>One submission supported the status quo, citing concerns the definition of rideshare may capture specific segments of the bus and coach industry that would not be appropriate to regulate like taxis.</w:t>
      </w:r>
    </w:p>
    <w:p w14:paraId="30466BEE" w14:textId="77777777" w:rsidR="008E7312" w:rsidRPr="007D162C" w:rsidRDefault="008E7312" w:rsidP="008E7312">
      <w:pPr>
        <w:pStyle w:val="Quote"/>
      </w:pPr>
      <w:r w:rsidRPr="007D162C">
        <w:t xml:space="preserve">On Demand public transport, or Demand Responsive public transport is defined as a form of public transport characterised by flexible routing of small to medium vans, or buses operating in shared ride mode between virtual pick up and drop off locations within a service area, according to the passenger needs. On Demand public transport can offer a “door-to-door” service for passengers with disabilities. This aids in a safer journey for passengers not having to traverse to a designated stop for travel. </w:t>
      </w:r>
    </w:p>
    <w:p w14:paraId="18A74987" w14:textId="77777777" w:rsidR="008E7312" w:rsidRPr="007D162C" w:rsidRDefault="008E7312" w:rsidP="008E7312">
      <w:pPr>
        <w:pStyle w:val="Quote"/>
      </w:pPr>
      <w:r w:rsidRPr="007D162C">
        <w:t xml:space="preserve">Bus Industry Confederation </w:t>
      </w:r>
    </w:p>
    <w:p w14:paraId="64BC7F21" w14:textId="247A4DDC" w:rsidR="008E7312" w:rsidRPr="007D162C" w:rsidRDefault="008E7312" w:rsidP="008E7312">
      <w:r w:rsidRPr="007D162C">
        <w:t xml:space="preserve">The status quo does not support the objective of the Transport Standards to enable public transport operators and providers to remove discrimination from public transport services. Maintaining </w:t>
      </w:r>
      <w:r w:rsidR="00BC72AC">
        <w:t>the</w:t>
      </w:r>
      <w:r w:rsidRPr="007D162C">
        <w:t xml:space="preserve"> status quo has no on-going costs for public transports operators and providers, however, there are negative impacts on community safety, amenity, and accessibility, and the regulatory requirements for rideshare will remain unclear. </w:t>
      </w:r>
    </w:p>
    <w:p w14:paraId="2E6612F2" w14:textId="77777777" w:rsidR="008E7312" w:rsidRPr="007D162C" w:rsidRDefault="008E7312" w:rsidP="008E7312">
      <w:pPr>
        <w:pStyle w:val="Heading5"/>
      </w:pPr>
      <w:r w:rsidRPr="007D162C">
        <w:t>Non-regulatory</w:t>
      </w:r>
    </w:p>
    <w:p w14:paraId="1CF18E5B" w14:textId="77777777" w:rsidR="008E7312" w:rsidRPr="007D162C" w:rsidRDefault="008E7312" w:rsidP="008E7312">
      <w:r w:rsidRPr="007D162C">
        <w:t>The non-regulatory option was supported by some state governments. These submissions argued there are differences between the taxi industry and rideshare industry that mean requirements for taxis are not fit-for-purpose to be applied to rideshare, but also the proposed changes would not address all barriers faced by people with disability.</w:t>
      </w:r>
    </w:p>
    <w:p w14:paraId="79EEF4A0" w14:textId="6E009E5D" w:rsidR="008E7312" w:rsidRPr="007D162C" w:rsidRDefault="008E7312" w:rsidP="008E7312">
      <w:r w:rsidRPr="007D162C">
        <w:t xml:space="preserve">There is also concern from these governments that the proposed requirements for rideshare will impose costs on the rideshare industry which may reduce the supply of rideshare vehicles and so preferred the non-regulatory option. These submissions did not justify why rideshare services should have a competitive advantage over their competition, whom bare additional costs to comply with the Transport Standards. These submissions did not argue that rideshare services were not public transport and did not offer an alternative solution to address the barriers faced by people with disability. The rideshare industry did not provide submissions or feedback </w:t>
      </w:r>
      <w:r w:rsidR="006D4345">
        <w:t>during</w:t>
      </w:r>
      <w:r w:rsidRPr="007D162C">
        <w:t xml:space="preserve"> consultation. </w:t>
      </w:r>
    </w:p>
    <w:p w14:paraId="5F2B8779" w14:textId="77777777" w:rsidR="008E7312" w:rsidRPr="007D162C" w:rsidRDefault="008E7312" w:rsidP="008E7312">
      <w:r w:rsidRPr="007D162C">
        <w:lastRenderedPageBreak/>
        <w:t xml:space="preserve">The disability community did not support the non-regulatory option, arguing additional guidance that does not address the regulatory uncertainty for rideshare services would not address barriers faced by people with disability. </w:t>
      </w:r>
    </w:p>
    <w:p w14:paraId="23F915C9" w14:textId="77777777" w:rsidR="008E7312" w:rsidRPr="007D162C" w:rsidRDefault="008E7312" w:rsidP="008E7312">
      <w:pPr>
        <w:pStyle w:val="Heading5"/>
      </w:pPr>
      <w:r w:rsidRPr="007D162C">
        <w:t>Regulatory</w:t>
      </w:r>
    </w:p>
    <w:p w14:paraId="25C577EB" w14:textId="47D7F8F5" w:rsidR="008E7312" w:rsidRPr="007D162C" w:rsidRDefault="008E7312" w:rsidP="008E7312">
      <w:r w:rsidRPr="007D162C">
        <w:t>Feedback from public transport operators and providers, the disability community and government consistently indicated there is uncertainty about the requirements o</w:t>
      </w:r>
      <w:r w:rsidR="006D4345">
        <w:t>n</w:t>
      </w:r>
      <w:r w:rsidRPr="007D162C">
        <w:t xml:space="preserve"> the rideshare industry</w:t>
      </w:r>
      <w:r w:rsidR="00FA0AD4">
        <w:t>.</w:t>
      </w:r>
      <w:r w:rsidRPr="007D162C">
        <w:t xml:space="preserve"> </w:t>
      </w:r>
    </w:p>
    <w:p w14:paraId="2396392E" w14:textId="77777777" w:rsidR="008E7312" w:rsidRPr="007D162C" w:rsidRDefault="08D050C4" w:rsidP="008E7312">
      <w:r w:rsidRPr="007D162C">
        <w:t xml:space="preserve">All feedback from individuals, people with disability and disability organisations supported the regulatory option on the grounds that regulation resolves the uncertainty about the requirements for rideshare providers, and will address some barriers to using rideshare. Their feedback suggested this would improve people with disability’s confidence to use rideshare services, safety while using rideshare, ability to access rideshare vehicles and use rideshare booking services. Some submissions from industry and governments supported these arguments, and supported the clarity the regulatory option provides to the industry. </w:t>
      </w:r>
    </w:p>
    <w:p w14:paraId="551C6623" w14:textId="77777777" w:rsidR="008E7312" w:rsidRPr="007D162C" w:rsidRDefault="008E7312" w:rsidP="008E7312">
      <w:pPr>
        <w:pStyle w:val="Quote"/>
      </w:pPr>
      <w:r w:rsidRPr="007D162C">
        <w:t>This amendment is necessary to align the standards with the current landscape and the available options for people to travel, create certainty for operators and increase confidence in all forms of public transport for people with disability.</w:t>
      </w:r>
    </w:p>
    <w:p w14:paraId="3D87310B" w14:textId="77777777" w:rsidR="008E7312" w:rsidRPr="007D162C" w:rsidRDefault="008E7312" w:rsidP="008E7312">
      <w:pPr>
        <w:pStyle w:val="Quote"/>
      </w:pPr>
      <w:r w:rsidRPr="007D162C">
        <w:t>Public Transport Ombudsman of Victoria</w:t>
      </w:r>
    </w:p>
    <w:p w14:paraId="06715528" w14:textId="12124010" w:rsidR="008E7312" w:rsidRPr="007D162C" w:rsidRDefault="00630F92" w:rsidP="008E7312">
      <w:r>
        <w:br/>
        <w:t>One</w:t>
      </w:r>
      <w:r w:rsidR="008E7312" w:rsidRPr="007D162C">
        <w:t xml:space="preserve"> public transport operator argued the regulatory requirement to have raised lettering on passenger doors was essential to ensure people who are low vision can identify the rideshare vehicle</w:t>
      </w:r>
      <w:r w:rsidR="006D4345">
        <w:t>;</w:t>
      </w:r>
      <w:r w:rsidR="008E7312" w:rsidRPr="007D162C">
        <w:t xml:space="preserve"> however</w:t>
      </w:r>
      <w:r w:rsidR="006D4345">
        <w:t>,</w:t>
      </w:r>
      <w:r w:rsidR="008E7312" w:rsidRPr="007D162C">
        <w:t xml:space="preserve"> a submission from the disability community noted rideshare services can use alternative methods to allow people to identify a rideshare vehicle. Overall submissions indicated more work is required to address all accessibility barriers. </w:t>
      </w:r>
    </w:p>
    <w:p w14:paraId="44DC910F" w14:textId="641DFC57" w:rsidR="008E7312" w:rsidRPr="007D162C" w:rsidRDefault="00630F92" w:rsidP="008E7312">
      <w:r>
        <w:t>One</w:t>
      </w:r>
      <w:r w:rsidR="008E7312" w:rsidRPr="007D162C">
        <w:t xml:space="preserve"> state government strongly argued it was necessary to align the Transport Standards requirements with the current requirements for taxis, because they provide very similar services. It was strongly supported in submissions from state governments that proposed changes would not address the full range of rideshare accessibility issues, such as supply of wheelchair accessible vehicles, response times, and digital aspects of the rideshare model. </w:t>
      </w:r>
    </w:p>
    <w:p w14:paraId="5CB5C8C2" w14:textId="77777777" w:rsidR="008E7312" w:rsidRPr="007D162C" w:rsidRDefault="008E7312" w:rsidP="008E7312">
      <w:r w:rsidRPr="007D162C">
        <w:t xml:space="preserve">Feedback from operators and providers indicated there would be a cost associated with the new requirements, including ensuring information about rideshare services is accessible to all passengers, providing accessible fare payment systems, and placing raised registration numbers, such as stickers, on the exterior of passenger doors. These requirements are expected to only impose a modest cost on individual rideshare operators and providers where their provision of information is not accessible. </w:t>
      </w:r>
    </w:p>
    <w:p w14:paraId="44E3B249" w14:textId="77777777" w:rsidR="008E7312" w:rsidRPr="007D162C" w:rsidRDefault="008E7312" w:rsidP="008E7312">
      <w:r w:rsidRPr="007D162C">
        <w:t xml:space="preserve">The regulatory option is expected to improve the amenity, accessibility and safety for people with disability using rideshare services. There will be administrative and compliance costs for rideshare providers to comply. </w:t>
      </w:r>
    </w:p>
    <w:p w14:paraId="6E3B855D" w14:textId="77777777" w:rsidR="008E7312" w:rsidRPr="007D162C" w:rsidRDefault="008E7312" w:rsidP="008E7312">
      <w:pPr>
        <w:pStyle w:val="Heading4"/>
      </w:pPr>
      <w:r w:rsidRPr="007D162C">
        <w:t>Preferred option</w:t>
      </w:r>
    </w:p>
    <w:p w14:paraId="7C7841BC" w14:textId="5BBA090C" w:rsidR="00E64800" w:rsidRPr="007D162C" w:rsidRDefault="00E64800" w:rsidP="008E7312">
      <w:r w:rsidRPr="007D162C">
        <w:t xml:space="preserve">Informed by the outcomes of consultation, stakeholder impacts, cost and outcomes analysis, the preferred option is the </w:t>
      </w:r>
      <w:r w:rsidR="008E7312" w:rsidRPr="007D162C">
        <w:rPr>
          <w:b/>
        </w:rPr>
        <w:t>regulatory</w:t>
      </w:r>
      <w:r w:rsidR="006D4345">
        <w:rPr>
          <w:b/>
        </w:rPr>
        <w:t xml:space="preserve"> option</w:t>
      </w:r>
      <w:r w:rsidR="008E7312" w:rsidRPr="007D162C">
        <w:rPr>
          <w:b/>
        </w:rPr>
        <w:t>.</w:t>
      </w:r>
      <w:r w:rsidR="008E7312" w:rsidRPr="007D162C">
        <w:t xml:space="preserve"> </w:t>
      </w:r>
    </w:p>
    <w:p w14:paraId="2C7EBA5D" w14:textId="77777777" w:rsidR="008E7312" w:rsidRPr="007D162C" w:rsidRDefault="008E7312" w:rsidP="008E7312">
      <w:r w:rsidRPr="007D162C">
        <w:t xml:space="preserve">Consultation findings clearly demonstrated there is a lack of certainty for disability stakeholders of the requirements for rideshare operators and providers under the Transport Standards. Consultations also found evidence of accessibility issues for rideshare operators and providers. </w:t>
      </w:r>
    </w:p>
    <w:p w14:paraId="14C05F60" w14:textId="77777777" w:rsidR="008E7312" w:rsidRPr="007D162C" w:rsidRDefault="08D050C4" w:rsidP="008E7312">
      <w:r w:rsidRPr="007D162C">
        <w:t xml:space="preserve">Regulation will ensure rideshare is clearly identified in the Transport Standards as a public transport service. This will provide certainty to rideshare operators and providers and disability stakeholders of the requirements for rideshare under the Transport Standards. The requirements for rideshare conveyances would be harmonised with the requirements for taxis. This will work to address accessibility concerns raised by disability stakeholders, such as inaccessible fare payment and booking systems. </w:t>
      </w:r>
    </w:p>
    <w:p w14:paraId="33179455" w14:textId="77777777" w:rsidR="008E7312" w:rsidRPr="007D162C" w:rsidRDefault="008E7312" w:rsidP="008E7312">
      <w:r w:rsidRPr="007D162C">
        <w:lastRenderedPageBreak/>
        <w:t>The preferred option will be implemented through amendments to the Transport Standards and Guidelines. Operators and providers will be required to meet the new Transport Standards requirements retrospectively with a compliance schedule timing of 5 years for the raised registration number and response time elements of the regulatory proposal, and prospectively with a trigger mechanism for other requirements that apply to accessible taxis, including:</w:t>
      </w:r>
    </w:p>
    <w:p w14:paraId="2AA24C09" w14:textId="77777777" w:rsidR="008E7312" w:rsidRPr="007D162C" w:rsidRDefault="008E7312" w:rsidP="00960FA5">
      <w:pPr>
        <w:pStyle w:val="Listparagraphbullets"/>
        <w:spacing w:after="0"/>
      </w:pPr>
      <w:r w:rsidRPr="007D162C">
        <w:t>minimum number of allocated spaces to be provided</w:t>
      </w:r>
    </w:p>
    <w:p w14:paraId="2F4BAFDD" w14:textId="77777777" w:rsidR="008E7312" w:rsidRPr="007D162C" w:rsidRDefault="008E7312" w:rsidP="00960FA5">
      <w:pPr>
        <w:pStyle w:val="Listparagraphbullets"/>
        <w:spacing w:after="0"/>
      </w:pPr>
      <w:r w:rsidRPr="007D162C">
        <w:t>minimum head room</w:t>
      </w:r>
    </w:p>
    <w:p w14:paraId="05A68CC7" w14:textId="77777777" w:rsidR="008E7312" w:rsidRPr="007D162C" w:rsidRDefault="008E7312" w:rsidP="00960FA5">
      <w:pPr>
        <w:pStyle w:val="Listparagraphbullets"/>
        <w:spacing w:after="0"/>
      </w:pPr>
      <w:r w:rsidRPr="007D162C">
        <w:t>use of allocated spaces</w:t>
      </w:r>
    </w:p>
    <w:p w14:paraId="61735973" w14:textId="77777777" w:rsidR="008E7312" w:rsidRPr="007D162C" w:rsidRDefault="008E7312" w:rsidP="00960FA5">
      <w:pPr>
        <w:pStyle w:val="Listparagraphbullets"/>
        <w:spacing w:after="0"/>
      </w:pPr>
      <w:r w:rsidRPr="007D162C">
        <w:t xml:space="preserve">vertical height of doorways. </w:t>
      </w:r>
    </w:p>
    <w:p w14:paraId="213B8298" w14:textId="77777777" w:rsidR="00960FA5" w:rsidRPr="007D162C" w:rsidRDefault="00960FA5" w:rsidP="00960FA5">
      <w:pPr>
        <w:pStyle w:val="Listparagraphbullets"/>
        <w:numPr>
          <w:ilvl w:val="0"/>
          <w:numId w:val="0"/>
        </w:numPr>
        <w:spacing w:after="0"/>
        <w:ind w:left="360"/>
      </w:pPr>
    </w:p>
    <w:p w14:paraId="030DD7B1" w14:textId="77777777" w:rsidR="008E7312" w:rsidRPr="007D162C" w:rsidRDefault="08D050C4" w:rsidP="008E7312">
      <w:r w:rsidRPr="007D162C">
        <w:t xml:space="preserve">If rideshare is clearly identified in the Transport Standards and requirements for taxi and rideshare are harmonised, there may be further accessibility issues that require investigation and future reform such as supply of wheelchair accessible vehicles, requirements for response times, and requirements for the digital infrastructure of rideshare. The Australian Government should further investigate these issues when the requirements for rideshare are clear. </w:t>
      </w:r>
    </w:p>
    <w:p w14:paraId="451845F1" w14:textId="77777777" w:rsidR="00694DB1" w:rsidRPr="007D162C" w:rsidRDefault="00694DB1" w:rsidP="00013823">
      <w:pPr>
        <w:spacing w:line="259" w:lineRule="auto"/>
        <w:rPr>
          <w:rFonts w:ascii="Calibri" w:eastAsia="Calibri" w:hAnsi="Calibri" w:cs="Calibri"/>
          <w:color w:val="081E3E"/>
          <w:kern w:val="12"/>
          <w:sz w:val="40"/>
          <w:szCs w:val="44"/>
        </w:rPr>
      </w:pPr>
      <w:r w:rsidRPr="007D162C">
        <w:br w:type="page"/>
      </w:r>
    </w:p>
    <w:p w14:paraId="4F400193" w14:textId="1F8C792F" w:rsidR="001B4346" w:rsidRPr="007D162C" w:rsidRDefault="001B4346" w:rsidP="00630F92">
      <w:pPr>
        <w:pStyle w:val="Heading2"/>
        <w:numPr>
          <w:ilvl w:val="0"/>
          <w:numId w:val="25"/>
        </w:numPr>
        <w:ind w:hanging="720"/>
      </w:pPr>
      <w:bookmarkStart w:id="200" w:name="_Toc140239710"/>
      <w:r w:rsidRPr="007D162C">
        <w:lastRenderedPageBreak/>
        <w:t>Dedicated school buses</w:t>
      </w:r>
      <w:bookmarkEnd w:id="188"/>
      <w:bookmarkEnd w:id="200"/>
    </w:p>
    <w:p w14:paraId="658938C5" w14:textId="77777777" w:rsidR="001B4346" w:rsidRPr="007D162C" w:rsidRDefault="001B4346" w:rsidP="001B4346">
      <w:pPr>
        <w:pStyle w:val="Heading4"/>
      </w:pPr>
      <w:r w:rsidRPr="007D162C">
        <w:t>Issue</w:t>
      </w:r>
    </w:p>
    <w:p w14:paraId="5C53CBA2" w14:textId="77777777" w:rsidR="001B4346" w:rsidRPr="007D162C" w:rsidRDefault="08D050C4" w:rsidP="001B4346">
      <w:pPr>
        <w:tabs>
          <w:tab w:val="left" w:pos="284"/>
        </w:tabs>
      </w:pPr>
      <w:r w:rsidRPr="007D162C">
        <w:t>Dedicated school bus services are exempt from certain physical access requirements in the Transport Standards, meaning they are not required to be accessible to all students with disability. Disability advocates report this results in a number of issues that affect some students with disability, their parents and carers. These issues include:</w:t>
      </w:r>
    </w:p>
    <w:p w14:paraId="15B7FF8A" w14:textId="77777777" w:rsidR="001B4346" w:rsidRPr="007D162C" w:rsidRDefault="001B4346" w:rsidP="001B4346">
      <w:pPr>
        <w:pStyle w:val="Listparagraphbullets"/>
        <w:spacing w:after="0"/>
      </w:pPr>
      <w:r w:rsidRPr="007D162C">
        <w:t>Students may have limited choice in where they can go to school, how they get to school, and what activities they can do due to a lack of accessible transport.</w:t>
      </w:r>
    </w:p>
    <w:p w14:paraId="4ED30402" w14:textId="77777777" w:rsidR="001B4346" w:rsidRPr="007D162C" w:rsidRDefault="001B4346" w:rsidP="001B4346">
      <w:pPr>
        <w:pStyle w:val="Listparagraphbullets"/>
        <w:spacing w:after="0"/>
      </w:pPr>
      <w:r w:rsidRPr="007D162C">
        <w:t xml:space="preserve">Students with disability may feel socially excluded or isolated from their peers. </w:t>
      </w:r>
    </w:p>
    <w:p w14:paraId="104DA762" w14:textId="77777777" w:rsidR="001B4346" w:rsidRPr="007D162C" w:rsidRDefault="001B4346" w:rsidP="001B4346">
      <w:pPr>
        <w:pStyle w:val="Listparagraphbullets"/>
        <w:spacing w:after="0"/>
      </w:pPr>
      <w:r w:rsidRPr="007D162C">
        <w:t>Advocacy bodies report families / carers face difficulties transporting children to school due to school bus service policies which do not allow for ‘out-of-area’ pick-ups.</w:t>
      </w:r>
    </w:p>
    <w:p w14:paraId="0E1B083C" w14:textId="77777777" w:rsidR="001B4346" w:rsidRPr="007D162C" w:rsidRDefault="001B4346" w:rsidP="001B4346">
      <w:pPr>
        <w:pStyle w:val="Listparagraphbullets"/>
        <w:spacing w:after="0"/>
      </w:pPr>
      <w:r w:rsidRPr="007D162C">
        <w:t>Cases have been reported to the 2020 Review of the Education Standards where school bus drivers refused to transport students due to their disability.</w:t>
      </w:r>
    </w:p>
    <w:p w14:paraId="3E17B106" w14:textId="6C1DB78A" w:rsidR="001B4346" w:rsidRPr="007D162C" w:rsidRDefault="001B4346" w:rsidP="001B4346">
      <w:pPr>
        <w:pStyle w:val="Listparagraphbullets"/>
        <w:spacing w:after="0"/>
      </w:pPr>
      <w:r w:rsidRPr="007D162C">
        <w:t>Parents may have limited choices on where to live (particularly in rural and regional areas), employment opportunities they can pursue and have to amend their routine around availability of an accessible transport option.</w:t>
      </w:r>
    </w:p>
    <w:p w14:paraId="2DEF1B1B" w14:textId="77777777" w:rsidR="001B4346" w:rsidRPr="007D162C" w:rsidRDefault="001B4346" w:rsidP="001B4346">
      <w:pPr>
        <w:pStyle w:val="Listparagraphbullets"/>
        <w:numPr>
          <w:ilvl w:val="0"/>
          <w:numId w:val="0"/>
        </w:numPr>
        <w:spacing w:after="0"/>
        <w:ind w:left="360"/>
      </w:pPr>
    </w:p>
    <w:p w14:paraId="48EFB22D" w14:textId="77777777" w:rsidR="001B4346" w:rsidRPr="007D162C" w:rsidRDefault="001B4346" w:rsidP="001B4346">
      <w:pPr>
        <w:tabs>
          <w:tab w:val="left" w:pos="284"/>
        </w:tabs>
      </w:pPr>
      <w:r w:rsidRPr="007D162C">
        <w:t xml:space="preserve">Collective government action would be required to remove the dedicated school bus exemption, if it is determined to be discriminatory, and improve the provision of accessible school buses by state and territory governments to implement and enforce any new requirements. </w:t>
      </w:r>
    </w:p>
    <w:p w14:paraId="2E933A3F" w14:textId="77777777" w:rsidR="001B4346" w:rsidRPr="007D162C" w:rsidRDefault="001B4346" w:rsidP="001B4346">
      <w:pPr>
        <w:pStyle w:val="Heading4"/>
        <w:tabs>
          <w:tab w:val="left" w:pos="284"/>
        </w:tabs>
      </w:pPr>
      <w:r w:rsidRPr="007D162C">
        <w:t>Reform options</w:t>
      </w:r>
    </w:p>
    <w:p w14:paraId="612E4AD1" w14:textId="77777777" w:rsidR="001B4346" w:rsidRPr="007D162C" w:rsidRDefault="001B4346" w:rsidP="001B4346">
      <w:pPr>
        <w:tabs>
          <w:tab w:val="left" w:pos="284"/>
        </w:tabs>
      </w:pPr>
      <w:r w:rsidRPr="007D162C">
        <w:t xml:space="preserve">Following is a summary of the proposed options for this reform. Full details of each reform option are provided at </w:t>
      </w:r>
      <w:r w:rsidR="00CB442B" w:rsidRPr="007D162C">
        <w:t>Appendix</w:t>
      </w:r>
      <w:r w:rsidRPr="007D162C">
        <w:t xml:space="preserve"> A.</w:t>
      </w:r>
    </w:p>
    <w:p w14:paraId="47F91C27" w14:textId="38F5F3CC" w:rsidR="001B4346" w:rsidRPr="007D162C" w:rsidRDefault="001B4346" w:rsidP="001B4346">
      <w:pPr>
        <w:pStyle w:val="Tablefigureheading"/>
      </w:pPr>
      <w:bookmarkStart w:id="201" w:name="_Toc122446323"/>
      <w:bookmarkStart w:id="202" w:name="_Toc139969173"/>
      <w:r w:rsidRPr="007D162C">
        <w:t xml:space="preserve">Table </w:t>
      </w:r>
      <w:fldSimple w:instr=" SEQ Table \* ARABIC ">
        <w:r w:rsidR="00DC26AC">
          <w:rPr>
            <w:noProof/>
          </w:rPr>
          <w:t>15</w:t>
        </w:r>
      </w:fldSimple>
      <w:r w:rsidRPr="007D162C">
        <w:t xml:space="preserve">: Reform options for </w:t>
      </w:r>
      <w:r w:rsidR="00754992" w:rsidRPr="007D162C">
        <w:t>D</w:t>
      </w:r>
      <w:r w:rsidRPr="007D162C">
        <w:t>edicated school buses</w:t>
      </w:r>
      <w:bookmarkEnd w:id="201"/>
      <w:bookmarkEnd w:id="202"/>
    </w:p>
    <w:tbl>
      <w:tblPr>
        <w:tblStyle w:val="DefaultTable1"/>
        <w:tblW w:w="9073" w:type="dxa"/>
        <w:tblLook w:val="04A0" w:firstRow="1" w:lastRow="0" w:firstColumn="1" w:lastColumn="0" w:noHBand="0" w:noVBand="1"/>
        <w:tblCaption w:val="Reform options for Dedicated school buses"/>
        <w:tblDescription w:val="This table provides a description of each of the options for this reform area. Status quo, non-regulatory and regulatory."/>
      </w:tblPr>
      <w:tblGrid>
        <w:gridCol w:w="1560"/>
        <w:gridCol w:w="7513"/>
      </w:tblGrid>
      <w:tr w:rsidR="001B4346" w:rsidRPr="007D162C" w14:paraId="5293C75C"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3AB9D10C" w14:textId="77777777" w:rsidR="001B4346" w:rsidRPr="007D162C" w:rsidRDefault="001B4346" w:rsidP="00473693">
            <w:pPr>
              <w:rPr>
                <w:sz w:val="22"/>
                <w:szCs w:val="22"/>
              </w:rPr>
            </w:pPr>
            <w:r w:rsidRPr="007D162C">
              <w:rPr>
                <w:sz w:val="22"/>
                <w:szCs w:val="22"/>
              </w:rPr>
              <w:t>Option</w:t>
            </w:r>
          </w:p>
        </w:tc>
        <w:tc>
          <w:tcPr>
            <w:tcW w:w="7513" w:type="dxa"/>
          </w:tcPr>
          <w:p w14:paraId="05957AC7" w14:textId="77777777" w:rsidR="001B4346" w:rsidRPr="007D162C" w:rsidRDefault="001B4346" w:rsidP="00473693">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Description</w:t>
            </w:r>
          </w:p>
        </w:tc>
      </w:tr>
      <w:tr w:rsidR="001B4346" w:rsidRPr="007D162C" w14:paraId="2E5F7BB9"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60" w:type="dxa"/>
          </w:tcPr>
          <w:p w14:paraId="0A53EE90" w14:textId="77777777" w:rsidR="001B4346" w:rsidRPr="007D162C" w:rsidRDefault="001B4346" w:rsidP="00473693">
            <w:r w:rsidRPr="007D162C">
              <w:t>Status Quo</w:t>
            </w:r>
          </w:p>
        </w:tc>
        <w:tc>
          <w:tcPr>
            <w:tcW w:w="7513" w:type="dxa"/>
          </w:tcPr>
          <w:p w14:paraId="50F3D17E"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Dedicated school buses would continue to be exempt from certain physical access requirements in the Transport Standards.</w:t>
            </w:r>
          </w:p>
          <w:p w14:paraId="34B8BE0B"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B4346" w:rsidRPr="007D162C" w14:paraId="7821A54A"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560" w:type="dxa"/>
          </w:tcPr>
          <w:p w14:paraId="201A25E0" w14:textId="77777777" w:rsidR="001B4346" w:rsidRPr="007D162C" w:rsidRDefault="001B4346" w:rsidP="00473693">
            <w:r w:rsidRPr="007D162C">
              <w:t>Non-Regulatory</w:t>
            </w:r>
          </w:p>
        </w:tc>
        <w:tc>
          <w:tcPr>
            <w:tcW w:w="7513" w:type="dxa"/>
          </w:tcPr>
          <w:p w14:paraId="262BC8A9"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Guidance would be developed to:</w:t>
            </w:r>
          </w:p>
          <w:p w14:paraId="78BDBD67"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encourage school bus operators and providers to run school services with Transport Standards compliant buses</w:t>
            </w:r>
          </w:p>
          <w:p w14:paraId="22181999"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provide information and examples of potential equivalent access solutions to transport students with disability where compliant buses cannot be used</w:t>
            </w:r>
          </w:p>
          <w:p w14:paraId="119ABBC1" w14:textId="77777777" w:rsidR="001B4346" w:rsidRPr="007D162C" w:rsidRDefault="001B4346" w:rsidP="006F65FB">
            <w:pPr>
              <w:pStyle w:val="Bullet1"/>
              <w:numPr>
                <w:ilvl w:val="0"/>
                <w:numId w:val="6"/>
              </w:numPr>
              <w:cnfStyle w:val="000000000000" w:firstRow="0" w:lastRow="0" w:firstColumn="0" w:lastColumn="0" w:oddVBand="0" w:evenVBand="0" w:oddHBand="0" w:evenHBand="0" w:firstRowFirstColumn="0" w:firstRowLastColumn="0" w:lastRowFirstColumn="0" w:lastRowLastColumn="0"/>
            </w:pPr>
            <w:r w:rsidRPr="007D162C">
              <w:t>educate public transport operators and providers on the exemptions and compliance requirements for dedicated school buses.</w:t>
            </w:r>
          </w:p>
        </w:tc>
      </w:tr>
      <w:tr w:rsidR="001B4346" w:rsidRPr="007D162C" w14:paraId="77FC9648" w14:textId="77777777" w:rsidTr="08D050C4">
        <w:trPr>
          <w:cnfStyle w:val="000000100000" w:firstRow="0" w:lastRow="0" w:firstColumn="0" w:lastColumn="0" w:oddVBand="0" w:evenVBand="0" w:oddHBand="1" w:evenHBand="0" w:firstRowFirstColumn="0" w:firstRowLastColumn="0" w:lastRowFirstColumn="0" w:lastRowLastColumn="0"/>
          <w:cantSplit/>
          <w:trHeight w:val="50"/>
        </w:trPr>
        <w:tc>
          <w:tcPr>
            <w:cnfStyle w:val="001000000000" w:firstRow="0" w:lastRow="0" w:firstColumn="1" w:lastColumn="0" w:oddVBand="0" w:evenVBand="0" w:oddHBand="0" w:evenHBand="0" w:firstRowFirstColumn="0" w:firstRowLastColumn="0" w:lastRowFirstColumn="0" w:lastRowLastColumn="0"/>
            <w:tcW w:w="1560" w:type="dxa"/>
          </w:tcPr>
          <w:p w14:paraId="3DCF0158" w14:textId="77777777" w:rsidR="001B4346" w:rsidRPr="007D162C" w:rsidRDefault="001B4346" w:rsidP="00473693">
            <w:r w:rsidRPr="007D162C">
              <w:lastRenderedPageBreak/>
              <w:t>Regulatory</w:t>
            </w:r>
          </w:p>
        </w:tc>
        <w:tc>
          <w:tcPr>
            <w:tcW w:w="7513" w:type="dxa"/>
          </w:tcPr>
          <w:p w14:paraId="49735161"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Guidance would be provided to reflect any new requirements. </w:t>
            </w:r>
          </w:p>
          <w:p w14:paraId="6805C9DB"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11DCBAC"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remove all dedicated school bus exemptions so there would be no distinction between dedicated school buses and other buses.</w:t>
            </w:r>
          </w:p>
          <w:p w14:paraId="2F1B5BA7"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4797EB29"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principles for dedicated school bus services to promote the use of Transport Standards compliant ‘low floor’ school buses, and ‘accessible high floor’ school buses.</w:t>
            </w:r>
          </w:p>
          <w:p w14:paraId="2A256767"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 xml:space="preserve">‘Accessible high floor’ buses must also be configured to be able to be retrofitted with a hoist and provide access to </w:t>
            </w:r>
            <w:r w:rsidR="169A030C" w:rsidRPr="007D162C">
              <w:t>onboard</w:t>
            </w:r>
            <w:r w:rsidRPr="007D162C">
              <w:t xml:space="preserve"> accessible features by passengers using mobility aids.</w:t>
            </w:r>
          </w:p>
        </w:tc>
      </w:tr>
    </w:tbl>
    <w:p w14:paraId="301E4D61" w14:textId="77777777" w:rsidR="001B4346" w:rsidRPr="007D162C" w:rsidRDefault="001B4346" w:rsidP="001B4346"/>
    <w:p w14:paraId="158B5A95" w14:textId="77777777" w:rsidR="001B4346" w:rsidRPr="007D162C" w:rsidRDefault="001B4346" w:rsidP="001B4346">
      <w:pPr>
        <w:pStyle w:val="Heading4"/>
        <w:tabs>
          <w:tab w:val="left" w:pos="284"/>
        </w:tabs>
      </w:pPr>
      <w:r w:rsidRPr="007D162C">
        <w:t>Cost benefit analysis</w:t>
      </w:r>
    </w:p>
    <w:p w14:paraId="1E1EBF87" w14:textId="77777777" w:rsidR="001B4346" w:rsidRPr="007D162C" w:rsidRDefault="001B4346" w:rsidP="001B434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1CA656C4" w14:textId="77777777" w:rsidR="001B4346" w:rsidRPr="007D162C" w:rsidRDefault="001B4346" w:rsidP="001B4346">
      <w:r w:rsidRPr="007D162C">
        <w:t xml:space="preserve">The following categories of quantitative costs and benefits were identified in the CBA as pertaining to the reform options. </w:t>
      </w:r>
    </w:p>
    <w:p w14:paraId="345B63F0" w14:textId="1DFB14C5" w:rsidR="001B4346" w:rsidRPr="007D162C" w:rsidRDefault="001B4346" w:rsidP="001B4346">
      <w:pPr>
        <w:pStyle w:val="Tablefigureheading"/>
      </w:pPr>
      <w:bookmarkStart w:id="203" w:name="_Toc122446324"/>
      <w:bookmarkStart w:id="204" w:name="_Toc139969174"/>
      <w:r w:rsidRPr="007D162C">
        <w:t xml:space="preserve">Table </w:t>
      </w:r>
      <w:fldSimple w:instr=" SEQ Table \* ARABIC ">
        <w:r w:rsidR="00DC26AC">
          <w:rPr>
            <w:noProof/>
          </w:rPr>
          <w:t>16</w:t>
        </w:r>
      </w:fldSimple>
      <w:r w:rsidRPr="007D162C">
        <w:t xml:space="preserve">: Benefit-cost ratios for </w:t>
      </w:r>
      <w:r w:rsidR="00754992" w:rsidRPr="007D162C">
        <w:t>D</w:t>
      </w:r>
      <w:r w:rsidRPr="007D162C">
        <w:t>edicated school buses</w:t>
      </w:r>
      <w:bookmarkEnd w:id="203"/>
      <w:bookmarkEnd w:id="204"/>
    </w:p>
    <w:tbl>
      <w:tblPr>
        <w:tblStyle w:val="DefaultTable1"/>
        <w:tblW w:w="9072" w:type="dxa"/>
        <w:tblLook w:val="04A0" w:firstRow="1" w:lastRow="0" w:firstColumn="1" w:lastColumn="0" w:noHBand="0" w:noVBand="1"/>
        <w:tblCaption w:val="Benefit-cost ratios for dedicated school buses"/>
        <w:tblDescription w:val="This table provides the monetised benefits and costs for each of the options for this reform area."/>
      </w:tblPr>
      <w:tblGrid>
        <w:gridCol w:w="1977"/>
        <w:gridCol w:w="1164"/>
        <w:gridCol w:w="1719"/>
        <w:gridCol w:w="1804"/>
        <w:gridCol w:w="1700"/>
        <w:gridCol w:w="708"/>
      </w:tblGrid>
      <w:tr w:rsidR="001B4346" w:rsidRPr="007D162C" w14:paraId="6310226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3115B3A6" w14:textId="77777777" w:rsidR="001B4346" w:rsidRPr="007D162C" w:rsidRDefault="08D050C4" w:rsidP="00473693">
            <w:pPr>
              <w:rPr>
                <w:sz w:val="21"/>
                <w:szCs w:val="21"/>
              </w:rPr>
            </w:pPr>
            <w:r w:rsidRPr="007D162C">
              <w:rPr>
                <w:sz w:val="21"/>
                <w:szCs w:val="21"/>
              </w:rPr>
              <w:t>Reform Option</w:t>
            </w:r>
          </w:p>
        </w:tc>
        <w:tc>
          <w:tcPr>
            <w:tcW w:w="1164" w:type="dxa"/>
          </w:tcPr>
          <w:p w14:paraId="2899A965"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benefits*</w:t>
            </w:r>
          </w:p>
        </w:tc>
        <w:tc>
          <w:tcPr>
            <w:tcW w:w="1719" w:type="dxa"/>
          </w:tcPr>
          <w:p w14:paraId="2A04431C"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(administrative)*</w:t>
            </w:r>
          </w:p>
        </w:tc>
        <w:tc>
          <w:tcPr>
            <w:tcW w:w="1804" w:type="dxa"/>
          </w:tcPr>
          <w:p w14:paraId="008F6497"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compliance costs (substantive)*</w:t>
            </w:r>
          </w:p>
        </w:tc>
        <w:tc>
          <w:tcPr>
            <w:tcW w:w="1700" w:type="dxa"/>
          </w:tcPr>
          <w:p w14:paraId="1812990C" w14:textId="77777777" w:rsidR="001B4346" w:rsidRPr="007D162C" w:rsidRDefault="08D050C4" w:rsidP="08D050C4">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Monetised total compliance costs*</w:t>
            </w:r>
          </w:p>
        </w:tc>
        <w:tc>
          <w:tcPr>
            <w:tcW w:w="708" w:type="dxa"/>
          </w:tcPr>
          <w:p w14:paraId="1C8630F0" w14:textId="77777777" w:rsidR="001B4346" w:rsidRPr="007D162C" w:rsidRDefault="08D050C4" w:rsidP="00473693">
            <w:pPr>
              <w:jc w:val="cente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BCR</w:t>
            </w:r>
          </w:p>
        </w:tc>
      </w:tr>
      <w:tr w:rsidR="001B4346" w:rsidRPr="007D162C" w14:paraId="76201B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7D05400B" w14:textId="77777777" w:rsidR="001B4346" w:rsidRPr="007D162C" w:rsidRDefault="001B4346" w:rsidP="00473693">
            <w:r w:rsidRPr="007D162C">
              <w:t>Status Quo</w:t>
            </w:r>
          </w:p>
        </w:tc>
        <w:tc>
          <w:tcPr>
            <w:tcW w:w="1164" w:type="dxa"/>
          </w:tcPr>
          <w:p w14:paraId="4D76CDFF"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19" w:type="dxa"/>
          </w:tcPr>
          <w:p w14:paraId="61C98DF8"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04" w:type="dxa"/>
          </w:tcPr>
          <w:p w14:paraId="0C58573C"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0" w:type="dxa"/>
          </w:tcPr>
          <w:p w14:paraId="3417611B"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708" w:type="dxa"/>
          </w:tcPr>
          <w:p w14:paraId="7FF50725"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3F0DD27D" w14:textId="77777777" w:rsidTr="08D050C4">
        <w:tc>
          <w:tcPr>
            <w:cnfStyle w:val="001000000000" w:firstRow="0" w:lastRow="0" w:firstColumn="1" w:lastColumn="0" w:oddVBand="0" w:evenVBand="0" w:oddHBand="0" w:evenHBand="0" w:firstRowFirstColumn="0" w:firstRowLastColumn="0" w:lastRowFirstColumn="0" w:lastRowLastColumn="0"/>
            <w:tcW w:w="1977" w:type="dxa"/>
          </w:tcPr>
          <w:p w14:paraId="48C98169" w14:textId="77777777" w:rsidR="001B4346" w:rsidRPr="007D162C" w:rsidRDefault="001B4346" w:rsidP="00473693">
            <w:r w:rsidRPr="007D162C">
              <w:t xml:space="preserve">Non-regulatory </w:t>
            </w:r>
          </w:p>
        </w:tc>
        <w:tc>
          <w:tcPr>
            <w:tcW w:w="1164" w:type="dxa"/>
            <w:vAlign w:val="center"/>
          </w:tcPr>
          <w:p w14:paraId="75767E5F"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0.6</w:t>
            </w:r>
          </w:p>
        </w:tc>
        <w:tc>
          <w:tcPr>
            <w:tcW w:w="1719" w:type="dxa"/>
          </w:tcPr>
          <w:p w14:paraId="5DDAEB8F"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04" w:type="dxa"/>
            <w:vAlign w:val="center"/>
          </w:tcPr>
          <w:p w14:paraId="328BC044"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59.2</w:t>
            </w:r>
          </w:p>
        </w:tc>
        <w:tc>
          <w:tcPr>
            <w:tcW w:w="1700" w:type="dxa"/>
            <w:vAlign w:val="center"/>
          </w:tcPr>
          <w:p w14:paraId="365BB91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rPr>
                <w:vertAlign w:val="superscript"/>
              </w:rPr>
            </w:pPr>
            <w:r w:rsidRPr="007D162C">
              <w:t>59.2</w:t>
            </w:r>
            <w:r w:rsidRPr="007D162C">
              <w:rPr>
                <w:vertAlign w:val="superscript"/>
              </w:rPr>
              <w:t>i</w:t>
            </w:r>
          </w:p>
        </w:tc>
        <w:tc>
          <w:tcPr>
            <w:tcW w:w="708" w:type="dxa"/>
            <w:vAlign w:val="center"/>
          </w:tcPr>
          <w:p w14:paraId="77D8464C"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0.01</w:t>
            </w:r>
          </w:p>
        </w:tc>
      </w:tr>
      <w:tr w:rsidR="001B4346" w:rsidRPr="007D162C" w14:paraId="255EA7C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7" w:type="dxa"/>
          </w:tcPr>
          <w:p w14:paraId="1050C913" w14:textId="77777777" w:rsidR="001B4346" w:rsidRPr="007D162C" w:rsidRDefault="001B4346" w:rsidP="00473693">
            <w:r w:rsidRPr="007D162C">
              <w:t>Regulatory option 1</w:t>
            </w:r>
          </w:p>
        </w:tc>
        <w:tc>
          <w:tcPr>
            <w:tcW w:w="1164" w:type="dxa"/>
            <w:vAlign w:val="center"/>
          </w:tcPr>
          <w:p w14:paraId="063E9235"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w:t>
            </w:r>
          </w:p>
        </w:tc>
        <w:tc>
          <w:tcPr>
            <w:tcW w:w="1719" w:type="dxa"/>
          </w:tcPr>
          <w:p w14:paraId="297BA67D"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04" w:type="dxa"/>
            <w:vAlign w:val="center"/>
          </w:tcPr>
          <w:p w14:paraId="07AEDBD6"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531.5</w:t>
            </w:r>
          </w:p>
        </w:tc>
        <w:tc>
          <w:tcPr>
            <w:tcW w:w="1700" w:type="dxa"/>
            <w:vAlign w:val="center"/>
          </w:tcPr>
          <w:p w14:paraId="5A344CB9"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531.5</w:t>
            </w:r>
          </w:p>
        </w:tc>
        <w:tc>
          <w:tcPr>
            <w:tcW w:w="708" w:type="dxa"/>
            <w:vAlign w:val="center"/>
          </w:tcPr>
          <w:p w14:paraId="237046F3"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t>0.01</w:t>
            </w:r>
          </w:p>
        </w:tc>
      </w:tr>
      <w:tr w:rsidR="001B4346" w:rsidRPr="007D162C" w14:paraId="787F3E5E" w14:textId="77777777" w:rsidTr="08D050C4">
        <w:tc>
          <w:tcPr>
            <w:cnfStyle w:val="001000000000" w:firstRow="0" w:lastRow="0" w:firstColumn="1" w:lastColumn="0" w:oddVBand="0" w:evenVBand="0" w:oddHBand="0" w:evenHBand="0" w:firstRowFirstColumn="0" w:firstRowLastColumn="0" w:lastRowFirstColumn="0" w:lastRowLastColumn="0"/>
            <w:tcW w:w="1977" w:type="dxa"/>
          </w:tcPr>
          <w:p w14:paraId="3B574C6B" w14:textId="77777777" w:rsidR="001B4346" w:rsidRPr="007D162C" w:rsidRDefault="001B4346" w:rsidP="00473693">
            <w:r w:rsidRPr="007D162C">
              <w:t>Regulatory option 2</w:t>
            </w:r>
          </w:p>
        </w:tc>
        <w:tc>
          <w:tcPr>
            <w:tcW w:w="1164" w:type="dxa"/>
            <w:vAlign w:val="center"/>
          </w:tcPr>
          <w:p w14:paraId="1F1B7785"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0.8</w:t>
            </w:r>
          </w:p>
        </w:tc>
        <w:tc>
          <w:tcPr>
            <w:tcW w:w="1719" w:type="dxa"/>
          </w:tcPr>
          <w:p w14:paraId="7BC4EA33"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04" w:type="dxa"/>
            <w:vAlign w:val="center"/>
          </w:tcPr>
          <w:p w14:paraId="4C59B245"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79.2</w:t>
            </w:r>
          </w:p>
        </w:tc>
        <w:tc>
          <w:tcPr>
            <w:tcW w:w="1700" w:type="dxa"/>
            <w:vAlign w:val="center"/>
          </w:tcPr>
          <w:p w14:paraId="2818D1C4"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79.2</w:t>
            </w:r>
          </w:p>
        </w:tc>
        <w:tc>
          <w:tcPr>
            <w:tcW w:w="708" w:type="dxa"/>
            <w:vAlign w:val="center"/>
          </w:tcPr>
          <w:p w14:paraId="5B3417BB"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t>0.01</w:t>
            </w:r>
          </w:p>
        </w:tc>
      </w:tr>
    </w:tbl>
    <w:p w14:paraId="44888965" w14:textId="77777777" w:rsidR="001B4346" w:rsidRPr="007D162C" w:rsidRDefault="001B4346" w:rsidP="001B4346">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450BBB3D" w14:textId="77777777" w:rsidR="001B4346"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6E1ADAF0" w14:textId="77777777" w:rsidR="001B4346" w:rsidRPr="007D162C" w:rsidRDefault="001B4346" w:rsidP="001B4346">
      <w:pPr>
        <w:spacing w:before="120" w:after="0"/>
      </w:pPr>
    </w:p>
    <w:p w14:paraId="174E29D8" w14:textId="77777777" w:rsidR="001B4346" w:rsidRPr="007D162C" w:rsidRDefault="001B4346" w:rsidP="001B4346">
      <w:pPr>
        <w:pStyle w:val="Heading6"/>
      </w:pPr>
      <w:r w:rsidRPr="007D162C">
        <w:t>Considerations to note in interpreting analysis</w:t>
      </w:r>
    </w:p>
    <w:p w14:paraId="2CA7F24D" w14:textId="77777777" w:rsidR="001B4346" w:rsidRPr="007D162C" w:rsidRDefault="001B4346" w:rsidP="001B4346">
      <w:pPr>
        <w:pStyle w:val="Heading7"/>
      </w:pPr>
      <w:r w:rsidRPr="007D162C">
        <w:t>Limitations</w:t>
      </w:r>
    </w:p>
    <w:p w14:paraId="42073B9B" w14:textId="77777777" w:rsidR="001B4346" w:rsidRPr="007D162C" w:rsidRDefault="001B4346" w:rsidP="00105D34">
      <w:pPr>
        <w:pStyle w:val="Heading8"/>
      </w:pPr>
      <w:r w:rsidRPr="007D162C">
        <w:t>Non-regulatory option</w:t>
      </w:r>
    </w:p>
    <w:p w14:paraId="2A8675AA" w14:textId="6FE59153" w:rsidR="001B4346" w:rsidRPr="007D162C" w:rsidRDefault="001B4346" w:rsidP="001B4346">
      <w:r w:rsidRPr="007D162C">
        <w:t>The costs and benefits associated with the non-regulatory reform are lower than its regulatory counterpart, regulatory option 1, reflecting a lower rate of compliance with the reform. An estimated rate of uptake of 15</w:t>
      </w:r>
      <w:r w:rsidR="00A06601">
        <w:t xml:space="preserve"> per cent</w:t>
      </w:r>
      <w:r w:rsidRPr="007D162C">
        <w:t xml:space="preserve"> was applied to the non-regulatory option based on submissions, which indicate the high costs to comply with guidance will prevent most operators and providers from adopting guidance. This implies that the benefits and costs quantified for this non-regulatory reform may not reflect future take-up of the reform.</w:t>
      </w:r>
    </w:p>
    <w:p w14:paraId="035CB1C2" w14:textId="77777777" w:rsidR="001B4346" w:rsidRPr="007D162C" w:rsidRDefault="001B4346" w:rsidP="00105D34">
      <w:pPr>
        <w:pStyle w:val="Heading8"/>
        <w:rPr>
          <w:lang w:val="en-AU"/>
        </w:rPr>
      </w:pPr>
      <w:r w:rsidRPr="007D162C">
        <w:rPr>
          <w:lang w:val="en-AU"/>
        </w:rPr>
        <w:t>Regulatory option 1</w:t>
      </w:r>
    </w:p>
    <w:p w14:paraId="161C1F65" w14:textId="77777777" w:rsidR="001B4346" w:rsidRPr="007D162C" w:rsidRDefault="001B4346" w:rsidP="001B4346">
      <w:r w:rsidRPr="007D162C">
        <w:t xml:space="preserve">The benefits and costs for this reform were estimated based on data proved by a single respondent and public available data to proxy the number of students requiring accessible school buses. The costs associated with the replacement of the school bus fleet to become accessible to all students with disability are material in comparison to number of students who would benefit. </w:t>
      </w:r>
    </w:p>
    <w:p w14:paraId="4FED16D8" w14:textId="77777777" w:rsidR="001B4346" w:rsidRPr="007D162C" w:rsidRDefault="001B4346" w:rsidP="001B4346">
      <w:r w:rsidRPr="007D162C">
        <w:lastRenderedPageBreak/>
        <w:t>Quantified benefits for this reform are potentially underestimated, with benefits of increased optionality, enhanced independence and inclusion, greater sense of connection to community and place, improved access to services, improved health outcomes for students, family health and educational outcomes not captured.</w:t>
      </w:r>
    </w:p>
    <w:p w14:paraId="55923C4D" w14:textId="77777777" w:rsidR="001B4346" w:rsidRPr="007D162C" w:rsidRDefault="001B4346" w:rsidP="00105D34">
      <w:pPr>
        <w:pStyle w:val="Heading8"/>
        <w:rPr>
          <w:lang w:val="en-AU"/>
        </w:rPr>
      </w:pPr>
      <w:r w:rsidRPr="007D162C">
        <w:rPr>
          <w:lang w:val="en-AU"/>
        </w:rPr>
        <w:t>Regulatory option 2</w:t>
      </w:r>
    </w:p>
    <w:p w14:paraId="66203C06" w14:textId="77777777" w:rsidR="001B4346" w:rsidRPr="007D162C" w:rsidRDefault="001B4346" w:rsidP="001B4346">
      <w:r w:rsidRPr="007D162C">
        <w:t xml:space="preserve">The benefits and costs for this reform were estimated based on data proved by a single respondent and public available data to proxy the number of students requiring wheelchair access (such as hoists). In comparison with regulatory option 1, this regulatory option reflects a narrower scope, a lower number of buses needing replacement and smaller group of beneficiaries. </w:t>
      </w:r>
    </w:p>
    <w:p w14:paraId="7DAB9B27" w14:textId="77777777" w:rsidR="001B4346" w:rsidRPr="007D162C" w:rsidRDefault="001B4346" w:rsidP="001B4346">
      <w:r w:rsidRPr="007D162C">
        <w:t>Quantified benefits for this reform are potentially underestimated, with benefits of increased optionality, enhanced independence and inclusion, greater sense of connection to community and place, improved access to services, improved health outcomes for students, family health and educational outcomes not captured.</w:t>
      </w:r>
    </w:p>
    <w:p w14:paraId="3B6C135D" w14:textId="77777777" w:rsidR="001B4346" w:rsidRPr="007D162C" w:rsidRDefault="001B4346" w:rsidP="001B4346">
      <w:pPr>
        <w:pStyle w:val="Heading7"/>
        <w:rPr>
          <w:lang w:val="en-AU"/>
        </w:rPr>
      </w:pPr>
      <w:r w:rsidRPr="007D162C">
        <w:rPr>
          <w:lang w:val="en-AU"/>
        </w:rPr>
        <w:t>Interdependencies</w:t>
      </w:r>
    </w:p>
    <w:p w14:paraId="3C2FBBB7" w14:textId="77777777" w:rsidR="001B4346" w:rsidRPr="007D162C" w:rsidRDefault="08D050C4" w:rsidP="001B4346">
      <w:r w:rsidRPr="007D162C">
        <w:t>The accessibility benefits associated with this reform will only be realised if there was equitable access across the whole public transport journey, with benefits reliant on implementation of other reforms such as bus, tram and light rail boarding points, notification by passenger of need for boarding devices and others.</w:t>
      </w:r>
    </w:p>
    <w:p w14:paraId="0E4128A9" w14:textId="77777777" w:rsidR="001B4346" w:rsidRPr="007D162C" w:rsidRDefault="001B4346" w:rsidP="001B4346">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4C19250" w14:textId="77777777" w:rsidR="001B4346" w:rsidRPr="007D162C" w:rsidRDefault="001B4346" w:rsidP="001B4346">
      <w:r w:rsidRPr="007D162C">
        <w:t>The following categories of qualitative benefits were identified in the CBA as pertaining to the reform options.</w:t>
      </w:r>
    </w:p>
    <w:p w14:paraId="41170CBC" w14:textId="347E344E" w:rsidR="001B4346" w:rsidRPr="007D162C" w:rsidRDefault="001B4346" w:rsidP="001B4346">
      <w:pPr>
        <w:pStyle w:val="Tablefigureheading"/>
      </w:pPr>
      <w:bookmarkStart w:id="205" w:name="_Toc122446325"/>
      <w:bookmarkStart w:id="206" w:name="_Toc139969175"/>
      <w:r w:rsidRPr="007D162C">
        <w:t xml:space="preserve">Table </w:t>
      </w:r>
      <w:fldSimple w:instr=" SEQ Table \* ARABIC ">
        <w:r w:rsidR="00DC26AC">
          <w:rPr>
            <w:noProof/>
          </w:rPr>
          <w:t>17</w:t>
        </w:r>
      </w:fldSimple>
      <w:r w:rsidRPr="007D162C">
        <w:t xml:space="preserve">: Qualitative benefits for </w:t>
      </w:r>
      <w:r w:rsidR="00754992" w:rsidRPr="007D162C">
        <w:t>D</w:t>
      </w:r>
      <w:r w:rsidRPr="007D162C">
        <w:t>edicated school buses</w:t>
      </w:r>
      <w:bookmarkEnd w:id="205"/>
      <w:bookmarkEnd w:id="206"/>
    </w:p>
    <w:tbl>
      <w:tblPr>
        <w:tblStyle w:val="DefaultTable1"/>
        <w:tblW w:w="9781" w:type="dxa"/>
        <w:tblLayout w:type="fixed"/>
        <w:tblLook w:val="04A0" w:firstRow="1" w:lastRow="0" w:firstColumn="1" w:lastColumn="0" w:noHBand="0" w:noVBand="1"/>
      </w:tblPr>
      <w:tblGrid>
        <w:gridCol w:w="1134"/>
        <w:gridCol w:w="1276"/>
        <w:gridCol w:w="1559"/>
        <w:gridCol w:w="1418"/>
        <w:gridCol w:w="1134"/>
        <w:gridCol w:w="1701"/>
        <w:gridCol w:w="1559"/>
      </w:tblGrid>
      <w:tr w:rsidR="001B4346" w:rsidRPr="007D162C" w14:paraId="00C93D70"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C5063F0" w14:textId="77777777" w:rsidR="001B4346" w:rsidRPr="007D162C" w:rsidRDefault="08D050C4" w:rsidP="00473693">
            <w:pPr>
              <w:rPr>
                <w:sz w:val="21"/>
                <w:szCs w:val="21"/>
              </w:rPr>
            </w:pPr>
            <w:r w:rsidRPr="007D162C">
              <w:rPr>
                <w:sz w:val="21"/>
                <w:szCs w:val="21"/>
              </w:rPr>
              <w:t>Reform Option</w:t>
            </w:r>
          </w:p>
        </w:tc>
        <w:tc>
          <w:tcPr>
            <w:tcW w:w="1276" w:type="dxa"/>
          </w:tcPr>
          <w:p w14:paraId="2316A749"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559" w:type="dxa"/>
          </w:tcPr>
          <w:p w14:paraId="371C5EBB"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418" w:type="dxa"/>
          </w:tcPr>
          <w:p w14:paraId="566B0326"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6264B320"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701" w:type="dxa"/>
          </w:tcPr>
          <w:p w14:paraId="4C38C929"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559" w:type="dxa"/>
          </w:tcPr>
          <w:p w14:paraId="398A115F" w14:textId="77777777" w:rsidR="001B4346" w:rsidRPr="007D162C" w:rsidRDefault="08D050C4" w:rsidP="00473693">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B4346" w:rsidRPr="007D162C" w14:paraId="4E2F22D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3468F96" w14:textId="77777777" w:rsidR="001B4346" w:rsidRPr="007D162C" w:rsidRDefault="001B4346" w:rsidP="00473693">
            <w:r w:rsidRPr="007D162C">
              <w:t>Status Quo</w:t>
            </w:r>
          </w:p>
        </w:tc>
        <w:tc>
          <w:tcPr>
            <w:tcW w:w="1276" w:type="dxa"/>
            <w:vAlign w:val="center"/>
          </w:tcPr>
          <w:p w14:paraId="04FF332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59" w:type="dxa"/>
            <w:vAlign w:val="center"/>
          </w:tcPr>
          <w:p w14:paraId="4D5B27C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18" w:type="dxa"/>
            <w:vAlign w:val="center"/>
          </w:tcPr>
          <w:p w14:paraId="3D12D73D"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vAlign w:val="center"/>
          </w:tcPr>
          <w:p w14:paraId="16D80AFE"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vAlign w:val="center"/>
          </w:tcPr>
          <w:p w14:paraId="792A5EDA"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59" w:type="dxa"/>
          </w:tcPr>
          <w:p w14:paraId="6985D451"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0B5338B9"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01582571" w14:textId="77777777" w:rsidR="001B4346" w:rsidRPr="007D162C" w:rsidRDefault="001B4346" w:rsidP="00473693">
            <w:r w:rsidRPr="007D162C">
              <w:t xml:space="preserve">Non-regulatory </w:t>
            </w:r>
          </w:p>
        </w:tc>
        <w:tc>
          <w:tcPr>
            <w:tcW w:w="1276" w:type="dxa"/>
            <w:vAlign w:val="center"/>
          </w:tcPr>
          <w:p w14:paraId="2DA10E48"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vAlign w:val="center"/>
          </w:tcPr>
          <w:p w14:paraId="16ADBCC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vAlign w:val="center"/>
          </w:tcPr>
          <w:p w14:paraId="222FA407"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134" w:type="dxa"/>
            <w:vAlign w:val="center"/>
          </w:tcPr>
          <w:p w14:paraId="18B46332"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5B4E2B4C"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60DFF8A8"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B4346" w:rsidRPr="007D162C" w14:paraId="2F5C70F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2B3D612" w14:textId="77777777" w:rsidR="001B4346" w:rsidRPr="007D162C" w:rsidRDefault="001B4346" w:rsidP="00473693">
            <w:r w:rsidRPr="007D162C">
              <w:t>Regulatory option 1</w:t>
            </w:r>
          </w:p>
        </w:tc>
        <w:tc>
          <w:tcPr>
            <w:tcW w:w="1276" w:type="dxa"/>
            <w:vAlign w:val="center"/>
          </w:tcPr>
          <w:p w14:paraId="1828213F"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vAlign w:val="center"/>
          </w:tcPr>
          <w:p w14:paraId="569023E9"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418" w:type="dxa"/>
            <w:vAlign w:val="center"/>
          </w:tcPr>
          <w:p w14:paraId="72BE7A0F"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134" w:type="dxa"/>
            <w:vAlign w:val="center"/>
          </w:tcPr>
          <w:p w14:paraId="105D782E"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701" w:type="dxa"/>
            <w:vAlign w:val="center"/>
          </w:tcPr>
          <w:p w14:paraId="6CD83162" w14:textId="77777777" w:rsidR="001B4346" w:rsidRPr="007D162C" w:rsidRDefault="001B4346" w:rsidP="00473693">
            <w:pPr>
              <w:cnfStyle w:val="000000100000" w:firstRow="0" w:lastRow="0" w:firstColumn="0" w:lastColumn="0" w:oddVBand="0" w:evenVBand="0" w:oddHBand="1" w:evenHBand="0" w:firstRowFirstColumn="0" w:firstRowLastColumn="0" w:lastRowFirstColumn="0" w:lastRowLastColumn="0"/>
            </w:pPr>
            <w:r w:rsidRPr="007D162C">
              <w:t>Yes</w:t>
            </w:r>
          </w:p>
        </w:tc>
        <w:tc>
          <w:tcPr>
            <w:tcW w:w="1559" w:type="dxa"/>
          </w:tcPr>
          <w:p w14:paraId="3CEB710A" w14:textId="77777777" w:rsidR="001B4346" w:rsidRPr="007D162C" w:rsidRDefault="08D050C4" w:rsidP="00473693">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B4346" w:rsidRPr="007D162C" w14:paraId="2408CE00"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08666F87" w14:textId="77777777" w:rsidR="001B4346" w:rsidRPr="007D162C" w:rsidRDefault="001B4346" w:rsidP="00473693">
            <w:r w:rsidRPr="007D162C">
              <w:t>Regulatory option 2</w:t>
            </w:r>
          </w:p>
        </w:tc>
        <w:tc>
          <w:tcPr>
            <w:tcW w:w="1276" w:type="dxa"/>
            <w:vAlign w:val="center"/>
          </w:tcPr>
          <w:p w14:paraId="5CD13F92"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vAlign w:val="center"/>
          </w:tcPr>
          <w:p w14:paraId="6280A059"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418" w:type="dxa"/>
            <w:vAlign w:val="center"/>
          </w:tcPr>
          <w:p w14:paraId="7B946E24"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134" w:type="dxa"/>
            <w:vAlign w:val="center"/>
          </w:tcPr>
          <w:p w14:paraId="085245EE"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701" w:type="dxa"/>
            <w:vAlign w:val="center"/>
          </w:tcPr>
          <w:p w14:paraId="57516FD6" w14:textId="77777777" w:rsidR="001B4346" w:rsidRPr="007D162C" w:rsidRDefault="001B4346" w:rsidP="00473693">
            <w:pPr>
              <w:cnfStyle w:val="000000000000" w:firstRow="0" w:lastRow="0" w:firstColumn="0" w:lastColumn="0" w:oddVBand="0" w:evenVBand="0" w:oddHBand="0" w:evenHBand="0" w:firstRowFirstColumn="0" w:firstRowLastColumn="0" w:lastRowFirstColumn="0" w:lastRowLastColumn="0"/>
            </w:pPr>
            <w:r w:rsidRPr="007D162C">
              <w:t>Yes</w:t>
            </w:r>
          </w:p>
        </w:tc>
        <w:tc>
          <w:tcPr>
            <w:tcW w:w="1559" w:type="dxa"/>
          </w:tcPr>
          <w:p w14:paraId="6A3C3D4E" w14:textId="77777777" w:rsidR="001B4346" w:rsidRPr="007D162C" w:rsidRDefault="08D050C4" w:rsidP="00473693">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bl>
    <w:p w14:paraId="00D3A8BA" w14:textId="77777777" w:rsidR="001B4346" w:rsidRPr="007D162C" w:rsidRDefault="001B4346" w:rsidP="001B4346"/>
    <w:p w14:paraId="52FC8910" w14:textId="77777777" w:rsidR="001B4346" w:rsidRPr="007D162C" w:rsidRDefault="001B4346" w:rsidP="001B4346">
      <w:pPr>
        <w:pStyle w:val="Heading4"/>
        <w:tabs>
          <w:tab w:val="left" w:pos="284"/>
        </w:tabs>
      </w:pPr>
      <w:r w:rsidRPr="007D162C">
        <w:t xml:space="preserve">Analysis of submissions </w:t>
      </w:r>
    </w:p>
    <w:p w14:paraId="3D230C12" w14:textId="77777777" w:rsidR="001B4346" w:rsidRPr="007D162C" w:rsidRDefault="001B4346" w:rsidP="001B4346">
      <w:pPr>
        <w:pStyle w:val="Heading5"/>
      </w:pPr>
      <w:r w:rsidRPr="007D162C">
        <w:t>Status quo</w:t>
      </w:r>
    </w:p>
    <w:p w14:paraId="0492EB01" w14:textId="77777777" w:rsidR="001B4346" w:rsidRPr="007D162C" w:rsidRDefault="001B4346" w:rsidP="001B4346">
      <w:r w:rsidRPr="007D162C">
        <w:t>Feedback from stakeholders indicated a variety of buses are used for school services, including Transport Standards compliant buses and inaccessible small and large coaches. Submissions also noted the is a lack of wheelchair accessible taxis (WATs) during peak times due to them being used for school drop offs.</w:t>
      </w:r>
    </w:p>
    <w:p w14:paraId="134E3E63" w14:textId="77777777" w:rsidR="001B4346" w:rsidRPr="007D162C" w:rsidRDefault="001B4346" w:rsidP="001B4346">
      <w:r w:rsidRPr="007D162C">
        <w:t>Consultation findings indicated students with disability may face barriers due to the availability of accessible school buses. A lack of accessible buses may limit the choice of schools a student can attend, or may prevent students from undertaking extracurricular activities and excursions due to lack of accessible school transport or timetabling of services.</w:t>
      </w:r>
    </w:p>
    <w:p w14:paraId="3BBC1835" w14:textId="77777777" w:rsidR="001B4346" w:rsidRPr="007D162C" w:rsidRDefault="001B4346" w:rsidP="001B4346">
      <w:pPr>
        <w:pStyle w:val="Quote"/>
      </w:pPr>
      <w:r w:rsidRPr="007D162C">
        <w:t xml:space="preserve">When students with disability are denied their human right to travel on designated school buses because they are not accessible, they are being denied the right and opportunity to have social interaction with their peers on their way to and from school and to school activities like swimming carnivals and school excursions. </w:t>
      </w:r>
    </w:p>
    <w:p w14:paraId="39F98498" w14:textId="77777777" w:rsidR="001B4346" w:rsidRPr="007D162C" w:rsidRDefault="001B4346" w:rsidP="001B4346">
      <w:pPr>
        <w:pStyle w:val="Quote"/>
      </w:pPr>
      <w:r w:rsidRPr="007D162C">
        <w:t>Spinal Cord Injuries Australia</w:t>
      </w:r>
    </w:p>
    <w:p w14:paraId="34607ECE" w14:textId="77777777" w:rsidR="001B4346" w:rsidRPr="007D162C" w:rsidRDefault="001B4346" w:rsidP="001B4346">
      <w:r w:rsidRPr="007D162C">
        <w:lastRenderedPageBreak/>
        <w:t xml:space="preserve">To reduce or overcome these barriers, students may be required to use a segregated or parallel service which may not be as affordable. For example, a student may be required to use a ‘special needs’ school bus to travel to school, or may be required to use a WAT to participate in extracurricular activity or school excursions. </w:t>
      </w:r>
    </w:p>
    <w:p w14:paraId="74ED7887" w14:textId="77777777" w:rsidR="001B4346" w:rsidRPr="007D162C" w:rsidRDefault="08D050C4" w:rsidP="001B4346">
      <w:r w:rsidRPr="007D162C">
        <w:t xml:space="preserve">Students, parents and carers may prefer to use parallel or segregated services, as they may offer greater level of certainty, safety and amenity. However, consultation also advocated for students with disability to be able to make independent choices in regard to their preferred transport method. When students encounter barriers, it can impose strain on their support networks and can have on flow on impacts for parents and carers, such as limiting the locations they can chose to live in and their employment opportunities. </w:t>
      </w:r>
    </w:p>
    <w:p w14:paraId="5535CF20" w14:textId="77777777" w:rsidR="001B4346" w:rsidRPr="007D162C" w:rsidRDefault="001B4346" w:rsidP="001B4346">
      <w:pPr>
        <w:pStyle w:val="Quote"/>
      </w:pPr>
      <w:r w:rsidRPr="007D162C">
        <w:t xml:space="preserve">We are aware that many families with children with physical disabilities are forced to rely on taxis to convey their children to and from school, but that taxis are more expensive, and less reliable than scheduled bus services, particularly in remote and regional areas where services are limited. </w:t>
      </w:r>
    </w:p>
    <w:p w14:paraId="0C57D0AD" w14:textId="77777777" w:rsidR="001B4346" w:rsidRPr="007D162C" w:rsidRDefault="001B4346" w:rsidP="001B4346">
      <w:pPr>
        <w:pStyle w:val="Quote"/>
      </w:pPr>
      <w:r w:rsidRPr="007D162C">
        <w:t>Physical Disability Council of NSW</w:t>
      </w:r>
    </w:p>
    <w:p w14:paraId="1FED2C5B" w14:textId="77777777" w:rsidR="001B4346" w:rsidRPr="007D162C" w:rsidRDefault="001B4346" w:rsidP="001B4346">
      <w:r w:rsidRPr="007D162C">
        <w:t>Further, in some situations, conveyances used as dedicated school buses can be used for other public transport services. For example, a submission described rail replacement services deciding to use inaccessible conveyances that would typically be used for school services when there are no other conveyances available to replace the rail service. This renders these services inaccessible and non-compliant.</w:t>
      </w:r>
    </w:p>
    <w:p w14:paraId="68CB58AD" w14:textId="77777777" w:rsidR="001B4346" w:rsidRPr="007D162C" w:rsidRDefault="001B4346" w:rsidP="001B4346">
      <w:r w:rsidRPr="007D162C">
        <w:t xml:space="preserve">All submissions from the bus industry supported the status quo, arguing school transport is provided to students without discrimination, and the status quo enables students to receive both choice and access to their preferred mode, whilst not denying students with disability the choice to travel to school on a school bus. The submissions from the bus industry also noted school transport services are developed in partnership with schools and state and territory governments to ensure delivery of the right service. </w:t>
      </w:r>
    </w:p>
    <w:p w14:paraId="5C15D8D6" w14:textId="77777777" w:rsidR="001B4346" w:rsidRPr="007D162C" w:rsidRDefault="08D050C4" w:rsidP="001B4346">
      <w:r w:rsidRPr="007D162C">
        <w:t>Three submissions from state governments supported the status quo option, arguing the exemptions do not impact the availability of accessible transport for students, and that the non-regulatory and regulatory options would not ensure a higher level of accessibility. These submissions also noted dedicated special needs buses can cater to students with disability, including having a carer on-board where necessary.</w:t>
      </w:r>
    </w:p>
    <w:p w14:paraId="4D2C6A79" w14:textId="77777777" w:rsidR="001B4346" w:rsidRPr="007D162C" w:rsidRDefault="001B4346" w:rsidP="001B4346">
      <w:r w:rsidRPr="007D162C">
        <w:t xml:space="preserve">Feedback from the disability community did not support the status quo, as it would not address the accessibility issues raised above. Maintaining status quo has no on-going costs for operators and providers. However, there may be negative impacts on the experience of students with disability. </w:t>
      </w:r>
    </w:p>
    <w:p w14:paraId="3BFD90E7" w14:textId="77777777" w:rsidR="001B4346" w:rsidRPr="007D162C" w:rsidRDefault="001B4346" w:rsidP="001B4346">
      <w:pPr>
        <w:pStyle w:val="Heading5"/>
      </w:pPr>
      <w:r w:rsidRPr="007D162C">
        <w:t>Non-regulatory</w:t>
      </w:r>
    </w:p>
    <w:p w14:paraId="09ACCBCF" w14:textId="35511D07" w:rsidR="001B4346" w:rsidRPr="007D162C" w:rsidRDefault="001B4346" w:rsidP="001B4346">
      <w:r w:rsidRPr="007D162C">
        <w:t xml:space="preserve">Feedback from two state governments supported the non-regulatory option, but noted funding was required to remove any non-compliant buses from circulation, as upgrading or replacing conveyances will impose significant cost. This cost would include procuring and operating buses that are compliant with the Transport Standards, or procuring lifts and hoists for use where necessary. This high reported cost by industry and governments was also demonstrated in the CBA. </w:t>
      </w:r>
      <w:r w:rsidR="00A06601">
        <w:t>S</w:t>
      </w:r>
      <w:r w:rsidRPr="007D162C">
        <w:t xml:space="preserve">ubmissions from </w:t>
      </w:r>
      <w:r w:rsidR="00A06601">
        <w:t xml:space="preserve">the </w:t>
      </w:r>
      <w:r w:rsidRPr="007D162C">
        <w:t>bus industry and two governments raised a concern these costs will be too great for school bus operators to bare and the resources would be better used elsewhere.</w:t>
      </w:r>
    </w:p>
    <w:p w14:paraId="4513682A" w14:textId="77777777" w:rsidR="001B4346" w:rsidRPr="007D162C" w:rsidRDefault="001B4346" w:rsidP="001B4346">
      <w:r w:rsidRPr="007D162C">
        <w:t xml:space="preserve">Consultation found there was significant variety in the types of service provided to transport students with disability to school, depending on the student’s needs and transport options available. This variety of options means change to the status quo will have different impacts depending on the nature of the transport students currently use. </w:t>
      </w:r>
    </w:p>
    <w:p w14:paraId="148FF44B" w14:textId="0B24C865" w:rsidR="001B4346" w:rsidRPr="007D162C" w:rsidRDefault="001B4346" w:rsidP="001B4346">
      <w:r w:rsidRPr="007D162C">
        <w:t xml:space="preserve">Submissions from state governments noted the non-regulatory option would provide flexibility for operators and providers to adopt where practical. They also noted school bus boarding points, particularly in regional areas, may not be fixed points that are serviced by accessible infrastructure. Further, many fixed boarding points in regional and rural areas are either not compliant </w:t>
      </w:r>
      <w:r w:rsidR="00787494">
        <w:t>with</w:t>
      </w:r>
      <w:r w:rsidRPr="007D162C">
        <w:t xml:space="preserve"> the Transport Standards, or are not accessible beyond the immediate boarding point due to a lack of access paths. These concerns about boarding points may limit the effectiveness of guidance. </w:t>
      </w:r>
    </w:p>
    <w:p w14:paraId="719B9D56" w14:textId="77777777" w:rsidR="001B4346" w:rsidRPr="007D162C" w:rsidRDefault="001B4346" w:rsidP="001B4346">
      <w:r w:rsidRPr="007D162C">
        <w:lastRenderedPageBreak/>
        <w:t xml:space="preserve">Feedback from state governments and industry have highlighted the importance of the ability of school bus operators and providers to be able to develop a suitable solution on a case-by-case basis for students. School routes are adapted each year to account for demand and in many cases are booked in advance. In these circumstances, operators and providers have the opportunity to identify the most appropriate solution for student’s needs in advance, and transport needs do not vary on a day-to-day basis, as they would for other public transport modes, such as route bus services.  </w:t>
      </w:r>
    </w:p>
    <w:p w14:paraId="79EFE001" w14:textId="77777777" w:rsidR="001B4346" w:rsidRPr="007D162C" w:rsidRDefault="001B4346" w:rsidP="001B4346">
      <w:pPr>
        <w:pStyle w:val="Quote"/>
      </w:pPr>
      <w:r w:rsidRPr="007D162C">
        <w:t xml:space="preserve">In metropolitan areas, most students can access both public transport route services and school buses which utilise low-floor accessible buses. In rural and regional areas, where there is a need for an accessible school service, operators work with individuals on a case-by-case basis to develop a suitable solution to ensure the student can travel in a dignified and equitable manner. The NSW Government notes this is an outcome the reform needs to deliver. </w:t>
      </w:r>
    </w:p>
    <w:p w14:paraId="027178A2" w14:textId="77777777" w:rsidR="001B4346" w:rsidRPr="007D162C" w:rsidRDefault="001B4346" w:rsidP="001B4346">
      <w:pPr>
        <w:pStyle w:val="Quote"/>
      </w:pPr>
      <w:r w:rsidRPr="007D162C">
        <w:t xml:space="preserve">NSW Government </w:t>
      </w:r>
    </w:p>
    <w:p w14:paraId="562D927A" w14:textId="77777777" w:rsidR="001B4346" w:rsidRPr="007D162C" w:rsidRDefault="001B4346" w:rsidP="001B4346">
      <w:r w:rsidRPr="007D162C">
        <w:t xml:space="preserve">The bus industry noted using conveyances suitable to the non-regulatory or regulatory options would result in a loss of seating capacity, increasing the number of school buses and drivers required to service the school community. This loss of seating would be further exacerbated for school services which require seatbelts. </w:t>
      </w:r>
    </w:p>
    <w:p w14:paraId="2D5931EF" w14:textId="77777777" w:rsidR="001B4346" w:rsidRPr="007D162C" w:rsidRDefault="001B4346" w:rsidP="001B4346">
      <w:pPr>
        <w:pStyle w:val="Quote"/>
      </w:pPr>
      <w:r w:rsidRPr="007D162C">
        <w:t xml:space="preserve">In simple terms for every 3 high floor seat belted dedicated school buses, you would need 4 seat belted low floor dedicated school buses, otherwise seating capacity would be lost. </w:t>
      </w:r>
    </w:p>
    <w:p w14:paraId="51DD5F9C" w14:textId="77777777" w:rsidR="001B4346" w:rsidRPr="007D162C" w:rsidRDefault="001B4346" w:rsidP="001B4346">
      <w:pPr>
        <w:pStyle w:val="Quote"/>
      </w:pPr>
      <w:r w:rsidRPr="007D162C">
        <w:t>Bus Industry Confederation</w:t>
      </w:r>
    </w:p>
    <w:p w14:paraId="34A9CFF2" w14:textId="77777777" w:rsidR="00E64800" w:rsidRPr="007D162C" w:rsidRDefault="00E64800" w:rsidP="00E64800"/>
    <w:p w14:paraId="719B3C72" w14:textId="77777777" w:rsidR="001B4346" w:rsidRPr="007D162C" w:rsidRDefault="001B4346" w:rsidP="001B4346">
      <w:pPr>
        <w:pStyle w:val="Heading5"/>
      </w:pPr>
      <w:r w:rsidRPr="007D162C">
        <w:t>Regulatory options</w:t>
      </w:r>
    </w:p>
    <w:p w14:paraId="6B6AD0D5" w14:textId="1CCEC5C4" w:rsidR="001B4346" w:rsidRPr="007D162C" w:rsidRDefault="08D050C4" w:rsidP="001B4346">
      <w:r w:rsidRPr="007D162C">
        <w:t>All feedback from people with disability and disability organisations supported the regulatory option to remove or reduce the exemptions for dedicated school buses. These submissions supported removing or amending the exemptions and argued dedicated school bus exemptions exclude students with mobility aids, and force students into paratransit situations.</w:t>
      </w:r>
    </w:p>
    <w:p w14:paraId="7BDA591C" w14:textId="77777777" w:rsidR="001B4346" w:rsidRPr="007D162C" w:rsidRDefault="001B4346" w:rsidP="001B4346">
      <w:pPr>
        <w:pStyle w:val="Quote"/>
      </w:pPr>
      <w:r w:rsidRPr="007D162C">
        <w:t xml:space="preserve">Currently, students with disability are transported separately in a wheelchair accessible taxi or accessible family vehicle, which is implied segregation, and it should be condemned. </w:t>
      </w:r>
    </w:p>
    <w:p w14:paraId="0299905F" w14:textId="77777777" w:rsidR="001B4346" w:rsidRPr="007D162C" w:rsidRDefault="001B4346" w:rsidP="001B4346">
      <w:pPr>
        <w:pStyle w:val="Quote"/>
      </w:pPr>
      <w:r w:rsidRPr="007D162C">
        <w:t>Spinal Cord Injuries Australia</w:t>
      </w:r>
    </w:p>
    <w:p w14:paraId="5844301A" w14:textId="77777777" w:rsidR="001B4346" w:rsidRPr="007D162C" w:rsidRDefault="001B4346" w:rsidP="001B4346">
      <w:r w:rsidRPr="007D162C">
        <w:t xml:space="preserve">The regulatory option was well supported by government with two government submissions arguing that school services should be fully accessible in the future to create options for students, reduce the demand for WATs, and increase the number of accessible buses available for use. They broadly argued the regulatory option would improve optionality for students, enhance inclusion and improve student’s connection with classmates. </w:t>
      </w:r>
    </w:p>
    <w:p w14:paraId="4AF63A00" w14:textId="77777777" w:rsidR="001B4346" w:rsidRPr="007D162C" w:rsidRDefault="001B4346" w:rsidP="001B4346">
      <w:r w:rsidRPr="007D162C">
        <w:t>Consultation and submissions did not quantify or evidence the experience of students who use mobility aids on dedicated school buses, or how their experiences may be improved by the removal of the dedicated school bus exemptions in the Transport Standards. Further, it is unclear how many students with disability would benefit from the regulatory options as there is no data available on the number of students / children who use mobility aids.</w:t>
      </w:r>
    </w:p>
    <w:p w14:paraId="631BF9B3" w14:textId="77777777" w:rsidR="001B4346" w:rsidRPr="007D162C" w:rsidRDefault="001B4346" w:rsidP="001B4346">
      <w:pPr>
        <w:rPr>
          <w:b/>
        </w:rPr>
      </w:pPr>
      <w:r w:rsidRPr="007D162C">
        <w:t xml:space="preserve">Submissions from all stakeholder groups raised concerns about a blanket removal of the dedicated school bus exemption, citing operational concerns, particularly in regional and rural areas where the cost of providing school transport may increase beyond the viability of a business. In these areas, low floor accessible buses may not be practical or safe for use due to their engine and chassis design. </w:t>
      </w:r>
    </w:p>
    <w:p w14:paraId="434730DA" w14:textId="5420ABDB" w:rsidR="001B4346" w:rsidRPr="007D162C" w:rsidRDefault="001B4346" w:rsidP="001B4346">
      <w:r w:rsidRPr="007D162C">
        <w:t xml:space="preserve">Submissions noted school bus boarding points, particularly in regional areas, may not be fixed points that are serviced by accessible infrastructure. Submissions also noted many fixed boarding points in regional and rural areas are either not compliant </w:t>
      </w:r>
      <w:r w:rsidR="00787494">
        <w:t>with</w:t>
      </w:r>
      <w:r w:rsidRPr="007D162C">
        <w:t xml:space="preserve"> the Transport Standards, or are not accessible beyond the immediate boarding point due to a lack of access paths. These concerns about boarding points are likely to limit the benefits of the regulatory options. </w:t>
      </w:r>
    </w:p>
    <w:p w14:paraId="1D29F975" w14:textId="77777777" w:rsidR="001B4346" w:rsidRPr="007D162C" w:rsidRDefault="001B4346" w:rsidP="001B4346">
      <w:r w:rsidRPr="007D162C">
        <w:lastRenderedPageBreak/>
        <w:t xml:space="preserve">Submissions from industry and government raised a concern about both regulatory options reducing the carrying capacity of dedicated school buses. Additional buses and bus drivers required to service the same volume of students is likely to impose substantial ongoing cost for operators and providers, impacting the delivery of school bus services to all students, and reducing the availability of seats on school buses for all students. </w:t>
      </w:r>
    </w:p>
    <w:p w14:paraId="6E53C44F" w14:textId="77777777" w:rsidR="001B4346" w:rsidRPr="007D162C" w:rsidRDefault="001B4346" w:rsidP="001B4346">
      <w:r w:rsidRPr="007D162C">
        <w:t xml:space="preserve">Submissions from industry and state governments raised concerns about the cost of both regulatory options, discussed above in the non-regulatory option’s outcome analysis. While the second regulatory option has been identified as being less costly to industry, concerns about cost remain, as both options will impact capacity, procurement and service delivery. </w:t>
      </w:r>
    </w:p>
    <w:p w14:paraId="1E9EFD7E" w14:textId="77777777" w:rsidR="001B4346" w:rsidRPr="007D162C" w:rsidRDefault="001B4346" w:rsidP="001B4346">
      <w:pPr>
        <w:pStyle w:val="Quote"/>
      </w:pPr>
      <w:r w:rsidRPr="007D162C">
        <w:t>Clarity is sufficient in both non-regulatory and regulatory options, however, the increased costs incurred by bus operators in rural areas to implement those solutions may result in operators withdrawing from the market and services being removed.</w:t>
      </w:r>
    </w:p>
    <w:p w14:paraId="546F88BD" w14:textId="77777777" w:rsidR="001B4346" w:rsidRPr="007D162C" w:rsidRDefault="001B4346" w:rsidP="001B4346">
      <w:pPr>
        <w:pStyle w:val="Quote"/>
      </w:pPr>
      <w:r w:rsidRPr="007D162C">
        <w:t>Queensland Government Department of Transport and Main Roads</w:t>
      </w:r>
    </w:p>
    <w:p w14:paraId="55DD9CD1" w14:textId="77777777" w:rsidR="00960FA5" w:rsidRPr="007D162C" w:rsidRDefault="00960FA5" w:rsidP="00960FA5"/>
    <w:p w14:paraId="31D5D5D1" w14:textId="77777777" w:rsidR="001B4346" w:rsidRPr="007D162C" w:rsidRDefault="001B4346" w:rsidP="001B4346">
      <w:pPr>
        <w:pStyle w:val="Heading4"/>
      </w:pPr>
      <w:r w:rsidRPr="007D162C">
        <w:t>Preferred option</w:t>
      </w:r>
    </w:p>
    <w:p w14:paraId="73788F3C" w14:textId="77777777" w:rsidR="001B4346" w:rsidRPr="007D162C" w:rsidRDefault="001B4346" w:rsidP="001B4346">
      <w:r w:rsidRPr="007D162C">
        <w:t xml:space="preserve">Informed by the outcomes of consultation, stakeholder impacts, cost and outcomes analysis, the preferred option is the </w:t>
      </w:r>
      <w:r w:rsidRPr="007D162C">
        <w:rPr>
          <w:b/>
        </w:rPr>
        <w:t>status quo</w:t>
      </w:r>
      <w:r w:rsidRPr="007D162C">
        <w:t xml:space="preserve">, with further consultation, investigation and research recommended. </w:t>
      </w:r>
    </w:p>
    <w:p w14:paraId="731BE89B" w14:textId="560FAA64" w:rsidR="001B4346" w:rsidRPr="007D162C" w:rsidRDefault="001B4346" w:rsidP="001B4346">
      <w:bookmarkStart w:id="207" w:name="_Hlk130395898"/>
      <w:r w:rsidRPr="007D162C">
        <w:t>The high cost to remove the or reduce the exemptions for dedicated school buses, the lack of available data in submission</w:t>
      </w:r>
      <w:r w:rsidR="00787494">
        <w:t>s</w:t>
      </w:r>
      <w:r w:rsidRPr="007D162C">
        <w:t xml:space="preserve"> about the experience of students who use mobility aids and data on the prevalence and effectiveness of equivalent access solutions limits the ability to impose legislative requirements without further information.</w:t>
      </w:r>
    </w:p>
    <w:bookmarkEnd w:id="207"/>
    <w:p w14:paraId="10B76D3C" w14:textId="77777777" w:rsidR="001B4346" w:rsidRPr="007D162C" w:rsidRDefault="001B4346" w:rsidP="001B4346">
      <w:r w:rsidRPr="007D162C">
        <w:t xml:space="preserve">Consultation demonstrated there is an ongoing issue of social exclusion and a lack of optionality that negatively impacts students with disability and their families, where accessible school bus services are unavailable. Stakeholders agreed accessible and safe dedicated bus services should enable fit-for-purpose solutions to suit individual student needs and preferences. In the absence of a suitable option, discrimination faced by student with disability and their families who use or require dedicated school bus services will remain. </w:t>
      </w:r>
    </w:p>
    <w:p w14:paraId="67E65210" w14:textId="03D36F50" w:rsidR="001B4346" w:rsidRPr="007D162C" w:rsidRDefault="001B4346" w:rsidP="001B4346">
      <w:r w:rsidRPr="007D162C">
        <w:t>There are many differences between the provision of route bus services and dedicated school buses, particularly in regional areas, which increases the cost of complying with the Transport Standards. However, alternative option</w:t>
      </w:r>
      <w:r w:rsidR="000855E5" w:rsidRPr="007D162C">
        <w:t>s</w:t>
      </w:r>
      <w:r w:rsidRPr="007D162C">
        <w:t xml:space="preserve"> have not been identified in this reform area to suitably to address this issue. </w:t>
      </w:r>
    </w:p>
    <w:p w14:paraId="09E723A8" w14:textId="77777777" w:rsidR="001B4346" w:rsidRPr="007D162C" w:rsidRDefault="001B4346" w:rsidP="001B4346">
      <w:r w:rsidRPr="007D162C">
        <w:t>Consultation and economic impact analysis demonstrate the very high costs associated with implementing the proposed regulatory options. The status quo will not impose additional costs on operators or providers.</w:t>
      </w:r>
    </w:p>
    <w:p w14:paraId="034F9078" w14:textId="77777777" w:rsidR="001B4346" w:rsidRPr="007D162C" w:rsidRDefault="001B4346" w:rsidP="001B4346">
      <w:r w:rsidRPr="007D162C">
        <w:t>Further investigation, research and stakeholder consultation is recommended to identify solutions to promote access for students who require use of accessible and safe dedicated bus services. In addition, equivalent access solutions should be investigated and reviewed where an operator or provider can vary the equipment or facilities that give access to a public transport service, so long as an equivalent standard of amenity, availability, comfort, convenience, dignity, price and safety is maintained.</w:t>
      </w:r>
    </w:p>
    <w:p w14:paraId="1E65F40F" w14:textId="77777777" w:rsidR="000855E5" w:rsidRPr="007D162C" w:rsidRDefault="001B4346" w:rsidP="001B4346">
      <w:r w:rsidRPr="007D162C">
        <w:t>This Decision RIS recommends the Australian Government develop and implement a targeted consultation plan following the consideration of this Decision RIS by Ministers. This plan should outline who are the stakeholders impacted by this issue, how the Australian Government will engage with them to understand their experiences, and how their feedback will be used to develop options for reform to address this issue.</w:t>
      </w:r>
    </w:p>
    <w:p w14:paraId="48509A39" w14:textId="77777777" w:rsidR="000855E5" w:rsidRPr="007D162C" w:rsidRDefault="000855E5" w:rsidP="000855E5">
      <w:r w:rsidRPr="007D162C">
        <w:br w:type="page"/>
      </w:r>
    </w:p>
    <w:p w14:paraId="57396515" w14:textId="02315BDA" w:rsidR="000855E5" w:rsidRPr="007D162C" w:rsidRDefault="000855E5" w:rsidP="000855E5">
      <w:pPr>
        <w:pStyle w:val="Heading2"/>
      </w:pPr>
      <w:bookmarkStart w:id="208" w:name="_Toc127351752"/>
      <w:bookmarkStart w:id="209" w:name="_Toc140239711"/>
      <w:r w:rsidRPr="007D162C">
        <w:lastRenderedPageBreak/>
        <w:t>Part 2: Information, communication and wayfinding</w:t>
      </w:r>
      <w:bookmarkEnd w:id="208"/>
      <w:bookmarkEnd w:id="209"/>
    </w:p>
    <w:p w14:paraId="4FE7B171" w14:textId="77777777" w:rsidR="000855E5" w:rsidRPr="007D162C" w:rsidRDefault="000855E5" w:rsidP="000855E5">
      <w:pPr>
        <w:rPr>
          <w:color w:val="377B88"/>
          <w:sz w:val="26"/>
          <w:szCs w:val="26"/>
        </w:rPr>
      </w:pPr>
      <w:r w:rsidRPr="007D162C">
        <w:rPr>
          <w:color w:val="377B88"/>
          <w:sz w:val="26"/>
          <w:szCs w:val="26"/>
        </w:rPr>
        <w:t>This Part includes the following reform areas:</w:t>
      </w:r>
    </w:p>
    <w:p w14:paraId="068F1B97"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Better communication of accessibility features</w:t>
      </w:r>
    </w:p>
    <w:p w14:paraId="3B2213AC"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Timely provision of information</w:t>
      </w:r>
    </w:p>
    <w:p w14:paraId="25598095"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Real time communication</w:t>
      </w:r>
    </w:p>
    <w:p w14:paraId="75A69876"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Passenger location during journey</w:t>
      </w:r>
    </w:p>
    <w:p w14:paraId="1333D9E3"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Hearing augmentation on conveyances</w:t>
      </w:r>
    </w:p>
    <w:p w14:paraId="473A860C"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Hearing augmentation: Infrastructure and premises</w:t>
      </w:r>
    </w:p>
    <w:p w14:paraId="2B35571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Print size and format</w:t>
      </w:r>
    </w:p>
    <w:p w14:paraId="385C152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International Symbol for Access and Deafness</w:t>
      </w:r>
    </w:p>
    <w:p w14:paraId="3FA471A7"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Letter heights and luminance contrast of signs</w:t>
      </w:r>
    </w:p>
    <w:p w14:paraId="22A8F082"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 xml:space="preserve">Location of signs </w:t>
      </w:r>
    </w:p>
    <w:p w14:paraId="461F60BA"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Braille embossed (printed) specifications</w:t>
      </w:r>
    </w:p>
    <w:p w14:paraId="3CCE8D92"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Braille and tactile lettering for signage</w:t>
      </w:r>
    </w:p>
    <w:p w14:paraId="5B19F740"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Braille and Tactile Information at Lift Landings</w:t>
      </w:r>
    </w:p>
    <w:p w14:paraId="0E2F2A9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Audible wayfinding</w:t>
      </w:r>
    </w:p>
    <w:p w14:paraId="4281C29D"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Lifts - Emergency communication systems in lift cars</w:t>
      </w:r>
    </w:p>
    <w:p w14:paraId="0713E01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 xml:space="preserve">Lifts - Reference for lift car communication and information system </w:t>
      </w:r>
    </w:p>
    <w:p w14:paraId="2089CBFF"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Information and communication technologies (ICT) procurement</w:t>
      </w:r>
    </w:p>
    <w:p w14:paraId="6163BB18"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Mobile web systems</w:t>
      </w:r>
    </w:p>
    <w:p w14:paraId="4A0D702B" w14:textId="77777777" w:rsidR="000855E5" w:rsidRPr="007D162C" w:rsidRDefault="000855E5" w:rsidP="006F65FB">
      <w:pPr>
        <w:numPr>
          <w:ilvl w:val="0"/>
          <w:numId w:val="25"/>
        </w:numPr>
        <w:spacing w:line="259" w:lineRule="auto"/>
        <w:contextualSpacing/>
        <w:rPr>
          <w:color w:val="377B88"/>
          <w:sz w:val="26"/>
          <w:szCs w:val="26"/>
        </w:rPr>
      </w:pPr>
      <w:r w:rsidRPr="007D162C">
        <w:rPr>
          <w:color w:val="377B88"/>
          <w:sz w:val="26"/>
          <w:szCs w:val="26"/>
        </w:rPr>
        <w:t>Accessible Fare System Elements</w:t>
      </w:r>
    </w:p>
    <w:p w14:paraId="00950368" w14:textId="77777777" w:rsidR="00622DF5" w:rsidRPr="007D162C" w:rsidRDefault="00622DF5" w:rsidP="001B4346"/>
    <w:p w14:paraId="6FB061D4" w14:textId="77777777" w:rsidR="00622DF5" w:rsidRPr="007D162C" w:rsidRDefault="00622DF5">
      <w:pPr>
        <w:spacing w:line="259" w:lineRule="auto"/>
      </w:pPr>
      <w:r w:rsidRPr="007D162C">
        <w:br w:type="page"/>
      </w:r>
    </w:p>
    <w:p w14:paraId="5CA5F2EF" w14:textId="05CB4438" w:rsidR="001077D1" w:rsidRPr="007D162C" w:rsidRDefault="001077D1" w:rsidP="0060690D">
      <w:pPr>
        <w:pStyle w:val="Heading2"/>
        <w:numPr>
          <w:ilvl w:val="0"/>
          <w:numId w:val="26"/>
        </w:numPr>
        <w:ind w:hanging="720"/>
      </w:pPr>
      <w:bookmarkStart w:id="210" w:name="_Toc112050085"/>
      <w:bookmarkStart w:id="211" w:name="_Toc122515451"/>
      <w:bookmarkStart w:id="212" w:name="_Toc140239712"/>
      <w:r w:rsidRPr="007D162C">
        <w:lastRenderedPageBreak/>
        <w:t>Better communication of accessibility features</w:t>
      </w:r>
      <w:bookmarkEnd w:id="210"/>
      <w:bookmarkEnd w:id="211"/>
      <w:bookmarkEnd w:id="212"/>
    </w:p>
    <w:p w14:paraId="65659603" w14:textId="77777777" w:rsidR="001077D1" w:rsidRPr="007D162C" w:rsidRDefault="001077D1" w:rsidP="001077D1">
      <w:pPr>
        <w:pStyle w:val="Heading4"/>
      </w:pPr>
      <w:r w:rsidRPr="007D162C">
        <w:t>Issue</w:t>
      </w:r>
    </w:p>
    <w:p w14:paraId="0538CD1B" w14:textId="77777777" w:rsidR="001077D1" w:rsidRPr="007D162C" w:rsidRDefault="001077D1" w:rsidP="001077D1">
      <w:r w:rsidRPr="007D162C">
        <w:t xml:space="preserve">The Transport Standards do not define accessibility, or include guidance on what accessible features or amenities should be communicated, if available, to the public. This makes planning, travelling and adjusting a journey on public transport challenging for people with disability. </w:t>
      </w:r>
    </w:p>
    <w:p w14:paraId="6F213A61" w14:textId="3E0D5A59" w:rsidR="001077D1" w:rsidRPr="007D162C" w:rsidRDefault="001077D1" w:rsidP="001077D1">
      <w:r w:rsidRPr="007D162C">
        <w:t xml:space="preserve">Collective government action to </w:t>
      </w:r>
      <w:r w:rsidR="00382EA4" w:rsidRPr="007D162C">
        <w:t xml:space="preserve">communicate the accessibility of </w:t>
      </w:r>
      <w:r w:rsidR="00EE1CFE" w:rsidRPr="007D162C">
        <w:t>services</w:t>
      </w:r>
      <w:r w:rsidRPr="007D162C">
        <w:t xml:space="preserve"> that can be applied across all modes of public transport would benefit people with disability and address key stakeholder issues raised through the Transport Standards review process.</w:t>
      </w:r>
    </w:p>
    <w:p w14:paraId="68C99691" w14:textId="77777777" w:rsidR="001077D1" w:rsidRPr="007D162C" w:rsidRDefault="001077D1" w:rsidP="001077D1">
      <w:pPr>
        <w:pStyle w:val="Heading4"/>
        <w:tabs>
          <w:tab w:val="left" w:pos="284"/>
        </w:tabs>
      </w:pPr>
      <w:r w:rsidRPr="007D162C">
        <w:t>Reform options</w:t>
      </w:r>
    </w:p>
    <w:p w14:paraId="18A23848" w14:textId="77777777" w:rsidR="001077D1" w:rsidRPr="007D162C" w:rsidRDefault="001077D1" w:rsidP="001077D1">
      <w:pPr>
        <w:tabs>
          <w:tab w:val="left" w:pos="284"/>
        </w:tabs>
      </w:pPr>
      <w:r w:rsidRPr="007D162C">
        <w:t>Following is a summary of the proposed options for this reform. Full details of each reform option is provided at Appendix A.</w:t>
      </w:r>
    </w:p>
    <w:p w14:paraId="2255E272" w14:textId="3A4B1A95" w:rsidR="001077D1" w:rsidRPr="007D162C" w:rsidRDefault="001077D1" w:rsidP="001077D1">
      <w:pPr>
        <w:pStyle w:val="Tablefigureheading"/>
      </w:pPr>
      <w:bookmarkStart w:id="213" w:name="_Toc122446326"/>
      <w:bookmarkStart w:id="214" w:name="_Toc139969176"/>
      <w:r w:rsidRPr="007D162C">
        <w:t xml:space="preserve">Table </w:t>
      </w:r>
      <w:fldSimple w:instr=" SEQ Table \* ARABIC ">
        <w:r w:rsidR="00DC26AC">
          <w:rPr>
            <w:noProof/>
          </w:rPr>
          <w:t>18</w:t>
        </w:r>
      </w:fldSimple>
      <w:r w:rsidRPr="007D162C">
        <w:t xml:space="preserve">: Reform options for </w:t>
      </w:r>
      <w:r w:rsidR="00754992" w:rsidRPr="007D162C">
        <w:t>B</w:t>
      </w:r>
      <w:r w:rsidRPr="007D162C">
        <w:t>etter communication of accessibility features</w:t>
      </w:r>
      <w:bookmarkEnd w:id="213"/>
      <w:bookmarkEnd w:id="214"/>
    </w:p>
    <w:tbl>
      <w:tblPr>
        <w:tblStyle w:val="DefaultTable1"/>
        <w:tblW w:w="9072" w:type="dxa"/>
        <w:tblLook w:val="04A0" w:firstRow="1" w:lastRow="0" w:firstColumn="1" w:lastColumn="0" w:noHBand="0" w:noVBand="1"/>
        <w:tblCaption w:val="Reform options for better communication of accessibility features"/>
        <w:tblDescription w:val="This table provides a description of each of the options for this reform area. Status quo, non-regulatory and regulatory."/>
      </w:tblPr>
      <w:tblGrid>
        <w:gridCol w:w="2232"/>
        <w:gridCol w:w="6840"/>
      </w:tblGrid>
      <w:tr w:rsidR="001077D1" w:rsidRPr="007D162C" w14:paraId="71408A6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53DD0368" w14:textId="77777777" w:rsidR="001077D1" w:rsidRPr="007D162C" w:rsidRDefault="001077D1" w:rsidP="001077D1">
            <w:r w:rsidRPr="007D162C">
              <w:t>Option</w:t>
            </w:r>
          </w:p>
        </w:tc>
        <w:tc>
          <w:tcPr>
            <w:tcW w:w="6840" w:type="dxa"/>
          </w:tcPr>
          <w:p w14:paraId="60D89E5F" w14:textId="77777777" w:rsidR="001077D1" w:rsidRPr="007D162C" w:rsidRDefault="001077D1" w:rsidP="001077D1">
            <w:pPr>
              <w:cnfStyle w:val="100000000000" w:firstRow="1" w:lastRow="0" w:firstColumn="0" w:lastColumn="0" w:oddVBand="0" w:evenVBand="0" w:oddHBand="0" w:evenHBand="0" w:firstRowFirstColumn="0" w:firstRowLastColumn="0" w:lastRowFirstColumn="0" w:lastRowLastColumn="0"/>
            </w:pPr>
            <w:r w:rsidRPr="007D162C">
              <w:t>Description</w:t>
            </w:r>
          </w:p>
        </w:tc>
      </w:tr>
      <w:tr w:rsidR="001077D1" w:rsidRPr="007D162C" w14:paraId="6AED075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40BC20E" w14:textId="77777777" w:rsidR="001077D1" w:rsidRPr="007D162C" w:rsidRDefault="001077D1" w:rsidP="001077D1">
            <w:r w:rsidRPr="007D162C">
              <w:t>Status Quo</w:t>
            </w:r>
          </w:p>
        </w:tc>
        <w:tc>
          <w:tcPr>
            <w:tcW w:w="6840" w:type="dxa"/>
          </w:tcPr>
          <w:p w14:paraId="62206521"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silent on the definition of accessibility and would not provide guidance on what accessible features or amenities should be available and communicated to the public.</w:t>
            </w:r>
          </w:p>
          <w:p w14:paraId="0FD49F39"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077D1" w:rsidRPr="007D162C" w14:paraId="0C312B5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3EEF25" w14:textId="77777777" w:rsidR="001077D1" w:rsidRPr="007D162C" w:rsidRDefault="001077D1" w:rsidP="001077D1">
            <w:r w:rsidRPr="007D162C">
              <w:t>Non-regulatory</w:t>
            </w:r>
          </w:p>
        </w:tc>
        <w:tc>
          <w:tcPr>
            <w:tcW w:w="6840" w:type="dxa"/>
          </w:tcPr>
          <w:p w14:paraId="636918CF"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Guidance would be developed to provide a nationally consistent definition of accessibility terminology and a baseline list of accessible features that should be available and communicated to the public.</w:t>
            </w:r>
          </w:p>
          <w:p w14:paraId="51E9AA25" w14:textId="77777777" w:rsidR="001077D1" w:rsidRPr="007D162C" w:rsidRDefault="001077D1" w:rsidP="001077D1">
            <w:pPr>
              <w:pStyle w:val="Listparagraphbullets"/>
              <w:spacing w:before="0" w:after="0"/>
              <w:cnfStyle w:val="000000000000" w:firstRow="0" w:lastRow="0" w:firstColumn="0" w:lastColumn="0" w:oddVBand="0" w:evenVBand="0" w:oddHBand="0" w:evenHBand="0" w:firstRowFirstColumn="0" w:firstRowLastColumn="0" w:lastRowFirstColumn="0" w:lastRowLastColumn="0"/>
            </w:pPr>
            <w:r w:rsidRPr="007D162C">
              <w:t>Further consultation with the disability community, the transport industry and governments would be undertaken.</w:t>
            </w:r>
          </w:p>
        </w:tc>
      </w:tr>
      <w:tr w:rsidR="001077D1" w:rsidRPr="007D162C" w14:paraId="1906105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557FFD8" w14:textId="77777777" w:rsidR="001077D1" w:rsidRPr="007D162C" w:rsidRDefault="001077D1" w:rsidP="001077D1">
            <w:r w:rsidRPr="007D162C">
              <w:t>Regulatory</w:t>
            </w:r>
          </w:p>
        </w:tc>
        <w:tc>
          <w:tcPr>
            <w:tcW w:w="6840" w:type="dxa"/>
          </w:tcPr>
          <w:p w14:paraId="2BFEE281"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a definition of accessibility terminology and requirements for communicating accessibility features to the public, including:</w:t>
            </w:r>
          </w:p>
          <w:p w14:paraId="6C442AF4"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identification of access barriers within the transport network</w:t>
            </w:r>
          </w:p>
          <w:p w14:paraId="0E30C669"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definitions of the level / degree of access available at infrastructure, premises and conveyances</w:t>
            </w:r>
          </w:p>
          <w:p w14:paraId="00384FB0" w14:textId="77777777" w:rsidR="001077D1" w:rsidRPr="007D162C" w:rsidRDefault="001077D1" w:rsidP="001077D1">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a baseline list of accessible features that should be available and communicated to the public through publication and other communication channels.</w:t>
            </w:r>
          </w:p>
          <w:p w14:paraId="0B55C67E"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Further consultation with the disability community, the transport industry and governments would be undertaken.</w:t>
            </w:r>
          </w:p>
          <w:p w14:paraId="74AC820D"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8AEC72F" w14:textId="77777777" w:rsidR="001077D1" w:rsidRPr="007D162C" w:rsidRDefault="001077D1" w:rsidP="001077D1"/>
    <w:p w14:paraId="041C122C" w14:textId="77777777" w:rsidR="001077D1" w:rsidRPr="007D162C" w:rsidRDefault="001077D1" w:rsidP="001077D1">
      <w:pPr>
        <w:pStyle w:val="Heading4"/>
        <w:tabs>
          <w:tab w:val="left" w:pos="284"/>
        </w:tabs>
      </w:pPr>
      <w:r w:rsidRPr="007D162C">
        <w:t>Cost benefit analysis</w:t>
      </w:r>
    </w:p>
    <w:p w14:paraId="43F1C906" w14:textId="77777777" w:rsidR="00771CD4" w:rsidRPr="007D162C" w:rsidRDefault="001077D1" w:rsidP="00771C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B9B702" w14:textId="77777777" w:rsidR="001077D1" w:rsidRPr="007D162C" w:rsidRDefault="001077D1" w:rsidP="001077D1">
      <w:r w:rsidRPr="007D162C">
        <w:t xml:space="preserve">The following categories of quantitative costs and benefits were identified in the CBA as pertaining to the reform options. </w:t>
      </w:r>
    </w:p>
    <w:p w14:paraId="48AE9AAC" w14:textId="074FEEA9" w:rsidR="001077D1" w:rsidRPr="007D162C" w:rsidRDefault="001077D1" w:rsidP="001077D1">
      <w:pPr>
        <w:pStyle w:val="Tablefigureheading"/>
      </w:pPr>
      <w:bookmarkStart w:id="215" w:name="_Toc122446327"/>
      <w:bookmarkStart w:id="216" w:name="_Toc139969177"/>
      <w:r w:rsidRPr="007D162C">
        <w:lastRenderedPageBreak/>
        <w:t xml:space="preserve">Table </w:t>
      </w:r>
      <w:fldSimple w:instr=" SEQ Table \* ARABIC ">
        <w:r w:rsidR="00DC26AC">
          <w:rPr>
            <w:noProof/>
          </w:rPr>
          <w:t>19</w:t>
        </w:r>
      </w:fldSimple>
      <w:r w:rsidRPr="007D162C">
        <w:t xml:space="preserve">: Benefit-cost ratios for </w:t>
      </w:r>
      <w:r w:rsidR="00754992" w:rsidRPr="007D162C">
        <w:t>B</w:t>
      </w:r>
      <w:r w:rsidRPr="007D162C">
        <w:t>etter communication of accessibility features</w:t>
      </w:r>
      <w:bookmarkEnd w:id="215"/>
      <w:bookmarkEnd w:id="216"/>
    </w:p>
    <w:tbl>
      <w:tblPr>
        <w:tblStyle w:val="DefaultTable1"/>
        <w:tblW w:w="9864" w:type="dxa"/>
        <w:tblLook w:val="04A0" w:firstRow="1" w:lastRow="0" w:firstColumn="1" w:lastColumn="0" w:noHBand="0" w:noVBand="1"/>
        <w:tblCaption w:val="Benefit-cost ratios for better communication of accessibility features"/>
        <w:tblDescription w:val="This table provides the monetised benefits and costs for each of the options for this reform area."/>
      </w:tblPr>
      <w:tblGrid>
        <w:gridCol w:w="1985"/>
        <w:gridCol w:w="1280"/>
        <w:gridCol w:w="1690"/>
        <w:gridCol w:w="1991"/>
        <w:gridCol w:w="1985"/>
        <w:gridCol w:w="933"/>
      </w:tblGrid>
      <w:tr w:rsidR="001077D1" w:rsidRPr="007D162C" w14:paraId="429DDFE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70953E" w14:textId="77777777" w:rsidR="001077D1" w:rsidRPr="007D162C" w:rsidRDefault="08D050C4" w:rsidP="001077D1">
            <w:r w:rsidRPr="007D162C">
              <w:t>Reform Option</w:t>
            </w:r>
          </w:p>
        </w:tc>
        <w:tc>
          <w:tcPr>
            <w:tcW w:w="1280" w:type="dxa"/>
          </w:tcPr>
          <w:p w14:paraId="131A66C9"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90" w:type="dxa"/>
          </w:tcPr>
          <w:p w14:paraId="76E5D8D9"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91" w:type="dxa"/>
          </w:tcPr>
          <w:p w14:paraId="6ABD06FF"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985" w:type="dxa"/>
          </w:tcPr>
          <w:p w14:paraId="70C262BD"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6C52E165"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BCR</w:t>
            </w:r>
          </w:p>
        </w:tc>
      </w:tr>
      <w:tr w:rsidR="001077D1" w:rsidRPr="007D162C" w14:paraId="2392D63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A325F0" w14:textId="77777777" w:rsidR="001077D1" w:rsidRPr="007D162C" w:rsidRDefault="001077D1" w:rsidP="001077D1">
            <w:r w:rsidRPr="007D162C">
              <w:t>Status Quo</w:t>
            </w:r>
          </w:p>
        </w:tc>
        <w:tc>
          <w:tcPr>
            <w:tcW w:w="1280" w:type="dxa"/>
          </w:tcPr>
          <w:p w14:paraId="36F3488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0" w:type="dxa"/>
          </w:tcPr>
          <w:p w14:paraId="2E32ECF7"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91" w:type="dxa"/>
          </w:tcPr>
          <w:p w14:paraId="72B98BDB"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53373F60"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33" w:type="dxa"/>
          </w:tcPr>
          <w:p w14:paraId="0987389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077D1" w:rsidRPr="007D162C" w14:paraId="36E12365"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5330E242" w14:textId="77777777" w:rsidR="001077D1" w:rsidRPr="007D162C" w:rsidRDefault="001077D1" w:rsidP="001077D1">
            <w:r w:rsidRPr="007D162C">
              <w:t xml:space="preserve">Non-regulatory </w:t>
            </w:r>
          </w:p>
        </w:tc>
        <w:tc>
          <w:tcPr>
            <w:tcW w:w="1280" w:type="dxa"/>
            <w:vAlign w:val="center"/>
          </w:tcPr>
          <w:p w14:paraId="1564D57F"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762.4</w:t>
            </w:r>
          </w:p>
        </w:tc>
        <w:tc>
          <w:tcPr>
            <w:tcW w:w="1690" w:type="dxa"/>
          </w:tcPr>
          <w:p w14:paraId="585F229B"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991" w:type="dxa"/>
            <w:vAlign w:val="center"/>
          </w:tcPr>
          <w:p w14:paraId="54BF7A5C"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51.4</w:t>
            </w:r>
          </w:p>
        </w:tc>
        <w:tc>
          <w:tcPr>
            <w:tcW w:w="1985" w:type="dxa"/>
            <w:vAlign w:val="center"/>
          </w:tcPr>
          <w:p w14:paraId="50C60465"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ascii="Arial" w:hAnsi="Arial" w:cs="Arial"/>
                <w:sz w:val="18"/>
                <w:szCs w:val="18"/>
              </w:rPr>
              <w:t>51.4</w:t>
            </w:r>
            <w:r w:rsidR="00B22C62" w:rsidRPr="007D162C">
              <w:rPr>
                <w:rFonts w:ascii="Arial" w:hAnsi="Arial" w:cs="Arial"/>
                <w:sz w:val="18"/>
                <w:szCs w:val="18"/>
                <w:vertAlign w:val="superscript"/>
              </w:rPr>
              <w:t>i</w:t>
            </w:r>
          </w:p>
        </w:tc>
        <w:tc>
          <w:tcPr>
            <w:tcW w:w="933" w:type="dxa"/>
            <w:vAlign w:val="center"/>
          </w:tcPr>
          <w:p w14:paraId="57A382E3"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rFonts w:ascii="Arial" w:hAnsi="Arial" w:cs="Arial"/>
                <w:sz w:val="18"/>
                <w:szCs w:val="18"/>
              </w:rPr>
              <w:t>14.84</w:t>
            </w:r>
          </w:p>
        </w:tc>
      </w:tr>
      <w:tr w:rsidR="001077D1" w:rsidRPr="007D162C" w14:paraId="61980D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17A6DD" w14:textId="77777777" w:rsidR="001077D1" w:rsidRPr="007D162C" w:rsidRDefault="001077D1" w:rsidP="001077D1">
            <w:r w:rsidRPr="007D162C">
              <w:t>Regulatory</w:t>
            </w:r>
          </w:p>
        </w:tc>
        <w:tc>
          <w:tcPr>
            <w:tcW w:w="1280" w:type="dxa"/>
            <w:vAlign w:val="center"/>
          </w:tcPr>
          <w:p w14:paraId="04696FF0"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2225.6</w:t>
            </w:r>
          </w:p>
        </w:tc>
        <w:tc>
          <w:tcPr>
            <w:tcW w:w="1690" w:type="dxa"/>
          </w:tcPr>
          <w:p w14:paraId="5BF80335"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91" w:type="dxa"/>
            <w:vAlign w:val="center"/>
          </w:tcPr>
          <w:p w14:paraId="549FEAD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71.0</w:t>
            </w:r>
          </w:p>
        </w:tc>
        <w:tc>
          <w:tcPr>
            <w:tcW w:w="1985" w:type="dxa"/>
            <w:vAlign w:val="center"/>
          </w:tcPr>
          <w:p w14:paraId="1601D543"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71.0</w:t>
            </w:r>
          </w:p>
        </w:tc>
        <w:tc>
          <w:tcPr>
            <w:tcW w:w="933" w:type="dxa"/>
            <w:vAlign w:val="center"/>
          </w:tcPr>
          <w:p w14:paraId="5F5F2EE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31.33</w:t>
            </w:r>
          </w:p>
        </w:tc>
      </w:tr>
    </w:tbl>
    <w:p w14:paraId="2155FA77" w14:textId="77777777" w:rsidR="001077D1" w:rsidRPr="007D162C" w:rsidRDefault="001077D1" w:rsidP="001077D1">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A767946" w14:textId="77777777" w:rsidR="001077D1" w:rsidRPr="007D162C" w:rsidRDefault="08D050C4" w:rsidP="08D050C4">
      <w:pPr>
        <w:spacing w:before="120" w:after="0"/>
        <w:rPr>
          <w:sz w:val="20"/>
          <w:szCs w:val="20"/>
        </w:rPr>
      </w:pPr>
      <w:bookmarkStart w:id="217" w:name="_Hlk126933085"/>
      <w:r w:rsidRPr="007D162C">
        <w:rPr>
          <w:sz w:val="20"/>
          <w:szCs w:val="20"/>
          <w:vertAlign w:val="superscript"/>
        </w:rPr>
        <w:t>(i)</w:t>
      </w:r>
      <w:r w:rsidRPr="007D162C">
        <w:rPr>
          <w:sz w:val="18"/>
          <w:szCs w:val="18"/>
        </w:rPr>
        <w:t xml:space="preserve"> Non-regulatory compliance rates assume the rate of uptake would apply to new assets only. The regulatory option assumes 100% compliance across new and existing assets. These differences in assumptions explain why the non-regulatory figure is not a percentage (rate of uptake) of the regulatory option.</w:t>
      </w:r>
    </w:p>
    <w:bookmarkEnd w:id="217"/>
    <w:p w14:paraId="2E176EAA" w14:textId="77777777" w:rsidR="001077D1" w:rsidRPr="007D162C" w:rsidRDefault="001077D1" w:rsidP="001077D1"/>
    <w:p w14:paraId="53FD2987" w14:textId="77777777" w:rsidR="001077D1" w:rsidRPr="007D162C" w:rsidRDefault="001077D1" w:rsidP="001077D1">
      <w:pPr>
        <w:pStyle w:val="Heading6"/>
      </w:pPr>
      <w:r w:rsidRPr="007D162C">
        <w:t>Considerations to note in interpreting analysis</w:t>
      </w:r>
    </w:p>
    <w:p w14:paraId="322EFB9B" w14:textId="77777777" w:rsidR="001077D1" w:rsidRPr="007D162C" w:rsidRDefault="001077D1" w:rsidP="00771CD4">
      <w:pPr>
        <w:pStyle w:val="Heading7"/>
      </w:pPr>
      <w:r w:rsidRPr="007D162C">
        <w:t>Limitations</w:t>
      </w:r>
    </w:p>
    <w:p w14:paraId="4F7741CC" w14:textId="77777777" w:rsidR="001077D1" w:rsidRPr="007D162C" w:rsidRDefault="001077D1" w:rsidP="00105D34">
      <w:pPr>
        <w:pStyle w:val="Heading8"/>
      </w:pPr>
      <w:r w:rsidRPr="007D162C">
        <w:t>Non-regulatory</w:t>
      </w:r>
    </w:p>
    <w:p w14:paraId="2D241CCE" w14:textId="77777777" w:rsidR="00771CD4" w:rsidRPr="007D162C" w:rsidRDefault="001077D1" w:rsidP="000855E5">
      <w:r w:rsidRPr="007D162C">
        <w:t>The costs and benefits associated with the non-regulatory reform are lower than its regulatory counterpart reflecting an assumed lower rate of compliance with the reform. An estimated rate of uptake of 75% was applied to the non-regulatory option based on the low cost and complexity to comply with these requirements, and the benefits to operators and providers of clear communication to their passengers. This implies that the benefits and costs quantified for this non-regulatory reform may not reflect future take-up of the reform.</w:t>
      </w:r>
    </w:p>
    <w:p w14:paraId="5D71E1AD" w14:textId="77777777" w:rsidR="001077D1" w:rsidRPr="007D162C" w:rsidRDefault="001077D1" w:rsidP="00105D34">
      <w:pPr>
        <w:pStyle w:val="Heading8"/>
      </w:pPr>
      <w:r w:rsidRPr="007D162C">
        <w:t>Regulatory</w:t>
      </w:r>
    </w:p>
    <w:p w14:paraId="74EB97B1" w14:textId="77777777" w:rsidR="000855E5" w:rsidRPr="007D162C" w:rsidRDefault="001077D1" w:rsidP="000855E5">
      <w:r w:rsidRPr="007D162C">
        <w:t xml:space="preserve">The benefits and costs for this reform were estimated from publicly available data and a small number of data inputs from the survey to proxy the national compliance. </w:t>
      </w:r>
    </w:p>
    <w:p w14:paraId="0D274615" w14:textId="77777777" w:rsidR="000855E5" w:rsidRPr="007D162C" w:rsidRDefault="001077D1" w:rsidP="000855E5">
      <w:r w:rsidRPr="007D162C">
        <w:t>This reform provides confidence to people with disability that their accessibility needs could be provided for throughout their journey, resulting in the benefits outweighing the costs.</w:t>
      </w:r>
    </w:p>
    <w:p w14:paraId="36B852F2" w14:textId="77777777" w:rsidR="00771CD4" w:rsidRPr="007D162C" w:rsidRDefault="00A45B27" w:rsidP="000855E5">
      <w:r w:rsidRPr="007D162C">
        <w:t>Due to t</w:t>
      </w:r>
      <w:r w:rsidR="00DF686F" w:rsidRPr="007D162C">
        <w:t>he large number of beneficiar</w:t>
      </w:r>
      <w:r w:rsidRPr="007D162C">
        <w:t>ies and high value (willingness-to-pay) placed on the provision of information and benefit accruing to all public transport result in the benefits significantly outweighing the costs.</w:t>
      </w:r>
    </w:p>
    <w:p w14:paraId="5852D40C" w14:textId="77777777" w:rsidR="001077D1" w:rsidRPr="007D162C" w:rsidRDefault="001077D1" w:rsidP="00105D34">
      <w:pPr>
        <w:pStyle w:val="Heading8"/>
      </w:pPr>
      <w:r w:rsidRPr="007D162C">
        <w:t>Interdependencies</w:t>
      </w:r>
    </w:p>
    <w:p w14:paraId="7C9DAACB" w14:textId="77777777" w:rsidR="000855E5" w:rsidRPr="007D162C" w:rsidRDefault="001077D1" w:rsidP="000855E5">
      <w:r w:rsidRPr="007D162C">
        <w:t xml:space="preserve">This is an enabling reform to </w:t>
      </w:r>
      <w:r w:rsidR="00B22C62" w:rsidRPr="007D162C">
        <w:t>communicate accessibility features across a whole public transport journey, including all modes of transport, effectively and consistently</w:t>
      </w:r>
      <w:r w:rsidRPr="007D162C">
        <w:t xml:space="preserve">. </w:t>
      </w:r>
    </w:p>
    <w:p w14:paraId="47AE372A" w14:textId="77777777" w:rsidR="00771CD4" w:rsidRPr="007D162C" w:rsidRDefault="001077D1" w:rsidP="000855E5">
      <w:r w:rsidRPr="007D162C">
        <w:t>This reform will assist passengers in making decisions about whether public transport is accessible for their needs, with benefits reliant on implementation of accessibility focused reforms such boarding infrastructure, notification assistance, car parking, and others.</w:t>
      </w:r>
      <w:r w:rsidR="00B22C62" w:rsidRPr="007D162C">
        <w:t xml:space="preserve"> The benefits cover all public transport users.</w:t>
      </w:r>
    </w:p>
    <w:p w14:paraId="01872532" w14:textId="77777777" w:rsidR="00771CD4" w:rsidRPr="007D162C" w:rsidRDefault="001077D1" w:rsidP="00771C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Qualitative assessment</w:t>
      </w:r>
    </w:p>
    <w:p w14:paraId="38AAA7F6" w14:textId="77777777" w:rsidR="001077D1" w:rsidRPr="007D162C" w:rsidRDefault="001077D1" w:rsidP="001077D1">
      <w:r w:rsidRPr="007D162C">
        <w:t>The following categories of qualitative benefits were identified in the CBA as pertaining to the reform options.</w:t>
      </w:r>
    </w:p>
    <w:p w14:paraId="05FA5613" w14:textId="77777777" w:rsidR="001077D1" w:rsidRPr="007D162C" w:rsidRDefault="001077D1">
      <w:pPr>
        <w:spacing w:line="259" w:lineRule="auto"/>
        <w:rPr>
          <w:b/>
          <w:iCs/>
          <w:color w:val="000000" w:themeColor="text1"/>
          <w:kern w:val="12"/>
          <w:sz w:val="20"/>
          <w:szCs w:val="18"/>
          <w:lang w:val="en-AU"/>
        </w:rPr>
      </w:pPr>
      <w:bookmarkStart w:id="218" w:name="_Toc122446328"/>
      <w:r w:rsidRPr="007D162C">
        <w:br w:type="page"/>
      </w:r>
    </w:p>
    <w:p w14:paraId="6FC4BD57" w14:textId="436D7087" w:rsidR="001077D1" w:rsidRPr="007D162C" w:rsidRDefault="001077D1" w:rsidP="001077D1">
      <w:pPr>
        <w:pStyle w:val="Tablefigureheading"/>
      </w:pPr>
      <w:bookmarkStart w:id="219" w:name="_Toc139969178"/>
      <w:r w:rsidRPr="007D162C">
        <w:lastRenderedPageBreak/>
        <w:t xml:space="preserve">Table </w:t>
      </w:r>
      <w:fldSimple w:instr=" SEQ Table \* ARABIC ">
        <w:r w:rsidR="00DC26AC">
          <w:rPr>
            <w:noProof/>
          </w:rPr>
          <w:t>20</w:t>
        </w:r>
      </w:fldSimple>
      <w:r w:rsidRPr="007D162C">
        <w:t xml:space="preserve">: Qualitative benefits for </w:t>
      </w:r>
      <w:r w:rsidR="00754992" w:rsidRPr="007D162C">
        <w:t>B</w:t>
      </w:r>
      <w:r w:rsidRPr="007D162C">
        <w:t>etter communication of accessibility features</w:t>
      </w:r>
      <w:bookmarkEnd w:id="218"/>
      <w:bookmarkEnd w:id="219"/>
    </w:p>
    <w:tbl>
      <w:tblPr>
        <w:tblStyle w:val="DefaultTable1"/>
        <w:tblW w:w="9864" w:type="dxa"/>
        <w:tblLook w:val="04A0" w:firstRow="1" w:lastRow="0" w:firstColumn="1" w:lastColumn="0" w:noHBand="0" w:noVBand="1"/>
        <w:tblCaption w:val="Qualitative benefits for better communication of accessibility features"/>
      </w:tblPr>
      <w:tblGrid>
        <w:gridCol w:w="1213"/>
        <w:gridCol w:w="1343"/>
        <w:gridCol w:w="1626"/>
        <w:gridCol w:w="1300"/>
        <w:gridCol w:w="1278"/>
        <w:gridCol w:w="1641"/>
        <w:gridCol w:w="1463"/>
      </w:tblGrid>
      <w:tr w:rsidR="001077D1" w:rsidRPr="007D162C" w14:paraId="4F24B29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9A09369" w14:textId="77777777" w:rsidR="001077D1" w:rsidRPr="007D162C" w:rsidRDefault="08D050C4" w:rsidP="001077D1">
            <w:r w:rsidRPr="007D162C">
              <w:t>Reform Option</w:t>
            </w:r>
          </w:p>
        </w:tc>
        <w:tc>
          <w:tcPr>
            <w:tcW w:w="1343" w:type="dxa"/>
          </w:tcPr>
          <w:p w14:paraId="5044170F"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357436"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0B82CB0"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4971315"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2C400D8"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612DBD" w14:textId="77777777" w:rsidR="001077D1" w:rsidRPr="007D162C" w:rsidRDefault="08D050C4" w:rsidP="001077D1">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1077D1" w:rsidRPr="007D162C" w14:paraId="71F412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DE4C364" w14:textId="77777777" w:rsidR="001077D1" w:rsidRPr="007D162C" w:rsidRDefault="001077D1" w:rsidP="001077D1">
            <w:r w:rsidRPr="007D162C">
              <w:t>Status Quo</w:t>
            </w:r>
          </w:p>
        </w:tc>
        <w:tc>
          <w:tcPr>
            <w:tcW w:w="1343" w:type="dxa"/>
          </w:tcPr>
          <w:p w14:paraId="5C28C06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226ADB0F"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7862908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784FB98C"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58E31B6"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5B15E4B6"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077D1" w:rsidRPr="007D162C" w14:paraId="326E642A"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B85FA44" w14:textId="77777777" w:rsidR="001077D1" w:rsidRPr="007D162C" w:rsidRDefault="001077D1" w:rsidP="001077D1">
            <w:r w:rsidRPr="007D162C">
              <w:t xml:space="preserve">Non-regulatory </w:t>
            </w:r>
          </w:p>
        </w:tc>
        <w:tc>
          <w:tcPr>
            <w:tcW w:w="1343" w:type="dxa"/>
          </w:tcPr>
          <w:p w14:paraId="1DDECE29"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26" w:type="dxa"/>
          </w:tcPr>
          <w:p w14:paraId="0797AB01"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087EA00"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5928FB62"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440C256" w14:textId="77777777" w:rsidR="001077D1" w:rsidRPr="007D162C" w:rsidRDefault="001077D1" w:rsidP="001077D1">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36C07A8" w14:textId="77777777" w:rsidR="001077D1" w:rsidRPr="007D162C" w:rsidRDefault="08D050C4" w:rsidP="001077D1">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077D1" w:rsidRPr="007D162C" w14:paraId="2815DEB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0057892" w14:textId="77777777" w:rsidR="001077D1" w:rsidRPr="007D162C" w:rsidRDefault="001077D1" w:rsidP="001077D1">
            <w:r w:rsidRPr="007D162C">
              <w:t>Regulatory</w:t>
            </w:r>
          </w:p>
        </w:tc>
        <w:tc>
          <w:tcPr>
            <w:tcW w:w="1343" w:type="dxa"/>
          </w:tcPr>
          <w:p w14:paraId="7CEF66A8"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07423146"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168EFD2"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1C51745"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11A6C97" w14:textId="77777777" w:rsidR="001077D1" w:rsidRPr="007D162C" w:rsidRDefault="001077D1" w:rsidP="001077D1">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6DC48B03" w14:textId="77777777" w:rsidR="001077D1" w:rsidRPr="007D162C" w:rsidRDefault="08D050C4" w:rsidP="001077D1">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6A0E8146" w14:textId="77777777" w:rsidR="001077D1" w:rsidRPr="007D162C" w:rsidRDefault="001077D1" w:rsidP="001077D1"/>
    <w:p w14:paraId="4982565C" w14:textId="77777777" w:rsidR="001077D1" w:rsidRPr="007D162C" w:rsidRDefault="001077D1" w:rsidP="001077D1">
      <w:pPr>
        <w:pStyle w:val="Heading4"/>
        <w:tabs>
          <w:tab w:val="left" w:pos="284"/>
        </w:tabs>
      </w:pPr>
      <w:r w:rsidRPr="007D162C">
        <w:t xml:space="preserve">Analysis of submissions </w:t>
      </w:r>
    </w:p>
    <w:p w14:paraId="2837F1E6" w14:textId="77777777" w:rsidR="001077D1" w:rsidRPr="007D162C" w:rsidRDefault="001077D1" w:rsidP="001077D1">
      <w:pPr>
        <w:pStyle w:val="Heading5"/>
      </w:pPr>
      <w:r w:rsidRPr="007D162C">
        <w:t>Status quo</w:t>
      </w:r>
    </w:p>
    <w:p w14:paraId="0547BC4E" w14:textId="19218723" w:rsidR="001077D1" w:rsidRPr="007D162C" w:rsidRDefault="08D050C4" w:rsidP="001077D1">
      <w:r w:rsidRPr="007D162C">
        <w:t xml:space="preserve">The Transport Standards do not include a definition </w:t>
      </w:r>
      <w:r w:rsidR="0060690D">
        <w:t>for</w:t>
      </w:r>
      <w:r w:rsidRPr="007D162C">
        <w:t xml:space="preserve"> the term ‘accessibility’. Consequently, operators and providers develop bespoke terminology to communicate </w:t>
      </w:r>
      <w:r w:rsidR="00234D12">
        <w:t xml:space="preserve">the </w:t>
      </w:r>
      <w:r w:rsidRPr="007D162C">
        <w:t>accessibility of their services to passengers. Submissions from all stakeholders that favoured reform in this area noted the status quo results in the use of mixed terminology</w:t>
      </w:r>
      <w:r w:rsidR="00234D12">
        <w:t>,</w:t>
      </w:r>
      <w:r w:rsidRPr="007D162C">
        <w:t xml:space="preserve"> which at times may be inconsistent or contradictory, making it more challenging for people with disability to travel, plan, and adjust their journey. This may act as a barrier to travel for some people with disability to use public transport, and does not address the objectives of the Transport Standards.</w:t>
      </w:r>
    </w:p>
    <w:p w14:paraId="2C0FB535" w14:textId="77777777" w:rsidR="001077D1" w:rsidRPr="007D162C" w:rsidRDefault="001077D1" w:rsidP="001077D1">
      <w:r w:rsidRPr="007D162C">
        <w:t xml:space="preserve">Maintaining the status quo would not impose any additional regulatory or cost burden on operators and providers, as they will continue to communicate information about the accessibility of their services in a way that suits their operational / administrative needs. For this reason, one submission from government and one submission from a public transport operator and provider supported the status quo option. These submissions noted that through established internal practices, information about the accessibility of their assets is shared through multiple channels, including on websites and via Disability Access Facilitation Plans. One submission noted that in their experience, these tools serve as an effective mechanism through which passengers can plan their journey with confidence, as long as the information is reviewed regularly for accuracy and the resources are accessed by passengers. </w:t>
      </w:r>
    </w:p>
    <w:p w14:paraId="71A786EC" w14:textId="77777777" w:rsidR="001077D1" w:rsidRPr="007D162C" w:rsidRDefault="001077D1" w:rsidP="001077D1">
      <w:r w:rsidRPr="007D162C">
        <w:t xml:space="preserve">Submissions that supported the status quo also noted that if the regulatory or non-regulatory option were agreed, significant resources would need to be dedicated to auditing. </w:t>
      </w:r>
    </w:p>
    <w:p w14:paraId="42EFEF50" w14:textId="77777777" w:rsidR="001077D1" w:rsidRPr="007D162C" w:rsidRDefault="001077D1" w:rsidP="001077D1">
      <w:pPr>
        <w:pStyle w:val="Heading5"/>
      </w:pPr>
      <w:r w:rsidRPr="007D162C">
        <w:t>Non-regulatory</w:t>
      </w:r>
    </w:p>
    <w:p w14:paraId="09BCB957" w14:textId="77777777" w:rsidR="001077D1" w:rsidRPr="007D162C" w:rsidRDefault="001077D1" w:rsidP="001077D1">
      <w:r w:rsidRPr="007D162C">
        <w:t xml:space="preserve">There was general agreement that the application of consistent terminology and the publication of accessible features available on public transport networks would empower customers to make informed decisions about their travel and remove barriers to using public transport. </w:t>
      </w:r>
    </w:p>
    <w:p w14:paraId="281EF9F3" w14:textId="5EA9AEFA" w:rsidR="00161F41" w:rsidRDefault="001077D1" w:rsidP="001077D1">
      <w:r w:rsidRPr="007D162C">
        <w:t>The non-regulatory option was supported by approximately 50 per cent of industry and government stakeholders. These submissions were supportive of the provision of improved guidance materials to assist operators and providers to provide best-practice information that supports passengers and support a ‘whole-of-journey’ experience. Although there was general support from these stakeholders for reform, several submissions noted that without understanding the exact requirements proposed through the regulatory option, the regulatory option cannot be supported. For this reason, the non-regulatory option was preferred as a pathway for the collaborative development of terminology. Submissions from industry and government highlighted that any guidance produced must be developed through co-design with the disability community and public transport industry and be transparent. This approach was also identified as providing the benefit of flexibility to account for the differing amenities and environmental contexts of each transport mode.</w:t>
      </w:r>
    </w:p>
    <w:p w14:paraId="2EAA9413" w14:textId="77777777" w:rsidR="00161F41" w:rsidRDefault="00161F41">
      <w:pPr>
        <w:spacing w:line="259" w:lineRule="auto"/>
      </w:pPr>
      <w:r>
        <w:br w:type="page"/>
      </w:r>
    </w:p>
    <w:p w14:paraId="55093E59" w14:textId="77777777" w:rsidR="001077D1" w:rsidRPr="007D162C" w:rsidRDefault="001077D1" w:rsidP="001077D1"/>
    <w:p w14:paraId="4767B3B9" w14:textId="77777777" w:rsidR="001077D1" w:rsidRPr="007D162C" w:rsidRDefault="001077D1" w:rsidP="00BE72A4">
      <w:pPr>
        <w:pStyle w:val="Quote"/>
      </w:pPr>
      <w:r w:rsidRPr="007D162C">
        <w:t>For accessible conveyances (as currently applied in clause 9.10 of the current Transport Standards), the non-regulatory option provides for far greater innovation for the operator to respond to local conditions (which will vary from operator to operator) and also provides clarity on what is the required outcome.</w:t>
      </w:r>
    </w:p>
    <w:p w14:paraId="70668EE1" w14:textId="77777777" w:rsidR="001077D1" w:rsidRPr="007D162C" w:rsidRDefault="001077D1" w:rsidP="00BE72A4">
      <w:pPr>
        <w:pStyle w:val="Quote"/>
      </w:pPr>
      <w:r w:rsidRPr="007D162C">
        <w:t>Bus Industry Confederation</w:t>
      </w:r>
    </w:p>
    <w:p w14:paraId="2984434D" w14:textId="77777777" w:rsidR="001077D1" w:rsidRPr="007D162C" w:rsidRDefault="08D050C4" w:rsidP="001077D1">
      <w:r w:rsidRPr="007D162C">
        <w:t xml:space="preserve">Similarly, two submissions from industry raised concerns that the implementation of the regulatory option may result in a perverse outcome for passengers and operators and providers alike, where the definition of ‘accessible’ is regulated and thereafter whole assets are classified in a misleading manner, which may consequently decrease patronage. For example, in practice, a conveyance may be accessible at one boarding point but not at another. Given this, any future regulatory requirements should carefully consider the legal implications of the use of terminology regarding accessibility and compliance, and recognise that it may be inappropriate to list an asset in a binary nature as ‘accessible’ or ‘inaccessible’ for all passengers. </w:t>
      </w:r>
    </w:p>
    <w:p w14:paraId="5216BAA9" w14:textId="77777777" w:rsidR="001077D1" w:rsidRPr="007D162C" w:rsidRDefault="001077D1" w:rsidP="001077D1">
      <w:r w:rsidRPr="007D162C">
        <w:t xml:space="preserve">Costs would be incurred by operators and providers to audit assets and maintain any new communications regimes. There would also be costs associated with the update of any physical signage or materials to reflect new terminology. To the extent that guidance is adopted, the consistent use and communication of accessibility terminology would benefit passengers. </w:t>
      </w:r>
    </w:p>
    <w:p w14:paraId="4D03CF7E" w14:textId="77777777" w:rsidR="001077D1" w:rsidRPr="007D162C" w:rsidRDefault="001077D1" w:rsidP="001077D1">
      <w:pPr>
        <w:pStyle w:val="Heading5"/>
      </w:pPr>
      <w:r w:rsidRPr="007D162C">
        <w:t>Regulatory</w:t>
      </w:r>
    </w:p>
    <w:p w14:paraId="263BF668" w14:textId="77777777" w:rsidR="001077D1" w:rsidRPr="007D162C" w:rsidRDefault="001077D1" w:rsidP="001077D1">
      <w:r w:rsidRPr="007D162C">
        <w:t xml:space="preserve">The regulatory option was supported by approximately 50 per cent of industry and government stakeholders, and all disability sector stakeholders. These submissions were unanimous in suggesting that a nationally consistent benchmark will improve consistency and certainty for people with disability when using public transport. There was general agreement that while the non-regulatory option may result in similar benefits to the regulatory option, the discretionary nature of the option may result in ongoing inconsistencies. </w:t>
      </w:r>
    </w:p>
    <w:p w14:paraId="6568C141" w14:textId="77777777" w:rsidR="001077D1" w:rsidRPr="007D162C" w:rsidRDefault="001077D1" w:rsidP="00BE72A4">
      <w:pPr>
        <w:pStyle w:val="Quote"/>
      </w:pPr>
      <w:r w:rsidRPr="007D162C">
        <w:t>This would not only provide consistency to people who are travelling in different states but would ensure that passengers of different forms of transport within the same state or city were able to access information that was presented consistently.</w:t>
      </w:r>
    </w:p>
    <w:p w14:paraId="7ECAD3C5" w14:textId="77777777" w:rsidR="001077D1" w:rsidRPr="007D162C" w:rsidRDefault="001077D1" w:rsidP="00BE72A4">
      <w:pPr>
        <w:pStyle w:val="Quote"/>
      </w:pPr>
      <w:r w:rsidRPr="007D162C">
        <w:t>Public Transport Ombudsman of Victoria</w:t>
      </w:r>
    </w:p>
    <w:p w14:paraId="462B21C1" w14:textId="2A6F9880" w:rsidR="001077D1" w:rsidRPr="007D162C" w:rsidRDefault="08D050C4" w:rsidP="001077D1">
      <w:r w:rsidRPr="007D162C">
        <w:t xml:space="preserve">All submissions from individuals, people with disability and disability organisations supported regulatory reform. These submissions noted that people with disability continue to be frustrated by a lack of information, or inaccurate or misleading information, about the accessibility of public transport services. For example, one submission noted that terms such as ‘accessible’ and ‘accessibility’ are routinely used in multiple contexts, both inside and outside the disability sector. Given this, it is important that any terminology </w:t>
      </w:r>
      <w:r w:rsidR="00EE1CFE" w:rsidRPr="007D162C">
        <w:t>used</w:t>
      </w:r>
      <w:r w:rsidRPr="007D162C">
        <w:t xml:space="preserve"> includes well developed and specific qualification, is produced through co-design processes, and is regularly reviewed for accuracy. There are also challenges with the scope of these phrases. Most barriers are disability-specific, and therefore simply noting that a service is ‘accessible’ has no predictive value unless further information is provided about ‘accessible to whom’. These submissions agreed that improving the consistency of information relating to public transport accessibility may allow passengers to make more informed travel decisions and instil a greater sense of independence. </w:t>
      </w:r>
    </w:p>
    <w:p w14:paraId="7FBAC63F" w14:textId="77777777" w:rsidR="001077D1" w:rsidRPr="007D162C" w:rsidRDefault="001077D1" w:rsidP="00BE72A4">
      <w:pPr>
        <w:pStyle w:val="Quote"/>
      </w:pPr>
      <w:r w:rsidRPr="007D162C">
        <w:t>There is a great need for transparency and universality in transport around definitions, terminology, and general communication of accessibility. This has been noted as a continued issue for our members as the lack of regulated and universal communication becomes confusing especially for multimodal travel.</w:t>
      </w:r>
    </w:p>
    <w:p w14:paraId="3B54569F" w14:textId="77777777" w:rsidR="001077D1" w:rsidRPr="007D162C" w:rsidRDefault="001077D1" w:rsidP="00BE72A4">
      <w:pPr>
        <w:pStyle w:val="Quote"/>
      </w:pPr>
      <w:r w:rsidRPr="007D162C">
        <w:t>Physical Disability Council of NSW</w:t>
      </w:r>
    </w:p>
    <w:p w14:paraId="2D8BF5CB" w14:textId="77777777" w:rsidR="001077D1" w:rsidRPr="007D162C" w:rsidRDefault="001077D1" w:rsidP="001077D1">
      <w:r w:rsidRPr="007D162C">
        <w:t xml:space="preserve">Submissions from industry and government that supported the regulatory option generally agreed that information is one of the most important customer satisfaction drivers. One submission from government noted that currently, the onus is on customers to pre-plan their journeys to ensure required accessibility features are available. By improving the clarity and availability of information relating to accessibility features, this submission agreed there is the potential to decrease customer anxiety when planning a journey. </w:t>
      </w:r>
    </w:p>
    <w:p w14:paraId="6D613307" w14:textId="77777777" w:rsidR="001077D1" w:rsidRPr="007D162C" w:rsidRDefault="001077D1" w:rsidP="001077D1">
      <w:r w:rsidRPr="007D162C">
        <w:lastRenderedPageBreak/>
        <w:t xml:space="preserve">Submissions from industry and government did note, however, that there are a number of challenges associated with implementing the regulatory option. For example, due to the current differences in terminology used by operators and providers, a significant overhaul of communications channels may be required if any new regulatory requirements are agreed. Issues may arise where there is a misalignment between new Transport Standards requirements for accessibility terminology, and third-party products that provide information about public transport. Submissions also noted the importance of aligning these changes with improvements to staff training and public education campaigns that encompass new terminology. </w:t>
      </w:r>
    </w:p>
    <w:p w14:paraId="44EF7BEB" w14:textId="77777777" w:rsidR="001077D1" w:rsidRPr="007D162C" w:rsidRDefault="001077D1" w:rsidP="001077D1">
      <w:pPr>
        <w:pStyle w:val="Heading4"/>
      </w:pPr>
      <w:r w:rsidRPr="007D162C">
        <w:t>Preferred option</w:t>
      </w:r>
    </w:p>
    <w:p w14:paraId="3271C143" w14:textId="7C0CF246" w:rsidR="001077D1" w:rsidRPr="007D162C" w:rsidRDefault="001077D1" w:rsidP="001077D1">
      <w:r w:rsidRPr="007D162C">
        <w:t xml:space="preserve">Informed by the outcomes of consultation, impacts, cost and outcomes analysis above, the preferred option is the </w:t>
      </w:r>
      <w:r w:rsidRPr="007D162C">
        <w:rPr>
          <w:b/>
        </w:rPr>
        <w:t>regulatory option</w:t>
      </w:r>
      <w:r w:rsidR="00F83E96" w:rsidRPr="007D162C">
        <w:rPr>
          <w:b/>
        </w:rPr>
        <w:t xml:space="preserve">, </w:t>
      </w:r>
      <w:r w:rsidR="00F83E96" w:rsidRPr="00A06601">
        <w:t xml:space="preserve">with </w:t>
      </w:r>
      <w:r w:rsidR="00770E33" w:rsidRPr="00A06601">
        <w:t>revisions</w:t>
      </w:r>
      <w:r w:rsidRPr="00A06601">
        <w:t>.</w:t>
      </w:r>
      <w:r w:rsidRPr="007D162C">
        <w:t xml:space="preserve"> </w:t>
      </w:r>
    </w:p>
    <w:p w14:paraId="510FE77A" w14:textId="7E571B85" w:rsidR="001077D1" w:rsidRPr="007D162C" w:rsidRDefault="08D050C4" w:rsidP="001077D1">
      <w:r w:rsidRPr="007D162C">
        <w:t>The regulatory option was the preferred option for individuals, people with disability and disability organisations. There was mixed support for the regulatory and non-regulatory option by industry and government. One submission from an operator and provider supported the status quo option. There was broad agreement from all stakeholders that the communicat</w:t>
      </w:r>
      <w:r w:rsidR="008344F9" w:rsidRPr="007D162C">
        <w:t>ion of</w:t>
      </w:r>
      <w:r w:rsidRPr="007D162C">
        <w:t xml:space="preserve"> the accessibility of public transport services would benefit people with disability through greater consistency and certainty. </w:t>
      </w:r>
    </w:p>
    <w:p w14:paraId="7FDB8314" w14:textId="734C90C8" w:rsidR="00EE1CFE" w:rsidRPr="007D162C" w:rsidRDefault="0085428A" w:rsidP="0085428A">
      <w:pPr>
        <w:pStyle w:val="Style5"/>
        <w:framePr w:wrap="around"/>
      </w:pPr>
      <w:r w:rsidRPr="007D162C">
        <w:t>Based on feedback provided during consultation</w:t>
      </w:r>
      <w:r w:rsidR="00EE1CFE" w:rsidRPr="007D162C">
        <w:t>, this option has been refined to remove proposals to develop nationally consistent terminology.</w:t>
      </w:r>
      <w:r w:rsidRPr="007D162C">
        <w:t xml:space="preserve"> To ensure the intent of the reform is achieved, t</w:t>
      </w:r>
      <w:r w:rsidR="00EE1CFE" w:rsidRPr="007D162C">
        <w:t>he Transport Standards Guidelines and / or The Whole Journ</w:t>
      </w:r>
      <w:r w:rsidRPr="007D162C">
        <w:t xml:space="preserve">ey Guide will be updated to </w:t>
      </w:r>
      <w:r w:rsidR="00993277" w:rsidRPr="007D162C">
        <w:t xml:space="preserve">advise </w:t>
      </w:r>
      <w:r w:rsidRPr="007D162C">
        <w:t>that operators and providers should provide clear explanations of any accessibility terminology used to communicate accessible features</w:t>
      </w:r>
      <w:r w:rsidR="00993277" w:rsidRPr="007D162C">
        <w:t xml:space="preserve"> available on their services</w:t>
      </w:r>
      <w:r w:rsidRPr="007D162C">
        <w:t xml:space="preserve">. As the regulatory proposal is performance based, </w:t>
      </w:r>
      <w:r w:rsidR="00993277" w:rsidRPr="007D162C">
        <w:t>information may be published in a variety of formats, as long as those formats meet other Transport Standards requirements relating to the provision of information.</w:t>
      </w:r>
      <w:r w:rsidR="008344F9" w:rsidRPr="007D162C">
        <w:t xml:space="preserve"> Th</w:t>
      </w:r>
      <w:r w:rsidR="00E35F69" w:rsidRPr="007D162C">
        <w:t>e focus of this reform area is to communicate accessibility to support passengers with journey planning, rather than reporting on compliance with the Transport Standards.</w:t>
      </w:r>
    </w:p>
    <w:p w14:paraId="533E8F7E" w14:textId="170BC96E" w:rsidR="001077D1" w:rsidRPr="007D162C" w:rsidRDefault="008344F9" w:rsidP="001077D1">
      <w:r w:rsidRPr="007D162C">
        <w:br/>
      </w:r>
      <w:r w:rsidR="001077D1" w:rsidRPr="007D162C">
        <w:t>While acknowledging costs and resources will be incurred by implementing the regulatory option, the costs associated with identifying</w:t>
      </w:r>
      <w:r w:rsidR="00875AA5" w:rsidRPr="007D162C">
        <w:t xml:space="preserve"> and distributing accessibility information </w:t>
      </w:r>
      <w:r w:rsidR="001077D1" w:rsidRPr="007D162C">
        <w:t>are expected to be modest and are outweighed by the benefits to be gained by improving the greater provision of information to people with disability. Costs should not inhibit compliance in most cases.</w:t>
      </w:r>
    </w:p>
    <w:p w14:paraId="6A1E37AF" w14:textId="199C1A0E" w:rsidR="0085428A" w:rsidRPr="007D162C" w:rsidRDefault="001077D1" w:rsidP="0085428A">
      <w:bookmarkStart w:id="220" w:name="_Hlk121927939"/>
      <w:r w:rsidRPr="007D162C">
        <w:t>The preferred option will be implemented through amendments to the Transport Standards and Guidelines. Operators and providers will be required to meet the new Transport Standards requirements retrospectively with a compliance schedule timing of 5 years.</w:t>
      </w:r>
      <w:bookmarkEnd w:id="220"/>
      <w:r w:rsidR="0085428A" w:rsidRPr="007D162C">
        <w:br w:type="page"/>
      </w:r>
    </w:p>
    <w:p w14:paraId="244B2FAF" w14:textId="769BEE92" w:rsidR="00742100" w:rsidRPr="007D162C" w:rsidRDefault="00742100" w:rsidP="003A4DFB">
      <w:pPr>
        <w:pStyle w:val="Heading2"/>
        <w:numPr>
          <w:ilvl w:val="0"/>
          <w:numId w:val="26"/>
        </w:numPr>
        <w:ind w:hanging="720"/>
      </w:pPr>
      <w:bookmarkStart w:id="221" w:name="_Toc127351754"/>
      <w:bookmarkStart w:id="222" w:name="_Toc140239713"/>
      <w:r w:rsidRPr="007D162C">
        <w:lastRenderedPageBreak/>
        <w:t>Timely provision of information</w:t>
      </w:r>
      <w:bookmarkEnd w:id="221"/>
      <w:bookmarkEnd w:id="222"/>
    </w:p>
    <w:p w14:paraId="737110C2" w14:textId="77777777" w:rsidR="00742100" w:rsidRPr="007D162C" w:rsidRDefault="00742100" w:rsidP="00C1541A">
      <w:pPr>
        <w:pStyle w:val="Heading4"/>
        <w:tabs>
          <w:tab w:val="left" w:pos="284"/>
        </w:tabs>
      </w:pPr>
      <w:r w:rsidRPr="007D162C">
        <w:t xml:space="preserve">Issue </w:t>
      </w:r>
    </w:p>
    <w:p w14:paraId="539CC78E" w14:textId="02613655" w:rsidR="00742100" w:rsidRPr="007D162C" w:rsidRDefault="00742100" w:rsidP="00742100">
      <w:r w:rsidRPr="007D162C">
        <w:t xml:space="preserve">Section 27.2 </w:t>
      </w:r>
      <w:r w:rsidR="00234D12">
        <w:t xml:space="preserve">of the </w:t>
      </w:r>
      <w:r w:rsidRPr="007D162C">
        <w:t>Transport Standards specifies requirements for the provision of information requested in accessible formats, such as large print and braille. The Transport Standards do not, however, include requirements for the timely provision of information that is requested in accessible formats, where it is not immediately available. The Transport Standards also do not require less commonly requested information to be production ready in anticipation of a request. The timely provision of accessible information is fundamental to ensuring that people with disability have the confidence to use public transport.</w:t>
      </w:r>
    </w:p>
    <w:p w14:paraId="40A06DC6" w14:textId="77777777" w:rsidR="00742100" w:rsidRPr="007D162C" w:rsidRDefault="00742100" w:rsidP="00742100">
      <w:r w:rsidRPr="007D162C">
        <w:t>Collective government action would ensure accessible information is provided in a timely manner and address key stakeholder issues raised through the Transport Standards review process.</w:t>
      </w:r>
    </w:p>
    <w:p w14:paraId="65A020F1" w14:textId="77777777" w:rsidR="00742100" w:rsidRPr="007D162C" w:rsidRDefault="00742100" w:rsidP="00C1541A">
      <w:pPr>
        <w:pStyle w:val="Heading4"/>
        <w:tabs>
          <w:tab w:val="left" w:pos="284"/>
        </w:tabs>
      </w:pPr>
      <w:r w:rsidRPr="007D162C">
        <w:t>Reform options</w:t>
      </w:r>
    </w:p>
    <w:p w14:paraId="4B1C997D" w14:textId="77777777" w:rsidR="00742100" w:rsidRPr="007D162C" w:rsidRDefault="00742100" w:rsidP="00742100">
      <w:pPr>
        <w:tabs>
          <w:tab w:val="left" w:pos="284"/>
        </w:tabs>
      </w:pPr>
      <w:r w:rsidRPr="007D162C">
        <w:t>Following is a summary of the proposed options for this reform. Full details of each reform option is provided at Appendix A.</w:t>
      </w:r>
    </w:p>
    <w:p w14:paraId="23392562" w14:textId="51534A8F" w:rsidR="00742100" w:rsidRPr="007D162C" w:rsidRDefault="00742100" w:rsidP="00B8363D">
      <w:pPr>
        <w:pStyle w:val="Tablefigureheading"/>
      </w:pPr>
      <w:bookmarkStart w:id="223" w:name="_Toc122446329"/>
      <w:bookmarkStart w:id="224" w:name="_Toc139969179"/>
      <w:r w:rsidRPr="007D162C">
        <w:t xml:space="preserve">Table </w:t>
      </w:r>
      <w:fldSimple w:instr=" SEQ Table \* ARABIC ">
        <w:r w:rsidR="00DC26AC">
          <w:rPr>
            <w:noProof/>
          </w:rPr>
          <w:t>21</w:t>
        </w:r>
      </w:fldSimple>
      <w:r w:rsidRPr="007D162C">
        <w:t xml:space="preserve"> Reform options for </w:t>
      </w:r>
      <w:r w:rsidR="00754992" w:rsidRPr="007D162C">
        <w:t>T</w:t>
      </w:r>
      <w:r w:rsidRPr="007D162C">
        <w:t>imely provision of information</w:t>
      </w:r>
      <w:bookmarkEnd w:id="223"/>
      <w:bookmarkEnd w:id="224"/>
    </w:p>
    <w:tbl>
      <w:tblPr>
        <w:tblStyle w:val="DefaultTable1"/>
        <w:tblW w:w="9072" w:type="dxa"/>
        <w:tblLook w:val="04A0" w:firstRow="1" w:lastRow="0" w:firstColumn="1" w:lastColumn="0" w:noHBand="0" w:noVBand="1"/>
        <w:tblCaption w:val="Reform options for timely provision of information"/>
        <w:tblDescription w:val="This table provides a description of each of the options for this reform area. Status quo, non-regulatory and regulatory."/>
      </w:tblPr>
      <w:tblGrid>
        <w:gridCol w:w="2232"/>
        <w:gridCol w:w="6840"/>
      </w:tblGrid>
      <w:tr w:rsidR="00742100" w:rsidRPr="007D162C" w14:paraId="2BACB1AC"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625BD354" w14:textId="77777777" w:rsidR="00742100" w:rsidRPr="007D162C" w:rsidRDefault="00742100" w:rsidP="00C17787">
            <w:r w:rsidRPr="007D162C">
              <w:t>Option</w:t>
            </w:r>
          </w:p>
        </w:tc>
        <w:tc>
          <w:tcPr>
            <w:tcW w:w="6840" w:type="dxa"/>
          </w:tcPr>
          <w:p w14:paraId="77C7163A" w14:textId="77777777" w:rsidR="00742100" w:rsidRPr="007D162C" w:rsidRDefault="00742100"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742100" w:rsidRPr="007D162C" w14:paraId="35FBCCD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B28DE0A" w14:textId="77777777" w:rsidR="00742100" w:rsidRPr="007D162C" w:rsidRDefault="00742100" w:rsidP="00C17787">
            <w:r w:rsidRPr="007D162C">
              <w:t>Status Quo</w:t>
            </w:r>
          </w:p>
        </w:tc>
        <w:tc>
          <w:tcPr>
            <w:tcW w:w="6840" w:type="dxa"/>
          </w:tcPr>
          <w:p w14:paraId="09DAF536"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will remain silent on the requirement to provide information requested by a user in a preferred format and in a timely manner, where it is not immediately available.</w:t>
            </w:r>
          </w:p>
          <w:p w14:paraId="2FFDC859"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42100" w:rsidRPr="007D162C" w14:paraId="2FD9EEDE"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7EED530" w14:textId="77777777" w:rsidR="00742100" w:rsidRPr="007D162C" w:rsidRDefault="00742100" w:rsidP="00C17787">
            <w:r w:rsidRPr="007D162C">
              <w:t>Non-regulatory</w:t>
            </w:r>
          </w:p>
        </w:tc>
        <w:tc>
          <w:tcPr>
            <w:tcW w:w="6840" w:type="dxa"/>
          </w:tcPr>
          <w:p w14:paraId="40754DEE"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provide:</w:t>
            </w:r>
          </w:p>
          <w:p w14:paraId="6F3B85D7" w14:textId="427F7F06" w:rsidR="00742100" w:rsidRPr="007D162C" w:rsidRDefault="00742100" w:rsidP="00742100">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service-related information in infrequently requested</w:t>
            </w:r>
            <w:r w:rsidR="00234D12">
              <w:t>,</w:t>
            </w:r>
            <w:r w:rsidRPr="007D162C">
              <w:t xml:space="preserve"> but preferred</w:t>
            </w:r>
            <w:r w:rsidR="00234D12">
              <w:t>,</w:t>
            </w:r>
            <w:r w:rsidRPr="007D162C">
              <w:t xml:space="preserve"> formats in a timely manner if not immediately available. </w:t>
            </w:r>
          </w:p>
          <w:p w14:paraId="598A75E6" w14:textId="77777777" w:rsidR="00742100" w:rsidRPr="007D162C" w:rsidRDefault="00742100" w:rsidP="00742100">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equivalent access by direct assistance until the request is fulfilled where a passenger’s preferred format cannot be immediately supplied.</w:t>
            </w:r>
          </w:p>
        </w:tc>
      </w:tr>
      <w:tr w:rsidR="00742100" w:rsidRPr="007D162C" w14:paraId="22AF66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AD8D38" w14:textId="77777777" w:rsidR="00742100" w:rsidRPr="007D162C" w:rsidRDefault="00742100" w:rsidP="00C17787">
            <w:r w:rsidRPr="007D162C">
              <w:t>Regulatory</w:t>
            </w:r>
          </w:p>
        </w:tc>
        <w:tc>
          <w:tcPr>
            <w:tcW w:w="6840" w:type="dxa"/>
          </w:tcPr>
          <w:p w14:paraId="5B0F7DA0"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infrequently requested formats of information to be provided in a timely manner and equivalent access by direct assistance until a request is fulfilled, where a passenger’s preferred format cannot be immediately supplied.</w:t>
            </w:r>
          </w:p>
          <w:p w14:paraId="7C534C9F"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3DF73908" w14:textId="77777777" w:rsidR="003F3DDB" w:rsidRPr="007D162C" w:rsidRDefault="003F3DDB" w:rsidP="003F3DDB"/>
    <w:p w14:paraId="5053BEAC" w14:textId="77777777" w:rsidR="00742100" w:rsidRPr="007D162C" w:rsidRDefault="00742100" w:rsidP="00742100">
      <w:pPr>
        <w:pStyle w:val="Heading4"/>
        <w:tabs>
          <w:tab w:val="left" w:pos="284"/>
        </w:tabs>
      </w:pPr>
      <w:r w:rsidRPr="007D162C">
        <w:t>Cost benefit analysis</w:t>
      </w:r>
    </w:p>
    <w:p w14:paraId="37C6B35D" w14:textId="77777777" w:rsidR="00742100" w:rsidRPr="007D162C" w:rsidRDefault="00742100" w:rsidP="00B8363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CDBB952" w14:textId="77777777" w:rsidR="00B8363D" w:rsidRPr="007D162C" w:rsidRDefault="00742100" w:rsidP="00742100">
      <w:r w:rsidRPr="007D162C">
        <w:t>The following categories of quantitative costs and benefits were identified in the CBA as pertaining to the reform options. The lack of quantitative data available, and provided by respondents to the CBA data survey, resulted in marginal benefits and costs.</w:t>
      </w:r>
    </w:p>
    <w:p w14:paraId="74616404" w14:textId="77777777" w:rsidR="00B8363D" w:rsidRPr="007D162C" w:rsidRDefault="00B8363D" w:rsidP="00B8363D">
      <w:r w:rsidRPr="007D162C">
        <w:br w:type="page"/>
      </w:r>
    </w:p>
    <w:p w14:paraId="5746D680" w14:textId="77777777" w:rsidR="00742100" w:rsidRPr="007D162C" w:rsidRDefault="00742100" w:rsidP="00742100"/>
    <w:p w14:paraId="539FDFD0" w14:textId="5D05AE50" w:rsidR="00742100" w:rsidRPr="007D162C" w:rsidRDefault="00742100" w:rsidP="00B8363D">
      <w:pPr>
        <w:pStyle w:val="Tablefigureheading"/>
      </w:pPr>
      <w:bookmarkStart w:id="225" w:name="_Toc122446330"/>
      <w:bookmarkStart w:id="226" w:name="_Toc139969180"/>
      <w:r w:rsidRPr="007D162C">
        <w:t xml:space="preserve">Table </w:t>
      </w:r>
      <w:fldSimple w:instr=" SEQ Table \* ARABIC ">
        <w:r w:rsidR="00DC26AC">
          <w:rPr>
            <w:noProof/>
          </w:rPr>
          <w:t>22</w:t>
        </w:r>
      </w:fldSimple>
      <w:r w:rsidRPr="007D162C">
        <w:t xml:space="preserve">: Benefit-cost ratios for </w:t>
      </w:r>
      <w:r w:rsidR="00754992" w:rsidRPr="007D162C">
        <w:t>T</w:t>
      </w:r>
      <w:r w:rsidRPr="007D162C">
        <w:t>imely provision of information</w:t>
      </w:r>
      <w:bookmarkEnd w:id="225"/>
      <w:bookmarkEnd w:id="226"/>
    </w:p>
    <w:tbl>
      <w:tblPr>
        <w:tblStyle w:val="DefaultTable1"/>
        <w:tblW w:w="9899" w:type="dxa"/>
        <w:tblLayout w:type="fixed"/>
        <w:tblLook w:val="04A0" w:firstRow="1" w:lastRow="0" w:firstColumn="1" w:lastColumn="0" w:noHBand="0" w:noVBand="1"/>
        <w:tblCaption w:val="Benefit-cost ratios for timely provision of information"/>
        <w:tblDescription w:val="This table provides the monetised benefits and costs for each of the options for this reform area."/>
      </w:tblPr>
      <w:tblGrid>
        <w:gridCol w:w="1843"/>
        <w:gridCol w:w="1276"/>
        <w:gridCol w:w="1984"/>
        <w:gridCol w:w="1985"/>
        <w:gridCol w:w="1843"/>
        <w:gridCol w:w="968"/>
      </w:tblGrid>
      <w:tr w:rsidR="00667A4E" w:rsidRPr="007D162C" w14:paraId="4F91F566" w14:textId="77777777" w:rsidTr="08D050C4">
        <w:trPr>
          <w:cnfStyle w:val="100000000000" w:firstRow="1" w:lastRow="0" w:firstColumn="0" w:lastColumn="0" w:oddVBand="0" w:evenVBand="0" w:oddHBand="0"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1843" w:type="dxa"/>
          </w:tcPr>
          <w:p w14:paraId="375A1D4F" w14:textId="77777777" w:rsidR="00742100" w:rsidRPr="007D162C" w:rsidRDefault="08D050C4" w:rsidP="00C17787">
            <w:r w:rsidRPr="007D162C">
              <w:t>Reform Option</w:t>
            </w:r>
          </w:p>
        </w:tc>
        <w:tc>
          <w:tcPr>
            <w:tcW w:w="1276" w:type="dxa"/>
          </w:tcPr>
          <w:p w14:paraId="1723250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984" w:type="dxa"/>
          </w:tcPr>
          <w:p w14:paraId="3A4F983E"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1A904630"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2BE153BD"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68" w:type="dxa"/>
          </w:tcPr>
          <w:p w14:paraId="7E564B41" w14:textId="77777777" w:rsidR="00742100" w:rsidRPr="007D162C" w:rsidRDefault="08D050C4" w:rsidP="00667A4E">
            <w:pPr>
              <w:tabs>
                <w:tab w:val="left" w:pos="886"/>
              </w:tabs>
              <w:ind w:right="254"/>
              <w:cnfStyle w:val="100000000000" w:firstRow="1" w:lastRow="0" w:firstColumn="0" w:lastColumn="0" w:oddVBand="0" w:evenVBand="0" w:oddHBand="0" w:evenHBand="0" w:firstRowFirstColumn="0" w:firstRowLastColumn="0" w:lastRowFirstColumn="0" w:lastRowLastColumn="0"/>
            </w:pPr>
            <w:r w:rsidRPr="007D162C">
              <w:t>BCR</w:t>
            </w:r>
          </w:p>
        </w:tc>
      </w:tr>
      <w:tr w:rsidR="00667A4E" w:rsidRPr="007D162C" w14:paraId="485E8A2A" w14:textId="77777777" w:rsidTr="08D050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3" w:type="dxa"/>
          </w:tcPr>
          <w:p w14:paraId="2D801C67" w14:textId="77777777" w:rsidR="00742100" w:rsidRPr="007D162C" w:rsidRDefault="00742100" w:rsidP="00C17787">
            <w:r w:rsidRPr="007D162C">
              <w:t>Status Quo</w:t>
            </w:r>
          </w:p>
        </w:tc>
        <w:tc>
          <w:tcPr>
            <w:tcW w:w="1276" w:type="dxa"/>
          </w:tcPr>
          <w:p w14:paraId="26CE66CC"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4" w:type="dxa"/>
          </w:tcPr>
          <w:p w14:paraId="574A6F9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5DA882C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24AE9EC2"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68" w:type="dxa"/>
          </w:tcPr>
          <w:p w14:paraId="5A0D395D"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667A4E" w:rsidRPr="007D162C" w14:paraId="6D5FA1FD" w14:textId="77777777" w:rsidTr="08D050C4">
        <w:trPr>
          <w:trHeight w:val="672"/>
        </w:trPr>
        <w:tc>
          <w:tcPr>
            <w:cnfStyle w:val="001000000000" w:firstRow="0" w:lastRow="0" w:firstColumn="1" w:lastColumn="0" w:oddVBand="0" w:evenVBand="0" w:oddHBand="0" w:evenHBand="0" w:firstRowFirstColumn="0" w:firstRowLastColumn="0" w:lastRowFirstColumn="0" w:lastRowLastColumn="0"/>
            <w:tcW w:w="1843" w:type="dxa"/>
          </w:tcPr>
          <w:p w14:paraId="6DE73DE1" w14:textId="77777777" w:rsidR="00742100" w:rsidRPr="007D162C" w:rsidRDefault="00742100" w:rsidP="00C17787">
            <w:r w:rsidRPr="007D162C">
              <w:t xml:space="preserve">Non-regulatory </w:t>
            </w:r>
          </w:p>
        </w:tc>
        <w:tc>
          <w:tcPr>
            <w:tcW w:w="1276" w:type="dxa"/>
            <w:vAlign w:val="center"/>
          </w:tcPr>
          <w:p w14:paraId="5B3DCBA9" w14:textId="77777777" w:rsidR="0074210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0.0</w:t>
            </w:r>
          </w:p>
        </w:tc>
        <w:tc>
          <w:tcPr>
            <w:tcW w:w="1984" w:type="dxa"/>
          </w:tcPr>
          <w:p w14:paraId="6CBAF406"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985" w:type="dxa"/>
            <w:vAlign w:val="center"/>
          </w:tcPr>
          <w:p w14:paraId="5B307E04"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rFonts w:cs="Arial"/>
              </w:rPr>
              <w:t>0.4</w:t>
            </w:r>
          </w:p>
        </w:tc>
        <w:tc>
          <w:tcPr>
            <w:tcW w:w="1843" w:type="dxa"/>
            <w:vAlign w:val="center"/>
          </w:tcPr>
          <w:p w14:paraId="6E5F58C2"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0.4</w:t>
            </w:r>
            <w:r w:rsidR="004815D7" w:rsidRPr="007D162C">
              <w:rPr>
                <w:rFonts w:cs="Arial"/>
                <w:vertAlign w:val="superscript"/>
              </w:rPr>
              <w:t>i</w:t>
            </w:r>
          </w:p>
        </w:tc>
        <w:tc>
          <w:tcPr>
            <w:tcW w:w="968" w:type="dxa"/>
            <w:vAlign w:val="center"/>
          </w:tcPr>
          <w:p w14:paraId="5ADD0D9A"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rFonts w:cs="Arial"/>
              </w:rPr>
              <w:t>0.00</w:t>
            </w:r>
          </w:p>
        </w:tc>
      </w:tr>
      <w:tr w:rsidR="00667A4E" w:rsidRPr="007D162C" w14:paraId="39A22DA1" w14:textId="77777777" w:rsidTr="08D050C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843" w:type="dxa"/>
          </w:tcPr>
          <w:p w14:paraId="08D646F9" w14:textId="77777777" w:rsidR="00742100" w:rsidRPr="007D162C" w:rsidRDefault="00742100" w:rsidP="00C17787">
            <w:r w:rsidRPr="007D162C">
              <w:t>Regulatory</w:t>
            </w:r>
          </w:p>
        </w:tc>
        <w:tc>
          <w:tcPr>
            <w:tcW w:w="1276" w:type="dxa"/>
            <w:vAlign w:val="center"/>
          </w:tcPr>
          <w:p w14:paraId="1F6D6CD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0.0</w:t>
            </w:r>
          </w:p>
        </w:tc>
        <w:tc>
          <w:tcPr>
            <w:tcW w:w="1984" w:type="dxa"/>
          </w:tcPr>
          <w:p w14:paraId="43F5384A"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vAlign w:val="center"/>
          </w:tcPr>
          <w:p w14:paraId="317D53F6"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0.5</w:t>
            </w:r>
          </w:p>
        </w:tc>
        <w:tc>
          <w:tcPr>
            <w:tcW w:w="1843" w:type="dxa"/>
            <w:vAlign w:val="center"/>
          </w:tcPr>
          <w:p w14:paraId="300ADF7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0.5</w:t>
            </w:r>
          </w:p>
        </w:tc>
        <w:tc>
          <w:tcPr>
            <w:tcW w:w="968" w:type="dxa"/>
            <w:vAlign w:val="center"/>
          </w:tcPr>
          <w:p w14:paraId="2C2C46B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rFonts w:cs="Arial"/>
              </w:rPr>
              <w:t>0.00</w:t>
            </w:r>
          </w:p>
        </w:tc>
      </w:tr>
    </w:tbl>
    <w:p w14:paraId="1DBD4E16" w14:textId="77777777" w:rsidR="00742100" w:rsidRPr="007D162C" w:rsidRDefault="00742100" w:rsidP="00742100">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0269583F" w14:textId="77777777" w:rsidR="00B8363D" w:rsidRPr="007D162C" w:rsidRDefault="00B8363D" w:rsidP="00B8363D">
      <w:pPr>
        <w:spacing w:before="120" w:after="0"/>
        <w:rPr>
          <w:sz w:val="20"/>
          <w:szCs w:val="20"/>
        </w:rPr>
      </w:pPr>
      <w:r w:rsidRPr="007D162C">
        <w:rPr>
          <w:sz w:val="20"/>
          <w:szCs w:val="20"/>
          <w:vertAlign w:val="superscript"/>
        </w:rPr>
        <w:t>(ii)</w:t>
      </w:r>
      <w:r w:rsidRPr="007D162C">
        <w:rPr>
          <w:sz w:val="18"/>
          <w:szCs w:val="18"/>
        </w:rPr>
        <w:t>The benefits and costs presented in the table above are rounded to two decimal places. The CBA calculated to four decimal places and this may result in zero values in the table</w:t>
      </w:r>
    </w:p>
    <w:p w14:paraId="1E6B097C" w14:textId="77777777" w:rsidR="003F3DDB" w:rsidRPr="007D162C" w:rsidRDefault="003F3DDB" w:rsidP="00742100">
      <w:pPr>
        <w:spacing w:before="120" w:after="0"/>
        <w:rPr>
          <w:sz w:val="20"/>
        </w:rPr>
      </w:pPr>
    </w:p>
    <w:p w14:paraId="0B578E0E" w14:textId="77777777" w:rsidR="00742100" w:rsidRPr="007D162C" w:rsidRDefault="00742100" w:rsidP="00742100">
      <w:pPr>
        <w:pStyle w:val="Heading6"/>
      </w:pPr>
      <w:r w:rsidRPr="007D162C">
        <w:t>Considerations to note in interpreting analysis</w:t>
      </w:r>
    </w:p>
    <w:p w14:paraId="38F15573" w14:textId="77777777" w:rsidR="00742100" w:rsidRPr="007D162C" w:rsidRDefault="00742100" w:rsidP="00B8363D">
      <w:pPr>
        <w:pStyle w:val="Heading7"/>
      </w:pPr>
      <w:r w:rsidRPr="007D162C">
        <w:t>Limitations</w:t>
      </w:r>
    </w:p>
    <w:p w14:paraId="1D67F69E" w14:textId="77777777" w:rsidR="00742100" w:rsidRPr="007D162C" w:rsidRDefault="00742100" w:rsidP="00105D34">
      <w:pPr>
        <w:pStyle w:val="Heading8"/>
      </w:pPr>
      <w:r w:rsidRPr="007D162C">
        <w:t>Non-regulatory</w:t>
      </w:r>
    </w:p>
    <w:p w14:paraId="386CDD12" w14:textId="7C5F1F4D" w:rsidR="00B8363D" w:rsidRPr="007D162C" w:rsidRDefault="00742100" w:rsidP="00667A4E">
      <w:r w:rsidRPr="007D162C">
        <w:t>The costs and benefits associated with the non-regulatory reform are lower than its regulatory counterpart reflecting an assumed lower rate of compliance with the reform. An estimated rate of 75</w:t>
      </w:r>
      <w:r w:rsidR="00A06601">
        <w:t xml:space="preserve"> per cent</w:t>
      </w:r>
      <w:r w:rsidRPr="007D162C">
        <w:t xml:space="preserve"> was applied to the non-regulatory option based on the low cost and complexity to comply with the requirements, and submissions from operators and providers supporting the implementation of the reform. This implies that the benefits and costs quantified for this non-regulatory reform may not reflect future take-up of the reform.</w:t>
      </w:r>
    </w:p>
    <w:p w14:paraId="4369D4EE" w14:textId="77777777" w:rsidR="00742100" w:rsidRPr="007D162C" w:rsidRDefault="00742100" w:rsidP="00105D34">
      <w:pPr>
        <w:pStyle w:val="Heading8"/>
      </w:pPr>
      <w:r w:rsidRPr="007D162C">
        <w:t>Regulatory</w:t>
      </w:r>
    </w:p>
    <w:p w14:paraId="4E1A7CAF" w14:textId="77777777" w:rsidR="00742100" w:rsidRPr="007D162C" w:rsidRDefault="00742100" w:rsidP="00B8363D">
      <w:r w:rsidRPr="007D162C">
        <w:t>The benefits and costs associated with this reform reflect the number of data requests from the public submitted to public transport providers / operators per annum provided by a single respondent to the survey. Compliance rates were proxied at a national level meaning the benefits may not reflect future changes in the number of information requested.</w:t>
      </w:r>
    </w:p>
    <w:p w14:paraId="692E37B0" w14:textId="77777777" w:rsidR="00742100" w:rsidRPr="007D162C" w:rsidRDefault="00742100" w:rsidP="00B8363D">
      <w:r w:rsidRPr="007D162C">
        <w:t>The survey indicated that providers / operators received relatively low numbers of information requests and implied they were timely in their response, resulting in relatively marginal benefits and costs.</w:t>
      </w:r>
    </w:p>
    <w:p w14:paraId="2D1B4D48" w14:textId="77777777" w:rsidR="00742100" w:rsidRPr="007D162C" w:rsidRDefault="00742100" w:rsidP="00105D34">
      <w:pPr>
        <w:pStyle w:val="Heading8"/>
      </w:pPr>
      <w:r w:rsidRPr="007D162C">
        <w:t>Interdependencies</w:t>
      </w:r>
    </w:p>
    <w:p w14:paraId="0B707DAE" w14:textId="77777777" w:rsidR="00742100" w:rsidRPr="007D162C" w:rsidRDefault="08D050C4" w:rsidP="00B8363D">
      <w:r w:rsidRPr="007D162C">
        <w:t>This is an enabling reform informing people with disability on accessibility features ahead of travel. Accessibility benefits of this reform could only be realised if there was equitable access across the whole public transport journey, with benefits reliant on implementation of other reforms such as better communication of accessibility features and infrastructure related reforms.</w:t>
      </w:r>
    </w:p>
    <w:p w14:paraId="75922A5D" w14:textId="77777777" w:rsidR="00742100" w:rsidRPr="007D162C" w:rsidRDefault="00742100" w:rsidP="00B8363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03702DCC" w14:textId="77777777" w:rsidR="00754992" w:rsidRPr="007D162C" w:rsidRDefault="00742100" w:rsidP="00742100">
      <w:r w:rsidRPr="007D162C">
        <w:t>The following categories of qualitative benefits were identified in the CBA as pertaining to the reform options.</w:t>
      </w:r>
    </w:p>
    <w:p w14:paraId="5387BC14" w14:textId="46A1CABA" w:rsidR="00742100" w:rsidRPr="007D162C" w:rsidRDefault="00742100" w:rsidP="00754992">
      <w:pPr>
        <w:pStyle w:val="Tablefigureheading"/>
      </w:pPr>
      <w:bookmarkStart w:id="227" w:name="_Toc122446331"/>
      <w:bookmarkStart w:id="228" w:name="_Toc139969181"/>
      <w:r w:rsidRPr="007D162C">
        <w:t xml:space="preserve">Table </w:t>
      </w:r>
      <w:fldSimple w:instr=" SEQ Table \* ARABIC ">
        <w:r w:rsidR="00DC26AC">
          <w:rPr>
            <w:noProof/>
          </w:rPr>
          <w:t>23</w:t>
        </w:r>
      </w:fldSimple>
      <w:r w:rsidRPr="007D162C">
        <w:rPr>
          <w:noProof/>
        </w:rPr>
        <w:t xml:space="preserve">: </w:t>
      </w:r>
      <w:r w:rsidRPr="007D162C">
        <w:t xml:space="preserve">Qualitative benefits for </w:t>
      </w:r>
      <w:r w:rsidR="00754992" w:rsidRPr="007D162C">
        <w:t>T</w:t>
      </w:r>
      <w:r w:rsidRPr="007D162C">
        <w:t>imely provision of information</w:t>
      </w:r>
      <w:bookmarkEnd w:id="227"/>
      <w:bookmarkEnd w:id="228"/>
    </w:p>
    <w:tbl>
      <w:tblPr>
        <w:tblStyle w:val="DefaultTable1"/>
        <w:tblW w:w="9864" w:type="dxa"/>
        <w:tblLook w:val="04A0" w:firstRow="1" w:lastRow="0" w:firstColumn="1" w:lastColumn="0" w:noHBand="0" w:noVBand="1"/>
        <w:tblCaption w:val="Qualitative benefits for timely provision of information"/>
      </w:tblPr>
      <w:tblGrid>
        <w:gridCol w:w="1205"/>
        <w:gridCol w:w="1323"/>
        <w:gridCol w:w="1605"/>
        <w:gridCol w:w="1276"/>
        <w:gridCol w:w="1255"/>
        <w:gridCol w:w="1597"/>
        <w:gridCol w:w="1603"/>
      </w:tblGrid>
      <w:tr w:rsidR="00742100" w:rsidRPr="007D162C" w14:paraId="286B463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472867" w14:textId="77777777" w:rsidR="00742100" w:rsidRPr="007D162C" w:rsidRDefault="08D050C4" w:rsidP="00C17787">
            <w:r w:rsidRPr="007D162C">
              <w:t>Reform Option</w:t>
            </w:r>
          </w:p>
        </w:tc>
        <w:tc>
          <w:tcPr>
            <w:tcW w:w="1343" w:type="dxa"/>
          </w:tcPr>
          <w:p w14:paraId="59E5C8CA"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54D14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3ECD60C"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FDC7AFA"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0866A2E3" w14:textId="77777777" w:rsidR="00742100"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4839EAD" w14:textId="77777777" w:rsidR="00742100" w:rsidRPr="007D162C" w:rsidRDefault="08D050C4" w:rsidP="00B8363D">
            <w:pPr>
              <w:ind w:right="254"/>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742100" w:rsidRPr="007D162C" w14:paraId="15CF244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6726183" w14:textId="77777777" w:rsidR="00742100" w:rsidRPr="007D162C" w:rsidRDefault="00742100" w:rsidP="00C17787">
            <w:r w:rsidRPr="007D162C">
              <w:t>Status Quo</w:t>
            </w:r>
          </w:p>
        </w:tc>
        <w:tc>
          <w:tcPr>
            <w:tcW w:w="1343" w:type="dxa"/>
          </w:tcPr>
          <w:p w14:paraId="5D139FC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54E5702E"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010D7B38"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7D3CB309"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1CAD5A1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1668A29"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742100" w:rsidRPr="007D162C" w14:paraId="0DF58B4F"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6AEB7E4" w14:textId="77777777" w:rsidR="00742100" w:rsidRPr="007D162C" w:rsidRDefault="00742100" w:rsidP="00C17787">
            <w:r w:rsidRPr="007D162C">
              <w:t xml:space="preserve">Non-regulatory </w:t>
            </w:r>
          </w:p>
        </w:tc>
        <w:tc>
          <w:tcPr>
            <w:tcW w:w="1343" w:type="dxa"/>
          </w:tcPr>
          <w:p w14:paraId="37D17D58"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AC278CC" w14:textId="77777777" w:rsidR="00742100" w:rsidRPr="007D162C" w:rsidRDefault="00742100"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1A13687"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0B59BCD"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0227019C"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2D757425" w14:textId="77777777" w:rsidR="00742100"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742100" w:rsidRPr="007D162C" w14:paraId="68EB76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FEE1457" w14:textId="77777777" w:rsidR="00742100" w:rsidRPr="007D162C" w:rsidRDefault="00742100" w:rsidP="00C17787">
            <w:r w:rsidRPr="007D162C">
              <w:t>Regulatory</w:t>
            </w:r>
          </w:p>
        </w:tc>
        <w:tc>
          <w:tcPr>
            <w:tcW w:w="1343" w:type="dxa"/>
          </w:tcPr>
          <w:p w14:paraId="0B8F21C1"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D0E9BEB" w14:textId="77777777" w:rsidR="00742100" w:rsidRPr="007D162C" w:rsidRDefault="00742100"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4803FB2"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4718416B"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089270BA"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4FB54A7" w14:textId="77777777" w:rsidR="00742100"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2C3341AE" w14:textId="77777777" w:rsidR="00B8363D" w:rsidRPr="007D162C" w:rsidRDefault="00B8363D" w:rsidP="00B8363D"/>
    <w:p w14:paraId="456B6A5B" w14:textId="77777777" w:rsidR="00742100" w:rsidRPr="007D162C" w:rsidRDefault="00742100" w:rsidP="00742100">
      <w:pPr>
        <w:pStyle w:val="Heading4"/>
        <w:tabs>
          <w:tab w:val="left" w:pos="284"/>
        </w:tabs>
      </w:pPr>
      <w:r w:rsidRPr="007D162C">
        <w:t xml:space="preserve">Analysis of submissions </w:t>
      </w:r>
    </w:p>
    <w:p w14:paraId="44DBFD19" w14:textId="77777777" w:rsidR="00742100" w:rsidRPr="007D162C" w:rsidRDefault="00742100" w:rsidP="00742100">
      <w:pPr>
        <w:pStyle w:val="Heading5"/>
      </w:pPr>
      <w:r w:rsidRPr="007D162C">
        <w:t>Status quo</w:t>
      </w:r>
    </w:p>
    <w:p w14:paraId="46899255" w14:textId="77777777" w:rsidR="00742100" w:rsidRPr="007D162C" w:rsidRDefault="00742100" w:rsidP="00742100">
      <w:r w:rsidRPr="007D162C">
        <w:t xml:space="preserve">Under the status quo, public transport operators and providers are required to ensure general information about transport services is accessible to all passengers, and where information cannot be supplied in a passenger’s preferred format, direct assistance must be provided. </w:t>
      </w:r>
    </w:p>
    <w:p w14:paraId="26BF9016" w14:textId="77777777" w:rsidR="00742100" w:rsidRPr="007D162C" w:rsidRDefault="08D050C4" w:rsidP="00742100">
      <w:r w:rsidRPr="007D162C">
        <w:t>One submission from industry noted that where information is not available in a preferred format, direct assistance provisions serve as an effective provision for communication. This submission was in favour of maintaining current requirements, as in their experience, direct assistance is often more effective and provides important flexibility to operators and providers to support passengers through other communications methods. Similarly, two submissions from industry and government disagreed with the issue statement identified in the Consultation RIS. These submissions stated that it is already standard practice to provided alternative formats of information when requested as soon as is practicably possible, although these requests are relatively infrequent.</w:t>
      </w:r>
    </w:p>
    <w:p w14:paraId="1E07613A" w14:textId="77777777" w:rsidR="00742100" w:rsidRPr="007D162C" w:rsidRDefault="08D050C4" w:rsidP="00742100">
      <w:r w:rsidRPr="007D162C">
        <w:t>Several submissions from individuals, people with disability and disability organisations noted that although provisions already exist in the Transport Standards to enable passengers to request service-related information in alternative formats, the absence of timeframes associated with this provision can result in information being provided late or with outdated information. This was identified as a barrier to confident and independent travel.</w:t>
      </w:r>
    </w:p>
    <w:p w14:paraId="1C29C19E" w14:textId="77777777" w:rsidR="00742100" w:rsidRPr="007D162C" w:rsidRDefault="00742100" w:rsidP="00742100">
      <w:pPr>
        <w:pStyle w:val="Quote"/>
      </w:pPr>
      <w:r w:rsidRPr="007D162C">
        <w:t>The provision of timely information in a passenger’s preferred format is critical to effective journey planning and public transport usage by people who are blind or have low vision.</w:t>
      </w:r>
    </w:p>
    <w:p w14:paraId="08F5922F" w14:textId="77777777" w:rsidR="00742100" w:rsidRPr="007D162C" w:rsidRDefault="00742100" w:rsidP="00742100">
      <w:pPr>
        <w:pStyle w:val="Quote"/>
      </w:pPr>
      <w:r w:rsidRPr="007D162C">
        <w:t>Vision Australia</w:t>
      </w:r>
    </w:p>
    <w:p w14:paraId="4FF5C900" w14:textId="77777777" w:rsidR="00742100" w:rsidRPr="007D162C" w:rsidRDefault="00742100" w:rsidP="00742100">
      <w:r w:rsidRPr="007D162C">
        <w:t>Maintaining the status quo would not impose any additional regulatory or cost burden on operators and providers, as they will continue to communicate information about the accessibility of their services in a way that suits their operational / administrative needs.</w:t>
      </w:r>
    </w:p>
    <w:p w14:paraId="232CDA1F" w14:textId="77777777" w:rsidR="00742100" w:rsidRPr="007D162C" w:rsidRDefault="00742100" w:rsidP="00742100">
      <w:pPr>
        <w:pStyle w:val="Heading5"/>
      </w:pPr>
      <w:r w:rsidRPr="007D162C">
        <w:t>Non-regulatory</w:t>
      </w:r>
    </w:p>
    <w:p w14:paraId="0AB897EE" w14:textId="77777777" w:rsidR="00742100" w:rsidRPr="007D162C" w:rsidRDefault="00742100" w:rsidP="00742100">
      <w:r w:rsidRPr="007D162C">
        <w:t xml:space="preserve">Across the majority of submissions from all stakeholder groups, there was general support for guidance that would improve the accessibility of communications to support passengers. </w:t>
      </w:r>
    </w:p>
    <w:p w14:paraId="66A92F92" w14:textId="77777777" w:rsidR="00742100" w:rsidRPr="007D162C" w:rsidRDefault="00742100" w:rsidP="00742100">
      <w:r w:rsidRPr="007D162C">
        <w:t>The majority of submissions from industry noted that the intent of this reform is already achieved through direct assistance provisions included in Section 27.2. Direct assistance was identified as an effective tool to support passengers, as it allows for flexibility and can be used readily across dynamic operating environments. Submissions that supported the non-regulatory option noted that the regulatory option does not provide this necessary flexibility to accommodate the practical constraints of public transport operations. For example, one submission from industry raised concerns that the regulatory option would disproportionately impact smaller operators and providers who may not have the resourcing required to meet the proposed requirements. Two submissions from government also flagged that in their experience, requests for information in alternative formats such as braille are very limited. For these reasons, the non-regulatory option was preferred to accommodate all operating contexts.</w:t>
      </w:r>
    </w:p>
    <w:p w14:paraId="0392D107" w14:textId="77777777" w:rsidR="00742100" w:rsidRPr="007D162C" w:rsidRDefault="00742100" w:rsidP="00742100">
      <w:r w:rsidRPr="007D162C">
        <w:t xml:space="preserve">The majority of submissions from industry and government also noted that for this reform area to be incorporated into the Transport Standards, further clarity is required on the practical requirements that operators and providers would need to meet. To ensure legal certainty, further explanation needs to be provided to define a ‘timely manner’, and a list should be developed specifying potential ‘preferred formats’. For example, the proposed wording relating to ‘commonly requested information’ is open to interpretation, and may lead to misalignment of expectations between passengers and operators and providers. Similarly, one submission from government suggested that the lack of clarity included in the regulatory option may undermine the capacity of the regulatory option to address the issues identified in the Consultation RIS. These </w:t>
      </w:r>
      <w:r w:rsidRPr="007D162C">
        <w:lastRenderedPageBreak/>
        <w:t xml:space="preserve">submissions reaffirmed that further consultation with the disability community and public transport industry is necessary to develop these terms and examples to improve accessibility outcomes and compliance achievement, before a regulatory proposal should be pursued. </w:t>
      </w:r>
    </w:p>
    <w:p w14:paraId="3269BCFB" w14:textId="77777777" w:rsidR="00742100" w:rsidRPr="007D162C" w:rsidRDefault="00742100" w:rsidP="00742100">
      <w:pPr>
        <w:pStyle w:val="Quote"/>
      </w:pPr>
      <w:r w:rsidRPr="007D162C">
        <w:t>The reforms do not define ‘timely’. These omissions may result in people with disability not being able to ascertain what information format providers and operators are able to produce and when the requested information will be made available. Moreover, the proposed reforms do not define a list of information that operators and providers must or should be able to provide in a timely manner. This may result in variability in the types of formats that are available to passengers with disability within and across transport providers and operators.</w:t>
      </w:r>
    </w:p>
    <w:p w14:paraId="1D83AEF2" w14:textId="16966F22" w:rsidR="00742100" w:rsidRPr="007D162C" w:rsidRDefault="00742100" w:rsidP="00742100">
      <w:pPr>
        <w:pStyle w:val="Quote"/>
      </w:pPr>
      <w:r w:rsidRPr="007D162C">
        <w:t xml:space="preserve">Queensland Government </w:t>
      </w:r>
      <w:r w:rsidR="00C514E2">
        <w:t xml:space="preserve">- </w:t>
      </w:r>
      <w:r w:rsidRPr="007D162C">
        <w:t>Department of Transport and Main Roads</w:t>
      </w:r>
    </w:p>
    <w:p w14:paraId="5FDB3182" w14:textId="77777777" w:rsidR="00742100" w:rsidRPr="007D162C" w:rsidRDefault="00742100" w:rsidP="00742100">
      <w:pPr>
        <w:pStyle w:val="Heading5"/>
      </w:pPr>
      <w:r w:rsidRPr="007D162C">
        <w:t>Regulatory</w:t>
      </w:r>
    </w:p>
    <w:p w14:paraId="77073FE2" w14:textId="77777777" w:rsidR="00742100" w:rsidRPr="007D162C" w:rsidRDefault="00742100" w:rsidP="00742100">
      <w:r w:rsidRPr="007D162C">
        <w:t>There was a mixture of support for the regulatory option from government and the disability sector. These submissions noted the value of regulatory reform in supporting a greater level of compliance with current requirements, and that once processes are established, this should formulate part of business as usual for operators and providers.</w:t>
      </w:r>
    </w:p>
    <w:p w14:paraId="6C2AC460" w14:textId="77777777" w:rsidR="00742100" w:rsidRPr="007D162C" w:rsidRDefault="08D050C4" w:rsidP="00742100">
      <w:r w:rsidRPr="007D162C">
        <w:t>Submissions from individuals, people with disability and disability organisations were largely in favour of regulatory amendments to the existing requirements under Section 27.2 of the Transport Standards. These submissions highlighted that a passenger’s preferred format may vary depending on the type of information requested, and therefore close consultation with the requesting individual is required. One submission noted that the non-provision of information is preferred formats in a timely manner may discourage people with disability from confidently using public transport.</w:t>
      </w:r>
    </w:p>
    <w:p w14:paraId="3FBC79B5" w14:textId="77777777" w:rsidR="00742100" w:rsidRPr="007D162C" w:rsidRDefault="00742100" w:rsidP="00742100">
      <w:pPr>
        <w:pStyle w:val="Quote"/>
      </w:pPr>
      <w:r w:rsidRPr="007D162C">
        <w:t xml:space="preserve">In feedback from members, currently much of the information provided to people who are blind or vision impaired is outdated by the time they attempt to travel. </w:t>
      </w:r>
    </w:p>
    <w:p w14:paraId="3C95DEB5" w14:textId="77777777" w:rsidR="00742100" w:rsidRPr="007D162C" w:rsidRDefault="00742100" w:rsidP="00742100">
      <w:pPr>
        <w:pStyle w:val="Quote"/>
      </w:pPr>
      <w:r w:rsidRPr="007D162C">
        <w:t>Blind Citizens Australia</w:t>
      </w:r>
    </w:p>
    <w:p w14:paraId="5C8DAA4E" w14:textId="77777777" w:rsidR="00742100" w:rsidRPr="007D162C" w:rsidRDefault="00742100" w:rsidP="00742100">
      <w:r w:rsidRPr="007D162C">
        <w:t xml:space="preserve">The majority of submissions from government were also supportive of regulatory reform, noting that the proposed amendments are likely to have minimal practical impact on the way requests are currently handled, and requests for information in alternative accessible formats are minimal. </w:t>
      </w:r>
    </w:p>
    <w:p w14:paraId="41CB6966" w14:textId="77777777" w:rsidR="00742100" w:rsidRPr="007D162C" w:rsidRDefault="00742100" w:rsidP="00742100">
      <w:pPr>
        <w:pStyle w:val="Quote"/>
      </w:pPr>
      <w:r w:rsidRPr="007D162C">
        <w:t>Support the regulatory model of service information provision, this is expected in other aspects of daily life and needs to be introduced to the transport sphere to reduce potential discrimination, acknowledging that direct assistance is a suitable and potentially short-term measure and/or perhaps suitable in thin markets where costs may be prohibitive/of significance.</w:t>
      </w:r>
    </w:p>
    <w:p w14:paraId="33973995" w14:textId="77777777" w:rsidR="00742100" w:rsidRPr="007D162C" w:rsidRDefault="00742100" w:rsidP="00742100">
      <w:pPr>
        <w:pStyle w:val="Quote"/>
      </w:pPr>
      <w:r w:rsidRPr="007D162C">
        <w:t>City of Newcastle</w:t>
      </w:r>
    </w:p>
    <w:p w14:paraId="4B88E690" w14:textId="77777777" w:rsidR="00742100" w:rsidRPr="007D162C" w:rsidRDefault="08D050C4" w:rsidP="00742100">
      <w:r w:rsidRPr="007D162C">
        <w:t>One submission from government noted that given the practical operational limitations of large, multi-modal networks, it is important that the agreed implementation approach recognises the complexities of planning, managing and operating these networks. Additionally, further clarity should be provided to define a ‘timely manner’ and examples of accessible formats. One submission from government suggested the regulatory option be amended to remove ‘If information cannot be immediately supplied in a passenger's preferred format, Equivalent Access must be given by direct assistance until the request is filled’. The submission noted that this is already a requirement under the Transport Standards.</w:t>
      </w:r>
    </w:p>
    <w:p w14:paraId="5E020F8E" w14:textId="77777777" w:rsidR="00742100" w:rsidRPr="007D162C" w:rsidRDefault="00742100" w:rsidP="00742100">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101BB459" w14:textId="4D22D79E" w:rsidR="00742100" w:rsidRPr="007D162C" w:rsidRDefault="00742100" w:rsidP="00742100">
      <w:r w:rsidRPr="007D162C">
        <w:t xml:space="preserve">Informed by the outcomes of consultation, impacts, cost and outcomes analysis above, the preferred option is the </w:t>
      </w:r>
      <w:r w:rsidRPr="007D162C">
        <w:rPr>
          <w:b/>
        </w:rPr>
        <w:t>regulatory option</w:t>
      </w:r>
      <w:r w:rsidR="009C44EC" w:rsidRPr="007D162C">
        <w:rPr>
          <w:b/>
        </w:rPr>
        <w:t xml:space="preserve"> with additional guidance</w:t>
      </w:r>
      <w:r w:rsidRPr="007D162C">
        <w:t xml:space="preserve">. </w:t>
      </w:r>
    </w:p>
    <w:p w14:paraId="11E2742E" w14:textId="77777777" w:rsidR="00742100" w:rsidRPr="007D162C" w:rsidRDefault="08D050C4" w:rsidP="00742100">
      <w:r w:rsidRPr="007D162C">
        <w:t xml:space="preserve">The regulatory option was the supported by all individuals, people with disability and disability organisations. There was mixed support for the non-regulatory option and regulatory option by industry and government. One submission from an operator and provider preferred the status quo option. </w:t>
      </w:r>
    </w:p>
    <w:p w14:paraId="378FC4E1" w14:textId="77777777" w:rsidR="00742100" w:rsidRPr="007D162C" w:rsidRDefault="00742100" w:rsidP="00742100">
      <w:r w:rsidRPr="007D162C">
        <w:lastRenderedPageBreak/>
        <w:t xml:space="preserve">Overall, there was broad agreement from all stakeholder groups that the timely provision of information in accessible formats is important to ensuring equitable access to public transport and a greater level of confidence for people with disability. </w:t>
      </w:r>
      <w:bookmarkStart w:id="229" w:name="_Hlk130395326"/>
      <w:r w:rsidRPr="007D162C">
        <w:t xml:space="preserve">Multiple submissions from industry and government noted that the regulatory option strengthens existing requirements, and the impact of new requirements would be minimal. </w:t>
      </w:r>
      <w:bookmarkEnd w:id="229"/>
    </w:p>
    <w:p w14:paraId="3276709D" w14:textId="4FFC1623" w:rsidR="008877FC" w:rsidRPr="007D162C" w:rsidRDefault="00742100" w:rsidP="008877FC">
      <w:r w:rsidRPr="007D162C">
        <w:t>A number of submissions from across all stakeholder groups referenced the value of direct assistance to facilitate information sharing, and strongly opposed the removal of these provisions. Provisions for direct assistance will be amended through the regulatory option to reflect new requirements, and will continue to provide flexibility to operators and providers in circumstances where the provision of information in other formats may not be immediately possible. To support regulatory amendments, additional guidance material will be provided detailing examples of accessible alternative formats and the expected timeframes for these resources to be produced.</w:t>
      </w:r>
      <w:r w:rsidR="008877FC" w:rsidRPr="007D162C">
        <w:t xml:space="preserve"> Whilst operators and providers are encouraged to use this guidance, it </w:t>
      </w:r>
      <w:r w:rsidR="007F62B4" w:rsidRPr="007D162C">
        <w:t xml:space="preserve">will not be mandated through regulation. Guidance </w:t>
      </w:r>
      <w:r w:rsidR="008877FC" w:rsidRPr="007D162C">
        <w:t>will be developed through consultation with people with disability, state and territory governments, and operators and providers of public transport.</w:t>
      </w:r>
    </w:p>
    <w:p w14:paraId="6356B9E0" w14:textId="36A47C48" w:rsidR="006564D5" w:rsidRPr="007D162C" w:rsidRDefault="00742100" w:rsidP="00742100">
      <w:r w:rsidRPr="007D162C">
        <w:t>The preferred option will be implemented through amendments to the Transport Standards and Guidelines. Operators and providers will be required to meet the new Transport Standards requirements retrospectively with a compliance schedule timing of 5 years</w:t>
      </w:r>
      <w:r w:rsidR="00EF1693">
        <w:t>, recognizing complexities associated with updating internal procedures and processes to facilitate the timely provision of information.</w:t>
      </w:r>
    </w:p>
    <w:p w14:paraId="1125C010" w14:textId="77777777" w:rsidR="006564D5" w:rsidRPr="007D162C" w:rsidRDefault="006564D5" w:rsidP="006564D5">
      <w:r w:rsidRPr="007D162C">
        <w:br w:type="page"/>
      </w:r>
    </w:p>
    <w:p w14:paraId="7045D8B0" w14:textId="4629599F" w:rsidR="006564D5" w:rsidRPr="007D162C" w:rsidRDefault="006564D5" w:rsidP="00C514E2">
      <w:pPr>
        <w:pStyle w:val="Heading2"/>
        <w:numPr>
          <w:ilvl w:val="0"/>
          <w:numId w:val="26"/>
        </w:numPr>
        <w:ind w:hanging="720"/>
      </w:pPr>
      <w:bookmarkStart w:id="230" w:name="_Toc127351756"/>
      <w:bookmarkStart w:id="231" w:name="_Toc140239714"/>
      <w:r w:rsidRPr="007D162C">
        <w:lastRenderedPageBreak/>
        <w:t>Real time communication</w:t>
      </w:r>
      <w:bookmarkEnd w:id="230"/>
      <w:bookmarkEnd w:id="231"/>
    </w:p>
    <w:p w14:paraId="4296BE97" w14:textId="77777777" w:rsidR="006564D5" w:rsidRPr="007D162C" w:rsidRDefault="006564D5" w:rsidP="00C1541A">
      <w:pPr>
        <w:pStyle w:val="Heading4"/>
        <w:tabs>
          <w:tab w:val="left" w:pos="284"/>
        </w:tabs>
      </w:pPr>
      <w:r w:rsidRPr="007D162C">
        <w:t>Issue</w:t>
      </w:r>
    </w:p>
    <w:p w14:paraId="2C1A7B00" w14:textId="77777777" w:rsidR="006564D5" w:rsidRPr="007D162C" w:rsidRDefault="006564D5" w:rsidP="006564D5">
      <w:r w:rsidRPr="007D162C">
        <w:t>The Transport Standards do not include requirements for real time communication between operators and providers and people with disability while undertaking a public transport journey. In some cases, passengers who have accessibility needs or who require specific information are unable to communicate with staff. Where service-related matters arise, it is important that public transport operators can share information with all passengers in real time. If passengers are unable to receive information in real-time, they may be unable to successfully complete their journey, give feedback or make any necessary request for assistance.</w:t>
      </w:r>
    </w:p>
    <w:p w14:paraId="0EED882B" w14:textId="77777777" w:rsidR="006564D5" w:rsidRPr="007D162C" w:rsidRDefault="006564D5" w:rsidP="006564D5">
      <w:r w:rsidRPr="007D162C">
        <w:t>Collective government action would introduce requirements for real time communication and address key stakeholder issues raised through the Transport Standards review process.</w:t>
      </w:r>
    </w:p>
    <w:p w14:paraId="498D92F1" w14:textId="77777777" w:rsidR="006564D5" w:rsidRPr="007D162C" w:rsidRDefault="006564D5" w:rsidP="006564D5">
      <w:pPr>
        <w:pStyle w:val="Heading4"/>
        <w:tabs>
          <w:tab w:val="left" w:pos="284"/>
        </w:tabs>
      </w:pPr>
      <w:r w:rsidRPr="007D162C">
        <w:t>Reform options</w:t>
      </w:r>
    </w:p>
    <w:p w14:paraId="574AFFAA" w14:textId="77777777" w:rsidR="006564D5" w:rsidRPr="007D162C" w:rsidRDefault="006564D5" w:rsidP="006564D5">
      <w:pPr>
        <w:tabs>
          <w:tab w:val="left" w:pos="284"/>
        </w:tabs>
      </w:pPr>
      <w:r w:rsidRPr="007D162C">
        <w:t xml:space="preserve">Following is a summary of the proposed options for this reform. Full details of each reform option is provided at Appendix A of the Decision RIS. </w:t>
      </w:r>
    </w:p>
    <w:p w14:paraId="733F0DF9" w14:textId="742D6843" w:rsidR="006564D5" w:rsidRPr="007D162C" w:rsidRDefault="006564D5" w:rsidP="00BE1B2C">
      <w:pPr>
        <w:pStyle w:val="Tablefigureheading"/>
      </w:pPr>
      <w:bookmarkStart w:id="232" w:name="_Toc139969182"/>
      <w:r w:rsidRPr="007D162C">
        <w:t xml:space="preserve">Table </w:t>
      </w:r>
      <w:fldSimple w:instr=" SEQ Table \* ARABIC ">
        <w:r w:rsidR="00DC26AC">
          <w:rPr>
            <w:noProof/>
          </w:rPr>
          <w:t>24</w:t>
        </w:r>
      </w:fldSimple>
      <w:r w:rsidRPr="007D162C">
        <w:rPr>
          <w:noProof/>
        </w:rPr>
        <w:t>:</w:t>
      </w:r>
      <w:r w:rsidRPr="007D162C">
        <w:t xml:space="preserve"> Reform options for </w:t>
      </w:r>
      <w:r w:rsidR="00754992" w:rsidRPr="007D162C">
        <w:t>R</w:t>
      </w:r>
      <w:r w:rsidRPr="007D162C">
        <w:t>eal time communication</w:t>
      </w:r>
      <w:bookmarkEnd w:id="232"/>
    </w:p>
    <w:tbl>
      <w:tblPr>
        <w:tblStyle w:val="DefaultTable1"/>
        <w:tblW w:w="9072" w:type="dxa"/>
        <w:tblLook w:val="04A0" w:firstRow="1" w:lastRow="0" w:firstColumn="1" w:lastColumn="0" w:noHBand="0" w:noVBand="1"/>
        <w:tblCaption w:val="Reform options for real time communication"/>
        <w:tblDescription w:val="This table provides a description of each of the options for this reform area. Status quo, non-regulatory and regulatory."/>
      </w:tblPr>
      <w:tblGrid>
        <w:gridCol w:w="2232"/>
        <w:gridCol w:w="6840"/>
      </w:tblGrid>
      <w:tr w:rsidR="006564D5" w:rsidRPr="007D162C" w14:paraId="38321398"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5507F4E7" w14:textId="77777777" w:rsidR="006564D5" w:rsidRPr="007D162C" w:rsidRDefault="006564D5" w:rsidP="00C17787">
            <w:r w:rsidRPr="007D162C">
              <w:t>Option</w:t>
            </w:r>
          </w:p>
        </w:tc>
        <w:tc>
          <w:tcPr>
            <w:tcW w:w="6840" w:type="dxa"/>
          </w:tcPr>
          <w:p w14:paraId="2D4B2E0A" w14:textId="77777777" w:rsidR="006564D5" w:rsidRPr="007D162C" w:rsidRDefault="006564D5"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6564D5" w:rsidRPr="007D162C" w14:paraId="159AE4C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4267F83" w14:textId="77777777" w:rsidR="006564D5" w:rsidRPr="007D162C" w:rsidRDefault="006564D5" w:rsidP="00C17787">
            <w:r w:rsidRPr="007D162C">
              <w:t>Status Quo</w:t>
            </w:r>
          </w:p>
        </w:tc>
        <w:tc>
          <w:tcPr>
            <w:tcW w:w="6840" w:type="dxa"/>
          </w:tcPr>
          <w:p w14:paraId="03F6C7DE"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silent on requirements to provide real time communication between operators and providers and passengers.</w:t>
            </w:r>
          </w:p>
          <w:p w14:paraId="2D5E4C1E"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564D5" w:rsidRPr="007D162C" w14:paraId="26AFF01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724783E0" w14:textId="77777777" w:rsidR="006564D5" w:rsidRPr="007D162C" w:rsidRDefault="006564D5" w:rsidP="00C17787">
            <w:r w:rsidRPr="007D162C">
              <w:t>Non-regulatory</w:t>
            </w:r>
          </w:p>
        </w:tc>
        <w:tc>
          <w:tcPr>
            <w:tcW w:w="6840" w:type="dxa"/>
          </w:tcPr>
          <w:p w14:paraId="3C9B238F"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improve the lines of communication between operators, providers and passengers in real time, provide examples of real time communication, and recommendations for disability awareness staff training for operators and providers.</w:t>
            </w:r>
          </w:p>
        </w:tc>
      </w:tr>
      <w:tr w:rsidR="006564D5" w:rsidRPr="007D162C" w14:paraId="20A1B3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69AF667" w14:textId="77777777" w:rsidR="006564D5" w:rsidRPr="007D162C" w:rsidRDefault="006564D5" w:rsidP="00C17787">
            <w:r w:rsidRPr="007D162C">
              <w:t>Regulatory</w:t>
            </w:r>
          </w:p>
        </w:tc>
        <w:tc>
          <w:tcPr>
            <w:tcW w:w="6840" w:type="dxa"/>
          </w:tcPr>
          <w:p w14:paraId="41EBA8E8"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ensure passengers can communicate in real time with operators and providers before boarding, while a conveyance is in transit and after alighting. </w:t>
            </w:r>
          </w:p>
          <w:p w14:paraId="08BB9DCF"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7667F459" w14:textId="77777777" w:rsidR="00C1541A" w:rsidRPr="007D162C" w:rsidRDefault="00C1541A" w:rsidP="00C1541A"/>
    <w:p w14:paraId="0D15EBB4" w14:textId="77777777" w:rsidR="006564D5" w:rsidRPr="007D162C" w:rsidRDefault="006564D5" w:rsidP="006564D5">
      <w:pPr>
        <w:pStyle w:val="Heading4"/>
        <w:tabs>
          <w:tab w:val="left" w:pos="284"/>
        </w:tabs>
      </w:pPr>
      <w:r w:rsidRPr="007D162C">
        <w:t>Cost benefit analysis</w:t>
      </w:r>
    </w:p>
    <w:p w14:paraId="1D000520" w14:textId="77777777" w:rsidR="006564D5" w:rsidRPr="007D162C" w:rsidRDefault="006564D5" w:rsidP="00C1541A">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4D160F6" w14:textId="77777777" w:rsidR="00BE1B2C" w:rsidRPr="007D162C" w:rsidRDefault="006564D5" w:rsidP="006564D5">
      <w:r w:rsidRPr="007D162C">
        <w:t xml:space="preserve">The following categories of quantitative costs and benefits were identified in the CBA as pertaining to the reform options. </w:t>
      </w:r>
    </w:p>
    <w:p w14:paraId="0F818A06" w14:textId="77777777" w:rsidR="006564D5" w:rsidRPr="007D162C" w:rsidRDefault="00BE1B2C" w:rsidP="006564D5">
      <w:r w:rsidRPr="007D162C">
        <w:br w:type="page"/>
      </w:r>
    </w:p>
    <w:p w14:paraId="7798B4AF" w14:textId="11819044" w:rsidR="006564D5" w:rsidRPr="007D162C" w:rsidRDefault="006564D5" w:rsidP="00BE1B2C">
      <w:pPr>
        <w:pStyle w:val="Tablefigureheading"/>
      </w:pPr>
      <w:bookmarkStart w:id="233" w:name="_Toc139969183"/>
      <w:r w:rsidRPr="007D162C">
        <w:lastRenderedPageBreak/>
        <w:t xml:space="preserve">Table </w:t>
      </w:r>
      <w:fldSimple w:instr=" SEQ Table \* ARABIC ">
        <w:r w:rsidR="00DC26AC">
          <w:rPr>
            <w:noProof/>
          </w:rPr>
          <w:t>25</w:t>
        </w:r>
      </w:fldSimple>
      <w:r w:rsidRPr="007D162C">
        <w:t xml:space="preserve">: Benefit-cost ratios for </w:t>
      </w:r>
      <w:r w:rsidR="00754992" w:rsidRPr="007D162C">
        <w:t>R</w:t>
      </w:r>
      <w:r w:rsidRPr="007D162C">
        <w:t>eal time communication</w:t>
      </w:r>
      <w:bookmarkEnd w:id="233"/>
    </w:p>
    <w:tbl>
      <w:tblPr>
        <w:tblStyle w:val="DefaultTable1"/>
        <w:tblW w:w="9864" w:type="dxa"/>
        <w:tblLook w:val="04A0" w:firstRow="1" w:lastRow="0" w:firstColumn="1" w:lastColumn="0" w:noHBand="0" w:noVBand="1"/>
        <w:tblCaption w:val="Benefit-cost ratios for real time communication"/>
        <w:tblDescription w:val="This table provides the monetised benefits and costs for each of the options for this reform area."/>
      </w:tblPr>
      <w:tblGrid>
        <w:gridCol w:w="2127"/>
        <w:gridCol w:w="1275"/>
        <w:gridCol w:w="1701"/>
        <w:gridCol w:w="1985"/>
        <w:gridCol w:w="1701"/>
        <w:gridCol w:w="1075"/>
      </w:tblGrid>
      <w:tr w:rsidR="00BE1B2C" w:rsidRPr="007D162C" w14:paraId="0B14DB4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85899BB" w14:textId="77777777" w:rsidR="006564D5" w:rsidRPr="007D162C" w:rsidRDefault="08D050C4" w:rsidP="00C17787">
            <w:r w:rsidRPr="007D162C">
              <w:t>Reform Option</w:t>
            </w:r>
          </w:p>
        </w:tc>
        <w:tc>
          <w:tcPr>
            <w:tcW w:w="1275" w:type="dxa"/>
          </w:tcPr>
          <w:p w14:paraId="3A0E740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5785E2E5"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465E476E"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29E71171"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2094E4A9"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BE1B2C" w:rsidRPr="007D162C" w14:paraId="4FFF535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A2BCE0A" w14:textId="77777777" w:rsidR="006564D5" w:rsidRPr="007D162C" w:rsidRDefault="006564D5" w:rsidP="00C17787">
            <w:r w:rsidRPr="007D162C">
              <w:t>Status Quo</w:t>
            </w:r>
          </w:p>
        </w:tc>
        <w:tc>
          <w:tcPr>
            <w:tcW w:w="1275" w:type="dxa"/>
          </w:tcPr>
          <w:p w14:paraId="3D8C1A6B"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2DE4AF8"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64EEEC99"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3CF7A7F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03F458C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06A3686A"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112C0FAA" w14:textId="77777777" w:rsidR="006564D5" w:rsidRPr="007D162C" w:rsidRDefault="006564D5" w:rsidP="00C17787">
            <w:r w:rsidRPr="007D162C">
              <w:t xml:space="preserve">Non-regulatory </w:t>
            </w:r>
          </w:p>
        </w:tc>
        <w:tc>
          <w:tcPr>
            <w:tcW w:w="1275" w:type="dxa"/>
            <w:vAlign w:val="center"/>
          </w:tcPr>
          <w:p w14:paraId="626199F0"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6.1</w:t>
            </w:r>
          </w:p>
        </w:tc>
        <w:tc>
          <w:tcPr>
            <w:tcW w:w="1701" w:type="dxa"/>
            <w:vAlign w:val="center"/>
          </w:tcPr>
          <w:p w14:paraId="555B7A55"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985" w:type="dxa"/>
            <w:vAlign w:val="center"/>
          </w:tcPr>
          <w:p w14:paraId="3170E92B"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7.2</w:t>
            </w:r>
          </w:p>
        </w:tc>
        <w:tc>
          <w:tcPr>
            <w:tcW w:w="1701" w:type="dxa"/>
            <w:vAlign w:val="center"/>
          </w:tcPr>
          <w:p w14:paraId="53ADEBB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7.2</w:t>
            </w:r>
            <w:r w:rsidR="004815D7" w:rsidRPr="007D162C">
              <w:rPr>
                <w:vertAlign w:val="superscript"/>
              </w:rPr>
              <w:t>i</w:t>
            </w:r>
          </w:p>
        </w:tc>
        <w:tc>
          <w:tcPr>
            <w:tcW w:w="1075" w:type="dxa"/>
            <w:vAlign w:val="center"/>
          </w:tcPr>
          <w:p w14:paraId="523998B0" w14:textId="77777777" w:rsidR="006564D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0.85</w:t>
            </w:r>
          </w:p>
        </w:tc>
      </w:tr>
      <w:tr w:rsidR="00BE1B2C" w:rsidRPr="007D162C" w14:paraId="714D7C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5E96121" w14:textId="77777777" w:rsidR="006564D5" w:rsidRPr="007D162C" w:rsidRDefault="006564D5" w:rsidP="00C17787">
            <w:r w:rsidRPr="007D162C">
              <w:t>Regulatory</w:t>
            </w:r>
          </w:p>
        </w:tc>
        <w:tc>
          <w:tcPr>
            <w:tcW w:w="1275" w:type="dxa"/>
            <w:vAlign w:val="center"/>
          </w:tcPr>
          <w:p w14:paraId="254018CA"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97.7</w:t>
            </w:r>
          </w:p>
        </w:tc>
        <w:tc>
          <w:tcPr>
            <w:tcW w:w="1701" w:type="dxa"/>
            <w:vAlign w:val="center"/>
          </w:tcPr>
          <w:p w14:paraId="2703C325"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vAlign w:val="center"/>
          </w:tcPr>
          <w:p w14:paraId="56621A0A"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46.0</w:t>
            </w:r>
          </w:p>
        </w:tc>
        <w:tc>
          <w:tcPr>
            <w:tcW w:w="1701" w:type="dxa"/>
            <w:vAlign w:val="center"/>
          </w:tcPr>
          <w:p w14:paraId="0C8DC2EF"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46.0</w:t>
            </w:r>
          </w:p>
        </w:tc>
        <w:tc>
          <w:tcPr>
            <w:tcW w:w="1075" w:type="dxa"/>
            <w:vAlign w:val="center"/>
          </w:tcPr>
          <w:p w14:paraId="357C015F" w14:textId="77777777" w:rsidR="006564D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2.12</w:t>
            </w:r>
          </w:p>
        </w:tc>
      </w:tr>
    </w:tbl>
    <w:p w14:paraId="44A805D9" w14:textId="77777777" w:rsidR="006564D5" w:rsidRPr="007D162C" w:rsidRDefault="006564D5" w:rsidP="006564D5">
      <w:pPr>
        <w:spacing w:before="120" w:after="0"/>
        <w:rPr>
          <w:sz w:val="20"/>
          <w:szCs w:val="20"/>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CF53390" w14:textId="77777777" w:rsidR="00C1541A"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65C8246E" w14:textId="77777777" w:rsidR="00BE1B2C" w:rsidRPr="007D162C" w:rsidRDefault="00BE1B2C" w:rsidP="00BE1B2C">
      <w:pPr>
        <w:spacing w:before="120" w:after="0"/>
        <w:rPr>
          <w:sz w:val="20"/>
          <w:szCs w:val="20"/>
        </w:rPr>
      </w:pPr>
    </w:p>
    <w:p w14:paraId="4A2A7962" w14:textId="77777777" w:rsidR="006564D5" w:rsidRPr="007D162C" w:rsidRDefault="006564D5" w:rsidP="006564D5">
      <w:pPr>
        <w:pStyle w:val="Heading6"/>
      </w:pPr>
      <w:r w:rsidRPr="007D162C">
        <w:t>Considerations to note in interpreting analysis</w:t>
      </w:r>
    </w:p>
    <w:p w14:paraId="5A7F943E" w14:textId="77777777" w:rsidR="006564D5" w:rsidRPr="007D162C" w:rsidRDefault="006564D5" w:rsidP="00C1541A">
      <w:pPr>
        <w:pStyle w:val="Heading7"/>
      </w:pPr>
      <w:r w:rsidRPr="007D162C">
        <w:t>Limitations</w:t>
      </w:r>
    </w:p>
    <w:p w14:paraId="6B670116" w14:textId="77777777" w:rsidR="006564D5" w:rsidRPr="007D162C" w:rsidRDefault="006564D5" w:rsidP="00105D34">
      <w:pPr>
        <w:pStyle w:val="Heading8"/>
      </w:pPr>
      <w:r w:rsidRPr="007D162C">
        <w:t>Non-regulatory</w:t>
      </w:r>
    </w:p>
    <w:p w14:paraId="69A19EC7" w14:textId="77777777" w:rsidR="00C1541A" w:rsidRPr="007D162C" w:rsidRDefault="006564D5" w:rsidP="006564D5">
      <w:r w:rsidRPr="007D162C">
        <w:t>The costs and benefits associated with the non-regulatory reform are lower than its regulatory counterpart reflecting an assumed lower rate of compliance with the reform. An estimated rate of uptake of 15% was applied to the non-regulatory option based on the high cost and complexity of fully implementing the guidance, and submissions from public transport operators and providers with mixed support for implementation. This implies that the benefits and costs quantified for this non-regulatory reform may not reflect future take-up of the reform.</w:t>
      </w:r>
    </w:p>
    <w:p w14:paraId="785526CF" w14:textId="77777777" w:rsidR="006564D5" w:rsidRPr="007D162C" w:rsidRDefault="006564D5" w:rsidP="00105D34">
      <w:pPr>
        <w:pStyle w:val="Heading8"/>
      </w:pPr>
      <w:r w:rsidRPr="007D162C">
        <w:t>Regulatory</w:t>
      </w:r>
    </w:p>
    <w:p w14:paraId="75BED054" w14:textId="77777777" w:rsidR="00C1541A" w:rsidRPr="007D162C" w:rsidRDefault="006564D5" w:rsidP="006564D5">
      <w:r w:rsidRPr="007D162C">
        <w:t>The benefits and costs for this reform were estimated based on survey data and publicly available data, proxied at a national level. This means that the differences in compliance rates between jurisdictions may not be reflected in the results.</w:t>
      </w:r>
    </w:p>
    <w:p w14:paraId="344B0D8B" w14:textId="77777777" w:rsidR="006564D5" w:rsidRPr="007D162C" w:rsidRDefault="006564D5" w:rsidP="00105D34">
      <w:pPr>
        <w:pStyle w:val="Heading8"/>
      </w:pPr>
      <w:r w:rsidRPr="007D162C">
        <w:t>Interdependencies</w:t>
      </w:r>
    </w:p>
    <w:p w14:paraId="3E535E0B" w14:textId="77777777" w:rsidR="00C1541A" w:rsidRPr="007D162C" w:rsidRDefault="08D050C4" w:rsidP="00C1541A">
      <w:r w:rsidRPr="007D162C">
        <w:t>This is an enabling reform providing access to timely information and, when not available, access to staff should improve the ease of access to use public transport services. The accessibility benefits of this reform will only be realised if there was equitable access across the whole public transport journey, with benefits reliant on implementation of other reforms such as better communication of accessibility features and infrastructure related reforms.</w:t>
      </w:r>
    </w:p>
    <w:p w14:paraId="1F4BAFF4" w14:textId="77777777" w:rsidR="006564D5" w:rsidRPr="007D162C" w:rsidRDefault="006564D5" w:rsidP="00C1541A">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35A9E2F5" w14:textId="77777777" w:rsidR="00C1541A" w:rsidRPr="007D162C" w:rsidRDefault="006564D5" w:rsidP="006564D5">
      <w:r w:rsidRPr="007D162C">
        <w:t>The following categories of qualitative benefits were identified in the CBA as pertaining to the reform options.</w:t>
      </w:r>
    </w:p>
    <w:p w14:paraId="51615F39" w14:textId="297D6967" w:rsidR="006564D5" w:rsidRPr="007D162C" w:rsidRDefault="006564D5" w:rsidP="00C1541A">
      <w:pPr>
        <w:pStyle w:val="Tablefigureheading"/>
      </w:pPr>
      <w:bookmarkStart w:id="234" w:name="_Toc139969184"/>
      <w:r w:rsidRPr="007D162C">
        <w:t xml:space="preserve">Table </w:t>
      </w:r>
      <w:fldSimple w:instr=" SEQ Table \* ARABIC ">
        <w:r w:rsidR="00DC26AC">
          <w:rPr>
            <w:noProof/>
          </w:rPr>
          <w:t>26</w:t>
        </w:r>
      </w:fldSimple>
      <w:r w:rsidRPr="007D162C">
        <w:rPr>
          <w:noProof/>
        </w:rPr>
        <w:t xml:space="preserve">: </w:t>
      </w:r>
      <w:r w:rsidRPr="007D162C">
        <w:t xml:space="preserve">Qualitative benefits for </w:t>
      </w:r>
      <w:r w:rsidR="00754992" w:rsidRPr="007D162C">
        <w:t>R</w:t>
      </w:r>
      <w:r w:rsidRPr="007D162C">
        <w:t>eal time communication</w:t>
      </w:r>
      <w:bookmarkEnd w:id="234"/>
    </w:p>
    <w:tbl>
      <w:tblPr>
        <w:tblStyle w:val="DefaultTable1"/>
        <w:tblW w:w="9864" w:type="dxa"/>
        <w:tblLook w:val="04A0" w:firstRow="1" w:lastRow="0" w:firstColumn="1" w:lastColumn="0" w:noHBand="0" w:noVBand="1"/>
        <w:tblCaption w:val="Qualitative benefits for real time communication"/>
      </w:tblPr>
      <w:tblGrid>
        <w:gridCol w:w="1213"/>
        <w:gridCol w:w="1343"/>
        <w:gridCol w:w="1626"/>
        <w:gridCol w:w="1300"/>
        <w:gridCol w:w="1278"/>
        <w:gridCol w:w="1641"/>
        <w:gridCol w:w="1463"/>
      </w:tblGrid>
      <w:tr w:rsidR="006564D5" w:rsidRPr="007D162C" w14:paraId="258ECC7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F8EEC7F" w14:textId="77777777" w:rsidR="006564D5" w:rsidRPr="007D162C" w:rsidRDefault="08D050C4" w:rsidP="00C17787">
            <w:r w:rsidRPr="007D162C">
              <w:t>Reform Option</w:t>
            </w:r>
          </w:p>
        </w:tc>
        <w:tc>
          <w:tcPr>
            <w:tcW w:w="1343" w:type="dxa"/>
          </w:tcPr>
          <w:p w14:paraId="49137A7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B4DCECC"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30317FD"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8BC215F"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45918E6"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91CEBCC" w14:textId="77777777" w:rsidR="006564D5"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564D5" w:rsidRPr="007D162C" w14:paraId="3338A6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2461B5C" w14:textId="77777777" w:rsidR="006564D5" w:rsidRPr="007D162C" w:rsidRDefault="006564D5" w:rsidP="00C17787">
            <w:r w:rsidRPr="007D162C">
              <w:t>Status Quo</w:t>
            </w:r>
          </w:p>
        </w:tc>
        <w:tc>
          <w:tcPr>
            <w:tcW w:w="1343" w:type="dxa"/>
          </w:tcPr>
          <w:p w14:paraId="0694927C"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0CC44E7B"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62037755"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3A05EFFD"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10D49D45"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7A22A2C"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6564D5" w:rsidRPr="007D162C" w14:paraId="23665ED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F496EFE" w14:textId="77777777" w:rsidR="006564D5" w:rsidRPr="007D162C" w:rsidRDefault="006564D5" w:rsidP="00C17787">
            <w:r w:rsidRPr="007D162C">
              <w:t xml:space="preserve">Non-regulatory </w:t>
            </w:r>
          </w:p>
        </w:tc>
        <w:tc>
          <w:tcPr>
            <w:tcW w:w="1343" w:type="dxa"/>
          </w:tcPr>
          <w:p w14:paraId="5F33D28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221419D" w14:textId="77777777" w:rsidR="006564D5" w:rsidRPr="007D162C" w:rsidRDefault="006564D5"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0DF0E6F"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8398F76"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5341AB96"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19606DF0" w14:textId="77777777" w:rsidR="006564D5"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6564D5" w:rsidRPr="007D162C" w14:paraId="22469AF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952137C" w14:textId="77777777" w:rsidR="006564D5" w:rsidRPr="007D162C" w:rsidRDefault="006564D5" w:rsidP="00C17787">
            <w:r w:rsidRPr="007D162C">
              <w:t>Regulatory</w:t>
            </w:r>
          </w:p>
        </w:tc>
        <w:tc>
          <w:tcPr>
            <w:tcW w:w="1343" w:type="dxa"/>
          </w:tcPr>
          <w:p w14:paraId="4CC255A9"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65D1786" w14:textId="77777777" w:rsidR="006564D5" w:rsidRPr="007D162C" w:rsidRDefault="006564D5"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C5C556F"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D46506E"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5D883BEA"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4E6F6370" w14:textId="77777777" w:rsidR="006564D5"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09B33F43" w14:textId="77777777" w:rsidR="00C1541A" w:rsidRPr="007D162C" w:rsidRDefault="00C1541A" w:rsidP="00C1541A"/>
    <w:p w14:paraId="3C8E9ECB" w14:textId="77777777" w:rsidR="006564D5" w:rsidRPr="007D162C" w:rsidRDefault="006564D5" w:rsidP="006564D5">
      <w:pPr>
        <w:pStyle w:val="Heading4"/>
        <w:tabs>
          <w:tab w:val="left" w:pos="284"/>
        </w:tabs>
      </w:pPr>
      <w:r w:rsidRPr="007D162C">
        <w:lastRenderedPageBreak/>
        <w:t xml:space="preserve">Analysis of submissions </w:t>
      </w:r>
    </w:p>
    <w:p w14:paraId="466EA717" w14:textId="77777777" w:rsidR="006564D5" w:rsidRPr="007D162C" w:rsidRDefault="006564D5" w:rsidP="006564D5">
      <w:pPr>
        <w:pStyle w:val="Heading5"/>
      </w:pPr>
      <w:r w:rsidRPr="007D162C">
        <w:t>Status quo</w:t>
      </w:r>
    </w:p>
    <w:p w14:paraId="1E0CF2ED" w14:textId="77777777" w:rsidR="006564D5" w:rsidRPr="007D162C" w:rsidRDefault="006564D5" w:rsidP="006564D5">
      <w:r w:rsidRPr="007D162C">
        <w:t xml:space="preserve">Section 27.1 of the Transport Standards requires that general information about transport services must be accessible to all passengers. Maintaining the status quo would not introduce additional requirements for real time communication with passengers before, during and after alighting a public transport conveyance. </w:t>
      </w:r>
    </w:p>
    <w:p w14:paraId="71D03234" w14:textId="77777777" w:rsidR="006564D5" w:rsidRPr="007D162C" w:rsidRDefault="08D050C4" w:rsidP="006564D5">
      <w:r w:rsidRPr="007D162C">
        <w:t>Submissions from individuals, people with disability and disability organisations identified in their submissions that this may lead to situations where passengers who have accessibility needs or who require specific information are unable to communicate with staff or exchange information in real-time with transport operators or providers. This may result in people with disability being unable to receive information in real-time, imposing a barrier to using public transport.</w:t>
      </w:r>
    </w:p>
    <w:p w14:paraId="5B22F95D" w14:textId="77777777" w:rsidR="006564D5" w:rsidRPr="007D162C" w:rsidRDefault="006564D5" w:rsidP="006564D5">
      <w:pPr>
        <w:pStyle w:val="Quote"/>
      </w:pPr>
      <w:r w:rsidRPr="007D162C">
        <w:t>The importance of any stage of the journey will vary depending on the passenger’s disability. For example, people with vision impairment must be able to hail their bus or know that the train pulling in is their service. Equally they must be able to know that their intended stop has been reached. People with mobility impairments who need assistance to board or alight must be able to communicate this.</w:t>
      </w:r>
    </w:p>
    <w:p w14:paraId="67C54404" w14:textId="77777777" w:rsidR="006564D5" w:rsidRPr="007D162C" w:rsidRDefault="006564D5" w:rsidP="006564D5">
      <w:pPr>
        <w:pStyle w:val="Quote"/>
      </w:pPr>
      <w:r w:rsidRPr="007D162C">
        <w:t>Queenslanders with Disability Network</w:t>
      </w:r>
    </w:p>
    <w:p w14:paraId="15CF487D" w14:textId="77777777" w:rsidR="006564D5" w:rsidRPr="007D162C" w:rsidRDefault="08D050C4" w:rsidP="006564D5">
      <w:r w:rsidRPr="007D162C">
        <w:t xml:space="preserve">Submissions from industry and government noted that service-related information is generally provided in multiple formats to ensure passengers with varying needs have access to the same level of information. For this reason, four submissions disagreed with the issue statement presented in the Consultation RIS and argued that current provisions in the Transport Standards adequately support effective communication of information to passengers during their journey, through numerous mechanisms including help points, websites, maps and information centres. Two submissions from operators and providers preferred continuation of the status quo, stating that the regulatory option would introduce additional regulatory burden that would not guarantee improved accessibility outcomes. </w:t>
      </w:r>
    </w:p>
    <w:p w14:paraId="4C1CA0A0" w14:textId="77777777" w:rsidR="006564D5" w:rsidRPr="007D162C" w:rsidRDefault="006564D5" w:rsidP="006564D5">
      <w:r w:rsidRPr="007D162C">
        <w:t>Maintaining status quo would incur no additional costs for public transports operators and providers.</w:t>
      </w:r>
    </w:p>
    <w:p w14:paraId="014B0354" w14:textId="77777777" w:rsidR="006564D5" w:rsidRPr="007D162C" w:rsidRDefault="006564D5" w:rsidP="006564D5">
      <w:pPr>
        <w:pStyle w:val="Heading5"/>
      </w:pPr>
      <w:r w:rsidRPr="007D162C">
        <w:t>Non-regulatory</w:t>
      </w:r>
    </w:p>
    <w:p w14:paraId="35CB61E4" w14:textId="77777777" w:rsidR="006564D5" w:rsidRPr="007D162C" w:rsidRDefault="006564D5" w:rsidP="006564D5">
      <w:r w:rsidRPr="007D162C">
        <w:t xml:space="preserve">The majority of submissions from industry and government noted that in their experience, passengers can already access real time information about their journey through a variety of platforms, including via intercoms, digital displays, mobile applications and direct assistance. To supplement existing practices, these submissions supported the provision of additional guidance material through the non-regulatory option. The non-regulatory option was noted as providing flexibility to accommodate new technology, and support the broad range of systems and service types deployed across public transport networks.  </w:t>
      </w:r>
    </w:p>
    <w:p w14:paraId="56774065" w14:textId="77777777" w:rsidR="006564D5" w:rsidRPr="007D162C" w:rsidRDefault="006564D5" w:rsidP="006564D5">
      <w:pPr>
        <w:pStyle w:val="Quote"/>
      </w:pPr>
      <w:r w:rsidRPr="007D162C">
        <w:t>Improvements to the status quo is supported, however, consideration needs to be given to the fact that no one-size solution will fit all circumstances.</w:t>
      </w:r>
    </w:p>
    <w:p w14:paraId="37EE3C75" w14:textId="77777777" w:rsidR="006564D5" w:rsidRPr="007D162C" w:rsidRDefault="006564D5" w:rsidP="006564D5">
      <w:pPr>
        <w:pStyle w:val="Quote"/>
      </w:pPr>
      <w:r w:rsidRPr="007D162C">
        <w:t>Brisbane City Council</w:t>
      </w:r>
    </w:p>
    <w:p w14:paraId="49921F35" w14:textId="77777777" w:rsidR="006564D5" w:rsidRPr="007D162C" w:rsidRDefault="08D050C4" w:rsidP="006564D5">
      <w:r w:rsidRPr="007D162C">
        <w:t xml:space="preserve">Three submissions from industry and government noted that whilst the proposed regulatory requirements may be achievable for large organisations, in many cases new prescriptive requirements would disproportionately impact smaller operators and providers, and would be highly complex to implement. Similarly, some submissions noted that in some circumstances, it is impracticable to implement provisions where passengers can communicate with service providers before and after a public transport journey – for example, at bus stops. Additionally, these submissions noted that there are practical limitations that impact the ability for the regulatory proposal to be fully implemented. This includes the operating environments of infrastructure such as bus stops, where real time communications technology may not be readily deployed. Likewise, a number of implementation challenges were identified in submissions from industry and government, including the diverse origins of information and poorly delineated lines of responsibility across public transport networks, diverse operating environments and additional upgrade costs. </w:t>
      </w:r>
    </w:p>
    <w:p w14:paraId="05C411C5" w14:textId="77777777" w:rsidR="006564D5" w:rsidRPr="007D162C" w:rsidRDefault="006564D5" w:rsidP="006564D5">
      <w:r w:rsidRPr="007D162C">
        <w:lastRenderedPageBreak/>
        <w:t>To support operators and providers to communicate in real time with passengers with disability, one submission from government advocated for additional guidance to be provided including a matrix specifying potential communication mechanisms and the suitability of these methods to support distinct types of disability.</w:t>
      </w:r>
    </w:p>
    <w:p w14:paraId="4DEA5A0E" w14:textId="77777777" w:rsidR="006564D5" w:rsidRPr="007D162C" w:rsidRDefault="006564D5" w:rsidP="006564D5">
      <w:pPr>
        <w:pStyle w:val="Heading5"/>
      </w:pPr>
      <w:r w:rsidRPr="007D162C">
        <w:t>Regulatory</w:t>
      </w:r>
    </w:p>
    <w:p w14:paraId="328D9A5C" w14:textId="77777777" w:rsidR="006564D5" w:rsidRPr="007D162C" w:rsidRDefault="08D050C4" w:rsidP="006564D5">
      <w:r w:rsidRPr="007D162C">
        <w:t xml:space="preserve">Submissions from individuals, people with disability and disability organisations identified that the Transport Standards do not currently require real time communication between operators and providers and people with disability, and in certain cases, this may result in a discriminatory situation where people with disability are unable to access the necessary information to complete their journey safely and with confidence. Currently, the provision of information in real time varies between jurisdictions and transport networks. The majority of submissions from these stakeholders agreed that all points of a public transport journey require real time communication to support passengers, for example, to hail the correct bus service or disembark at the correct location. </w:t>
      </w:r>
    </w:p>
    <w:p w14:paraId="7D679C00" w14:textId="77777777" w:rsidR="006564D5" w:rsidRPr="007D162C" w:rsidRDefault="006564D5" w:rsidP="006564D5">
      <w:pPr>
        <w:rPr>
          <w:rFonts w:ascii="Calibri" w:eastAsia="Times New Roman" w:hAnsi="Calibri" w:cs="Times New Roman"/>
          <w:b/>
          <w:color w:val="49515C"/>
          <w:sz w:val="26"/>
          <w:szCs w:val="26"/>
        </w:rPr>
      </w:pPr>
      <w:r w:rsidRPr="007D162C">
        <w:t xml:space="preserve">In their submission, the Public Transport Ombudsman of Victoria noted that they regularly receive complaints regarding a failure to provide real time communication or to respond to a consumer’s request for information in real time. Submissions from the disability sector argued that regulatory reform is required to ensure consistency across services and to produce tangible benefits to amenity, convenience, equality and safety of passengers with disability. Like other reform areas involving information and communication, the use of co-design processes to design communications policies and practices was identified as crucial. One submission from an individual noted that this would particularly beneficial in cases of service disruption. </w:t>
      </w:r>
    </w:p>
    <w:p w14:paraId="0AD8B160" w14:textId="006919F1" w:rsidR="006564D5" w:rsidRPr="007D162C" w:rsidRDefault="006564D5" w:rsidP="006564D5">
      <w:r w:rsidRPr="007D162C">
        <w:t>There was broad agreement among all stakeholder groups that most of the necessary technology to support the regulatory proposal is either in use already, or could be implemented on conveyances and at infrastructure. In cases where technology has already been deployed, an individual shared that their confidence has increased. However, these functions are not always used or deployed effectively. For example, buses equipped with GPS systems that alert passengers to the next stop, but have the speaker turned down to an inaudible level. Similarly, one submission noted that the systems and practices used to communicate real time information may not be accessible to all passengers, such as people with intellectual disability, and consideration should be given to how information is presented.</w:t>
      </w:r>
    </w:p>
    <w:p w14:paraId="36196FA4" w14:textId="77777777" w:rsidR="006564D5" w:rsidRPr="007D162C" w:rsidRDefault="006564D5" w:rsidP="006564D5">
      <w:pPr>
        <w:pStyle w:val="Quote"/>
      </w:pPr>
      <w:r w:rsidRPr="007D162C">
        <w:t>Real-time communication is often difficult for people with intellectual disability to understand. Real-time communication includes passenger information displays, audio announcements and signage. Unless real-time information is clear and uses easy to understand language, it will not be accessible for people with intellectual disability.</w:t>
      </w:r>
    </w:p>
    <w:p w14:paraId="08DCB029" w14:textId="77777777" w:rsidR="006564D5" w:rsidRPr="007D162C" w:rsidRDefault="006564D5" w:rsidP="006564D5">
      <w:pPr>
        <w:pStyle w:val="Quote"/>
      </w:pPr>
      <w:r w:rsidRPr="007D162C">
        <w:t>Council for Intellectual Disability</w:t>
      </w:r>
    </w:p>
    <w:p w14:paraId="155ED69C" w14:textId="2468DAB9" w:rsidR="006564D5" w:rsidRPr="007D162C" w:rsidRDefault="006564D5" w:rsidP="006564D5">
      <w:r w:rsidRPr="007D162C">
        <w:t xml:space="preserve">Three submissions from government, although supportive of the regulatory proposal in principle, suggested that amendments are required to reflect the practical operating environment of public transport services. One submission suggested that the proposed regulatory amendments fail to distinguish between general real time service related information and information related to individual customer help or assistance. To address this concern, the submission proposed amending the content of Section 27.1 to include provisions for real time communication of updates to service information during disruptions and events. The submission also noted implementation challenges associated with the proposed regulatory amendments, including the need for additional staff, expansion of help </w:t>
      </w:r>
      <w:r w:rsidR="00C1541A" w:rsidRPr="007D162C">
        <w:t>points</w:t>
      </w:r>
      <w:r w:rsidRPr="007D162C">
        <w:t xml:space="preserve"> arrangements and overall greater capital costs. A number of submissions from industry and government noted that although real time communication technology is available, it is not practical to install at all locations – for example, bus stops – and there is an important role for direct assistance provisions.</w:t>
      </w:r>
    </w:p>
    <w:p w14:paraId="725BDD9C" w14:textId="77777777" w:rsidR="006564D5" w:rsidRPr="007D162C" w:rsidRDefault="08D050C4" w:rsidP="006564D5">
      <w:r w:rsidRPr="007D162C">
        <w:t>To support the implementation of new requirements for real time communication, one submission from government stated that additional staff training must also be provided, including for staff who do not have regular direct face-to-face interactions with customers, but may be involved in the distribution of information – such as control centres.</w:t>
      </w:r>
    </w:p>
    <w:p w14:paraId="495199B0" w14:textId="77777777" w:rsidR="006564D5" w:rsidRPr="007D162C" w:rsidRDefault="006564D5" w:rsidP="006564D5">
      <w:pPr>
        <w:pStyle w:val="Heading5"/>
        <w:rPr>
          <w:iCs/>
        </w:rPr>
      </w:pPr>
      <w:r w:rsidRPr="007D162C">
        <w:lastRenderedPageBreak/>
        <w:t>Preferred option</w:t>
      </w:r>
    </w:p>
    <w:p w14:paraId="5A81E40E" w14:textId="77777777" w:rsidR="006564D5" w:rsidRPr="007D162C" w:rsidRDefault="006564D5" w:rsidP="006564D5">
      <w:r w:rsidRPr="007D162C">
        <w:t xml:space="preserve">Informed by the outcomes of consultation, impacts, cost and outcomes analysis above, the preferred option is the </w:t>
      </w:r>
      <w:r w:rsidRPr="007D162C">
        <w:rPr>
          <w:b/>
        </w:rPr>
        <w:t>non-regulatory option.</w:t>
      </w:r>
    </w:p>
    <w:p w14:paraId="4416D53D" w14:textId="77777777" w:rsidR="006564D5" w:rsidRPr="007D162C" w:rsidRDefault="006564D5" w:rsidP="006564D5">
      <w:r w:rsidRPr="007D162C">
        <w:t xml:space="preserve">The use of real time communications technology was well supported across all stakeholder groups to support safe and equitable public transport journeys for people with disability. Stakeholders from both industry and the disability sector highlighted examples of where this technology has been successfully deployed to support the distribution of real time information in multiple formats. </w:t>
      </w:r>
    </w:p>
    <w:p w14:paraId="3AFF4B12" w14:textId="77777777" w:rsidR="006564D5" w:rsidRPr="007D162C" w:rsidRDefault="006564D5" w:rsidP="006564D5">
      <w:r w:rsidRPr="007D162C">
        <w:t>Although supportive of improving accessible information provision, the majority of submissions from industry and government noted the prescriptive requirements proposed in the regulatory option may not be feasible to implement in all operating environments due to practical barriers and consequently highlighted the need for flexibility. Although the regulatory option may provide a greater level of certainty and consistency to improve accessibility, these barriers may limit the overall benefit and effectiveness of the regulatory option. In cases where it is practical to install real time communications systems, this will be encouraged as best practice through new guidance material, and other reforms relating to accessible information provision.</w:t>
      </w:r>
    </w:p>
    <w:p w14:paraId="6EEFB712" w14:textId="77777777" w:rsidR="00BE1B2C" w:rsidRPr="007D162C" w:rsidRDefault="006564D5" w:rsidP="006564D5">
      <w:r w:rsidRPr="007D162C">
        <w:t>The preferred option will be implemented through inclusion in a revised Whole Journey Guide.</w:t>
      </w:r>
    </w:p>
    <w:p w14:paraId="7D4F1CF4" w14:textId="77777777" w:rsidR="00BE1B2C" w:rsidRPr="007D162C" w:rsidRDefault="00BE1B2C" w:rsidP="00BE1B2C">
      <w:r w:rsidRPr="007D162C">
        <w:br w:type="page"/>
      </w:r>
    </w:p>
    <w:p w14:paraId="5F16C0BD" w14:textId="27B7D080" w:rsidR="00BE1B2C" w:rsidRPr="007D162C" w:rsidRDefault="00BE1B2C" w:rsidP="005D5D77">
      <w:pPr>
        <w:pStyle w:val="Heading2"/>
        <w:numPr>
          <w:ilvl w:val="0"/>
          <w:numId w:val="26"/>
        </w:numPr>
        <w:ind w:hanging="720"/>
      </w:pPr>
      <w:bookmarkStart w:id="235" w:name="_Toc127351757"/>
      <w:bookmarkStart w:id="236" w:name="_Toc140239715"/>
      <w:r w:rsidRPr="007D162C">
        <w:lastRenderedPageBreak/>
        <w:t>Passenger location during journey</w:t>
      </w:r>
      <w:bookmarkEnd w:id="235"/>
      <w:bookmarkEnd w:id="236"/>
    </w:p>
    <w:p w14:paraId="06ECF57F" w14:textId="77777777" w:rsidR="00BE1B2C" w:rsidRPr="007D162C" w:rsidRDefault="00BE1B2C" w:rsidP="00BE1B2C">
      <w:pPr>
        <w:pStyle w:val="Heading4"/>
        <w:tabs>
          <w:tab w:val="left" w:pos="284"/>
        </w:tabs>
      </w:pPr>
      <w:r w:rsidRPr="007D162C">
        <w:t>Issue</w:t>
      </w:r>
    </w:p>
    <w:p w14:paraId="4B92ACA7" w14:textId="5A597DE3" w:rsidR="00BE1B2C" w:rsidRPr="007D162C" w:rsidRDefault="00BE1B2C" w:rsidP="00BE1B2C">
      <w:r w:rsidRPr="007D162C">
        <w:t xml:space="preserve">Section 27.4 </w:t>
      </w:r>
      <w:r w:rsidR="000367FA">
        <w:t xml:space="preserve">of the </w:t>
      </w:r>
      <w:r w:rsidRPr="007D162C">
        <w:t>Transport Standards requires all passengers to be given the same level of access to information on their whereabouts during a public transport journey</w:t>
      </w:r>
      <w:r w:rsidR="000367FA">
        <w:t>;</w:t>
      </w:r>
      <w:r w:rsidRPr="007D162C">
        <w:t xml:space="preserve"> however</w:t>
      </w:r>
      <w:r w:rsidR="000367FA">
        <w:t>,</w:t>
      </w:r>
      <w:r w:rsidRPr="007D162C">
        <w:t xml:space="preserve"> it does not specify where and how visual and audio information must be presented to support the varying needs of people with disability. Operators and providers may provide multi</w:t>
      </w:r>
      <w:r w:rsidR="000367FA">
        <w:t>-</w:t>
      </w:r>
      <w:r w:rsidRPr="007D162C">
        <w:t>format information, such as signs at stops, on-board announcements, assisted listening systems, and mobile technology to provide location information, however not all of these formats are accessible to people with disability. An inability to receive arrival and next stop information may cause distress for people with disability, particularly those with hearing or vision impairment.</w:t>
      </w:r>
    </w:p>
    <w:p w14:paraId="54F66041" w14:textId="77777777" w:rsidR="00BE1B2C" w:rsidRPr="007D162C" w:rsidRDefault="00BE1B2C" w:rsidP="00BE1B2C">
      <w:r w:rsidRPr="007D162C">
        <w:t>Collective government action would introduce requirements for the communication of location-specific information during a public transport journey and address key stakeholder issues raised through the Transport Standards review process.</w:t>
      </w:r>
    </w:p>
    <w:p w14:paraId="0AD77270" w14:textId="77777777" w:rsidR="00BE1B2C" w:rsidRPr="007D162C" w:rsidRDefault="00BE1B2C" w:rsidP="00BE1B2C">
      <w:pPr>
        <w:pStyle w:val="Heading4"/>
        <w:tabs>
          <w:tab w:val="left" w:pos="284"/>
        </w:tabs>
      </w:pPr>
      <w:r w:rsidRPr="007D162C">
        <w:t>Reform options</w:t>
      </w:r>
    </w:p>
    <w:p w14:paraId="064DD77B" w14:textId="77777777" w:rsidR="00BE1B2C" w:rsidRPr="007D162C" w:rsidRDefault="00BE1B2C" w:rsidP="00BE1B2C">
      <w:pPr>
        <w:tabs>
          <w:tab w:val="left" w:pos="284"/>
        </w:tabs>
      </w:pPr>
      <w:r w:rsidRPr="007D162C">
        <w:t>Following is a summary of the proposed options for this reform. Full details of each reform option is provided at Appendix A.</w:t>
      </w:r>
    </w:p>
    <w:p w14:paraId="73504446" w14:textId="5ECBC030" w:rsidR="00BE1B2C" w:rsidRPr="007D162C" w:rsidRDefault="00BE1B2C" w:rsidP="00BE1B2C">
      <w:pPr>
        <w:pStyle w:val="Tablefigureheading"/>
      </w:pPr>
      <w:bookmarkStart w:id="237" w:name="_Toc122446335"/>
      <w:bookmarkStart w:id="238" w:name="_Toc139969185"/>
      <w:r w:rsidRPr="007D162C">
        <w:t xml:space="preserve">Table </w:t>
      </w:r>
      <w:fldSimple w:instr=" SEQ Table \* ARABIC ">
        <w:r w:rsidR="00DC26AC">
          <w:rPr>
            <w:noProof/>
          </w:rPr>
          <w:t>27</w:t>
        </w:r>
      </w:fldSimple>
      <w:r w:rsidRPr="007D162C">
        <w:rPr>
          <w:noProof/>
        </w:rPr>
        <w:t>:</w:t>
      </w:r>
      <w:r w:rsidRPr="007D162C">
        <w:t xml:space="preserve"> Reform options for </w:t>
      </w:r>
      <w:r w:rsidR="00754992" w:rsidRPr="007D162C">
        <w:t>P</w:t>
      </w:r>
      <w:r w:rsidRPr="007D162C">
        <w:t>assenger location during journey</w:t>
      </w:r>
      <w:bookmarkEnd w:id="237"/>
      <w:bookmarkEnd w:id="238"/>
    </w:p>
    <w:tbl>
      <w:tblPr>
        <w:tblStyle w:val="DefaultTable1"/>
        <w:tblW w:w="9072" w:type="dxa"/>
        <w:tblLook w:val="04A0" w:firstRow="1" w:lastRow="0" w:firstColumn="1" w:lastColumn="0" w:noHBand="0" w:noVBand="1"/>
        <w:tblCaption w:val="Reform options for passenger location during journey"/>
        <w:tblDescription w:val="This table provides a description of each of the options for this reform area. Status quo, non-regulatory and regulatory."/>
      </w:tblPr>
      <w:tblGrid>
        <w:gridCol w:w="2232"/>
        <w:gridCol w:w="6840"/>
      </w:tblGrid>
      <w:tr w:rsidR="00BE1B2C" w:rsidRPr="007D162C" w14:paraId="54A6188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9583347" w14:textId="77777777" w:rsidR="00BE1B2C" w:rsidRPr="007D162C" w:rsidRDefault="00BE1B2C" w:rsidP="00C17787">
            <w:r w:rsidRPr="007D162C">
              <w:t>Option</w:t>
            </w:r>
          </w:p>
        </w:tc>
        <w:tc>
          <w:tcPr>
            <w:tcW w:w="6840" w:type="dxa"/>
          </w:tcPr>
          <w:p w14:paraId="77B422C0" w14:textId="77777777" w:rsidR="00BE1B2C" w:rsidRPr="007D162C" w:rsidRDefault="00BE1B2C"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BE1B2C" w:rsidRPr="007D162C" w14:paraId="5B1C5E5F"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308121F" w14:textId="77777777" w:rsidR="00BE1B2C" w:rsidRPr="007D162C" w:rsidRDefault="00BE1B2C" w:rsidP="00C17787">
            <w:r w:rsidRPr="007D162C">
              <w:t>Status Quo</w:t>
            </w:r>
          </w:p>
        </w:tc>
        <w:tc>
          <w:tcPr>
            <w:tcW w:w="6840" w:type="dxa"/>
          </w:tcPr>
          <w:p w14:paraId="67ABD446" w14:textId="151663B0"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provide requirements to ensure all passengers are given the same level of access to information on their whereabouts during a public transport journey, however w</w:t>
            </w:r>
            <w:r w:rsidR="000367FA">
              <w:t>ould</w:t>
            </w:r>
            <w:r w:rsidRPr="007D162C">
              <w:t xml:space="preserve"> remain silent on specifications for where and how visual and audio information is presented.</w:t>
            </w:r>
          </w:p>
          <w:p w14:paraId="45FB774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E1B2C" w:rsidRPr="007D162C" w14:paraId="0AE1674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6A5D5274" w14:textId="77777777" w:rsidR="00BE1B2C" w:rsidRPr="007D162C" w:rsidRDefault="00BE1B2C" w:rsidP="00C17787">
            <w:r w:rsidRPr="007D162C">
              <w:t>Non-regulatory</w:t>
            </w:r>
          </w:p>
        </w:tc>
        <w:tc>
          <w:tcPr>
            <w:tcW w:w="6840" w:type="dxa"/>
          </w:tcPr>
          <w:p w14:paraId="19311438"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provide information in multiple formats, including via direct assistance in a timely manner, allowing time for a person to respond and successfully alight.</w:t>
            </w:r>
          </w:p>
        </w:tc>
      </w:tr>
      <w:tr w:rsidR="00BE1B2C" w:rsidRPr="007D162C" w14:paraId="4279863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444252E" w14:textId="77777777" w:rsidR="00BE1B2C" w:rsidRPr="007D162C" w:rsidRDefault="00BE1B2C" w:rsidP="00C17787">
            <w:r w:rsidRPr="007D162C">
              <w:t>Regulatory</w:t>
            </w:r>
          </w:p>
        </w:tc>
        <w:tc>
          <w:tcPr>
            <w:tcW w:w="6840" w:type="dxa"/>
          </w:tcPr>
          <w:p w14:paraId="4552F807"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w:t>
            </w:r>
          </w:p>
          <w:p w14:paraId="1B0205B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the visibility of visual information display of next stop </w:t>
            </w:r>
          </w:p>
          <w:p w14:paraId="37A27A9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provision of audio announcements of next stop</w:t>
            </w:r>
          </w:p>
          <w:p w14:paraId="6F462B1A" w14:textId="77777777" w:rsidR="00BE1B2C" w:rsidRPr="007D162C" w:rsidRDefault="00BE1B2C"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announcement of the side or door / gate through which a person must alight.</w:t>
            </w:r>
          </w:p>
          <w:p w14:paraId="71F07762" w14:textId="77777777" w:rsidR="00BE1B2C" w:rsidRPr="007D162C" w:rsidRDefault="00BE1B2C" w:rsidP="00C17787">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7D162C">
              <w:t>Two sub-options were presented for consideration in relation to visual information display visibility:</w:t>
            </w:r>
          </w:p>
          <w:p w14:paraId="3120DD05" w14:textId="77777777" w:rsidR="00BE1B2C" w:rsidRPr="007D162C" w:rsidRDefault="00BE1B2C"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Visual information display of next stop must be visible from all priority seats and allocated spaces.</w:t>
            </w:r>
          </w:p>
          <w:p w14:paraId="54CBCA61" w14:textId="77777777" w:rsidR="00BE1B2C" w:rsidRPr="007D162C" w:rsidRDefault="00BE1B2C"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Visual information display of next stop must be visible from all seats and allocated spaces.</w:t>
            </w:r>
          </w:p>
          <w:p w14:paraId="291FC29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B1E672F" w14:textId="77777777" w:rsidR="00BE1B2C" w:rsidRPr="007D162C" w:rsidRDefault="00BE1B2C" w:rsidP="00BE1B2C">
      <w:pPr>
        <w:pStyle w:val="Heading4"/>
        <w:tabs>
          <w:tab w:val="left" w:pos="284"/>
        </w:tabs>
      </w:pPr>
      <w:r w:rsidRPr="007D162C">
        <w:t>Cost benefit analysis</w:t>
      </w:r>
    </w:p>
    <w:p w14:paraId="68695E4C" w14:textId="77777777" w:rsidR="00BE1B2C" w:rsidRPr="007D162C" w:rsidRDefault="00BE1B2C" w:rsidP="00BE1B2C">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537CDA" w14:textId="77777777" w:rsidR="00BE1B2C" w:rsidRPr="007D162C" w:rsidRDefault="00BE1B2C" w:rsidP="00BE1B2C">
      <w:r w:rsidRPr="007D162C">
        <w:t xml:space="preserve">The following categories of quantitative costs and benefits were identified in the CBA as pertaining to the reform options. </w:t>
      </w:r>
    </w:p>
    <w:p w14:paraId="76E9789B" w14:textId="0B048FF6" w:rsidR="00BE1B2C" w:rsidRPr="007D162C" w:rsidRDefault="00BE1B2C" w:rsidP="00BE1B2C">
      <w:pPr>
        <w:pStyle w:val="Tablefigureheading"/>
      </w:pPr>
      <w:bookmarkStart w:id="239" w:name="_Toc122446336"/>
      <w:bookmarkStart w:id="240" w:name="_Toc139969186"/>
      <w:r w:rsidRPr="007D162C">
        <w:lastRenderedPageBreak/>
        <w:t xml:space="preserve">Table </w:t>
      </w:r>
      <w:fldSimple w:instr=" SEQ Table \* ARABIC ">
        <w:r w:rsidR="00DC26AC">
          <w:rPr>
            <w:noProof/>
          </w:rPr>
          <w:t>28</w:t>
        </w:r>
      </w:fldSimple>
      <w:r w:rsidRPr="007D162C">
        <w:t xml:space="preserve">: Benefit-cost ratios for </w:t>
      </w:r>
      <w:r w:rsidR="00754992" w:rsidRPr="007D162C">
        <w:t>P</w:t>
      </w:r>
      <w:r w:rsidRPr="007D162C">
        <w:t>assenger location during journey</w:t>
      </w:r>
      <w:bookmarkEnd w:id="239"/>
      <w:bookmarkEnd w:id="240"/>
    </w:p>
    <w:tbl>
      <w:tblPr>
        <w:tblStyle w:val="DefaultTable1"/>
        <w:tblW w:w="9864" w:type="dxa"/>
        <w:tblLook w:val="04A0" w:firstRow="1" w:lastRow="0" w:firstColumn="1" w:lastColumn="0" w:noHBand="0" w:noVBand="1"/>
        <w:tblCaption w:val="Benefit-cost ratios for passenger location during journey"/>
        <w:tblDescription w:val="This table provides the monetised benefits and costs for each of the options for this reform area."/>
      </w:tblPr>
      <w:tblGrid>
        <w:gridCol w:w="1843"/>
        <w:gridCol w:w="1559"/>
        <w:gridCol w:w="1701"/>
        <w:gridCol w:w="1843"/>
        <w:gridCol w:w="1843"/>
        <w:gridCol w:w="1075"/>
      </w:tblGrid>
      <w:tr w:rsidR="00BE1B2C" w:rsidRPr="007D162C" w14:paraId="15057C9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75C4C219" w14:textId="77777777" w:rsidR="00BE1B2C" w:rsidRPr="007D162C" w:rsidRDefault="08D050C4" w:rsidP="00C17787">
            <w:r w:rsidRPr="007D162C">
              <w:t>Reform Option</w:t>
            </w:r>
          </w:p>
        </w:tc>
        <w:tc>
          <w:tcPr>
            <w:tcW w:w="1559" w:type="dxa"/>
          </w:tcPr>
          <w:p w14:paraId="18573996"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6548F6BF"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3B2EF3A0"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13450CBB"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5B061FF9"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BE1B2C" w:rsidRPr="007D162C" w14:paraId="629A64F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E8933E7" w14:textId="77777777" w:rsidR="00BE1B2C" w:rsidRPr="007D162C" w:rsidRDefault="00BE1B2C" w:rsidP="00C17787">
            <w:r w:rsidRPr="007D162C">
              <w:t>Status Quo</w:t>
            </w:r>
          </w:p>
        </w:tc>
        <w:tc>
          <w:tcPr>
            <w:tcW w:w="1559" w:type="dxa"/>
          </w:tcPr>
          <w:p w14:paraId="4098DB3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31FA773"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3067BD05"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3" w:type="dxa"/>
          </w:tcPr>
          <w:p w14:paraId="16CB4548"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0F2D942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2936957F" w14:textId="77777777" w:rsidTr="08D050C4">
        <w:tc>
          <w:tcPr>
            <w:cnfStyle w:val="001000000000" w:firstRow="0" w:lastRow="0" w:firstColumn="1" w:lastColumn="0" w:oddVBand="0" w:evenVBand="0" w:oddHBand="0" w:evenHBand="0" w:firstRowFirstColumn="0" w:firstRowLastColumn="0" w:lastRowFirstColumn="0" w:lastRowLastColumn="0"/>
            <w:tcW w:w="1843" w:type="dxa"/>
          </w:tcPr>
          <w:p w14:paraId="581FBFFA" w14:textId="77777777" w:rsidR="00BE1B2C" w:rsidRPr="007D162C" w:rsidRDefault="00BE1B2C" w:rsidP="00C17787">
            <w:r w:rsidRPr="007D162C">
              <w:t xml:space="preserve">Non-regulatory </w:t>
            </w:r>
          </w:p>
        </w:tc>
        <w:tc>
          <w:tcPr>
            <w:tcW w:w="1559" w:type="dxa"/>
            <w:vAlign w:val="center"/>
          </w:tcPr>
          <w:p w14:paraId="5514C3C5"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122.9</w:t>
            </w:r>
          </w:p>
        </w:tc>
        <w:tc>
          <w:tcPr>
            <w:tcW w:w="1701" w:type="dxa"/>
          </w:tcPr>
          <w:p w14:paraId="18A73044"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843" w:type="dxa"/>
            <w:vAlign w:val="center"/>
          </w:tcPr>
          <w:p w14:paraId="60F3500E"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452.2</w:t>
            </w:r>
          </w:p>
        </w:tc>
        <w:tc>
          <w:tcPr>
            <w:tcW w:w="1843" w:type="dxa"/>
            <w:vAlign w:val="center"/>
          </w:tcPr>
          <w:p w14:paraId="7153217E"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452.2</w:t>
            </w:r>
            <w:r w:rsidR="004815D7" w:rsidRPr="007D162C">
              <w:rPr>
                <w:vertAlign w:val="superscript"/>
              </w:rPr>
              <w:t>i</w:t>
            </w:r>
          </w:p>
        </w:tc>
        <w:tc>
          <w:tcPr>
            <w:tcW w:w="1075" w:type="dxa"/>
            <w:vAlign w:val="center"/>
          </w:tcPr>
          <w:p w14:paraId="1D38DB02" w14:textId="77777777" w:rsidR="00BE1B2C"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0.27</w:t>
            </w:r>
          </w:p>
        </w:tc>
      </w:tr>
      <w:tr w:rsidR="00BE1B2C" w:rsidRPr="007D162C" w14:paraId="20BFB63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E1204B3" w14:textId="77777777" w:rsidR="00BE1B2C" w:rsidRPr="007D162C" w:rsidRDefault="00BE1B2C" w:rsidP="00C17787">
            <w:r w:rsidRPr="007D162C">
              <w:t>Regulatory</w:t>
            </w:r>
          </w:p>
        </w:tc>
        <w:tc>
          <w:tcPr>
            <w:tcW w:w="1559" w:type="dxa"/>
            <w:vAlign w:val="center"/>
          </w:tcPr>
          <w:p w14:paraId="044B1F8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371.7</w:t>
            </w:r>
          </w:p>
        </w:tc>
        <w:tc>
          <w:tcPr>
            <w:tcW w:w="1701" w:type="dxa"/>
          </w:tcPr>
          <w:p w14:paraId="5104F8A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843" w:type="dxa"/>
            <w:vAlign w:val="center"/>
          </w:tcPr>
          <w:p w14:paraId="46C3CF26"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632.1</w:t>
            </w:r>
          </w:p>
        </w:tc>
        <w:tc>
          <w:tcPr>
            <w:tcW w:w="1843" w:type="dxa"/>
            <w:vAlign w:val="center"/>
          </w:tcPr>
          <w:p w14:paraId="60EEAC49"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632.1</w:t>
            </w:r>
          </w:p>
        </w:tc>
        <w:tc>
          <w:tcPr>
            <w:tcW w:w="1075" w:type="dxa"/>
            <w:vAlign w:val="center"/>
          </w:tcPr>
          <w:p w14:paraId="3F54514C" w14:textId="77777777" w:rsidR="00BE1B2C"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0.59</w:t>
            </w:r>
          </w:p>
        </w:tc>
      </w:tr>
    </w:tbl>
    <w:p w14:paraId="75BE1B24" w14:textId="77777777" w:rsidR="00BE1B2C" w:rsidRPr="007D162C" w:rsidRDefault="00BE1B2C" w:rsidP="00BE1B2C">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19243901" w14:textId="77777777" w:rsidR="00BE1B2C"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DAB97D5" w14:textId="77777777" w:rsidR="003D49BF" w:rsidRPr="007D162C" w:rsidRDefault="003D49BF" w:rsidP="003D49BF">
      <w:pPr>
        <w:spacing w:before="120" w:after="0"/>
        <w:rPr>
          <w:sz w:val="20"/>
          <w:szCs w:val="20"/>
        </w:rPr>
      </w:pPr>
    </w:p>
    <w:p w14:paraId="5AEC9042" w14:textId="77777777" w:rsidR="00BE1B2C" w:rsidRPr="007D162C" w:rsidRDefault="00BE1B2C" w:rsidP="00BE1B2C">
      <w:pPr>
        <w:pStyle w:val="Heading6"/>
      </w:pPr>
      <w:r w:rsidRPr="007D162C">
        <w:t>Considerations to note in interpreting analysis</w:t>
      </w:r>
    </w:p>
    <w:p w14:paraId="40671190" w14:textId="77777777" w:rsidR="00BE1B2C" w:rsidRPr="007D162C" w:rsidRDefault="00BE1B2C" w:rsidP="00BE1B2C">
      <w:pPr>
        <w:pStyle w:val="Heading7"/>
      </w:pPr>
      <w:r w:rsidRPr="007D162C">
        <w:t>Limitations</w:t>
      </w:r>
    </w:p>
    <w:p w14:paraId="4D199621" w14:textId="77777777" w:rsidR="00BE1B2C" w:rsidRPr="007D162C" w:rsidRDefault="00BE1B2C" w:rsidP="00105D34">
      <w:pPr>
        <w:pStyle w:val="Heading8"/>
      </w:pPr>
      <w:r w:rsidRPr="007D162C">
        <w:t>Non-regulatory</w:t>
      </w:r>
    </w:p>
    <w:p w14:paraId="69A16181" w14:textId="77777777" w:rsidR="00BE1B2C" w:rsidRPr="007D162C" w:rsidRDefault="00BE1B2C" w:rsidP="003D49BF">
      <w:r w:rsidRPr="007D162C">
        <w:t>The costs and benefits associated with the non-regulatory reform are lower than its regulatory counterpart reflecting an assumed lower rate of compliance with the reform. An estimated rate of uptake of 75% was applied to the non-regulatory option based on the low cost and technical complexity to implement the guidance and submissions indicating many public transport operators and providers are able to or currently implement the requirements. This implies that the benefits and costs quantified for this non-regulatory reform may not reflect future take-up of the reform.</w:t>
      </w:r>
    </w:p>
    <w:p w14:paraId="6F2672D1" w14:textId="77777777" w:rsidR="00BE1B2C" w:rsidRPr="007D162C" w:rsidRDefault="00BE1B2C" w:rsidP="00105D34">
      <w:pPr>
        <w:pStyle w:val="Heading8"/>
      </w:pPr>
      <w:r w:rsidRPr="007D162C">
        <w:t>Regulatory</w:t>
      </w:r>
    </w:p>
    <w:p w14:paraId="310FBDC7" w14:textId="77777777" w:rsidR="00BE1B2C" w:rsidRPr="007D162C" w:rsidRDefault="00BE1B2C" w:rsidP="003D49BF">
      <w:r w:rsidRPr="007D162C">
        <w:t>The benefits and costs for this reform were developed from the survey responses and the number of public transport premises, proxied at a national level. This implies the benefits and costs may not reflect the full extent of existing and future compliance.</w:t>
      </w:r>
    </w:p>
    <w:p w14:paraId="43F04CE4" w14:textId="77777777" w:rsidR="00BE1B2C" w:rsidRPr="007D162C" w:rsidRDefault="00BE1B2C" w:rsidP="003D49BF">
      <w:r w:rsidRPr="007D162C">
        <w:t>To provide accessibility in line with the requirements of this reform, public transport providers / operators would need to update software, web accessibility and their booking systems.</w:t>
      </w:r>
    </w:p>
    <w:p w14:paraId="74C2993F" w14:textId="77777777" w:rsidR="00BE1B2C" w:rsidRPr="007D162C" w:rsidRDefault="00BE1B2C" w:rsidP="00105D34">
      <w:pPr>
        <w:pStyle w:val="Heading8"/>
      </w:pPr>
      <w:r w:rsidRPr="007D162C">
        <w:t>Interdependencies</w:t>
      </w:r>
    </w:p>
    <w:p w14:paraId="687DFE98" w14:textId="77777777" w:rsidR="003D49BF" w:rsidRPr="007D162C" w:rsidRDefault="08D050C4" w:rsidP="003D49BF">
      <w:r w:rsidRPr="007D162C">
        <w:t>The accessibility benefits of this reform will only be realised if there was equitable access across the whole public transport journey, with benefits reliant on implementation of other reforms such as accessible fare elements, better communication of accessibility features and others.</w:t>
      </w:r>
    </w:p>
    <w:p w14:paraId="449CFF09" w14:textId="77777777" w:rsidR="00BE1B2C" w:rsidRPr="007D162C" w:rsidRDefault="00BE1B2C"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5F0D2BC" w14:textId="77777777" w:rsidR="00BE1B2C" w:rsidRPr="007D162C" w:rsidRDefault="00BE1B2C" w:rsidP="00BE1B2C">
      <w:r w:rsidRPr="007D162C">
        <w:t>The following categories of qualitative benefits were identified in the CBA as pertaining to the reform options.</w:t>
      </w:r>
    </w:p>
    <w:p w14:paraId="12D167AB" w14:textId="03430EDF" w:rsidR="00BE1B2C" w:rsidRPr="007D162C" w:rsidRDefault="00BE1B2C" w:rsidP="00BE1B2C">
      <w:pPr>
        <w:pStyle w:val="Tablefigureheading"/>
      </w:pPr>
      <w:bookmarkStart w:id="241" w:name="_Toc122446337"/>
      <w:bookmarkStart w:id="242" w:name="_Toc139969187"/>
      <w:r w:rsidRPr="007D162C">
        <w:t xml:space="preserve">Table </w:t>
      </w:r>
      <w:fldSimple w:instr=" SEQ Table \* ARABIC ">
        <w:r w:rsidR="00DC26AC">
          <w:rPr>
            <w:noProof/>
          </w:rPr>
          <w:t>29</w:t>
        </w:r>
      </w:fldSimple>
      <w:r w:rsidRPr="007D162C">
        <w:rPr>
          <w:noProof/>
        </w:rPr>
        <w:t xml:space="preserve">: </w:t>
      </w:r>
      <w:r w:rsidRPr="007D162C">
        <w:t xml:space="preserve">Qualitative </w:t>
      </w:r>
      <w:r w:rsidR="00754992" w:rsidRPr="007D162C">
        <w:t>b</w:t>
      </w:r>
      <w:r w:rsidRPr="007D162C">
        <w:t xml:space="preserve">enefits for </w:t>
      </w:r>
      <w:r w:rsidR="00754992" w:rsidRPr="007D162C">
        <w:t>P</w:t>
      </w:r>
      <w:r w:rsidRPr="007D162C">
        <w:t>assenger location during journey</w:t>
      </w:r>
      <w:bookmarkEnd w:id="241"/>
      <w:bookmarkEnd w:id="242"/>
    </w:p>
    <w:tbl>
      <w:tblPr>
        <w:tblStyle w:val="DefaultTable1"/>
        <w:tblW w:w="9864" w:type="dxa"/>
        <w:tblLook w:val="04A0" w:firstRow="1" w:lastRow="0" w:firstColumn="1" w:lastColumn="0" w:noHBand="0" w:noVBand="1"/>
        <w:tblCaption w:val="Qualitative benefits for passenger location during journey"/>
      </w:tblPr>
      <w:tblGrid>
        <w:gridCol w:w="1213"/>
        <w:gridCol w:w="1343"/>
        <w:gridCol w:w="1626"/>
        <w:gridCol w:w="1300"/>
        <w:gridCol w:w="1278"/>
        <w:gridCol w:w="1641"/>
        <w:gridCol w:w="1463"/>
      </w:tblGrid>
      <w:tr w:rsidR="00BE1B2C" w:rsidRPr="007D162C" w14:paraId="5DB4DF2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682B7C8" w14:textId="77777777" w:rsidR="00BE1B2C" w:rsidRPr="007D162C" w:rsidRDefault="08D050C4" w:rsidP="00C17787">
            <w:r w:rsidRPr="007D162C">
              <w:t>Reform Option</w:t>
            </w:r>
          </w:p>
        </w:tc>
        <w:tc>
          <w:tcPr>
            <w:tcW w:w="1343" w:type="dxa"/>
          </w:tcPr>
          <w:p w14:paraId="5FD13105"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75283F3"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39CFA23"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834EA1B"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105DC09"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8D71106" w14:textId="77777777" w:rsidR="00BE1B2C"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E1B2C" w:rsidRPr="007D162C" w14:paraId="6B6AFB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E1E269" w14:textId="77777777" w:rsidR="00BE1B2C" w:rsidRPr="007D162C" w:rsidRDefault="00BE1B2C" w:rsidP="00C17787">
            <w:r w:rsidRPr="007D162C">
              <w:t>Status Quo</w:t>
            </w:r>
          </w:p>
        </w:tc>
        <w:tc>
          <w:tcPr>
            <w:tcW w:w="1343" w:type="dxa"/>
          </w:tcPr>
          <w:p w14:paraId="3AB7D107"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38DACF30"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3D4B2F84"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86AB4F2"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00AC612A"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018330A"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BE1B2C" w:rsidRPr="007D162C" w14:paraId="15BDBF1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2514FB6" w14:textId="77777777" w:rsidR="00BE1B2C" w:rsidRPr="007D162C" w:rsidRDefault="00BE1B2C" w:rsidP="00C17787">
            <w:r w:rsidRPr="007D162C">
              <w:t xml:space="preserve">Non-regulatory </w:t>
            </w:r>
          </w:p>
        </w:tc>
        <w:tc>
          <w:tcPr>
            <w:tcW w:w="1343" w:type="dxa"/>
          </w:tcPr>
          <w:p w14:paraId="046B9AE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2F22B36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149C103" w14:textId="77777777" w:rsidR="00BE1B2C"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657E8709"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20F5EDA"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62B6B154" w14:textId="77777777" w:rsidR="00BE1B2C" w:rsidRPr="007D162C" w:rsidRDefault="00BE1B2C" w:rsidP="00C17787">
            <w:pPr>
              <w:cnfStyle w:val="000000000000" w:firstRow="0" w:lastRow="0" w:firstColumn="0" w:lastColumn="0" w:oddVBand="0" w:evenVBand="0" w:oddHBand="0" w:evenHBand="0" w:firstRowFirstColumn="0" w:firstRowLastColumn="0" w:lastRowFirstColumn="0" w:lastRowLastColumn="0"/>
            </w:pPr>
            <w:r w:rsidRPr="007D162C">
              <w:t>Yes</w:t>
            </w:r>
          </w:p>
        </w:tc>
      </w:tr>
      <w:tr w:rsidR="00BE1B2C" w:rsidRPr="007D162C" w14:paraId="42C01F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B583AC2" w14:textId="77777777" w:rsidR="00BE1B2C" w:rsidRPr="007D162C" w:rsidRDefault="00BE1B2C" w:rsidP="00C17787">
            <w:r w:rsidRPr="007D162C">
              <w:t>Regulatory</w:t>
            </w:r>
          </w:p>
        </w:tc>
        <w:tc>
          <w:tcPr>
            <w:tcW w:w="1343" w:type="dxa"/>
          </w:tcPr>
          <w:p w14:paraId="72D2EBCE"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0AD3B0B"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0BEDC8E" w14:textId="77777777" w:rsidR="00BE1B2C"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51FF8F9"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569F2393"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3224A44E" w14:textId="77777777" w:rsidR="00BE1B2C" w:rsidRPr="007D162C" w:rsidRDefault="00BE1B2C" w:rsidP="00C17787">
            <w:pPr>
              <w:cnfStyle w:val="000000100000" w:firstRow="0" w:lastRow="0" w:firstColumn="0" w:lastColumn="0" w:oddVBand="0" w:evenVBand="0" w:oddHBand="1" w:evenHBand="0" w:firstRowFirstColumn="0" w:firstRowLastColumn="0" w:lastRowFirstColumn="0" w:lastRowLastColumn="0"/>
            </w:pPr>
            <w:r w:rsidRPr="007D162C">
              <w:t>Yes</w:t>
            </w:r>
          </w:p>
        </w:tc>
      </w:tr>
    </w:tbl>
    <w:p w14:paraId="5F8073F3" w14:textId="77777777" w:rsidR="00BE1B2C" w:rsidRPr="007D162C" w:rsidRDefault="00BE1B2C" w:rsidP="00BE1B2C"/>
    <w:p w14:paraId="5DED1574" w14:textId="77777777" w:rsidR="00BE1B2C" w:rsidRPr="007D162C" w:rsidRDefault="00BE1B2C" w:rsidP="00BE1B2C">
      <w:pPr>
        <w:pStyle w:val="Heading4"/>
        <w:tabs>
          <w:tab w:val="left" w:pos="284"/>
        </w:tabs>
      </w:pPr>
      <w:r w:rsidRPr="007D162C">
        <w:lastRenderedPageBreak/>
        <w:t xml:space="preserve">Analysis of submissions </w:t>
      </w:r>
    </w:p>
    <w:p w14:paraId="6B5CFDB9" w14:textId="77777777" w:rsidR="00BE1B2C" w:rsidRPr="007D162C" w:rsidRDefault="00BE1B2C" w:rsidP="00BE1B2C">
      <w:pPr>
        <w:pStyle w:val="Heading5"/>
      </w:pPr>
      <w:r w:rsidRPr="007D162C">
        <w:t>Status quo</w:t>
      </w:r>
    </w:p>
    <w:p w14:paraId="697E8256" w14:textId="77777777" w:rsidR="00BE1B2C" w:rsidRPr="007D162C" w:rsidRDefault="00BE1B2C" w:rsidP="00BE1B2C">
      <w:r w:rsidRPr="007D162C">
        <w:t xml:space="preserve">Section 27.1 of the Transport Standards requires that general information about transport services must be accessible to all passengers. Maintaining the status quo would not result in the Transport Standards being amended to provide visual displays and audio announcements of next stop information to support passengers with disability. </w:t>
      </w:r>
    </w:p>
    <w:p w14:paraId="355B1F3E" w14:textId="77777777" w:rsidR="00BE1B2C" w:rsidRPr="007D162C" w:rsidRDefault="08D050C4" w:rsidP="00BE1B2C">
      <w:r w:rsidRPr="007D162C">
        <w:t xml:space="preserve">Submissions from individuals, people with disability and disability organisations stated that the same level of arrival and next stop information is not always available or accessible to all passengers during a public transport journey, despite the existing requirements in the Transport Standards. Consultation found that the lack of the provision of information in audio and visual formats is a barrier for people with disability accessing and navigating public transport. </w:t>
      </w:r>
    </w:p>
    <w:p w14:paraId="03CA6CFC" w14:textId="77777777" w:rsidR="00BE1B2C" w:rsidRPr="007D162C" w:rsidRDefault="00BE1B2C" w:rsidP="00BE1B2C">
      <w:pPr>
        <w:pStyle w:val="Quote"/>
      </w:pPr>
      <w:r w:rsidRPr="007D162C">
        <w:t>Members in locations across Australia reported frustration with the lack of audible announcements on buses.</w:t>
      </w:r>
      <w:r w:rsidRPr="007D162C">
        <w:br/>
      </w:r>
      <w:r w:rsidRPr="007D162C">
        <w:br/>
        <w:t>Blind Citizens Australia</w:t>
      </w:r>
    </w:p>
    <w:p w14:paraId="07C3C2C3" w14:textId="77777777" w:rsidR="00BE1B2C" w:rsidRPr="007D162C" w:rsidRDefault="00BE1B2C" w:rsidP="00BE1B2C">
      <w:r w:rsidRPr="007D162C">
        <w:t xml:space="preserve">Some submissions from industry and government disagreed with the issue statement provided in the Consultation RIS. These submissions noted that </w:t>
      </w:r>
      <w:bookmarkStart w:id="243" w:name="_Hlk119404993"/>
      <w:r w:rsidRPr="007D162C">
        <w:t>the status quo already requires information be accessible to all passengers, and that the current provisions provide necessary flexibility to operators and providers to meet the needs of passengers with disability</w:t>
      </w:r>
      <w:bookmarkEnd w:id="243"/>
      <w:r w:rsidRPr="007D162C">
        <w:t xml:space="preserve"> when travelling by particular modes, including buses. Submissions argued that on these services, the proximity of passengers to drivers enables direct communication as required to support safe boarding and disembarkation. Likewise, on these services, it may be unfeasible for information about location be communicated by the driver at all stops, and there may be significant costs and work incurred in installing communications systems onto all conveyances.</w:t>
      </w:r>
    </w:p>
    <w:p w14:paraId="7C1363B1" w14:textId="77777777" w:rsidR="00BE1B2C" w:rsidRPr="007D162C" w:rsidRDefault="00BE1B2C" w:rsidP="00BE1B2C">
      <w:r w:rsidRPr="007D162C">
        <w:t>Maintaining status quo would not incur additional costs to public transports operators and providers.</w:t>
      </w:r>
    </w:p>
    <w:p w14:paraId="0EE467A1" w14:textId="77777777" w:rsidR="00BE1B2C" w:rsidRPr="007D162C" w:rsidRDefault="00BE1B2C" w:rsidP="00BE1B2C">
      <w:pPr>
        <w:pStyle w:val="Heading5"/>
      </w:pPr>
      <w:r w:rsidRPr="007D162C">
        <w:t>Non-regulatory</w:t>
      </w:r>
    </w:p>
    <w:p w14:paraId="6B68355F" w14:textId="77777777" w:rsidR="00BE1B2C" w:rsidRPr="007D162C" w:rsidRDefault="00BE1B2C" w:rsidP="00BE1B2C">
      <w:r w:rsidRPr="007D162C">
        <w:t xml:space="preserve">There was a mix of support for the non-regulatory option by industry and government. These submissions </w:t>
      </w:r>
      <w:bookmarkStart w:id="244" w:name="_Hlk119405026"/>
      <w:r w:rsidRPr="007D162C">
        <w:t>agreed that whilst progress has been made to communicate location-specific information to passengers, there is an ongoing need to ensure people with disabilities needs are met.</w:t>
      </w:r>
      <w:bookmarkEnd w:id="244"/>
      <w:r w:rsidRPr="007D162C">
        <w:t xml:space="preserve"> Submissions noted that, for example, the fitting of real time communications devices that convey next stop information demonstrates current industry practice is achieving the intended outcome of the regulatory proposal. For this reason, the regulatory option was argued as introducing unnecessary burden. </w:t>
      </w:r>
    </w:p>
    <w:p w14:paraId="17D46BF5" w14:textId="77777777" w:rsidR="00BE1B2C" w:rsidRPr="007D162C" w:rsidRDefault="00BE1B2C" w:rsidP="00BE1B2C">
      <w:r w:rsidRPr="007D162C">
        <w:t>Likewise, the flexibility of the non-regulatory option was identified as beneficial in supporting the uptake of technological advancements which may be non-compliant with the prescriptive requirements of the regulatory option. The majority of submissions from industry and government highlighted that bespoke solutions allow operators and providers to provide services that account for the unique operational and technical challenges associated with the communication of location-specific information in different circumstances, such as long-distance coach travel. These submissions noted that reforms must consider the practicality of requirements, including the modes that requirements should apply to, the design constraints of conveyances and the complexities involved with information provision where multiple entities are involved. A number of submissions raised concerns regarding the requirements included in the regulatory option for the location of visual information displays. These submissions noted that in some cases, this is not possible due to the layout of the conveyance, or the obstruction of the displays by other passengers resulting in non-compliance.</w:t>
      </w:r>
    </w:p>
    <w:p w14:paraId="4B3E65F4" w14:textId="77777777" w:rsidR="00BE1B2C" w:rsidRPr="007D162C" w:rsidRDefault="00BE1B2C" w:rsidP="00BE1B2C">
      <w:r w:rsidRPr="007D162C">
        <w:t>Costs would be incurred by operators and providers if they are required to upgrade any assets in alignment with new guidance material. One submission from industry noted the benefit of the non-regulatory option in allowing operators and providers to manage costs which may not be feasible through retrofitting.</w:t>
      </w:r>
    </w:p>
    <w:p w14:paraId="33DA1436" w14:textId="77777777" w:rsidR="00BE1B2C" w:rsidRPr="007D162C" w:rsidRDefault="00BE1B2C" w:rsidP="00BE1B2C">
      <w:pPr>
        <w:pStyle w:val="Heading5"/>
      </w:pPr>
      <w:r w:rsidRPr="007D162C">
        <w:lastRenderedPageBreak/>
        <w:t>Regulatory</w:t>
      </w:r>
    </w:p>
    <w:p w14:paraId="50463BE6" w14:textId="77777777" w:rsidR="00BE1B2C" w:rsidRPr="007D162C" w:rsidRDefault="00BE1B2C" w:rsidP="00BE1B2C">
      <w:r w:rsidRPr="007D162C">
        <w:t>The provision of location-specific information in accessible formats was noted as an important factor in easing anxiety and increasing independence when travelling on public transport. Submissions from all stakeholder groups noted that since the adoption of the Transport Standards, there has been an overall improvement in the provision of location-specific information onboard conveyances. There was general agreement that the technology required to support the communication of this information is mature, and in their experience, effective. The implementation of these changes, however, was noted as varying across jurisdictions and modes of transport.</w:t>
      </w:r>
    </w:p>
    <w:p w14:paraId="3174D00E" w14:textId="77777777" w:rsidR="00BE1B2C" w:rsidRPr="007D162C" w:rsidRDefault="00BE1B2C" w:rsidP="00BE1B2C">
      <w:pPr>
        <w:pStyle w:val="Quote"/>
      </w:pPr>
      <w:r w:rsidRPr="007D162C">
        <w:t xml:space="preserve">The benefits associated with digital announcements and ‘next stop’ information provided by audio and visual messaging will improve the passenger experience and improve the efficiency of the service for all passengers. </w:t>
      </w:r>
      <w:r w:rsidRPr="007D162C">
        <w:br/>
      </w:r>
      <w:r w:rsidRPr="007D162C">
        <w:br/>
        <w:t>Brisbane City Council</w:t>
      </w:r>
    </w:p>
    <w:p w14:paraId="695E7955" w14:textId="11853DAC" w:rsidR="00BE1B2C" w:rsidRPr="007D162C" w:rsidRDefault="08D050C4" w:rsidP="00BE1B2C">
      <w:r w:rsidRPr="007D162C">
        <w:t xml:space="preserve">All submissions from individuals, people with disability and disability organisations supported the regulatory option. There was strong support for the importance </w:t>
      </w:r>
      <w:r w:rsidR="000367FA">
        <w:t>of</w:t>
      </w:r>
      <w:r w:rsidRPr="007D162C">
        <w:t xml:space="preserve"> a mix of information delivery mechanisms, including audio-visual infrastructure, mobile web services and direct assistance. For this reason, these submissions called for regulatory reform to ensure consistency and certainty. All responses from the disability sector preferred sub-option 2, noting the more fulsome requirements as providing a greater benefit to people with disability than sub-option 1. Two submissions also suggested providing guidance material that references the value of including accessible information about the ultimate destination of the conveyance and stopping patterns.</w:t>
      </w:r>
      <w:bookmarkStart w:id="245" w:name="_Hlk119405235"/>
      <w:bookmarkEnd w:id="245"/>
    </w:p>
    <w:p w14:paraId="6861A052" w14:textId="77777777" w:rsidR="00BE1B2C" w:rsidRPr="007D162C" w:rsidRDefault="00BE1B2C" w:rsidP="00BE1B2C">
      <w:pPr>
        <w:pStyle w:val="Quote"/>
      </w:pPr>
      <w:r w:rsidRPr="007D162C">
        <w:t>We are aware of situations where a passenger who is blind or has low vision has boarded the wrong train but has not realised this because the “next stop” information was identical for a number of trains in the network during key parts of the passenger’s journey.</w:t>
      </w:r>
      <w:r w:rsidRPr="007D162C">
        <w:br/>
      </w:r>
      <w:r w:rsidRPr="007D162C">
        <w:br/>
        <w:t>Vision Australia</w:t>
      </w:r>
    </w:p>
    <w:p w14:paraId="04505FF4" w14:textId="63D15F1E" w:rsidR="00BE1B2C" w:rsidRPr="007D162C" w:rsidRDefault="00BE1B2C" w:rsidP="00BE1B2C">
      <w:r w:rsidRPr="007D162C">
        <w:t xml:space="preserve">There was mixed support for the regulatory option by industry and government. Several submissions shared examples of successful deployments of next stop announcement systems and the associated benefits to passengers with disability. Although the technology to support the proposed requirements exists, </w:t>
      </w:r>
      <w:bookmarkStart w:id="246" w:name="_Hlk119405247"/>
      <w:r w:rsidRPr="007D162C">
        <w:t xml:space="preserve">several submissions emphasised that if new regulatory requirements were applied retrospectively, the cost to fit technology may be prohibitive. </w:t>
      </w:r>
      <w:bookmarkEnd w:id="246"/>
      <w:r w:rsidRPr="007D162C">
        <w:t>Additionally, one submission flagged the need for ongoing work to determine implementation arrangements for smaller conveyances, such as taxis and rideshare</w:t>
      </w:r>
      <w:bookmarkStart w:id="247" w:name="_Hlk130805614"/>
      <w:r w:rsidR="00AE0950" w:rsidRPr="007D162C">
        <w:t>, and services where there are no stops between boarding and destination</w:t>
      </w:r>
      <w:r w:rsidRPr="007D162C">
        <w:t xml:space="preserve">. </w:t>
      </w:r>
      <w:bookmarkEnd w:id="247"/>
      <w:r w:rsidRPr="007D162C">
        <w:t>Direct assistance was identified as an effective and viable mechanism in these circumstances.</w:t>
      </w:r>
    </w:p>
    <w:p w14:paraId="1A7DD847" w14:textId="6840C814" w:rsidR="00BE1B2C" w:rsidRPr="007D162C" w:rsidRDefault="00BE1B2C" w:rsidP="00BE1B2C">
      <w:r w:rsidRPr="007D162C">
        <w:t>One submission from government suggested amendments to the regulatory option. The submission proposed amending Section</w:t>
      </w:r>
      <w:r w:rsidR="00A06601">
        <w:t>s</w:t>
      </w:r>
      <w:r w:rsidRPr="007D162C">
        <w:t xml:space="preserve"> 27.1 and 27.4 of the Transport Standards to include specific provisions relating to the provision of real-time updates regarding planned and unplanned disruptions, and real-time next stop information, respectively. </w:t>
      </w:r>
    </w:p>
    <w:p w14:paraId="68DEDDF4" w14:textId="77777777" w:rsidR="00BE1B2C" w:rsidRPr="007D162C" w:rsidRDefault="00BE1B2C" w:rsidP="00BE1B2C">
      <w:bookmarkStart w:id="248" w:name="_Hlk119405279"/>
      <w:r w:rsidRPr="007D162C">
        <w:t xml:space="preserve">The majority of submissions from industry and government preferred sub-option 1. These submissions stated that the requirements proposed under sub-option 2 are not feasible unless personal devices, such as mobile phones, can be relied upon for information provision. </w:t>
      </w:r>
    </w:p>
    <w:bookmarkEnd w:id="248"/>
    <w:p w14:paraId="48F5C264" w14:textId="77777777" w:rsidR="00BE1B2C" w:rsidRPr="007D162C" w:rsidRDefault="00BE1B2C" w:rsidP="00BE1B2C">
      <w:pPr>
        <w:pStyle w:val="Heading4"/>
      </w:pPr>
      <w:r w:rsidRPr="007D162C">
        <w:t>Preferred option</w:t>
      </w:r>
    </w:p>
    <w:p w14:paraId="172F4D9F" w14:textId="01D2FA4B" w:rsidR="00BE1B2C" w:rsidRPr="007D162C" w:rsidRDefault="00BE1B2C" w:rsidP="00BE1B2C">
      <w:r w:rsidRPr="007D162C">
        <w:t xml:space="preserve">Informed by the outcomes of consultation, impacts, cost and outcomes analysis above, the preferred option is the </w:t>
      </w:r>
      <w:r w:rsidRPr="007D162C">
        <w:rPr>
          <w:b/>
        </w:rPr>
        <w:t>regulatory option</w:t>
      </w:r>
      <w:r w:rsidR="00E373EB" w:rsidRPr="007D162C">
        <w:rPr>
          <w:b/>
          <w:bCs/>
        </w:rPr>
        <w:t xml:space="preserve"> with revisions</w:t>
      </w:r>
      <w:r w:rsidRPr="007D162C">
        <w:rPr>
          <w:b/>
        </w:rPr>
        <w:t>, sub-option 1</w:t>
      </w:r>
      <w:r w:rsidRPr="007D162C">
        <w:t>.</w:t>
      </w:r>
    </w:p>
    <w:p w14:paraId="2F675DF3" w14:textId="77777777" w:rsidR="002422E0" w:rsidRPr="007D162C" w:rsidRDefault="002422E0" w:rsidP="002422E0">
      <w:pPr>
        <w:pStyle w:val="Style5"/>
        <w:framePr w:wrap="around" w:hAnchor="page" w:x="1092" w:y="31"/>
        <w:rPr>
          <w:rFonts w:eastAsia="Calibri"/>
        </w:rPr>
      </w:pPr>
      <w:bookmarkStart w:id="249" w:name="_Hlk130805603"/>
      <w:r w:rsidRPr="007D162C">
        <w:rPr>
          <w:rFonts w:eastAsia="Calibri"/>
        </w:rPr>
        <w:t xml:space="preserve">Based on stakeholder feedback, this option has been revised to accommodate point-to-point transport. If a service has no stops between boarding location and destination, they will be exempt from new requirements. </w:t>
      </w:r>
      <w:bookmarkEnd w:id="249"/>
    </w:p>
    <w:p w14:paraId="0CC197B2" w14:textId="07A82E42" w:rsidR="00BE1B2C" w:rsidRPr="007D162C" w:rsidRDefault="00BE1B2C" w:rsidP="00BE1B2C">
      <w:r w:rsidRPr="007D162C">
        <w:lastRenderedPageBreak/>
        <w:t xml:space="preserve">Industry and government were divided on the regulatory, non-regulatory and status quo options, while the regulatory option was preferred by individuals, people with disability and disability organisations. Although some stakeholders disagreed with the issue statement presented in the Consultation RIS, </w:t>
      </w:r>
      <w:r w:rsidR="00A71409" w:rsidRPr="007D162C">
        <w:t xml:space="preserve">the </w:t>
      </w:r>
      <w:r w:rsidRPr="007D162C">
        <w:t>majority of submissions agreed that whilst progress has been made to communicate location-specific information to passengers, there is an ongoing need to ensure people with disabilities</w:t>
      </w:r>
      <w:r w:rsidR="000367FA">
        <w:t>’</w:t>
      </w:r>
      <w:r w:rsidRPr="007D162C">
        <w:t xml:space="preserve"> needs are met. Several submissions from industry noted that current internal practice already aligns with the regulatory proposal, and in these circumstances the likely impact of the regulatory option may be reduced. </w:t>
      </w:r>
    </w:p>
    <w:p w14:paraId="79E52D5A" w14:textId="29490E3A" w:rsidR="00BE1B2C" w:rsidRPr="007D162C" w:rsidRDefault="00BE1B2C" w:rsidP="00BE1B2C">
      <w:r w:rsidRPr="007D162C">
        <w:t>Sub-option 1 is preferred to balance the accessibility needs of passengers, with practical limitations relating to conveyance design</w:t>
      </w:r>
      <w:r w:rsidR="000367FA">
        <w:t>,</w:t>
      </w:r>
      <w:r w:rsidRPr="007D162C">
        <w:t xml:space="preserve"> which may render the requirements </w:t>
      </w:r>
      <w:r w:rsidR="000367FA">
        <w:t xml:space="preserve">of sub-option 2 </w:t>
      </w:r>
      <w:r w:rsidRPr="007D162C">
        <w:t xml:space="preserve">unfeasible. </w:t>
      </w:r>
    </w:p>
    <w:p w14:paraId="6809BD8B" w14:textId="77777777" w:rsidR="00BE1B2C" w:rsidRPr="007D162C" w:rsidRDefault="00BE1B2C" w:rsidP="00BE1B2C">
      <w:r w:rsidRPr="007D162C">
        <w:t xml:space="preserve">While acknowledging costs will be incurred in implementing the regulatory option, the costs associated with providing accessible passenger location information for new </w:t>
      </w:r>
      <w:r w:rsidR="003D49BF" w:rsidRPr="007D162C">
        <w:t>conveyances</w:t>
      </w:r>
      <w:r w:rsidRPr="007D162C">
        <w:t xml:space="preserve"> is expected to be modest and are outweighed by the benefits to be gained in providing an important wayfinding, safety, accessibility and support feature for people with disability. </w:t>
      </w:r>
    </w:p>
    <w:p w14:paraId="7F517044" w14:textId="78336B6F" w:rsidR="002422E0" w:rsidRDefault="002422E0" w:rsidP="08D050C4">
      <w:pPr>
        <w:rPr>
          <w:rFonts w:eastAsia="Calibri"/>
        </w:rPr>
      </w:pPr>
      <w:r w:rsidRPr="007D162C">
        <w:rPr>
          <w:rFonts w:eastAsia="Calibri"/>
        </w:rPr>
        <w:t xml:space="preserve">Consultation findings indicate that while installation of necessary technology may involve a minor addition to total project costs for new assets, retrofitting may be complex and cost prohibitive. As such, the new Transport Standards requirements would apply to new or substantially upgraded conveyances and would not be retrospective. This would address the primary concerns of industry and government stakeholders who supported the non-regulatory and regulatory options. </w:t>
      </w:r>
    </w:p>
    <w:p w14:paraId="5DB39DBC" w14:textId="3A76EC3B" w:rsidR="003D49BF" w:rsidRPr="007D162C" w:rsidRDefault="00BE1B2C" w:rsidP="08D050C4">
      <w:pPr>
        <w:rPr>
          <w:rFonts w:ascii="Calibri" w:eastAsia="Calibri" w:hAnsi="Calibri" w:cs="Times New Roman"/>
          <w:color w:val="000000" w:themeColor="text1"/>
        </w:rPr>
      </w:pPr>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This would address the primary concerns of stakeholders.</w:t>
      </w:r>
    </w:p>
    <w:p w14:paraId="4EB71AF9" w14:textId="77777777" w:rsidR="003D49BF" w:rsidRPr="007D162C" w:rsidRDefault="003D49BF" w:rsidP="003D49BF">
      <w:r w:rsidRPr="007D162C">
        <w:br w:type="page"/>
      </w:r>
    </w:p>
    <w:p w14:paraId="6192AEF4" w14:textId="77777777" w:rsidR="003D49BF" w:rsidRPr="007D162C" w:rsidRDefault="003D49BF" w:rsidP="005D5D77">
      <w:pPr>
        <w:pStyle w:val="Heading2"/>
        <w:numPr>
          <w:ilvl w:val="0"/>
          <w:numId w:val="26"/>
        </w:numPr>
        <w:ind w:hanging="720"/>
      </w:pPr>
      <w:bookmarkStart w:id="250" w:name="_Toc127351758"/>
      <w:bookmarkStart w:id="251" w:name="_Toc140239716"/>
      <w:bookmarkStart w:id="252" w:name="_Hlk129273531"/>
      <w:r w:rsidRPr="007D162C">
        <w:lastRenderedPageBreak/>
        <w:t>Hearing augmentation on conveyances</w:t>
      </w:r>
      <w:bookmarkEnd w:id="250"/>
      <w:bookmarkEnd w:id="251"/>
    </w:p>
    <w:p w14:paraId="534EA114" w14:textId="77777777" w:rsidR="003D49BF" w:rsidRPr="007D162C" w:rsidRDefault="003D49BF" w:rsidP="003D49BF">
      <w:pPr>
        <w:pStyle w:val="Heading4"/>
        <w:tabs>
          <w:tab w:val="left" w:pos="284"/>
        </w:tabs>
      </w:pPr>
      <w:r w:rsidRPr="007D162C">
        <w:t>Issue</w:t>
      </w:r>
    </w:p>
    <w:p w14:paraId="0A865F53" w14:textId="4E9775E3" w:rsidR="003D49BF" w:rsidRPr="007D162C" w:rsidRDefault="003D49BF" w:rsidP="003D49BF">
      <w:r w:rsidRPr="007D162C">
        <w:t xml:space="preserve">Section 26.2 </w:t>
      </w:r>
      <w:r w:rsidR="000367FA">
        <w:t xml:space="preserve">of the </w:t>
      </w:r>
      <w:r w:rsidRPr="007D162C">
        <w:t xml:space="preserve">Transport Standards covers hearing augmentation systems on conveyances for hearing aid passengers, and references AS1428.2 (1992) Design for access and mobility, for hearing augmentation systems. This Australian Standard is outdated, and only requires a hearing augmentation system to cover 10 per cent of the total area of the enclosed space of a conveyance. </w:t>
      </w:r>
    </w:p>
    <w:p w14:paraId="6003AB92" w14:textId="77777777" w:rsidR="003D49BF" w:rsidRPr="007D162C" w:rsidRDefault="003D49BF" w:rsidP="003D49BF">
      <w:r w:rsidRPr="007D162C">
        <w:t>Passengers with hearing impairments may miss or misunderstand a Public Address system message unless it is received directly in their telecoil equipped hearing aid via a hearing augmentation system.</w:t>
      </w:r>
    </w:p>
    <w:p w14:paraId="07D9F7A1" w14:textId="77777777" w:rsidR="003D49BF" w:rsidRPr="007D162C" w:rsidRDefault="003D49BF" w:rsidP="003D49BF">
      <w:r w:rsidRPr="007D162C">
        <w:t>Collective government action would strengthen requirements for hearing augmentation systems on conveyances and promote consistency through alignment with requirements in the Premises Standards and address key stakeholder issues raised through the Transport Standards review process.</w:t>
      </w:r>
    </w:p>
    <w:p w14:paraId="4FFD8B11" w14:textId="77777777" w:rsidR="003D49BF" w:rsidRPr="007D162C" w:rsidRDefault="003D49BF" w:rsidP="003D49BF">
      <w:pPr>
        <w:pStyle w:val="Heading4"/>
        <w:tabs>
          <w:tab w:val="left" w:pos="284"/>
        </w:tabs>
      </w:pPr>
      <w:r w:rsidRPr="007D162C">
        <w:t>Reform options</w:t>
      </w:r>
    </w:p>
    <w:p w14:paraId="4CCCF220" w14:textId="77777777" w:rsidR="003D49BF" w:rsidRPr="007D162C" w:rsidRDefault="003D49BF" w:rsidP="003D49BF">
      <w:pPr>
        <w:tabs>
          <w:tab w:val="left" w:pos="284"/>
        </w:tabs>
      </w:pPr>
      <w:r w:rsidRPr="007D162C">
        <w:t>Following is a summary of the proposed options for this reform. Full details of each reform option is provided at Appendix A.</w:t>
      </w:r>
    </w:p>
    <w:p w14:paraId="6D71A57E" w14:textId="02072C21" w:rsidR="003D49BF" w:rsidRPr="007D162C" w:rsidRDefault="003D49BF" w:rsidP="003D49BF">
      <w:pPr>
        <w:pStyle w:val="Tablefigureheading"/>
      </w:pPr>
      <w:bookmarkStart w:id="253" w:name="_Toc122446338"/>
      <w:bookmarkStart w:id="254" w:name="_Toc139969188"/>
      <w:r w:rsidRPr="007D162C">
        <w:t xml:space="preserve">Table </w:t>
      </w:r>
      <w:fldSimple w:instr=" SEQ Table \* ARABIC ">
        <w:r w:rsidR="00DC26AC">
          <w:rPr>
            <w:noProof/>
          </w:rPr>
          <w:t>30</w:t>
        </w:r>
      </w:fldSimple>
      <w:r w:rsidRPr="007D162C">
        <w:rPr>
          <w:noProof/>
        </w:rPr>
        <w:t>:</w:t>
      </w:r>
      <w:r w:rsidRPr="007D162C">
        <w:t xml:space="preserve"> Reform options for </w:t>
      </w:r>
      <w:r w:rsidR="00754992" w:rsidRPr="007D162C">
        <w:t>H</w:t>
      </w:r>
      <w:r w:rsidRPr="007D162C">
        <w:t>earing augmentation on conveyances</w:t>
      </w:r>
      <w:bookmarkEnd w:id="253"/>
      <w:bookmarkEnd w:id="254"/>
    </w:p>
    <w:tbl>
      <w:tblPr>
        <w:tblStyle w:val="DefaultTable1"/>
        <w:tblW w:w="9072" w:type="dxa"/>
        <w:tblLook w:val="04A0" w:firstRow="1" w:lastRow="0" w:firstColumn="1" w:lastColumn="0" w:noHBand="0" w:noVBand="1"/>
        <w:tblCaption w:val="Reform options for hearing augmentation on conveyances"/>
        <w:tblDescription w:val="This table provides a description of each of the options for this reform area. Status quo, non-regulatory and regulatory."/>
      </w:tblPr>
      <w:tblGrid>
        <w:gridCol w:w="2232"/>
        <w:gridCol w:w="6840"/>
      </w:tblGrid>
      <w:tr w:rsidR="003D49BF" w:rsidRPr="007D162C" w14:paraId="4E331C8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3BE6B3E2" w14:textId="77777777" w:rsidR="003D49BF" w:rsidRPr="007D162C" w:rsidRDefault="003D49BF" w:rsidP="00C17787">
            <w:r w:rsidRPr="007D162C">
              <w:t>Option</w:t>
            </w:r>
          </w:p>
        </w:tc>
        <w:tc>
          <w:tcPr>
            <w:tcW w:w="6840" w:type="dxa"/>
          </w:tcPr>
          <w:p w14:paraId="1C8FA82A" w14:textId="77777777" w:rsidR="003D49BF" w:rsidRPr="007D162C" w:rsidRDefault="003D49BF"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3D49BF" w:rsidRPr="007D162C" w14:paraId="5E0742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9DAA656" w14:textId="77777777" w:rsidR="003D49BF" w:rsidRPr="007D162C" w:rsidRDefault="003D49BF" w:rsidP="00C17787">
            <w:r w:rsidRPr="007D162C">
              <w:t>Status Quo</w:t>
            </w:r>
          </w:p>
        </w:tc>
        <w:tc>
          <w:tcPr>
            <w:tcW w:w="6840" w:type="dxa"/>
          </w:tcPr>
          <w:p w14:paraId="742C00AA"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an outdated Australian Standard that requires 10% of an enclosed space of a conveyance be covered by a hearing augmentation system.</w:t>
            </w:r>
          </w:p>
          <w:p w14:paraId="57226847"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3D49BF" w:rsidRPr="007D162C" w14:paraId="53519FA7"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7942EB2" w14:textId="77777777" w:rsidR="003D49BF" w:rsidRPr="007D162C" w:rsidRDefault="003D49BF" w:rsidP="00C17787">
            <w:r w:rsidRPr="007D162C">
              <w:t>Non-Regulatory</w:t>
            </w:r>
          </w:p>
        </w:tc>
        <w:tc>
          <w:tcPr>
            <w:tcW w:w="6840" w:type="dxa"/>
          </w:tcPr>
          <w:p w14:paraId="6AD04771"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where a public address system is installed, ensure a message broadcast in accessible format should be received in 100% of the area covered by the public address system and be identifiable by the international symbol for deafness.</w:t>
            </w:r>
          </w:p>
        </w:tc>
      </w:tr>
      <w:tr w:rsidR="003D49BF" w:rsidRPr="007D162C" w14:paraId="312A9AE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D66AF31" w14:textId="77777777" w:rsidR="003D49BF" w:rsidRPr="007D162C" w:rsidRDefault="003D49BF" w:rsidP="00C17787">
            <w:r w:rsidRPr="007D162C">
              <w:t>Regulatory</w:t>
            </w:r>
          </w:p>
        </w:tc>
        <w:tc>
          <w:tcPr>
            <w:tcW w:w="6840" w:type="dxa"/>
          </w:tcPr>
          <w:p w14:paraId="675BEFB9"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w:t>
            </w:r>
          </w:p>
          <w:p w14:paraId="4D086F09"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57989C8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that, if a public address</w:t>
            </w:r>
            <w:r w:rsidRPr="007D162C">
              <w:rPr>
                <w:b/>
              </w:rPr>
              <w:t xml:space="preserve"> </w:t>
            </w:r>
            <w:r w:rsidRPr="007D162C">
              <w:t>system is installed,</w:t>
            </w:r>
            <w:r w:rsidRPr="007D162C">
              <w:rPr>
                <w:b/>
              </w:rPr>
              <w:t xml:space="preserve"> </w:t>
            </w:r>
            <w:r w:rsidRPr="007D162C">
              <w:t>people who are hearing impaired must be able to receive a message equivalent to the message received by people without a hearing impairment, the message broadcast via the hearing augmentation system must be received in either 80% (sub-option 1) or 100% (sub-option 2) of the area covered by the public address system, and requirements would be updated to comply with contemporary Australian Standards.</w:t>
            </w:r>
          </w:p>
          <w:p w14:paraId="14B92B2E"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EBA322B"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rPr>
                <w:b/>
              </w:rPr>
            </w:pPr>
            <w:r w:rsidRPr="007D162C">
              <w:t>Requirements of the Transport Standards would be amended to those outlined in option 1, if a public address system is in operation.</w:t>
            </w:r>
          </w:p>
          <w:p w14:paraId="682366C6"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A84D1F4" w14:textId="77777777" w:rsidR="003D49BF" w:rsidRPr="007D162C" w:rsidRDefault="003D49BF" w:rsidP="003D49BF">
      <w:pPr>
        <w:pStyle w:val="Heading4"/>
        <w:tabs>
          <w:tab w:val="left" w:pos="284"/>
        </w:tabs>
      </w:pPr>
      <w:r w:rsidRPr="007D162C">
        <w:t>Cost benefit analysis</w:t>
      </w:r>
    </w:p>
    <w:p w14:paraId="64774F29" w14:textId="77777777" w:rsidR="003D49BF" w:rsidRPr="007D162C" w:rsidRDefault="003D49BF"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024C9B6" w14:textId="77777777" w:rsidR="003D49BF" w:rsidRPr="007D162C" w:rsidRDefault="003D49BF" w:rsidP="003D49BF">
      <w:r w:rsidRPr="007D162C">
        <w:t xml:space="preserve">The following categories of quantitative costs and benefits were identified in the CBA as pertaining to the reform options. </w:t>
      </w:r>
    </w:p>
    <w:p w14:paraId="2E5B2196" w14:textId="4C479DBA" w:rsidR="003D49BF" w:rsidRPr="007D162C" w:rsidRDefault="003D49BF" w:rsidP="003D49BF">
      <w:pPr>
        <w:pStyle w:val="Tablefigureheading"/>
      </w:pPr>
      <w:bookmarkStart w:id="255" w:name="_Toc122446339"/>
      <w:bookmarkStart w:id="256" w:name="_Toc139969189"/>
      <w:r w:rsidRPr="007D162C">
        <w:lastRenderedPageBreak/>
        <w:t xml:space="preserve">Table </w:t>
      </w:r>
      <w:fldSimple w:instr=" SEQ Table \* ARABIC ">
        <w:r w:rsidR="00DC26AC">
          <w:rPr>
            <w:noProof/>
          </w:rPr>
          <w:t>31</w:t>
        </w:r>
      </w:fldSimple>
      <w:r w:rsidRPr="007D162C">
        <w:t xml:space="preserve">: Benefit-cost ratios for </w:t>
      </w:r>
      <w:r w:rsidR="00754992" w:rsidRPr="007D162C">
        <w:t>H</w:t>
      </w:r>
      <w:r w:rsidRPr="007D162C">
        <w:t>earing augmentation on conveyances</w:t>
      </w:r>
      <w:bookmarkEnd w:id="255"/>
      <w:bookmarkEnd w:id="256"/>
    </w:p>
    <w:tbl>
      <w:tblPr>
        <w:tblStyle w:val="DefaultTable1"/>
        <w:tblW w:w="9864" w:type="dxa"/>
        <w:tblLook w:val="04A0" w:firstRow="1" w:lastRow="0" w:firstColumn="1" w:lastColumn="0" w:noHBand="0" w:noVBand="1"/>
        <w:tblCaption w:val="Benefit-cost ratios for hearing augmentation on conveyances"/>
        <w:tblDescription w:val="This table provides the monetised benefits and costs for each of the options for this reform area."/>
      </w:tblPr>
      <w:tblGrid>
        <w:gridCol w:w="2268"/>
        <w:gridCol w:w="1374"/>
        <w:gridCol w:w="1648"/>
        <w:gridCol w:w="1692"/>
        <w:gridCol w:w="1822"/>
        <w:gridCol w:w="1060"/>
      </w:tblGrid>
      <w:tr w:rsidR="00833184" w:rsidRPr="007D162C" w14:paraId="50DCBB2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7924427E" w14:textId="77777777" w:rsidR="003D49BF" w:rsidRPr="007D162C" w:rsidRDefault="08D050C4" w:rsidP="00C17787">
            <w:r w:rsidRPr="007D162C">
              <w:t>Reform Option</w:t>
            </w:r>
          </w:p>
        </w:tc>
        <w:tc>
          <w:tcPr>
            <w:tcW w:w="1374" w:type="dxa"/>
          </w:tcPr>
          <w:p w14:paraId="7F17D52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50594343"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0B763231"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22" w:type="dxa"/>
          </w:tcPr>
          <w:p w14:paraId="507034E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7BAA571C"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2B4362" w:rsidRPr="007D162C" w14:paraId="6F8C81F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052CF9" w14:textId="77777777" w:rsidR="003D49BF" w:rsidRPr="007D162C" w:rsidRDefault="003D49BF" w:rsidP="00C17787">
            <w:r w:rsidRPr="007D162C">
              <w:t>Status Quo</w:t>
            </w:r>
          </w:p>
        </w:tc>
        <w:tc>
          <w:tcPr>
            <w:tcW w:w="1374" w:type="dxa"/>
          </w:tcPr>
          <w:p w14:paraId="449B29D1"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8" w:type="dxa"/>
          </w:tcPr>
          <w:p w14:paraId="0FA01D35"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tcPr>
          <w:p w14:paraId="0C8D2B69"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22" w:type="dxa"/>
          </w:tcPr>
          <w:p w14:paraId="1EC7149E"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60" w:type="dxa"/>
          </w:tcPr>
          <w:p w14:paraId="566EB116"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2B4362" w:rsidRPr="007D162C" w14:paraId="11F757F6"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7C62CCEC" w14:textId="77777777" w:rsidR="003D49BF" w:rsidRPr="007D162C" w:rsidRDefault="003D49BF" w:rsidP="00C17787">
            <w:r w:rsidRPr="007D162C">
              <w:t xml:space="preserve">Non-regulatory </w:t>
            </w:r>
          </w:p>
        </w:tc>
        <w:tc>
          <w:tcPr>
            <w:tcW w:w="1374" w:type="dxa"/>
            <w:vAlign w:val="center"/>
          </w:tcPr>
          <w:p w14:paraId="755C8506"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1.7</w:t>
            </w:r>
          </w:p>
        </w:tc>
        <w:tc>
          <w:tcPr>
            <w:tcW w:w="1648" w:type="dxa"/>
          </w:tcPr>
          <w:p w14:paraId="79682ACA"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2C3E9214"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5.5</w:t>
            </w:r>
          </w:p>
        </w:tc>
        <w:tc>
          <w:tcPr>
            <w:tcW w:w="1822" w:type="dxa"/>
            <w:vAlign w:val="center"/>
          </w:tcPr>
          <w:p w14:paraId="7776C521"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5.5</w:t>
            </w:r>
            <w:r w:rsidR="004815D7" w:rsidRPr="007D162C">
              <w:rPr>
                <w:vertAlign w:val="superscript"/>
              </w:rPr>
              <w:t>i</w:t>
            </w:r>
          </w:p>
        </w:tc>
        <w:tc>
          <w:tcPr>
            <w:tcW w:w="1060" w:type="dxa"/>
            <w:vAlign w:val="center"/>
          </w:tcPr>
          <w:p w14:paraId="22758837" w14:textId="77777777" w:rsidR="003D49B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0.31</w:t>
            </w:r>
          </w:p>
        </w:tc>
      </w:tr>
      <w:tr w:rsidR="002B4362" w:rsidRPr="007D162C" w14:paraId="421C1C9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8F631C3" w14:textId="77777777" w:rsidR="003D49BF" w:rsidRPr="007D162C" w:rsidRDefault="003D49BF" w:rsidP="00C17787">
            <w:r w:rsidRPr="007D162C">
              <w:t>Regulatory</w:t>
            </w:r>
          </w:p>
        </w:tc>
        <w:tc>
          <w:tcPr>
            <w:tcW w:w="1374" w:type="dxa"/>
            <w:vAlign w:val="center"/>
          </w:tcPr>
          <w:p w14:paraId="77DFE4EC"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24.7</w:t>
            </w:r>
          </w:p>
        </w:tc>
        <w:tc>
          <w:tcPr>
            <w:tcW w:w="1648" w:type="dxa"/>
          </w:tcPr>
          <w:p w14:paraId="635E1ED4"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2CD196D7"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38.0</w:t>
            </w:r>
          </w:p>
        </w:tc>
        <w:tc>
          <w:tcPr>
            <w:tcW w:w="1822" w:type="dxa"/>
            <w:vAlign w:val="center"/>
          </w:tcPr>
          <w:p w14:paraId="7F947830"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38.0</w:t>
            </w:r>
          </w:p>
        </w:tc>
        <w:tc>
          <w:tcPr>
            <w:tcW w:w="1060" w:type="dxa"/>
            <w:vAlign w:val="center"/>
          </w:tcPr>
          <w:p w14:paraId="7DD3D194" w14:textId="77777777" w:rsidR="003D49B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0.65</w:t>
            </w:r>
          </w:p>
        </w:tc>
      </w:tr>
    </w:tbl>
    <w:p w14:paraId="4B82AAFF" w14:textId="77777777" w:rsidR="003D49BF" w:rsidRPr="007D162C" w:rsidRDefault="003D49BF" w:rsidP="003D49BF">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6EE6CB0E" w14:textId="77777777" w:rsidR="003D49BF"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2708D0CC" w14:textId="77777777" w:rsidR="003D49BF" w:rsidRPr="007D162C" w:rsidRDefault="003D49BF" w:rsidP="003D49BF"/>
    <w:p w14:paraId="183EED91" w14:textId="77777777" w:rsidR="003D49BF" w:rsidRPr="007D162C" w:rsidRDefault="003D49BF" w:rsidP="003D49BF">
      <w:pPr>
        <w:pStyle w:val="Heading6"/>
      </w:pPr>
      <w:r w:rsidRPr="007D162C">
        <w:t>Considerations to note in interpreting analysis</w:t>
      </w:r>
    </w:p>
    <w:p w14:paraId="412C83C8" w14:textId="77777777" w:rsidR="003D49BF" w:rsidRPr="007D162C" w:rsidRDefault="003D49BF" w:rsidP="003D49BF">
      <w:pPr>
        <w:pStyle w:val="Heading7"/>
      </w:pPr>
      <w:r w:rsidRPr="007D162C">
        <w:t>Limitations</w:t>
      </w:r>
    </w:p>
    <w:p w14:paraId="63C85AA8" w14:textId="77777777" w:rsidR="003D49BF" w:rsidRPr="007D162C" w:rsidRDefault="003D49BF" w:rsidP="00105D34">
      <w:pPr>
        <w:pStyle w:val="Heading8"/>
      </w:pPr>
      <w:r w:rsidRPr="007D162C">
        <w:t>Non-regulatory</w:t>
      </w:r>
    </w:p>
    <w:p w14:paraId="184AD86B" w14:textId="241DF453" w:rsidR="003D49BF" w:rsidRPr="007D162C" w:rsidRDefault="003D49BF" w:rsidP="003D49BF">
      <w:r w:rsidRPr="007D162C">
        <w:t>The costs and benefits associated with the non-regulatory reform are lower than its regulatory counterpart reflecting an assumed lower rate of compliance with the reform. An estimated rate of uptake of 15</w:t>
      </w:r>
      <w:r w:rsidR="00A06601">
        <w:t xml:space="preserve"> per cent</w:t>
      </w:r>
      <w:r w:rsidRPr="007D162C">
        <w:t xml:space="preserve"> was applied to the non-regulatory option based on the high cost and technical complexity raised in submissions to implement with the guidance. </w:t>
      </w:r>
      <w:r w:rsidR="00A06601">
        <w:t>T</w:t>
      </w:r>
      <w:r w:rsidRPr="007D162C">
        <w:t>his implies that the benefits and costs quantified for this non-regulatory reform may not reflect future take-up of the reform.</w:t>
      </w:r>
    </w:p>
    <w:p w14:paraId="0A5D3E3E" w14:textId="77777777" w:rsidR="003D49BF" w:rsidRPr="007D162C" w:rsidRDefault="003D49BF" w:rsidP="00105D34">
      <w:pPr>
        <w:pStyle w:val="Heading8"/>
      </w:pPr>
      <w:r w:rsidRPr="007D162C">
        <w:t>Regulatory</w:t>
      </w:r>
    </w:p>
    <w:p w14:paraId="36297AEF" w14:textId="77777777" w:rsidR="003D49BF" w:rsidRPr="007D162C" w:rsidRDefault="003D49BF" w:rsidP="003D49BF">
      <w:r w:rsidRPr="007D162C">
        <w:t>The benefits and costs of this reform reflect a magnetic induction system within conveyances, providing accessibility to those with hearing impairments improving their safety, amenity and accessibility while using public transport.</w:t>
      </w:r>
    </w:p>
    <w:p w14:paraId="705DF551" w14:textId="77777777" w:rsidR="003D49BF" w:rsidRPr="007D162C" w:rsidRDefault="003D49BF" w:rsidP="003D49BF">
      <w:r w:rsidRPr="007D162C">
        <w:t>The costs reflect significant upgrades or expansions to existing hearing loop technology with a likelihood to replace the existing system.</w:t>
      </w:r>
    </w:p>
    <w:p w14:paraId="5F99241A" w14:textId="77777777" w:rsidR="003D49BF" w:rsidRPr="007D162C" w:rsidRDefault="003D49BF" w:rsidP="00105D34">
      <w:pPr>
        <w:pStyle w:val="Heading8"/>
      </w:pPr>
      <w:r w:rsidRPr="007D162C">
        <w:t>Interdependencies</w:t>
      </w:r>
    </w:p>
    <w:p w14:paraId="110AE712" w14:textId="77777777" w:rsidR="003D49BF" w:rsidRPr="007D162C" w:rsidRDefault="08D050C4" w:rsidP="003D49BF">
      <w:r w:rsidRPr="007D162C">
        <w:t>The accessibility benefits of this reform will only be realised if there was equitable access across the whole public transport journey, with benefits reliant on implementation of other reforms such as hearing augmentation in infrastructure and premises.</w:t>
      </w:r>
    </w:p>
    <w:p w14:paraId="6A4F470C" w14:textId="77777777" w:rsidR="003D49BF" w:rsidRPr="007D162C" w:rsidRDefault="003D49BF" w:rsidP="003D49B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E658952" w14:textId="77777777" w:rsidR="003D49BF" w:rsidRPr="007D162C" w:rsidRDefault="003D49BF" w:rsidP="003D49BF">
      <w:r w:rsidRPr="007D162C">
        <w:t>The following categories of qualitative benefits were identified in the CBA as pertaining to the reform options.</w:t>
      </w:r>
    </w:p>
    <w:p w14:paraId="1852198F" w14:textId="2CBCA78B" w:rsidR="003D49BF" w:rsidRPr="007D162C" w:rsidRDefault="003D49BF" w:rsidP="003D49BF">
      <w:pPr>
        <w:pStyle w:val="Tablefigureheading"/>
      </w:pPr>
      <w:bookmarkStart w:id="257" w:name="_Toc122446340"/>
      <w:bookmarkStart w:id="258" w:name="_Toc139969190"/>
      <w:r w:rsidRPr="007D162C">
        <w:t xml:space="preserve">Table </w:t>
      </w:r>
      <w:fldSimple w:instr=" SEQ Table \* ARABIC ">
        <w:r w:rsidR="00DC26AC">
          <w:rPr>
            <w:noProof/>
          </w:rPr>
          <w:t>32</w:t>
        </w:r>
      </w:fldSimple>
      <w:r w:rsidRPr="007D162C">
        <w:t xml:space="preserve">: Qualitative benefits for </w:t>
      </w:r>
      <w:r w:rsidR="00754992" w:rsidRPr="007D162C">
        <w:t>H</w:t>
      </w:r>
      <w:r w:rsidRPr="007D162C">
        <w:t>earing augmentation on conveyances</w:t>
      </w:r>
      <w:bookmarkEnd w:id="257"/>
      <w:bookmarkEnd w:id="258"/>
    </w:p>
    <w:tbl>
      <w:tblPr>
        <w:tblStyle w:val="DefaultTable1"/>
        <w:tblW w:w="9864" w:type="dxa"/>
        <w:tblLook w:val="04A0" w:firstRow="1" w:lastRow="0" w:firstColumn="1" w:lastColumn="0" w:noHBand="0" w:noVBand="1"/>
        <w:tblCaption w:val="Qualitative benefits for hearing augmentation on conveyances"/>
      </w:tblPr>
      <w:tblGrid>
        <w:gridCol w:w="1213"/>
        <w:gridCol w:w="1343"/>
        <w:gridCol w:w="1626"/>
        <w:gridCol w:w="1300"/>
        <w:gridCol w:w="1278"/>
        <w:gridCol w:w="1641"/>
        <w:gridCol w:w="1463"/>
      </w:tblGrid>
      <w:tr w:rsidR="003D49BF" w:rsidRPr="007D162C" w14:paraId="59C513A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0AB45B6" w14:textId="77777777" w:rsidR="003D49BF" w:rsidRPr="007D162C" w:rsidRDefault="08D050C4" w:rsidP="00C17787">
            <w:r w:rsidRPr="007D162C">
              <w:t>Reform Option</w:t>
            </w:r>
          </w:p>
        </w:tc>
        <w:tc>
          <w:tcPr>
            <w:tcW w:w="1343" w:type="dxa"/>
          </w:tcPr>
          <w:p w14:paraId="659E2AE3"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FE02326"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4B15D18"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34D37F6"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468B4D4"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FEE0867" w14:textId="77777777" w:rsidR="003D49BF"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D49BF" w:rsidRPr="007D162C" w14:paraId="5E2E49D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89015BB" w14:textId="77777777" w:rsidR="003D49BF" w:rsidRPr="007D162C" w:rsidRDefault="003D49BF" w:rsidP="00C17787">
            <w:r w:rsidRPr="007D162C">
              <w:t>Status Quo</w:t>
            </w:r>
          </w:p>
        </w:tc>
        <w:tc>
          <w:tcPr>
            <w:tcW w:w="1343" w:type="dxa"/>
          </w:tcPr>
          <w:p w14:paraId="4A9E90E2"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402901F2"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003C8493"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CB69ED8"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74F89B16"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00628253"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3D49BF" w:rsidRPr="007D162C" w14:paraId="03F2819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D3DD4E" w14:textId="77777777" w:rsidR="003D49BF" w:rsidRPr="007D162C" w:rsidRDefault="003D49BF" w:rsidP="00C17787">
            <w:r w:rsidRPr="007D162C">
              <w:t xml:space="preserve">Non-regulatory </w:t>
            </w:r>
          </w:p>
        </w:tc>
        <w:tc>
          <w:tcPr>
            <w:tcW w:w="1343" w:type="dxa"/>
            <w:vAlign w:val="center"/>
          </w:tcPr>
          <w:p w14:paraId="4ADDC889"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vAlign w:val="center"/>
          </w:tcPr>
          <w:p w14:paraId="39630962"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276BD7BC" w14:textId="77777777" w:rsidR="003D49BF"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vAlign w:val="center"/>
          </w:tcPr>
          <w:p w14:paraId="6F4006AF"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vAlign w:val="center"/>
          </w:tcPr>
          <w:p w14:paraId="064D5B0B"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vAlign w:val="center"/>
          </w:tcPr>
          <w:p w14:paraId="60AA6506" w14:textId="77777777" w:rsidR="003D49BF" w:rsidRPr="007D162C" w:rsidRDefault="003D49BF" w:rsidP="00C17787">
            <w:pPr>
              <w:cnfStyle w:val="000000000000" w:firstRow="0" w:lastRow="0" w:firstColumn="0" w:lastColumn="0" w:oddVBand="0" w:evenVBand="0" w:oddHBand="0" w:evenHBand="0" w:firstRowFirstColumn="0" w:firstRowLastColumn="0" w:lastRowFirstColumn="0" w:lastRowLastColumn="0"/>
            </w:pPr>
            <w:r w:rsidRPr="007D162C">
              <w:t>Yes</w:t>
            </w:r>
          </w:p>
        </w:tc>
      </w:tr>
      <w:tr w:rsidR="003D49BF" w:rsidRPr="007D162C" w14:paraId="66CF71F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61E1E9" w14:textId="77777777" w:rsidR="003D49BF" w:rsidRPr="007D162C" w:rsidRDefault="003D49BF" w:rsidP="00C17787">
            <w:r w:rsidRPr="007D162C">
              <w:t>Regulatory</w:t>
            </w:r>
          </w:p>
        </w:tc>
        <w:tc>
          <w:tcPr>
            <w:tcW w:w="1343" w:type="dxa"/>
            <w:vAlign w:val="center"/>
          </w:tcPr>
          <w:p w14:paraId="0B2464A4"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vAlign w:val="center"/>
          </w:tcPr>
          <w:p w14:paraId="0E35958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38B58354" w14:textId="77777777" w:rsidR="003D49BF"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vAlign w:val="center"/>
          </w:tcPr>
          <w:p w14:paraId="267C04F5"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vAlign w:val="center"/>
          </w:tcPr>
          <w:p w14:paraId="7ED703DE"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vAlign w:val="center"/>
          </w:tcPr>
          <w:p w14:paraId="19BC45D3" w14:textId="77777777" w:rsidR="003D49BF" w:rsidRPr="007D162C" w:rsidRDefault="003D49BF" w:rsidP="00C17787">
            <w:pPr>
              <w:cnfStyle w:val="000000100000" w:firstRow="0" w:lastRow="0" w:firstColumn="0" w:lastColumn="0" w:oddVBand="0" w:evenVBand="0" w:oddHBand="1" w:evenHBand="0" w:firstRowFirstColumn="0" w:firstRowLastColumn="0" w:lastRowFirstColumn="0" w:lastRowLastColumn="0"/>
            </w:pPr>
            <w:r w:rsidRPr="007D162C">
              <w:t>Yes</w:t>
            </w:r>
          </w:p>
        </w:tc>
      </w:tr>
    </w:tbl>
    <w:p w14:paraId="3F53E10E" w14:textId="77777777" w:rsidR="003D49BF" w:rsidRPr="007D162C" w:rsidRDefault="003D49BF" w:rsidP="003D49BF"/>
    <w:p w14:paraId="0FEDA523" w14:textId="77777777" w:rsidR="003D49BF" w:rsidRPr="007D162C" w:rsidRDefault="003D49BF" w:rsidP="003D49BF">
      <w:pPr>
        <w:pStyle w:val="Heading4"/>
        <w:tabs>
          <w:tab w:val="left" w:pos="284"/>
        </w:tabs>
      </w:pPr>
      <w:r w:rsidRPr="007D162C">
        <w:lastRenderedPageBreak/>
        <w:t xml:space="preserve">Analysis of submissions </w:t>
      </w:r>
    </w:p>
    <w:p w14:paraId="2AE4FB65" w14:textId="77777777" w:rsidR="003D49BF" w:rsidRPr="007D162C" w:rsidRDefault="003D49BF" w:rsidP="003D49BF">
      <w:pPr>
        <w:pStyle w:val="Heading5"/>
      </w:pPr>
      <w:r w:rsidRPr="007D162C">
        <w:t>Status quo</w:t>
      </w:r>
    </w:p>
    <w:p w14:paraId="2D8D16B4" w14:textId="77777777" w:rsidR="003D49BF" w:rsidRPr="007D162C" w:rsidRDefault="003D49BF" w:rsidP="003D49BF">
      <w:r w:rsidRPr="007D162C">
        <w:t xml:space="preserve">Under the status quo, 10 per cent of the total area of the enclosed space of a conveyance must be covered by a hearing augmentation system. </w:t>
      </w:r>
    </w:p>
    <w:p w14:paraId="18ACB609" w14:textId="77777777" w:rsidR="003D49BF" w:rsidRPr="007D162C" w:rsidRDefault="003D49BF" w:rsidP="003D49BF">
      <w:r w:rsidRPr="007D162C">
        <w:t>Several submissions from operators and providers disagreed with the issue statement provided in the Consultation RIS and raised a number of concerns with the proposed requirements of the non-regulatory and regulatory options. These responses noted that their experience very few passengers use hearing augmentation systems to receive information and that many modern hearing aids do not have the ability to connect to the systems. Instead, stakeholders noted that public announcements are provided via visual display screens and other information channels. Two submissions cited internal surveys which suggested a relative preference for information to be provided through visual means, rather than through hearing augmentation systems. Similarly, one submission from industry shared feedback that hearing augmentation systems may already be meeting the needs of passengers.</w:t>
      </w:r>
    </w:p>
    <w:p w14:paraId="34D0250D" w14:textId="77777777" w:rsidR="003D49BF" w:rsidRPr="007D162C" w:rsidRDefault="003D49BF" w:rsidP="003D49BF">
      <w:pPr>
        <w:pStyle w:val="Quote"/>
      </w:pPr>
      <w:r w:rsidRPr="007D162C">
        <w:t xml:space="preserve">A survey of bus and coach operators indicates there is no current systemic issue of hearing augmentation systems not currently meeting accessibility needs. Anecdotal feedback from passengers has suggested a preference not to use radio signal functionality in their hearing aids. </w:t>
      </w:r>
      <w:r w:rsidRPr="007D162C">
        <w:br/>
      </w:r>
      <w:r w:rsidRPr="007D162C">
        <w:br/>
        <w:t>Bus Industry Confederation</w:t>
      </w:r>
    </w:p>
    <w:p w14:paraId="302A3CE3" w14:textId="77777777" w:rsidR="003D49BF" w:rsidRPr="007D162C" w:rsidRDefault="003D49BF" w:rsidP="003D49BF">
      <w:r w:rsidRPr="007D162C">
        <w:t>For these reasons, three submissions from industry and government abstained from providing support for any options presented in the Consultation RIS, and one submission from an operator and provider supported the status quo. Alternatively, one submission suggested deleting references to AS1428.2 (1992) and inserting new guidance material, to align reforms with the modernization of Australian Standards references.</w:t>
      </w:r>
    </w:p>
    <w:p w14:paraId="5F6EB026" w14:textId="77777777" w:rsidR="003D49BF" w:rsidRPr="007D162C" w:rsidRDefault="003D49BF" w:rsidP="003D49BF">
      <w:r w:rsidRPr="007D162C">
        <w:t>Maintaining status quo would incur no additional costs for public transports operators and providers.</w:t>
      </w:r>
    </w:p>
    <w:p w14:paraId="346879EC" w14:textId="77777777" w:rsidR="003D49BF" w:rsidRPr="007D162C" w:rsidRDefault="003D49BF" w:rsidP="003D49BF">
      <w:pPr>
        <w:pStyle w:val="Heading5"/>
      </w:pPr>
      <w:r w:rsidRPr="007D162C">
        <w:t>Non-regulatory</w:t>
      </w:r>
    </w:p>
    <w:p w14:paraId="271A1D97" w14:textId="77777777" w:rsidR="003D49BF" w:rsidRPr="007D162C" w:rsidRDefault="003D49BF" w:rsidP="003D49BF">
      <w:r w:rsidRPr="007D162C">
        <w:t xml:space="preserve">There was mixed support for the non-regulatory option from industry and government. Several submissions noted that although greater coverage of hearing augmentation systems would benefit some passengers, there may be more effective alternatives to hearing loop technology, as many modern hearing aids not contain the telecoil switch required to use hearing augmentation systems. Similarly, the majority of these submissions raised concerns that the proposed 100 per cent coverage requirement proposed in the regulatory option is unfeasible, due to the presence of strong electrical currents common in public transport infrastructure locations. Likewise, there was broad acknowledgement that hearing augmentation is exceedingly difficult to implement in aircraft and is therefore unsuitable for regulation. In these cases, alternative forms of information delivery such as direct assistance are more appropriate. </w:t>
      </w:r>
    </w:p>
    <w:p w14:paraId="2FEDEEF1" w14:textId="77777777" w:rsidR="003D49BF" w:rsidRPr="007D162C" w:rsidRDefault="003D49BF" w:rsidP="003D49BF">
      <w:r w:rsidRPr="007D162C">
        <w:t>For this reason, a number of submissions stated the current minimum requirements should be preserved and accompanied with additional best practice guidance on the use of other modern assistive listening systems that may be more suitable for use in a public transport environment.</w:t>
      </w:r>
    </w:p>
    <w:p w14:paraId="55F45928" w14:textId="77777777" w:rsidR="003D49BF" w:rsidRPr="007D162C" w:rsidRDefault="003D49BF" w:rsidP="003D49BF">
      <w:pPr>
        <w:pStyle w:val="Heading5"/>
      </w:pPr>
      <w:r w:rsidRPr="007D162C">
        <w:t>Regulatory</w:t>
      </w:r>
    </w:p>
    <w:p w14:paraId="1A0D49EC" w14:textId="77777777" w:rsidR="003D49BF" w:rsidRPr="007D162C" w:rsidRDefault="08D050C4" w:rsidP="003D49BF">
      <w:r w:rsidRPr="007D162C">
        <w:t xml:space="preserve">All submissions from individuals, people with disability and disability organisations supported the regulatory option. These submissions noted that the Transport Standards reference a thirty-year-old standard, and widening the requirements for hearing augmentation systems will positively impact the travelling experience of passengers of these systems. </w:t>
      </w:r>
    </w:p>
    <w:p w14:paraId="0AD995EA" w14:textId="77777777" w:rsidR="003D49BF" w:rsidRPr="007D162C" w:rsidRDefault="08D050C4" w:rsidP="003D49BF">
      <w:r w:rsidRPr="007D162C">
        <w:t xml:space="preserve">All submissions from the disability community preferred option 1, stating it would provide greater certainty to people with disability. There was mixed support for sub-option 1 and sub-option 2 from these submissions. Those who favoured sub-option 1 noted the relative strength of the requirements compared with sub-option 2, providing the greatest possible benefit for passengers. These submissions noted that in circumstances where environmental factors impact full compliance, equivalent access processes can be enacted. Those who </w:t>
      </w:r>
      <w:r w:rsidRPr="007D162C">
        <w:lastRenderedPageBreak/>
        <w:t xml:space="preserve">supported sub-option 2 noted that in practice, 100 per cent coverage may not be possible due to technical and operational challenges. To ensure passengers are aware of these limitations, two submissions noted the importance of signage to designate areas with coverage. </w:t>
      </w:r>
    </w:p>
    <w:p w14:paraId="5858E7CE" w14:textId="77777777" w:rsidR="003D49BF" w:rsidRPr="007D162C" w:rsidRDefault="08D050C4" w:rsidP="003D49BF">
      <w:r w:rsidRPr="007D162C">
        <w:t xml:space="preserve">Three submissions from government and one submission from industry supported option 1 to provide the greatest level of certainty to passengers of hearing augmentation systems. One submission from government, although supportive of the regulatory option, noted that the prescriptive requirements proposed may not be appropriate for implementation in future rollingstock as prescriptive requirements could limit innovation, whilst retrospective implementation may be challenging. The submission flagged that there may be future opportunities to digitise hearing augmentation through emerging solutions, which must be considered in the broader modernisation of the Transport Standards. Two submissions from government were supportive of sub-option 1, noting that it would provide the greatest net benefit to passengers. One submission from industry favoured sub-option 2, noting that significant challenges may be encountered with meeting uninterrupted 100 per cent coverage across a conveyance both retrospectively and prospectively. For this reason, the submission highlighted the important role of other technologies in providing equivalent messaging, such as passenger information displays. </w:t>
      </w:r>
    </w:p>
    <w:p w14:paraId="65C1B3B5" w14:textId="77777777" w:rsidR="003D49BF" w:rsidRPr="007D162C" w:rsidRDefault="08D050C4" w:rsidP="003D49BF">
      <w:r w:rsidRPr="007D162C">
        <w:t>Two submissions from government and two submissions from industry supported option 2, as it specifically outlines criteria for when a public address system is in active operational use and would represent a functional accessibility improvement to passengers who require hearing augmentation. The majority of these submissions favoured sub-option 2. To address environmental and operational constraints, one submission from industry noted the flexibility of option 2 to provide contingency to operators and providers. One submission from industry also noted that the requirements proposed in option 1 may not accommodate how conveyances are used. The submission outlined how some conveyances with installed PA systems have transitioned to different types of work – for example, route bus transferred to work as a school bus – which makes the PA system redundant. One submission from government also noted that the retrospective application of proposed requirements may be challenging and, in some cases, cost prohibitive.</w:t>
      </w:r>
    </w:p>
    <w:p w14:paraId="531819D8" w14:textId="77777777" w:rsidR="003D49BF" w:rsidRPr="007D162C" w:rsidRDefault="003D49BF" w:rsidP="003D49BF">
      <w:pPr>
        <w:pStyle w:val="Heading4"/>
        <w:tabs>
          <w:tab w:val="left" w:pos="284"/>
        </w:tabs>
      </w:pPr>
      <w:r w:rsidRPr="007D162C">
        <w:t>Preferred option</w:t>
      </w:r>
    </w:p>
    <w:p w14:paraId="5EA44D4E" w14:textId="77777777" w:rsidR="003D49BF" w:rsidRPr="007D162C" w:rsidRDefault="003D49BF" w:rsidP="003D49BF">
      <w:r w:rsidRPr="007D162C">
        <w:t xml:space="preserve">Informed by the outcomes of consultation, stakeholder impacts, cost and outcomes analysis, the preferred option is the </w:t>
      </w:r>
      <w:r w:rsidRPr="007D162C">
        <w:rPr>
          <w:b/>
        </w:rPr>
        <w:t>status quo</w:t>
      </w:r>
      <w:r w:rsidRPr="007D162C">
        <w:t xml:space="preserve">, with further consultation, investigation and research recommended to determine whether future reforms are required. </w:t>
      </w:r>
    </w:p>
    <w:p w14:paraId="6036A15F" w14:textId="24478181" w:rsidR="003D49BF" w:rsidRPr="007D162C" w:rsidRDefault="003D49BF" w:rsidP="003D49BF">
      <w:r w:rsidRPr="007D162C">
        <w:t>The majority of submissions from industry and government raised concerns regarding the feasibility of the proposed requirements in the context of public transport conveyances. Similarly, multiple submissions questioned whether the proposed requirements align with contemporary best practice for assistive listening systems, and suggested that alternative solutions may deliver a greater net benefit to people with disability. Responses from the disability sector were unanimous in supporting reform to improve the coverage of hearing augmentation systems to provide equitable access to information for passengers with t-coil equipped hearing aids.</w:t>
      </w:r>
    </w:p>
    <w:p w14:paraId="5ECD45ED" w14:textId="77777777" w:rsidR="00834937" w:rsidRPr="007D162C" w:rsidRDefault="08D050C4" w:rsidP="08D050C4">
      <w:pPr>
        <w:rPr>
          <w:lang w:val="en-AU"/>
        </w:rPr>
      </w:pPr>
      <w:r w:rsidRPr="007D162C">
        <w:t xml:space="preserve">Consultations found the provision of information in multiple accessible formats is essential; however, the extent of dissenting views on the proposed issue and options requires further consultation. This Decision RIS proposes the establishment of a working group consisting of hearing augmentation system users and representative organisations, public transport operators and providers and governments. The working group would consider the feasibility of installing hearing augmentation systems in public transport operating environments and the viability of emerging digital solutions. To ensure alignment amongst hearing augmentation reforms, consultations should be conducted in conjunction with hearing augmentation requirements for premises and infrastructure, as outlined in Chapter 10 of this Decision RIS. </w:t>
      </w:r>
    </w:p>
    <w:p w14:paraId="040081AC" w14:textId="7DDC943D" w:rsidR="00834937" w:rsidRPr="007D162C" w:rsidRDefault="00834937" w:rsidP="00834937">
      <w:pPr>
        <w:rPr>
          <w:lang w:val="en-AU"/>
        </w:rPr>
      </w:pPr>
      <w:bookmarkStart w:id="259" w:name="_Hlk130480333"/>
      <w:r w:rsidRPr="007D162C">
        <w:t>The working group would report its finding to the National Accessible Transport Steering Committee.</w:t>
      </w:r>
      <w:bookmarkEnd w:id="259"/>
      <w:r w:rsidRPr="007D162C">
        <w:t xml:space="preserve"> Before any amendments to the Transport Standards could be considered a consultation process, regulatory impact analysis and Ministerial consideration would be required.</w:t>
      </w:r>
    </w:p>
    <w:p w14:paraId="38F23532" w14:textId="2C8FD484" w:rsidR="00C17787" w:rsidRPr="007D162C" w:rsidRDefault="003D49BF" w:rsidP="003D49BF">
      <w:r w:rsidRPr="007D162C">
        <w:t>The status quo will not impose additional costs on operators or providers</w:t>
      </w:r>
      <w:bookmarkEnd w:id="252"/>
      <w:r w:rsidRPr="007D162C">
        <w:t>.</w:t>
      </w:r>
    </w:p>
    <w:p w14:paraId="06BCA4D6" w14:textId="77777777" w:rsidR="00C17787" w:rsidRPr="007D162C" w:rsidRDefault="00C17787" w:rsidP="005D5D77">
      <w:pPr>
        <w:pStyle w:val="Heading2"/>
        <w:numPr>
          <w:ilvl w:val="0"/>
          <w:numId w:val="26"/>
        </w:numPr>
        <w:ind w:hanging="1146"/>
        <w:jc w:val="center"/>
      </w:pPr>
      <w:bookmarkStart w:id="260" w:name="_Toc112050090"/>
      <w:bookmarkStart w:id="261" w:name="_Toc127351759"/>
      <w:bookmarkStart w:id="262" w:name="_Toc140239717"/>
      <w:bookmarkStart w:id="263" w:name="_Hlk129273438"/>
      <w:r w:rsidRPr="007D162C">
        <w:lastRenderedPageBreak/>
        <w:t>Hearing augmentation: Infrastructure and premises</w:t>
      </w:r>
      <w:bookmarkEnd w:id="260"/>
      <w:bookmarkEnd w:id="261"/>
      <w:bookmarkEnd w:id="262"/>
    </w:p>
    <w:p w14:paraId="0E0C4FC8" w14:textId="77777777" w:rsidR="00C17787" w:rsidRPr="007D162C" w:rsidRDefault="00C17787" w:rsidP="00C17787">
      <w:pPr>
        <w:pStyle w:val="Heading4"/>
        <w:tabs>
          <w:tab w:val="left" w:pos="284"/>
        </w:tabs>
      </w:pPr>
      <w:r w:rsidRPr="007D162C">
        <w:t>Issue</w:t>
      </w:r>
    </w:p>
    <w:p w14:paraId="095D5B50" w14:textId="115644D0" w:rsidR="00C17787" w:rsidRPr="007D162C" w:rsidRDefault="00C17787" w:rsidP="00C17787">
      <w:r w:rsidRPr="007D162C">
        <w:t xml:space="preserve">Section 26.1 </w:t>
      </w:r>
      <w:r w:rsidR="009F3C35">
        <w:t xml:space="preserve">of the </w:t>
      </w:r>
      <w:r w:rsidRPr="007D162C">
        <w:t>Transport Standards includes requirements for hearing augmentation systems installed in public transport premises, except premises to which the Premises Standards apply</w:t>
      </w:r>
      <w:r w:rsidR="009F3C35">
        <w:t>,</w:t>
      </w:r>
      <w:r w:rsidRPr="007D162C">
        <w:t xml:space="preserve"> and infrastructure. However, these requirements reference outdated Australian Standards for hearing augmentation systems, and do not include requirements for operators and providers to advise passengers about which assistive listening devices are compatible with their systems.</w:t>
      </w:r>
    </w:p>
    <w:p w14:paraId="5D84D39E" w14:textId="4C95EBFE" w:rsidR="00C17787" w:rsidRPr="007D162C" w:rsidRDefault="00C17787" w:rsidP="00C17787">
      <w:r w:rsidRPr="007D162C">
        <w:t xml:space="preserve">Collective government action would strengthen requirements for hearing augmentation systems on </w:t>
      </w:r>
      <w:r w:rsidR="00A06601" w:rsidRPr="007D162C">
        <w:t>premises and infrastructure</w:t>
      </w:r>
      <w:r w:rsidRPr="007D162C">
        <w:t xml:space="preserve"> and promote consistency through alignment with requirements in the Premises Standards, and would address key stakeholder issues raised through the Transport Standards review processes.</w:t>
      </w:r>
    </w:p>
    <w:p w14:paraId="4BB74025" w14:textId="77777777" w:rsidR="00C17787" w:rsidRPr="007D162C" w:rsidRDefault="00C17787" w:rsidP="00C17787">
      <w:pPr>
        <w:pStyle w:val="Heading4"/>
        <w:tabs>
          <w:tab w:val="left" w:pos="284"/>
        </w:tabs>
      </w:pPr>
      <w:r w:rsidRPr="007D162C">
        <w:t>Reform options</w:t>
      </w:r>
    </w:p>
    <w:p w14:paraId="5024ACEC" w14:textId="77777777" w:rsidR="00C17787" w:rsidRPr="007D162C" w:rsidRDefault="00C17787" w:rsidP="00C17787">
      <w:pPr>
        <w:tabs>
          <w:tab w:val="left" w:pos="284"/>
        </w:tabs>
      </w:pPr>
      <w:r w:rsidRPr="007D162C">
        <w:t>Following is a summary of the proposed options for this reform. Full details of each reform option is provided at Appendix A.</w:t>
      </w:r>
    </w:p>
    <w:p w14:paraId="2A0ABFA3" w14:textId="480955E2" w:rsidR="00C17787" w:rsidRPr="007D162C" w:rsidRDefault="00C17787" w:rsidP="00C17787">
      <w:pPr>
        <w:pStyle w:val="Tablefigureheading"/>
      </w:pPr>
      <w:bookmarkStart w:id="264" w:name="_Toc122446341"/>
      <w:bookmarkStart w:id="265" w:name="_Toc139969191"/>
      <w:r w:rsidRPr="007D162C">
        <w:t xml:space="preserve">Table </w:t>
      </w:r>
      <w:fldSimple w:instr=" SEQ Table \* ARABIC ">
        <w:r w:rsidR="00DC26AC">
          <w:rPr>
            <w:noProof/>
          </w:rPr>
          <w:t>33</w:t>
        </w:r>
      </w:fldSimple>
      <w:r w:rsidRPr="007D162C">
        <w:rPr>
          <w:noProof/>
        </w:rPr>
        <w:t>:</w:t>
      </w:r>
      <w:r w:rsidRPr="007D162C">
        <w:t xml:space="preserve"> Reform options for </w:t>
      </w:r>
      <w:r w:rsidR="00754992" w:rsidRPr="007D162C">
        <w:t>H</w:t>
      </w:r>
      <w:r w:rsidRPr="007D162C">
        <w:t>earing augmentation: infrastructure and premises</w:t>
      </w:r>
      <w:bookmarkEnd w:id="264"/>
      <w:bookmarkEnd w:id="265"/>
    </w:p>
    <w:tbl>
      <w:tblPr>
        <w:tblStyle w:val="DefaultTable1"/>
        <w:tblW w:w="9072" w:type="dxa"/>
        <w:tblLook w:val="04A0" w:firstRow="1" w:lastRow="0" w:firstColumn="1" w:lastColumn="0" w:noHBand="0" w:noVBand="1"/>
        <w:tblCaption w:val="Reform options for hearing augmentation: infrastructure and premises"/>
        <w:tblDescription w:val="This table provides a description of each of the options for this reform area. Status quo, non-regulatory and regulatory."/>
      </w:tblPr>
      <w:tblGrid>
        <w:gridCol w:w="2232"/>
        <w:gridCol w:w="6840"/>
      </w:tblGrid>
      <w:tr w:rsidR="00C17787" w:rsidRPr="007D162C" w14:paraId="7DD5064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966AB40" w14:textId="77777777" w:rsidR="00C17787" w:rsidRPr="007D162C" w:rsidRDefault="00C17787" w:rsidP="00C17787">
            <w:r w:rsidRPr="007D162C">
              <w:t>Option</w:t>
            </w:r>
          </w:p>
        </w:tc>
        <w:tc>
          <w:tcPr>
            <w:tcW w:w="6840" w:type="dxa"/>
          </w:tcPr>
          <w:p w14:paraId="72C4AAB0" w14:textId="77777777" w:rsidR="00C17787" w:rsidRPr="007D162C" w:rsidRDefault="00C17787" w:rsidP="00C17787">
            <w:pPr>
              <w:cnfStyle w:val="100000000000" w:firstRow="1" w:lastRow="0" w:firstColumn="0" w:lastColumn="0" w:oddVBand="0" w:evenVBand="0" w:oddHBand="0" w:evenHBand="0" w:firstRowFirstColumn="0" w:firstRowLastColumn="0" w:lastRowFirstColumn="0" w:lastRowLastColumn="0"/>
            </w:pPr>
            <w:r w:rsidRPr="007D162C">
              <w:t>Description</w:t>
            </w:r>
          </w:p>
        </w:tc>
      </w:tr>
      <w:tr w:rsidR="00C17787" w:rsidRPr="007D162C" w14:paraId="226E4ED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05E40EE" w14:textId="77777777" w:rsidR="00C17787" w:rsidRPr="007D162C" w:rsidRDefault="00C17787" w:rsidP="00C17787">
            <w:r w:rsidRPr="007D162C">
              <w:t>Status Quo</w:t>
            </w:r>
          </w:p>
        </w:tc>
        <w:tc>
          <w:tcPr>
            <w:tcW w:w="6840" w:type="dxa"/>
          </w:tcPr>
          <w:p w14:paraId="6AEDEFC2"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require that 10% of the total area covered by an amplified system that communicates public information in public transport infrastructure and premises be covered by a hearing augmentation system.</w:t>
            </w:r>
          </w:p>
          <w:p w14:paraId="4513C4B6"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C17787" w:rsidRPr="007D162C" w14:paraId="0295F9A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CD43877" w14:textId="77777777" w:rsidR="00C17787" w:rsidRPr="007D162C" w:rsidRDefault="00C17787" w:rsidP="00C17787">
            <w:r w:rsidRPr="007D162C">
              <w:t>Non-Regulatory</w:t>
            </w:r>
          </w:p>
        </w:tc>
        <w:tc>
          <w:tcPr>
            <w:tcW w:w="6840" w:type="dxa"/>
          </w:tcPr>
          <w:p w14:paraId="748738AB"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Guidance would be developed to encourage</w:t>
            </w:r>
            <w:r w:rsidRPr="007D162C">
              <w:rPr>
                <w:b/>
              </w:rPr>
              <w:t xml:space="preserve"> </w:t>
            </w:r>
            <w:r w:rsidRPr="007D162C">
              <w:t>operators and providers to, where a public address system is installed, ensure the message broadcast in accessible format be received in the maximum area covered by the public address system and be identifiable by the international symbol for deafness.</w:t>
            </w:r>
          </w:p>
        </w:tc>
      </w:tr>
      <w:tr w:rsidR="00C17787" w:rsidRPr="007D162C" w14:paraId="4DF70A2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E981792" w14:textId="77777777" w:rsidR="00C17787" w:rsidRPr="007D162C" w:rsidRDefault="00C17787" w:rsidP="00C17787">
            <w:r w:rsidRPr="007D162C">
              <w:t xml:space="preserve">Regulatory </w:t>
            </w:r>
          </w:p>
        </w:tc>
        <w:tc>
          <w:tcPr>
            <w:tcW w:w="6840" w:type="dxa"/>
          </w:tcPr>
          <w:p w14:paraId="3BCD1EF3"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 xml:space="preserve">There are 2 regulatory options that were consulted on. </w:t>
            </w:r>
          </w:p>
          <w:p w14:paraId="472911C4"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0D9B5C9B"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that, if installed, a magnetic induction system must cover at least 80% of the area served by the public address system. Boundaries of the area served by the hearing augmentation system must be designated by the international access symbol for deafness where the total area is not covered.</w:t>
            </w:r>
          </w:p>
          <w:p w14:paraId="1C3C55F7"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1BAAC49"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The Transport Standards would be amended so any hearing augmentation systems must cover the maximum area practicable and at least those areas in which staff assistance is available.</w:t>
            </w:r>
          </w:p>
          <w:p w14:paraId="01705845"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rPr>
                <w:b/>
              </w:rPr>
            </w:pPr>
            <w:r w:rsidRPr="007D162C">
              <w:t>Guidance would be provided to reflect any new requirements.</w:t>
            </w:r>
          </w:p>
        </w:tc>
      </w:tr>
    </w:tbl>
    <w:p w14:paraId="194E92FB" w14:textId="77777777" w:rsidR="00C17787" w:rsidRPr="007D162C" w:rsidRDefault="00C17787" w:rsidP="00C17787">
      <w:pPr>
        <w:pStyle w:val="Heading4"/>
        <w:tabs>
          <w:tab w:val="left" w:pos="284"/>
        </w:tabs>
      </w:pPr>
      <w:r w:rsidRPr="007D162C">
        <w:t>Cost benefit analysis</w:t>
      </w:r>
    </w:p>
    <w:p w14:paraId="76696752" w14:textId="77777777" w:rsidR="00C17787" w:rsidRPr="007D162C" w:rsidRDefault="00C17787" w:rsidP="00C1778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4ADA136" w14:textId="77777777" w:rsidR="00C17787" w:rsidRPr="007D162C" w:rsidRDefault="00C17787" w:rsidP="00C17787">
      <w:r w:rsidRPr="007D162C">
        <w:t xml:space="preserve">The following categories of quantitative costs and benefits were identified in the CBA as pertaining to the reform options. </w:t>
      </w:r>
    </w:p>
    <w:p w14:paraId="540E6829" w14:textId="3E2E2CDC" w:rsidR="00C17787" w:rsidRPr="007D162C" w:rsidRDefault="00C17787" w:rsidP="00C17787">
      <w:pPr>
        <w:pStyle w:val="Tablefigureheading"/>
      </w:pPr>
      <w:bookmarkStart w:id="266" w:name="_Toc122446342"/>
      <w:bookmarkStart w:id="267" w:name="_Toc139969192"/>
      <w:r w:rsidRPr="007D162C">
        <w:lastRenderedPageBreak/>
        <w:t xml:space="preserve">Table </w:t>
      </w:r>
      <w:fldSimple w:instr=" SEQ Table \* ARABIC ">
        <w:r w:rsidR="00DC26AC">
          <w:rPr>
            <w:noProof/>
          </w:rPr>
          <w:t>34</w:t>
        </w:r>
      </w:fldSimple>
      <w:r w:rsidRPr="007D162C">
        <w:t xml:space="preserve">: Benefit-cost ratios for </w:t>
      </w:r>
      <w:r w:rsidR="00754992" w:rsidRPr="007D162C">
        <w:t>H</w:t>
      </w:r>
      <w:r w:rsidRPr="007D162C">
        <w:t>earing augmentation: infrastructure and premises</w:t>
      </w:r>
      <w:bookmarkEnd w:id="266"/>
      <w:bookmarkEnd w:id="267"/>
    </w:p>
    <w:tbl>
      <w:tblPr>
        <w:tblStyle w:val="DefaultTable1"/>
        <w:tblW w:w="9864" w:type="dxa"/>
        <w:tblLook w:val="04A0" w:firstRow="1" w:lastRow="0" w:firstColumn="1" w:lastColumn="0" w:noHBand="0" w:noVBand="1"/>
        <w:tblCaption w:val="Benefit-cost ratios for hearing augmentation: infrastructure and premises"/>
        <w:tblDescription w:val="This table provides the monetised benefits and costs for each of the options for this reform area."/>
      </w:tblPr>
      <w:tblGrid>
        <w:gridCol w:w="1985"/>
        <w:gridCol w:w="1417"/>
        <w:gridCol w:w="1701"/>
        <w:gridCol w:w="1985"/>
        <w:gridCol w:w="1701"/>
        <w:gridCol w:w="1075"/>
      </w:tblGrid>
      <w:tr w:rsidR="00C17787" w:rsidRPr="007D162C" w14:paraId="09909A7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47BEDB0A" w14:textId="77777777" w:rsidR="00C17787" w:rsidRPr="007D162C" w:rsidRDefault="08D050C4" w:rsidP="00C17787">
            <w:r w:rsidRPr="007D162C">
              <w:t>Reform Option</w:t>
            </w:r>
          </w:p>
        </w:tc>
        <w:tc>
          <w:tcPr>
            <w:tcW w:w="1417" w:type="dxa"/>
          </w:tcPr>
          <w:p w14:paraId="7FE5E8EB"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2257ADB"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985" w:type="dxa"/>
          </w:tcPr>
          <w:p w14:paraId="62E6E438"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4ECE2F2E"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56F4D4B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BCR</w:t>
            </w:r>
          </w:p>
        </w:tc>
      </w:tr>
      <w:tr w:rsidR="00C17787" w:rsidRPr="007D162C" w14:paraId="1B1439C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828CFE" w14:textId="77777777" w:rsidR="00C17787" w:rsidRPr="007D162C" w:rsidRDefault="00C17787" w:rsidP="00C17787">
            <w:r w:rsidRPr="007D162C">
              <w:t>Status Quo</w:t>
            </w:r>
          </w:p>
        </w:tc>
        <w:tc>
          <w:tcPr>
            <w:tcW w:w="1417" w:type="dxa"/>
          </w:tcPr>
          <w:p w14:paraId="2A67A3D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6506734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985" w:type="dxa"/>
          </w:tcPr>
          <w:p w14:paraId="43827A9C"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7FA69580"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75" w:type="dxa"/>
          </w:tcPr>
          <w:p w14:paraId="34C23FBE"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17787" w:rsidRPr="007D162C" w14:paraId="6BD4131B" w14:textId="77777777" w:rsidTr="08D050C4">
        <w:tc>
          <w:tcPr>
            <w:cnfStyle w:val="001000000000" w:firstRow="0" w:lastRow="0" w:firstColumn="1" w:lastColumn="0" w:oddVBand="0" w:evenVBand="0" w:oddHBand="0" w:evenHBand="0" w:firstRowFirstColumn="0" w:firstRowLastColumn="0" w:lastRowFirstColumn="0" w:lastRowLastColumn="0"/>
            <w:tcW w:w="1985" w:type="dxa"/>
          </w:tcPr>
          <w:p w14:paraId="71F8AA3B" w14:textId="77777777" w:rsidR="00C17787" w:rsidRPr="007D162C" w:rsidRDefault="00C17787" w:rsidP="00C17787">
            <w:r w:rsidRPr="007D162C">
              <w:t xml:space="preserve">Non-regulatory </w:t>
            </w:r>
          </w:p>
        </w:tc>
        <w:tc>
          <w:tcPr>
            <w:tcW w:w="1417" w:type="dxa"/>
            <w:vAlign w:val="center"/>
          </w:tcPr>
          <w:p w14:paraId="6BA782B5"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17.1</w:t>
            </w:r>
          </w:p>
        </w:tc>
        <w:tc>
          <w:tcPr>
            <w:tcW w:w="1701" w:type="dxa"/>
            <w:vAlign w:val="center"/>
          </w:tcPr>
          <w:p w14:paraId="144E3B8A"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1.6</w:t>
            </w:r>
          </w:p>
        </w:tc>
        <w:tc>
          <w:tcPr>
            <w:tcW w:w="1985" w:type="dxa"/>
            <w:vAlign w:val="center"/>
          </w:tcPr>
          <w:p w14:paraId="184ED242"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3.8</w:t>
            </w:r>
          </w:p>
        </w:tc>
        <w:tc>
          <w:tcPr>
            <w:tcW w:w="1701" w:type="dxa"/>
            <w:vAlign w:val="center"/>
          </w:tcPr>
          <w:p w14:paraId="22E4FF80"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rPr>
                <w:vertAlign w:val="superscript"/>
              </w:rPr>
            </w:pPr>
            <w:r w:rsidRPr="007D162C">
              <w:t>5.8</w:t>
            </w:r>
            <w:r w:rsidR="004815D7" w:rsidRPr="007D162C">
              <w:rPr>
                <w:vertAlign w:val="superscript"/>
              </w:rPr>
              <w:t>i</w:t>
            </w:r>
          </w:p>
        </w:tc>
        <w:tc>
          <w:tcPr>
            <w:tcW w:w="1075" w:type="dxa"/>
            <w:vAlign w:val="center"/>
          </w:tcPr>
          <w:p w14:paraId="462A9CF4" w14:textId="77777777" w:rsidR="00C17787"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2.96</w:t>
            </w:r>
          </w:p>
        </w:tc>
      </w:tr>
      <w:tr w:rsidR="00C17787" w:rsidRPr="007D162C" w14:paraId="2C6AD7D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EDE42D" w14:textId="77777777" w:rsidR="00C17787" w:rsidRPr="007D162C" w:rsidRDefault="00C17787" w:rsidP="00C17787">
            <w:r w:rsidRPr="007D162C">
              <w:t>Regulatory</w:t>
            </w:r>
          </w:p>
        </w:tc>
        <w:tc>
          <w:tcPr>
            <w:tcW w:w="1417" w:type="dxa"/>
            <w:vAlign w:val="center"/>
          </w:tcPr>
          <w:p w14:paraId="5E576571"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99.7</w:t>
            </w:r>
          </w:p>
        </w:tc>
        <w:tc>
          <w:tcPr>
            <w:tcW w:w="1701" w:type="dxa"/>
            <w:vAlign w:val="center"/>
          </w:tcPr>
          <w:p w14:paraId="59DB8ABF"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3.0</w:t>
            </w:r>
          </w:p>
        </w:tc>
        <w:tc>
          <w:tcPr>
            <w:tcW w:w="1985" w:type="dxa"/>
            <w:vAlign w:val="center"/>
          </w:tcPr>
          <w:p w14:paraId="5666B467"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7.6</w:t>
            </w:r>
          </w:p>
        </w:tc>
        <w:tc>
          <w:tcPr>
            <w:tcW w:w="1701" w:type="dxa"/>
            <w:vAlign w:val="center"/>
          </w:tcPr>
          <w:p w14:paraId="3D23A64A"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14.8</w:t>
            </w:r>
          </w:p>
        </w:tc>
        <w:tc>
          <w:tcPr>
            <w:tcW w:w="1075" w:type="dxa"/>
            <w:vAlign w:val="center"/>
          </w:tcPr>
          <w:p w14:paraId="1BAF3AAE" w14:textId="77777777" w:rsidR="00C17787"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6.73</w:t>
            </w:r>
          </w:p>
        </w:tc>
      </w:tr>
    </w:tbl>
    <w:p w14:paraId="19E80B09" w14:textId="77777777" w:rsidR="00C17787" w:rsidRPr="007D162C" w:rsidRDefault="00C17787" w:rsidP="00C17787">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5FC1243" w14:textId="2E8B3AF4" w:rsidR="00C17787" w:rsidRPr="007D162C" w:rsidRDefault="004815D7" w:rsidP="00C17787">
      <w:pPr>
        <w:spacing w:before="120" w:after="0"/>
        <w:rPr>
          <w:sz w:val="18"/>
          <w:szCs w:val="18"/>
        </w:rPr>
      </w:pPr>
      <w:r w:rsidRPr="007D162C">
        <w:rPr>
          <w:sz w:val="18"/>
          <w:szCs w:val="18"/>
          <w:vertAlign w:val="superscript"/>
        </w:rPr>
        <w:t>(</w:t>
      </w:r>
      <w:r w:rsidR="00A06601">
        <w:rPr>
          <w:sz w:val="18"/>
          <w:szCs w:val="18"/>
          <w:vertAlign w:val="superscript"/>
        </w:rPr>
        <w:t>i</w:t>
      </w:r>
      <w:r w:rsidRPr="007D162C">
        <w:rPr>
          <w:sz w:val="18"/>
          <w:szCs w:val="18"/>
          <w:vertAlign w:val="superscript"/>
        </w:rPr>
        <w:t>)</w:t>
      </w:r>
      <w:r w:rsidRPr="007D162C">
        <w:rPr>
          <w:sz w:val="18"/>
          <w:szCs w:val="18"/>
        </w:rPr>
        <w:t xml:space="preserve"> Non</w:t>
      </w:r>
      <w:r w:rsidR="00C17787" w:rsidRPr="007D162C">
        <w:rPr>
          <w:sz w:val="18"/>
          <w:szCs w:val="18"/>
        </w:rPr>
        <w:t>-regulatory compliance rates are calculated using assumptions about retrospective and prospective take-up rates, and are not a percentage of the regulatory costs.</w:t>
      </w:r>
    </w:p>
    <w:p w14:paraId="625584CE" w14:textId="77777777" w:rsidR="00C17787" w:rsidRPr="007D162C" w:rsidRDefault="00C17787" w:rsidP="00C17787">
      <w:pPr>
        <w:spacing w:before="120" w:after="0"/>
        <w:rPr>
          <w:sz w:val="20"/>
          <w:szCs w:val="20"/>
        </w:rPr>
      </w:pPr>
    </w:p>
    <w:p w14:paraId="05D4C568" w14:textId="77777777" w:rsidR="00C17787" w:rsidRPr="007D162C" w:rsidRDefault="00C17787" w:rsidP="00C17787">
      <w:pPr>
        <w:pStyle w:val="Heading6"/>
      </w:pPr>
      <w:r w:rsidRPr="007D162C">
        <w:t>Considerations to note in interpreting analysis</w:t>
      </w:r>
    </w:p>
    <w:p w14:paraId="4EA5CFD7" w14:textId="77777777" w:rsidR="00C17787" w:rsidRPr="007D162C" w:rsidRDefault="00C17787" w:rsidP="00C17787">
      <w:pPr>
        <w:pStyle w:val="Heading7"/>
      </w:pPr>
      <w:r w:rsidRPr="007D162C">
        <w:t>Limitations</w:t>
      </w:r>
    </w:p>
    <w:p w14:paraId="4A2359A0" w14:textId="77777777" w:rsidR="00C17787" w:rsidRPr="007D162C" w:rsidRDefault="00C17787" w:rsidP="00105D34">
      <w:pPr>
        <w:pStyle w:val="Heading8"/>
      </w:pPr>
      <w:r w:rsidRPr="007D162C">
        <w:t>Non-regulatory</w:t>
      </w:r>
    </w:p>
    <w:p w14:paraId="493225E4" w14:textId="5D7FD84F" w:rsidR="00C17787" w:rsidRPr="007D162C" w:rsidRDefault="00C17787" w:rsidP="00C17787">
      <w:r w:rsidRPr="007D162C">
        <w:t>The costs and benefits associated with the non-regulatory reform are lower than its regulatory counterpart reflecting an assumed lower rate of compliance with the reform. An estimated rate of uptake of 15</w:t>
      </w:r>
      <w:r w:rsidR="00A06601">
        <w:t xml:space="preserve"> per cent</w:t>
      </w:r>
      <w:r w:rsidRPr="007D162C">
        <w:t xml:space="preserve"> was applied to the non-regulatory option based on the high cost and technical complexity raised in submissions to implement with the guidance. This implies that the benefits and costs quantified for this non-regulatory reform may not reflect future take-up of the reform.</w:t>
      </w:r>
    </w:p>
    <w:p w14:paraId="23E482B5" w14:textId="77777777" w:rsidR="00C17787" w:rsidRPr="007D162C" w:rsidRDefault="00C17787" w:rsidP="00105D34">
      <w:pPr>
        <w:pStyle w:val="Heading8"/>
      </w:pPr>
      <w:r w:rsidRPr="007D162C">
        <w:t>Regulatory</w:t>
      </w:r>
    </w:p>
    <w:p w14:paraId="10771C4B" w14:textId="0D687B17" w:rsidR="00C17787" w:rsidRPr="007D162C" w:rsidRDefault="00C17787" w:rsidP="00C17787">
      <w:r w:rsidRPr="007D162C">
        <w:t>The benefits and costs of this reform reflect a magnetic induction system, covering at least 80</w:t>
      </w:r>
      <w:r w:rsidR="00A06601">
        <w:t xml:space="preserve"> per cent</w:t>
      </w:r>
      <w:r w:rsidRPr="007D162C">
        <w:t xml:space="preserve"> of infrastructure and premises, and testing of that system, providing accessibility to those with hearing impairments improving their safety, amenity and accessibility while using public transport.</w:t>
      </w:r>
    </w:p>
    <w:p w14:paraId="4485281C" w14:textId="77777777" w:rsidR="00C17787" w:rsidRPr="007D162C" w:rsidRDefault="00C17787" w:rsidP="00C17787">
      <w:r w:rsidRPr="007D162C">
        <w:t>The costs reflect the training required to test a hearing loop system and ongoing testing to maintain continuity of service provided by the Department.</w:t>
      </w:r>
    </w:p>
    <w:p w14:paraId="4360A339" w14:textId="77777777" w:rsidR="00C17787" w:rsidRPr="007D162C" w:rsidRDefault="00C17787" w:rsidP="00105D34">
      <w:pPr>
        <w:pStyle w:val="Heading8"/>
      </w:pPr>
      <w:r w:rsidRPr="007D162C">
        <w:t>Interdependencies</w:t>
      </w:r>
    </w:p>
    <w:p w14:paraId="6D628E82" w14:textId="77777777" w:rsidR="00C17787" w:rsidRPr="007D162C" w:rsidRDefault="08D050C4" w:rsidP="00C17787">
      <w:r w:rsidRPr="007D162C">
        <w:t>The accessibility benefits of this reform will only be realised if there was equitable access across the whole public transport journey, with benefits reliant on implementation of other reforms such as hearing augmentation on conveyances.</w:t>
      </w:r>
    </w:p>
    <w:p w14:paraId="7901F208" w14:textId="77777777" w:rsidR="00C17787" w:rsidRPr="007D162C" w:rsidRDefault="00C17787" w:rsidP="00C1778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AAF10D2" w14:textId="77777777" w:rsidR="00C17787" w:rsidRPr="007D162C" w:rsidRDefault="00C17787" w:rsidP="00C17787">
      <w:r w:rsidRPr="007D162C">
        <w:t>The following categories of qualitative benefits were identified in the CBA as pertaining to the reform options.</w:t>
      </w:r>
    </w:p>
    <w:p w14:paraId="09252222" w14:textId="4F949C7B" w:rsidR="00C17787" w:rsidRPr="007D162C" w:rsidRDefault="00C17787" w:rsidP="00C17787">
      <w:pPr>
        <w:pStyle w:val="Tablefigureheading"/>
      </w:pPr>
      <w:bookmarkStart w:id="268" w:name="_Toc122446343"/>
      <w:bookmarkStart w:id="269" w:name="_Toc139969193"/>
      <w:r w:rsidRPr="007D162C">
        <w:t xml:space="preserve">Table </w:t>
      </w:r>
      <w:fldSimple w:instr=" SEQ Table \* ARABIC ">
        <w:r w:rsidR="00DC26AC">
          <w:rPr>
            <w:noProof/>
          </w:rPr>
          <w:t>35</w:t>
        </w:r>
      </w:fldSimple>
      <w:r w:rsidRPr="007D162C">
        <w:t>:</w:t>
      </w:r>
      <w:r w:rsidRPr="007D162C">
        <w:rPr>
          <w:noProof/>
        </w:rPr>
        <w:t xml:space="preserve"> </w:t>
      </w:r>
      <w:r w:rsidRPr="007D162C">
        <w:t xml:space="preserve">Qualitative benefits for </w:t>
      </w:r>
      <w:r w:rsidR="00754992" w:rsidRPr="007D162C">
        <w:t>H</w:t>
      </w:r>
      <w:r w:rsidRPr="007D162C">
        <w:t>earing augmentation: infrastructure and premises</w:t>
      </w:r>
      <w:bookmarkEnd w:id="268"/>
      <w:bookmarkEnd w:id="269"/>
    </w:p>
    <w:tbl>
      <w:tblPr>
        <w:tblStyle w:val="DefaultTable1"/>
        <w:tblW w:w="9864" w:type="dxa"/>
        <w:tblLook w:val="04A0" w:firstRow="1" w:lastRow="0" w:firstColumn="1" w:lastColumn="0" w:noHBand="0" w:noVBand="1"/>
        <w:tblCaption w:val="Qualitative benefits for hearing augmentation: infrastructure and premises"/>
      </w:tblPr>
      <w:tblGrid>
        <w:gridCol w:w="1213"/>
        <w:gridCol w:w="1343"/>
        <w:gridCol w:w="1626"/>
        <w:gridCol w:w="1300"/>
        <w:gridCol w:w="1278"/>
        <w:gridCol w:w="1641"/>
        <w:gridCol w:w="1463"/>
      </w:tblGrid>
      <w:tr w:rsidR="00C17787" w:rsidRPr="007D162C" w14:paraId="1656BFF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09B1DA8" w14:textId="77777777" w:rsidR="00C17787" w:rsidRPr="007D162C" w:rsidRDefault="08D050C4" w:rsidP="00C17787">
            <w:r w:rsidRPr="007D162C">
              <w:t>Reform Option</w:t>
            </w:r>
          </w:p>
        </w:tc>
        <w:tc>
          <w:tcPr>
            <w:tcW w:w="1343" w:type="dxa"/>
          </w:tcPr>
          <w:p w14:paraId="09CDB5CA"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3C3AE5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5035282"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B813373"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69F7DBF"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FA7E05A" w14:textId="77777777" w:rsidR="00C17787" w:rsidRPr="007D162C" w:rsidRDefault="08D050C4" w:rsidP="00C17787">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C17787" w:rsidRPr="007D162C" w14:paraId="6EDFFA5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0FA739" w14:textId="77777777" w:rsidR="00C17787" w:rsidRPr="007D162C" w:rsidRDefault="00C17787" w:rsidP="00C17787">
            <w:r w:rsidRPr="007D162C">
              <w:t>Status Quo</w:t>
            </w:r>
          </w:p>
        </w:tc>
        <w:tc>
          <w:tcPr>
            <w:tcW w:w="1343" w:type="dxa"/>
          </w:tcPr>
          <w:p w14:paraId="088F018A"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713AB7B6"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74A6C43D"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3CC35391"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C69C1CF"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703CFDC2"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C17787" w:rsidRPr="007D162C" w14:paraId="465D219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193564A" w14:textId="77777777" w:rsidR="00C17787" w:rsidRPr="007D162C" w:rsidRDefault="00C17787" w:rsidP="00C17787">
            <w:r w:rsidRPr="007D162C">
              <w:t xml:space="preserve">Non-regulatory </w:t>
            </w:r>
          </w:p>
        </w:tc>
        <w:tc>
          <w:tcPr>
            <w:tcW w:w="1343" w:type="dxa"/>
          </w:tcPr>
          <w:p w14:paraId="2C620C68"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4882BC1C"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A775F34"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308C3059" w14:textId="77777777" w:rsidR="00C17787" w:rsidRPr="007D162C" w:rsidRDefault="00C17787" w:rsidP="00C17787">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0D2793BD"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425B5F20" w14:textId="77777777" w:rsidR="00C17787" w:rsidRPr="007D162C" w:rsidRDefault="08D050C4" w:rsidP="00C17787">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C17787" w:rsidRPr="007D162C" w14:paraId="4A284CC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DDBACC" w14:textId="77777777" w:rsidR="00C17787" w:rsidRPr="007D162C" w:rsidRDefault="00C17787" w:rsidP="00C17787">
            <w:r w:rsidRPr="007D162C">
              <w:t>Regulatory</w:t>
            </w:r>
          </w:p>
        </w:tc>
        <w:tc>
          <w:tcPr>
            <w:tcW w:w="1343" w:type="dxa"/>
          </w:tcPr>
          <w:p w14:paraId="3E541F5E"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C442B58"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E3FB2C7"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CBA2DAD" w14:textId="77777777" w:rsidR="00C17787" w:rsidRPr="007D162C" w:rsidRDefault="00C17787" w:rsidP="00C17787">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5D76EDDC"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368FEA9D" w14:textId="77777777" w:rsidR="00C17787" w:rsidRPr="007D162C" w:rsidRDefault="08D050C4" w:rsidP="00C17787">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07160334" w14:textId="77777777" w:rsidR="00C17787" w:rsidRPr="007D162C" w:rsidRDefault="00C17787" w:rsidP="00C17787"/>
    <w:p w14:paraId="72858900" w14:textId="77777777" w:rsidR="00C17787" w:rsidRPr="007D162C" w:rsidRDefault="00C17787" w:rsidP="00C17787">
      <w:pPr>
        <w:pStyle w:val="Heading4"/>
        <w:tabs>
          <w:tab w:val="left" w:pos="284"/>
        </w:tabs>
      </w:pPr>
      <w:r w:rsidRPr="007D162C">
        <w:lastRenderedPageBreak/>
        <w:t xml:space="preserve">Analysis of submissions </w:t>
      </w:r>
    </w:p>
    <w:p w14:paraId="07E5BE2A" w14:textId="77777777" w:rsidR="00C17787" w:rsidRPr="007D162C" w:rsidRDefault="00C17787" w:rsidP="00C17787">
      <w:pPr>
        <w:pStyle w:val="Heading5"/>
      </w:pPr>
      <w:r w:rsidRPr="007D162C">
        <w:t>Status quo</w:t>
      </w:r>
    </w:p>
    <w:p w14:paraId="13BCF9CC" w14:textId="77777777" w:rsidR="00C17787" w:rsidRPr="007D162C" w:rsidRDefault="00C17787" w:rsidP="00C17787">
      <w:r w:rsidRPr="007D162C">
        <w:t xml:space="preserve">The Transport Standards requires that 10 per cent of the total area covered by an amplified system that communicates public information in public transport infrastructure and premises be covered by a hearing augmentation system. Feedback from people with disability highlighted that this may lead to situations where a person using a hearing aid may be unable to receive information being broadcast over the public address system depending on where they are located. </w:t>
      </w:r>
    </w:p>
    <w:p w14:paraId="53C7C4D9" w14:textId="77777777" w:rsidR="00C17787" w:rsidRPr="007D162C" w:rsidRDefault="00C17787" w:rsidP="00C17787">
      <w:r w:rsidRPr="007D162C">
        <w:t>Four submissions from government provided feedback regarding the extent of the issue outlined in the Consultation RIS. Feedback received during consultation from industry and government noted that anecdotally, the use of hearing augmentation systems is not widespread and more appropriate solutions may be available for use in public transport environments. Submissions noted that cost-effective assistive technologies are increasingly available, which potentially render hearing loop technologies obsolete. Additionally, one submission from government noted the use of features such as visual display screens, which may be preferable for passengers. For this reason, submissions questioned whether regulatory reform would result in tangible customer benefit or deliver value for money.</w:t>
      </w:r>
    </w:p>
    <w:p w14:paraId="31D7AC73" w14:textId="77777777" w:rsidR="00C17787" w:rsidRPr="007D162C" w:rsidRDefault="00C17787" w:rsidP="00C17787">
      <w:r w:rsidRPr="007D162C">
        <w:t>Two submissions from government supported the status quo option. One submission noted that currently, they install hearing augmentation systems in key areas where there is seating, help points and other key features where passengers tend to congregate. This was noted as being effective and supports the distribution of information to passengers. One submission supported the status quo, due to limited ability to assess the impacts across their network. The submission did state, however, that a non-regulatory option could be supported in the future to accommodate new technological innovations.</w:t>
      </w:r>
    </w:p>
    <w:p w14:paraId="39FF75AB" w14:textId="77777777" w:rsidR="00C17787" w:rsidRPr="007D162C" w:rsidRDefault="00C17787" w:rsidP="00C17787">
      <w:r w:rsidRPr="007D162C">
        <w:t>Maintaining that status quo would incur no additional costs for public transports operators and providers.</w:t>
      </w:r>
    </w:p>
    <w:p w14:paraId="1851FC50" w14:textId="77777777" w:rsidR="00C17787" w:rsidRPr="007D162C" w:rsidRDefault="00C17787" w:rsidP="00C17787">
      <w:pPr>
        <w:pStyle w:val="Heading5"/>
      </w:pPr>
      <w:r w:rsidRPr="007D162C">
        <w:t>Non-regulatory</w:t>
      </w:r>
    </w:p>
    <w:p w14:paraId="1C493EB7" w14:textId="77777777" w:rsidR="00C17787" w:rsidRPr="007D162C" w:rsidRDefault="00C17787" w:rsidP="00C17787">
      <w:r w:rsidRPr="007D162C">
        <w:t xml:space="preserve">Three submissions from industry and three submissions from government supported the non-regulatory option. These submissions noted that whilst increasing the coverage of hearing loop systems in infrastructure and premises will benefit some customers, there may be better alternatives to induction loop technology. These submissions noted that for this reason, the proposed regulatory option is overly prescriptive and does not adequately allow for new systems and technologies, which could achieve superior customer outcomes, to be easily adopted. </w:t>
      </w:r>
    </w:p>
    <w:p w14:paraId="40F7A80E" w14:textId="7C46CA30" w:rsidR="00C17787" w:rsidRPr="007D162C" w:rsidRDefault="00C17787" w:rsidP="00C17787">
      <w:r w:rsidRPr="007D162C">
        <w:t>Submissions noted it is important that flexibility remains in recognition of the constraints in specific contexts such as operational heavy rail environments. These submissions noted that the presence of strong electric currents makes installing large-scale hearing loops technically challenging and prohibitively expensive. Additionally, these submissions advocated that coverage should be based on customer journey stages and functional zones, rather than arbitrary targets. Due to the need for flexibility to accommodate these limitations, these submissions preferred the non-regulatory option.</w:t>
      </w:r>
    </w:p>
    <w:p w14:paraId="77F6F60D" w14:textId="77777777" w:rsidR="00C17787" w:rsidRPr="007D162C" w:rsidRDefault="00C17787" w:rsidP="00C17787">
      <w:r w:rsidRPr="007D162C">
        <w:t xml:space="preserve">Additionally, one submission from government raised concerns with the issue statement included in the Consultation RIS. The Issue section states “…the Premises Standards require hearing augmentation systems to cover 80-95 per cent of the area covered by the amplified system that communicates public information”. The submission stated that while this is technically true, the Premises Standards only requires this under specific circumstances, which may not be applicable in the context of public transport premises and infrastructure. </w:t>
      </w:r>
    </w:p>
    <w:p w14:paraId="584A502D" w14:textId="77777777" w:rsidR="00C17787" w:rsidRPr="007D162C" w:rsidRDefault="00C17787" w:rsidP="00C17787">
      <w:pPr>
        <w:pStyle w:val="Heading5"/>
      </w:pPr>
      <w:r w:rsidRPr="007D162C">
        <w:t>Regulatory</w:t>
      </w:r>
    </w:p>
    <w:p w14:paraId="35F2A723" w14:textId="77777777" w:rsidR="00C17787" w:rsidRPr="007D162C" w:rsidRDefault="08D050C4" w:rsidP="00C17787">
      <w:r w:rsidRPr="007D162C">
        <w:t xml:space="preserve">All submissions from individuals, people with disability and disability organisations supported the regulatory options. These submissions noted the difference in minimum coverage requirements between the Premises Standards and the Transport Standards, and advocated for harmonisation. These submissions noted that current requirements included in the Transport Standards are inadequate and do not provide a sufficient level of service to people with disability. </w:t>
      </w:r>
    </w:p>
    <w:p w14:paraId="3902CCEC" w14:textId="044E0D3A" w:rsidR="00C17787" w:rsidRPr="007D162C" w:rsidRDefault="00C17787" w:rsidP="00C17787">
      <w:r w:rsidRPr="007D162C">
        <w:lastRenderedPageBreak/>
        <w:t xml:space="preserve">There was a variety of support for regulatory option 1 and option 2 from the disability community. Those who preferred option 1 noted the benefit of providing spatial targets for coverage, and suggested this would provide necessary certainty to people with disability that they can travel without discrimination. Submissions noted the potential for electrical currents to impact compliance, and noted that any site-specific constraints can be addressed through equivalent access or unjustifiable hardship provisions. One submission made a number of suggestions to strengthen guidance. One submission supported option 2, noted it may be difficult for those who use hearing loop systems and also are blind or have low vision to identify the exact area covered by a hearing augmentation system. The submission stated that by providing coverage to </w:t>
      </w:r>
      <w:r w:rsidR="00A06601">
        <w:t xml:space="preserve">the </w:t>
      </w:r>
      <w:r w:rsidRPr="007D162C">
        <w:t>maximum practicable area, there will be a greater net benefit to passengers.</w:t>
      </w:r>
    </w:p>
    <w:p w14:paraId="3B7C4018" w14:textId="77777777" w:rsidR="00C17787" w:rsidRPr="007D162C" w:rsidRDefault="00C17787" w:rsidP="00C17787">
      <w:r w:rsidRPr="007D162C">
        <w:t>Two submissions from industry and three submissions from government supported the regulatory option. Submissions noted that the likely impact of reform is minimal, given the proposal aligns the requirements of the Transport Standards with the Premises Standards. However, one submission from government noted that the potential impact of new regulations on the implementation of new assistive listening technologies must be considered to ensure the Transport Standards remain fit-for-purpose.</w:t>
      </w:r>
    </w:p>
    <w:p w14:paraId="28B3A1B3" w14:textId="3AE0F682" w:rsidR="00C17787" w:rsidRPr="007D162C" w:rsidRDefault="00C17787" w:rsidP="00C17787">
      <w:r w:rsidRPr="007D162C">
        <w:t xml:space="preserve">There was mixed support among these submissions for regulatory option 1 and option 2. </w:t>
      </w:r>
      <w:r w:rsidR="00A06601">
        <w:t>S</w:t>
      </w:r>
      <w:r w:rsidRPr="007D162C">
        <w:t>ubmissions that supported option 1 noted that the proposal aligns with requirements in the Premises Standards. One submission from industry noted in some cases, retrofitting infrastructure to meet requirements may be challenging and therefore requirements should only apply to new assets. Submissions that supported option 2 noted that the requirements would be feasible to implement and</w:t>
      </w:r>
      <w:r w:rsidR="00A06601">
        <w:t xml:space="preserve"> would</w:t>
      </w:r>
      <w:r w:rsidRPr="007D162C">
        <w:t xml:space="preserve"> result in a functional improvement to the accessibility of premises and infrastructure. Additionally, one submission from industry stated that option 2 better accounts for environmental impacts and site complexities.</w:t>
      </w:r>
    </w:p>
    <w:p w14:paraId="0E4F26B9" w14:textId="77777777" w:rsidR="00C17787" w:rsidRPr="007D162C" w:rsidRDefault="00C17787" w:rsidP="00C17787">
      <w:pPr>
        <w:pStyle w:val="Heading4"/>
        <w:tabs>
          <w:tab w:val="left" w:pos="284"/>
        </w:tabs>
      </w:pPr>
      <w:r w:rsidRPr="007D162C">
        <w:t>Preferred option</w:t>
      </w:r>
    </w:p>
    <w:p w14:paraId="0D8D40C1" w14:textId="77777777" w:rsidR="00C17787" w:rsidRPr="007D162C" w:rsidRDefault="00C17787" w:rsidP="00C17787">
      <w:r w:rsidRPr="007D162C">
        <w:t xml:space="preserve">Informed by the outcomes of consultation, stakeholder impacts, cost and outcomes analysis, the preferred option is the </w:t>
      </w:r>
      <w:r w:rsidRPr="007D162C">
        <w:rPr>
          <w:b/>
        </w:rPr>
        <w:t>status quo</w:t>
      </w:r>
      <w:r w:rsidRPr="007D162C">
        <w:t xml:space="preserve">. Further consultation, investigation and research is recommended to determine whether additional reforms are required. </w:t>
      </w:r>
    </w:p>
    <w:p w14:paraId="7EF9F2C4" w14:textId="77777777" w:rsidR="00C17787" w:rsidRPr="007D162C" w:rsidRDefault="00C17787" w:rsidP="00C17787">
      <w:r w:rsidRPr="007D162C">
        <w:t xml:space="preserve">The majority of submissions from industry and government raised concerns regarding the feasibility of the proposed requirements in the context of public transport operating environments. Similarly, multiple submissions questioned whether the proposed requirements align with contemporary best practice for assistive listening systems, and suggested that alternative solutions may deliver a greater net benefit to people with disability. </w:t>
      </w:r>
    </w:p>
    <w:p w14:paraId="55E3546B" w14:textId="77777777" w:rsidR="00C17787" w:rsidRPr="007D162C" w:rsidRDefault="00C17787" w:rsidP="00C17787">
      <w:r w:rsidRPr="007D162C">
        <w:t>Industry and government provided mixed support for the regulatory, non-regulatory and status quo options. Responses from the disability sector were unanimous in supporting reform to improve the coverage of hearing augmentation systems to provide equitable access to information for passengers with t-coil equipped hearing aids.</w:t>
      </w:r>
    </w:p>
    <w:p w14:paraId="0147F8F2" w14:textId="4AD30A89" w:rsidR="00D3677C" w:rsidRPr="007D162C" w:rsidRDefault="08D050C4" w:rsidP="08D050C4">
      <w:pPr>
        <w:rPr>
          <w:lang w:val="en-AU"/>
        </w:rPr>
      </w:pPr>
      <w:r w:rsidRPr="007D162C">
        <w:t xml:space="preserve">Consultations found the provision of information in multiple accessible formats is essential; however, the extent of dissenting views on the proposed issue and options requires further consultation. This Decision RIS proposes the establishment of a working group consisting of hearing augmentation system users and representative organisations, public transport operators and providers and governments. The working group would consider the feasibility of installing hearing augmentation systems in public transport operating environments and the viability of emerging digital solutions. To ensure alignment amongst hearing augmentation reforms, consultations should be conducted in conjunction with hearing augmentation requirements for conveyances, as outlined in Chapter 9 of this Decision RIS. </w:t>
      </w:r>
    </w:p>
    <w:p w14:paraId="4126056D" w14:textId="77777777" w:rsidR="00D3677C" w:rsidRPr="007D162C" w:rsidRDefault="00D3677C" w:rsidP="00D3677C">
      <w:pPr>
        <w:rPr>
          <w:lang w:val="en-AU"/>
        </w:rPr>
      </w:pPr>
      <w:r w:rsidRPr="007D162C">
        <w:t>The working group would report its finding to the National Accessible Transport Steering Committee. Before any amendments to the Transport Standards could be considered a consultation process, regulatory impact analysis and Ministerial consideration would be required.</w:t>
      </w:r>
    </w:p>
    <w:p w14:paraId="370DCC38" w14:textId="750E7BE5" w:rsidR="007F04B4" w:rsidRPr="007D162C" w:rsidRDefault="00C17787" w:rsidP="00C17787">
      <w:r w:rsidRPr="007D162C">
        <w:t>The status quo will not impose additional costs on operators or providers.</w:t>
      </w:r>
    </w:p>
    <w:bookmarkEnd w:id="263"/>
    <w:p w14:paraId="27606041" w14:textId="77777777" w:rsidR="007F04B4" w:rsidRPr="007D162C" w:rsidRDefault="007F04B4" w:rsidP="007F04B4">
      <w:r w:rsidRPr="007D162C">
        <w:br w:type="page"/>
      </w:r>
    </w:p>
    <w:p w14:paraId="37596446" w14:textId="1EE43107" w:rsidR="007F04B4" w:rsidRPr="007D162C" w:rsidRDefault="007F04B4" w:rsidP="005D5D77">
      <w:pPr>
        <w:pStyle w:val="Heading2"/>
        <w:numPr>
          <w:ilvl w:val="0"/>
          <w:numId w:val="26"/>
        </w:numPr>
        <w:ind w:hanging="720"/>
      </w:pPr>
      <w:bookmarkStart w:id="270" w:name="_Toc112050091"/>
      <w:bookmarkStart w:id="271" w:name="_Toc127351760"/>
      <w:bookmarkStart w:id="272" w:name="_Toc140239718"/>
      <w:r w:rsidRPr="007D162C">
        <w:lastRenderedPageBreak/>
        <w:t>Print size and format</w:t>
      </w:r>
      <w:bookmarkEnd w:id="270"/>
      <w:bookmarkEnd w:id="271"/>
      <w:bookmarkEnd w:id="272"/>
    </w:p>
    <w:p w14:paraId="7B688FEB" w14:textId="77777777" w:rsidR="007F04B4" w:rsidRPr="007D162C" w:rsidRDefault="007F04B4" w:rsidP="007F04B4">
      <w:pPr>
        <w:pStyle w:val="Heading4"/>
      </w:pPr>
      <w:r w:rsidRPr="007D162C">
        <w:t xml:space="preserve">Issue </w:t>
      </w:r>
    </w:p>
    <w:p w14:paraId="756616F0" w14:textId="1F1079E5" w:rsidR="007F04B4" w:rsidRPr="007D162C" w:rsidRDefault="007F04B4" w:rsidP="007F04B4">
      <w:r w:rsidRPr="007D162C">
        <w:t>Section 27.3</w:t>
      </w:r>
      <w:r w:rsidR="009F3C35">
        <w:t xml:space="preserve"> of the </w:t>
      </w:r>
      <w:r w:rsidRPr="007D162C">
        <w:t>Transport Standards includes requirements for large print. Section 27.3 does not specify, however, font weight and text justification for large print. This is not best practice and does not meet the varying needs of people with low vision or other print disabilities.</w:t>
      </w:r>
    </w:p>
    <w:p w14:paraId="688AFD08" w14:textId="77777777" w:rsidR="007F04B4" w:rsidRPr="007D162C" w:rsidRDefault="007F04B4" w:rsidP="007F04B4">
      <w:r w:rsidRPr="007D162C">
        <w:t>Collective government action would strengthen requirements for large print resources and address key stakeholder issues raised through the Transport Standards review process.</w:t>
      </w:r>
    </w:p>
    <w:p w14:paraId="371A01E2" w14:textId="77777777" w:rsidR="007F04B4" w:rsidRPr="007D162C" w:rsidRDefault="007F04B4" w:rsidP="007F04B4">
      <w:pPr>
        <w:pStyle w:val="Heading4"/>
        <w:tabs>
          <w:tab w:val="left" w:pos="284"/>
        </w:tabs>
      </w:pPr>
      <w:r w:rsidRPr="007D162C">
        <w:t>Reform options</w:t>
      </w:r>
    </w:p>
    <w:p w14:paraId="7BC71D1B" w14:textId="77777777" w:rsidR="007F04B4" w:rsidRPr="007D162C" w:rsidRDefault="007F04B4" w:rsidP="007F04B4">
      <w:pPr>
        <w:tabs>
          <w:tab w:val="left" w:pos="284"/>
        </w:tabs>
      </w:pPr>
      <w:r w:rsidRPr="007D162C">
        <w:t>Following is a summary of the proposed options for this reform. Full details of each reform option is provided at Appendix A.</w:t>
      </w:r>
    </w:p>
    <w:p w14:paraId="20B48521" w14:textId="150E399D" w:rsidR="007F04B4" w:rsidRPr="007D162C" w:rsidRDefault="007F04B4" w:rsidP="007F04B4">
      <w:pPr>
        <w:pStyle w:val="Tablefigureheading"/>
      </w:pPr>
      <w:bookmarkStart w:id="273" w:name="_Toc122446344"/>
      <w:bookmarkStart w:id="274" w:name="_Toc139969194"/>
      <w:r w:rsidRPr="007D162C">
        <w:t xml:space="preserve">Table </w:t>
      </w:r>
      <w:fldSimple w:instr=" SEQ Table \* ARABIC ">
        <w:r w:rsidR="00DC26AC">
          <w:rPr>
            <w:noProof/>
          </w:rPr>
          <w:t>36</w:t>
        </w:r>
      </w:fldSimple>
      <w:r w:rsidRPr="007D162C">
        <w:rPr>
          <w:noProof/>
        </w:rPr>
        <w:t>:</w:t>
      </w:r>
      <w:r w:rsidRPr="007D162C">
        <w:t xml:space="preserve"> Reform options for </w:t>
      </w:r>
      <w:r w:rsidR="00754992" w:rsidRPr="007D162C">
        <w:t>P</w:t>
      </w:r>
      <w:r w:rsidRPr="007D162C">
        <w:t>rint size and format</w:t>
      </w:r>
      <w:bookmarkEnd w:id="273"/>
      <w:bookmarkEnd w:id="274"/>
    </w:p>
    <w:tbl>
      <w:tblPr>
        <w:tblStyle w:val="DefaultTable1"/>
        <w:tblW w:w="9072" w:type="dxa"/>
        <w:tblLook w:val="04A0" w:firstRow="1" w:lastRow="0" w:firstColumn="1" w:lastColumn="0" w:noHBand="0" w:noVBand="1"/>
        <w:tblCaption w:val="Reform options for print size and format"/>
        <w:tblDescription w:val="This table provides a description of each of the options for this reform area. Status quo, non-regulatory and regulatory."/>
      </w:tblPr>
      <w:tblGrid>
        <w:gridCol w:w="2232"/>
        <w:gridCol w:w="6840"/>
      </w:tblGrid>
      <w:tr w:rsidR="007F04B4" w:rsidRPr="007D162C" w14:paraId="36AB7B9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48640141" w14:textId="77777777" w:rsidR="007F04B4" w:rsidRPr="007D162C" w:rsidRDefault="007F04B4" w:rsidP="007F04B4">
            <w:r w:rsidRPr="007D162C">
              <w:t>Option</w:t>
            </w:r>
          </w:p>
        </w:tc>
        <w:tc>
          <w:tcPr>
            <w:tcW w:w="6840" w:type="dxa"/>
          </w:tcPr>
          <w:p w14:paraId="3F90F248" w14:textId="77777777" w:rsidR="007F04B4" w:rsidRPr="007D162C" w:rsidRDefault="007F04B4" w:rsidP="007F04B4">
            <w:pPr>
              <w:cnfStyle w:val="100000000000" w:firstRow="1" w:lastRow="0" w:firstColumn="0" w:lastColumn="0" w:oddVBand="0" w:evenVBand="0" w:oddHBand="0" w:evenHBand="0" w:firstRowFirstColumn="0" w:firstRowLastColumn="0" w:lastRowFirstColumn="0" w:lastRowLastColumn="0"/>
            </w:pPr>
            <w:r w:rsidRPr="007D162C">
              <w:t>Description</w:t>
            </w:r>
          </w:p>
        </w:tc>
      </w:tr>
      <w:tr w:rsidR="007F04B4" w:rsidRPr="007D162C" w14:paraId="1158BF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B0211F" w14:textId="77777777" w:rsidR="007F04B4" w:rsidRPr="007D162C" w:rsidRDefault="007F04B4" w:rsidP="007F04B4">
            <w:r w:rsidRPr="007D162C">
              <w:t>Status Quo</w:t>
            </w:r>
          </w:p>
        </w:tc>
        <w:tc>
          <w:tcPr>
            <w:tcW w:w="6840" w:type="dxa"/>
          </w:tcPr>
          <w:p w14:paraId="5EF38BFC"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stipulate requirements for font size and format, however are silent on specifications for font weight and text justification for large print.</w:t>
            </w:r>
          </w:p>
          <w:p w14:paraId="404E27C6"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F04B4" w:rsidRPr="007D162C" w14:paraId="02E5309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4C9CCFD" w14:textId="77777777" w:rsidR="007F04B4" w:rsidRPr="007D162C" w:rsidRDefault="007F04B4" w:rsidP="007F04B4">
            <w:r w:rsidRPr="007D162C">
              <w:t>Non-Regulatory</w:t>
            </w:r>
          </w:p>
        </w:tc>
        <w:tc>
          <w:tcPr>
            <w:tcW w:w="6840" w:type="dxa"/>
          </w:tcPr>
          <w:p w14:paraId="1CC9C05B"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pPr>
            <w:r w:rsidRPr="007D162C">
              <w:t>Guidance would be developed that provides advice on appropriate large print font size, types of font, luminance contrast between text and background, weighted font, the justification of text and the use of sentence case.</w:t>
            </w:r>
          </w:p>
        </w:tc>
      </w:tr>
      <w:tr w:rsidR="007F04B4" w:rsidRPr="007D162C" w14:paraId="1D2410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D86AA70" w14:textId="77777777" w:rsidR="007F04B4" w:rsidRPr="007D162C" w:rsidRDefault="007F04B4" w:rsidP="007F04B4">
            <w:r w:rsidRPr="007D162C">
              <w:t>Regulatory</w:t>
            </w:r>
          </w:p>
        </w:tc>
        <w:tc>
          <w:tcPr>
            <w:tcW w:w="6840" w:type="dxa"/>
          </w:tcPr>
          <w:p w14:paraId="22455565"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large print formats, including luminance contrast between text and background, font weight, and text justification.</w:t>
            </w:r>
          </w:p>
          <w:p w14:paraId="58E9D1D7"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0B905DB7" w14:textId="77777777" w:rsidR="007F04B4" w:rsidRPr="007D162C" w:rsidRDefault="007F04B4" w:rsidP="007F04B4"/>
    <w:p w14:paraId="3C67EFA0" w14:textId="77777777" w:rsidR="007F04B4" w:rsidRPr="007D162C" w:rsidRDefault="007F04B4" w:rsidP="007F04B4">
      <w:pPr>
        <w:pStyle w:val="Heading4"/>
        <w:tabs>
          <w:tab w:val="left" w:pos="284"/>
        </w:tabs>
      </w:pPr>
      <w:r w:rsidRPr="007D162C">
        <w:t>Cost benefit analysis</w:t>
      </w:r>
    </w:p>
    <w:p w14:paraId="7A60A52A" w14:textId="77777777" w:rsidR="007F04B4" w:rsidRPr="007D162C" w:rsidRDefault="007F04B4" w:rsidP="007F04B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6759F44B" w14:textId="07399CF6" w:rsidR="00A06601" w:rsidRDefault="007F04B4" w:rsidP="00161F41">
      <w:r w:rsidRPr="007D162C">
        <w:t xml:space="preserve">The following categories of quantitative costs and benefits were identified in the CBA as pertaining to the reform options. </w:t>
      </w:r>
    </w:p>
    <w:p w14:paraId="55AB1295" w14:textId="2942B2DF" w:rsidR="007F04B4" w:rsidRPr="007D162C" w:rsidRDefault="007F04B4" w:rsidP="002766EE">
      <w:pPr>
        <w:pStyle w:val="Tablefigureheading"/>
      </w:pPr>
      <w:bookmarkStart w:id="275" w:name="_Toc122446345"/>
      <w:bookmarkStart w:id="276" w:name="_Toc139969195"/>
      <w:r w:rsidRPr="007D162C">
        <w:t xml:space="preserve">Table </w:t>
      </w:r>
      <w:fldSimple w:instr=" SEQ Table \* ARABIC ">
        <w:r w:rsidR="00DC26AC">
          <w:rPr>
            <w:noProof/>
          </w:rPr>
          <w:t>37</w:t>
        </w:r>
      </w:fldSimple>
      <w:r w:rsidRPr="007D162C">
        <w:t xml:space="preserve">: Benefit-cost ratios for </w:t>
      </w:r>
      <w:r w:rsidR="00754992" w:rsidRPr="007D162C">
        <w:t>P</w:t>
      </w:r>
      <w:r w:rsidRPr="007D162C">
        <w:t>rint size and format</w:t>
      </w:r>
      <w:bookmarkEnd w:id="275"/>
      <w:bookmarkEnd w:id="276"/>
    </w:p>
    <w:tbl>
      <w:tblPr>
        <w:tblStyle w:val="DefaultTable1"/>
        <w:tblW w:w="9864" w:type="dxa"/>
        <w:tblLook w:val="04A0" w:firstRow="1" w:lastRow="0" w:firstColumn="1" w:lastColumn="0" w:noHBand="0" w:noVBand="1"/>
        <w:tblCaption w:val="Benefit-cost ratios for print size and format"/>
        <w:tblDescription w:val="This table provides the monetised benefits and costs for each of the options for this reform area."/>
      </w:tblPr>
      <w:tblGrid>
        <w:gridCol w:w="2410"/>
        <w:gridCol w:w="1276"/>
        <w:gridCol w:w="1741"/>
        <w:gridCol w:w="1692"/>
        <w:gridCol w:w="1685"/>
        <w:gridCol w:w="1060"/>
      </w:tblGrid>
      <w:tr w:rsidR="002766EE" w:rsidRPr="007D162C" w14:paraId="70D3B1B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EF4B14D" w14:textId="77777777" w:rsidR="007F04B4" w:rsidRPr="007D162C" w:rsidRDefault="08D050C4" w:rsidP="007F04B4">
            <w:r w:rsidRPr="007D162C">
              <w:t>Reform Option</w:t>
            </w:r>
          </w:p>
        </w:tc>
        <w:tc>
          <w:tcPr>
            <w:tcW w:w="1276" w:type="dxa"/>
          </w:tcPr>
          <w:p w14:paraId="2C42A247"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41" w:type="dxa"/>
          </w:tcPr>
          <w:p w14:paraId="13584654"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3C8EB166"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49386853"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140722EE"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BCR</w:t>
            </w:r>
          </w:p>
        </w:tc>
      </w:tr>
      <w:tr w:rsidR="002766EE" w:rsidRPr="007D162C" w14:paraId="4B62866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455AE99" w14:textId="77777777" w:rsidR="007F04B4" w:rsidRPr="007D162C" w:rsidRDefault="007F04B4" w:rsidP="007F04B4">
            <w:r w:rsidRPr="007D162C">
              <w:t>Status Quo</w:t>
            </w:r>
          </w:p>
        </w:tc>
        <w:tc>
          <w:tcPr>
            <w:tcW w:w="1276" w:type="dxa"/>
          </w:tcPr>
          <w:p w14:paraId="6617D376"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41" w:type="dxa"/>
          </w:tcPr>
          <w:p w14:paraId="3B183254"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tcPr>
          <w:p w14:paraId="2A4F9FE7"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85" w:type="dxa"/>
          </w:tcPr>
          <w:p w14:paraId="4BB61D29"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60" w:type="dxa"/>
          </w:tcPr>
          <w:p w14:paraId="2489893C"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2766EE" w:rsidRPr="007D162C" w14:paraId="51FA05E4"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1DCA314D" w14:textId="77777777" w:rsidR="007F04B4" w:rsidRPr="007D162C" w:rsidRDefault="007F04B4" w:rsidP="007F04B4">
            <w:r w:rsidRPr="007D162C">
              <w:t xml:space="preserve">Non-regulatory </w:t>
            </w:r>
          </w:p>
        </w:tc>
        <w:tc>
          <w:tcPr>
            <w:tcW w:w="1276" w:type="dxa"/>
            <w:vAlign w:val="center"/>
          </w:tcPr>
          <w:p w14:paraId="70D20653"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13.7</w:t>
            </w:r>
          </w:p>
        </w:tc>
        <w:tc>
          <w:tcPr>
            <w:tcW w:w="1741" w:type="dxa"/>
          </w:tcPr>
          <w:p w14:paraId="44499690"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5621E841"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38.7</w:t>
            </w:r>
          </w:p>
        </w:tc>
        <w:tc>
          <w:tcPr>
            <w:tcW w:w="1685" w:type="dxa"/>
            <w:vAlign w:val="center"/>
          </w:tcPr>
          <w:p w14:paraId="6DD7EC90"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rPr>
                <w:vertAlign w:val="superscript"/>
              </w:rPr>
            </w:pPr>
            <w:r w:rsidRPr="007D162C">
              <w:t>38.7</w:t>
            </w:r>
            <w:r w:rsidR="004815D7" w:rsidRPr="007D162C">
              <w:rPr>
                <w:vertAlign w:val="superscript"/>
              </w:rPr>
              <w:t>i</w:t>
            </w:r>
          </w:p>
        </w:tc>
        <w:tc>
          <w:tcPr>
            <w:tcW w:w="1060" w:type="dxa"/>
            <w:vAlign w:val="center"/>
          </w:tcPr>
          <w:p w14:paraId="0F9B402F" w14:textId="77777777" w:rsidR="007F04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0.35</w:t>
            </w:r>
          </w:p>
        </w:tc>
      </w:tr>
      <w:tr w:rsidR="002766EE" w:rsidRPr="007D162C" w14:paraId="33B04F7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FC0EC38" w14:textId="77777777" w:rsidR="007F04B4" w:rsidRPr="007D162C" w:rsidRDefault="007F04B4" w:rsidP="007F04B4">
            <w:r w:rsidRPr="007D162C">
              <w:t>Regulatory</w:t>
            </w:r>
          </w:p>
        </w:tc>
        <w:tc>
          <w:tcPr>
            <w:tcW w:w="1276" w:type="dxa"/>
            <w:vAlign w:val="center"/>
          </w:tcPr>
          <w:p w14:paraId="27330BDE"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19.3</w:t>
            </w:r>
          </w:p>
        </w:tc>
        <w:tc>
          <w:tcPr>
            <w:tcW w:w="1741" w:type="dxa"/>
          </w:tcPr>
          <w:p w14:paraId="6C5B104C"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7C8D2CD7"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53.5</w:t>
            </w:r>
          </w:p>
        </w:tc>
        <w:tc>
          <w:tcPr>
            <w:tcW w:w="1685" w:type="dxa"/>
            <w:vAlign w:val="center"/>
          </w:tcPr>
          <w:p w14:paraId="4EFE3069"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53.5</w:t>
            </w:r>
          </w:p>
        </w:tc>
        <w:tc>
          <w:tcPr>
            <w:tcW w:w="1060" w:type="dxa"/>
            <w:vAlign w:val="center"/>
          </w:tcPr>
          <w:p w14:paraId="0894132D" w14:textId="77777777" w:rsidR="007F04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0.36</w:t>
            </w:r>
          </w:p>
        </w:tc>
      </w:tr>
    </w:tbl>
    <w:p w14:paraId="0DE5187E" w14:textId="77777777" w:rsidR="007F04B4" w:rsidRPr="007D162C" w:rsidRDefault="007F04B4" w:rsidP="007F04B4">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8E95D36" w14:textId="77777777" w:rsidR="007F04B4"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BA9A661" w14:textId="77777777" w:rsidR="007F04B4" w:rsidRPr="007D162C" w:rsidRDefault="007F04B4" w:rsidP="007F04B4"/>
    <w:p w14:paraId="56608ED6" w14:textId="77777777" w:rsidR="007F04B4" w:rsidRPr="007D162C" w:rsidRDefault="007F04B4" w:rsidP="007F04B4">
      <w:pPr>
        <w:pStyle w:val="Heading6"/>
      </w:pPr>
      <w:r w:rsidRPr="007D162C">
        <w:lastRenderedPageBreak/>
        <w:t>Considerations to note in interpreting analysis</w:t>
      </w:r>
    </w:p>
    <w:p w14:paraId="5154790A" w14:textId="77777777" w:rsidR="007F04B4" w:rsidRPr="007D162C" w:rsidRDefault="007F04B4" w:rsidP="007F04B4">
      <w:pPr>
        <w:pStyle w:val="Heading7"/>
      </w:pPr>
      <w:r w:rsidRPr="007D162C">
        <w:t>Limitations</w:t>
      </w:r>
    </w:p>
    <w:p w14:paraId="30B4518C" w14:textId="77777777" w:rsidR="007F04B4" w:rsidRPr="007D162C" w:rsidRDefault="007F04B4" w:rsidP="00105D34">
      <w:pPr>
        <w:pStyle w:val="Heading8"/>
      </w:pPr>
      <w:r w:rsidRPr="007D162C">
        <w:t>Non-regulatory</w:t>
      </w:r>
    </w:p>
    <w:p w14:paraId="10A92454" w14:textId="0CCE12D4" w:rsidR="007F04B4" w:rsidRPr="007D162C" w:rsidRDefault="007F04B4" w:rsidP="007F04B4">
      <w:r w:rsidRPr="007D162C">
        <w:t>The costs and benefits associated with the non-regulatory reform are lower than its regulatory counterpart reflecting an assumed lower rate of compliance with the reform. An estimated rate of uptake of 75</w:t>
      </w:r>
      <w:r w:rsidR="00A06601">
        <w:t xml:space="preserve"> per cent</w:t>
      </w:r>
      <w:r w:rsidRPr="007D162C">
        <w:t xml:space="preserve"> was applied to the non-regulatory option based on the low cost and complexity of implementing the guidance. This implies that the benefits and costs quantified for this non-regulatory reform may not reflect future take-up of the reform.</w:t>
      </w:r>
    </w:p>
    <w:p w14:paraId="43E37465" w14:textId="77777777" w:rsidR="007F04B4" w:rsidRPr="007D162C" w:rsidRDefault="007F04B4" w:rsidP="00105D34">
      <w:pPr>
        <w:pStyle w:val="Heading8"/>
      </w:pPr>
      <w:r w:rsidRPr="007D162C">
        <w:t>Regulatory</w:t>
      </w:r>
    </w:p>
    <w:p w14:paraId="07F52448" w14:textId="77777777" w:rsidR="007F04B4" w:rsidRPr="007D162C" w:rsidRDefault="007F04B4" w:rsidP="007F04B4">
      <w:r w:rsidRPr="007D162C">
        <w:t>The benefits and costs for this reform were developed from a small number of survey responses and publicly available data on the number of public transport premises, proxied to a national level. This implies the benefits and costs may not reflect the full extent of existing and future compliance.</w:t>
      </w:r>
    </w:p>
    <w:p w14:paraId="627D8C9C" w14:textId="77777777" w:rsidR="007F04B4" w:rsidRPr="007D162C" w:rsidRDefault="007F04B4" w:rsidP="007F04B4">
      <w:r w:rsidRPr="007D162C">
        <w:t>This reform provides benefits only for users with vision impairment throughout their public transport journey.</w:t>
      </w:r>
    </w:p>
    <w:p w14:paraId="05882E31" w14:textId="77777777" w:rsidR="007F04B4" w:rsidRPr="007D162C" w:rsidRDefault="007F04B4" w:rsidP="007F04B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460C865" w14:textId="77777777" w:rsidR="007F04B4" w:rsidRPr="007D162C" w:rsidRDefault="007F04B4" w:rsidP="007F04B4">
      <w:r w:rsidRPr="007D162C">
        <w:t>The following categories of qualitative benefits were identified in the CBA as pertaining to the reform options.</w:t>
      </w:r>
    </w:p>
    <w:p w14:paraId="1FF4A62E" w14:textId="1CD85FCD" w:rsidR="007F04B4" w:rsidRPr="007D162C" w:rsidRDefault="007F04B4" w:rsidP="007F04B4">
      <w:pPr>
        <w:pStyle w:val="Tablefigureheading"/>
      </w:pPr>
      <w:bookmarkStart w:id="277" w:name="_Toc122446346"/>
      <w:bookmarkStart w:id="278" w:name="_Toc139969196"/>
      <w:r w:rsidRPr="007D162C">
        <w:t xml:space="preserve">Table </w:t>
      </w:r>
      <w:fldSimple w:instr=" SEQ Table \* ARABIC ">
        <w:r w:rsidR="00DC26AC">
          <w:rPr>
            <w:noProof/>
          </w:rPr>
          <w:t>38</w:t>
        </w:r>
      </w:fldSimple>
      <w:r w:rsidRPr="007D162C">
        <w:rPr>
          <w:noProof/>
        </w:rPr>
        <w:t xml:space="preserve">: </w:t>
      </w:r>
      <w:r w:rsidRPr="007D162C">
        <w:t xml:space="preserve">Qualitative benefits </w:t>
      </w:r>
      <w:r w:rsidRPr="007D162C">
        <w:rPr>
          <w:noProof/>
        </w:rPr>
        <w:t>for</w:t>
      </w:r>
      <w:r w:rsidRPr="007D162C">
        <w:t xml:space="preserve"> </w:t>
      </w:r>
      <w:r w:rsidR="00754992" w:rsidRPr="007D162C">
        <w:t>P</w:t>
      </w:r>
      <w:r w:rsidRPr="007D162C">
        <w:t>rint size and format</w:t>
      </w:r>
      <w:bookmarkEnd w:id="277"/>
      <w:bookmarkEnd w:id="278"/>
    </w:p>
    <w:tbl>
      <w:tblPr>
        <w:tblStyle w:val="DefaultTable1"/>
        <w:tblW w:w="9864" w:type="dxa"/>
        <w:tblLook w:val="04A0" w:firstRow="1" w:lastRow="0" w:firstColumn="1" w:lastColumn="0" w:noHBand="0" w:noVBand="1"/>
        <w:tblCaption w:val="Qualitative benefits for print size and format"/>
      </w:tblPr>
      <w:tblGrid>
        <w:gridCol w:w="1213"/>
        <w:gridCol w:w="1343"/>
        <w:gridCol w:w="1626"/>
        <w:gridCol w:w="1300"/>
        <w:gridCol w:w="1278"/>
        <w:gridCol w:w="1641"/>
        <w:gridCol w:w="1463"/>
      </w:tblGrid>
      <w:tr w:rsidR="007F04B4" w:rsidRPr="007D162C" w14:paraId="423E6C3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798043D" w14:textId="77777777" w:rsidR="007F04B4" w:rsidRPr="007D162C" w:rsidRDefault="08D050C4" w:rsidP="007F04B4">
            <w:r w:rsidRPr="007D162C">
              <w:t>Reform Option</w:t>
            </w:r>
          </w:p>
        </w:tc>
        <w:tc>
          <w:tcPr>
            <w:tcW w:w="1343" w:type="dxa"/>
          </w:tcPr>
          <w:p w14:paraId="6DE73D3F"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B2596B7"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C13DBFF"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0EBA698"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5B62F0B4"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DB92146" w14:textId="77777777" w:rsidR="007F04B4" w:rsidRPr="007D162C" w:rsidRDefault="08D050C4" w:rsidP="007F04B4">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7F04B4" w:rsidRPr="007D162C" w14:paraId="2BF1453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FCB836D" w14:textId="77777777" w:rsidR="007F04B4" w:rsidRPr="007D162C" w:rsidRDefault="007F04B4" w:rsidP="007F04B4">
            <w:r w:rsidRPr="007D162C">
              <w:t>Status Quo</w:t>
            </w:r>
          </w:p>
        </w:tc>
        <w:tc>
          <w:tcPr>
            <w:tcW w:w="1343" w:type="dxa"/>
          </w:tcPr>
          <w:p w14:paraId="6D7DE4EE"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11C473E0"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300" w:type="dxa"/>
          </w:tcPr>
          <w:p w14:paraId="389E2421"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25DCD1F8"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236FD19D"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13C9488F"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7F04B4" w:rsidRPr="007D162C" w14:paraId="0C53852C"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1F9B383" w14:textId="77777777" w:rsidR="007F04B4" w:rsidRPr="007D162C" w:rsidRDefault="007F04B4" w:rsidP="007F04B4">
            <w:r w:rsidRPr="007D162C">
              <w:t xml:space="preserve">Non-regulatory </w:t>
            </w:r>
          </w:p>
        </w:tc>
        <w:tc>
          <w:tcPr>
            <w:tcW w:w="1343" w:type="dxa"/>
          </w:tcPr>
          <w:p w14:paraId="43688294"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26" w:type="dxa"/>
          </w:tcPr>
          <w:p w14:paraId="1B664760" w14:textId="77777777" w:rsidR="007F04B4" w:rsidRPr="007D162C" w:rsidRDefault="007F04B4" w:rsidP="007F04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DCCFF06"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278" w:type="dxa"/>
          </w:tcPr>
          <w:p w14:paraId="7C605827"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41" w:type="dxa"/>
          </w:tcPr>
          <w:p w14:paraId="1722BB3E"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3" w:type="dxa"/>
          </w:tcPr>
          <w:p w14:paraId="2A7602BB" w14:textId="77777777" w:rsidR="007F04B4" w:rsidRPr="007D162C" w:rsidRDefault="08D050C4" w:rsidP="007F04B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7F04B4" w:rsidRPr="007D162C" w14:paraId="0D35355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B28962A" w14:textId="77777777" w:rsidR="007F04B4" w:rsidRPr="007D162C" w:rsidRDefault="007F04B4" w:rsidP="007F04B4">
            <w:r w:rsidRPr="007D162C">
              <w:t>Regulatory</w:t>
            </w:r>
          </w:p>
        </w:tc>
        <w:tc>
          <w:tcPr>
            <w:tcW w:w="1343" w:type="dxa"/>
          </w:tcPr>
          <w:p w14:paraId="5F15B767"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26" w:type="dxa"/>
          </w:tcPr>
          <w:p w14:paraId="5F29C4DB" w14:textId="77777777" w:rsidR="007F04B4" w:rsidRPr="007D162C" w:rsidRDefault="007F04B4" w:rsidP="007F04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071E89D"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278" w:type="dxa"/>
          </w:tcPr>
          <w:p w14:paraId="0CF5ADD3"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41" w:type="dxa"/>
          </w:tcPr>
          <w:p w14:paraId="481A2283"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3" w:type="dxa"/>
          </w:tcPr>
          <w:p w14:paraId="2DAAD189" w14:textId="77777777" w:rsidR="007F04B4" w:rsidRPr="007D162C" w:rsidRDefault="08D050C4" w:rsidP="007F04B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4D4CD3ED" w14:textId="77777777" w:rsidR="002766EE" w:rsidRPr="007D162C" w:rsidRDefault="002766EE" w:rsidP="002766EE"/>
    <w:p w14:paraId="176B0C35" w14:textId="77777777" w:rsidR="007F04B4" w:rsidRPr="007D162C" w:rsidRDefault="007F04B4" w:rsidP="007F04B4">
      <w:pPr>
        <w:pStyle w:val="Heading4"/>
        <w:tabs>
          <w:tab w:val="left" w:pos="284"/>
        </w:tabs>
      </w:pPr>
      <w:r w:rsidRPr="007D162C">
        <w:t xml:space="preserve">Analysis of submissions </w:t>
      </w:r>
    </w:p>
    <w:p w14:paraId="00C01052" w14:textId="77777777" w:rsidR="007F04B4" w:rsidRPr="007D162C" w:rsidRDefault="007F04B4" w:rsidP="007F04B4">
      <w:pPr>
        <w:pStyle w:val="Heading5"/>
      </w:pPr>
      <w:r w:rsidRPr="007D162C">
        <w:t>Status quo</w:t>
      </w:r>
    </w:p>
    <w:p w14:paraId="633EBCB4" w14:textId="52F543BC" w:rsidR="007F04B4" w:rsidRPr="007D162C" w:rsidRDefault="08D050C4" w:rsidP="007F04B4">
      <w:r w:rsidRPr="007D162C">
        <w:t xml:space="preserve">Section 27.3 </w:t>
      </w:r>
      <w:r w:rsidR="00C01C3D">
        <w:t xml:space="preserve">of the </w:t>
      </w:r>
      <w:r w:rsidRPr="007D162C">
        <w:t>Transport Standards stipulates requirements for large print font size and colour. Submissions from individuals, people with disability and disability organisations highlighted that since these requirements were drafted there have been developments in large print production technology and best-practice guidelines for print characteristics such as font size and weight. If large print is not formatted appropriately, it may hinder people who have low vision or other print disabilities from being able to receive and understand the information.</w:t>
      </w:r>
    </w:p>
    <w:p w14:paraId="78DA37F4" w14:textId="77777777" w:rsidR="007F04B4" w:rsidRPr="007D162C" w:rsidRDefault="007F04B4" w:rsidP="007F04B4">
      <w:r w:rsidRPr="007D162C">
        <w:t>One submission from government supported the status quo option, noting that they have developed internal policies that establish minimum requirements for large print formatting. For this reason, the submission deemed amendments to the Transport Standards as introducing additional regulatory burden.</w:t>
      </w:r>
    </w:p>
    <w:p w14:paraId="66A18CE4" w14:textId="77777777" w:rsidR="007F04B4" w:rsidRPr="007D162C" w:rsidRDefault="007F04B4" w:rsidP="007F04B4">
      <w:r w:rsidRPr="007D162C">
        <w:t>Maintaining the status quo would not incur costs for public transports operators and providers.</w:t>
      </w:r>
    </w:p>
    <w:p w14:paraId="5EA6ED67" w14:textId="77777777" w:rsidR="007F04B4" w:rsidRPr="007D162C" w:rsidRDefault="007F04B4" w:rsidP="007F04B4">
      <w:pPr>
        <w:pStyle w:val="Heading5"/>
      </w:pPr>
      <w:r w:rsidRPr="007D162C">
        <w:t>Non-regulatory</w:t>
      </w:r>
    </w:p>
    <w:p w14:paraId="44EE7BCF" w14:textId="77777777" w:rsidR="007F04B4" w:rsidRPr="007D162C" w:rsidRDefault="007F04B4" w:rsidP="007F04B4">
      <w:r w:rsidRPr="007D162C">
        <w:t>The non-regulatory option would develop guidance on appropriate large print font size, types of font, luminance contrast between text and background, weighted font, the justification of text and the use of sentence case.</w:t>
      </w:r>
    </w:p>
    <w:p w14:paraId="0C10838D" w14:textId="77777777" w:rsidR="007F04B4" w:rsidRPr="007D162C" w:rsidRDefault="007F04B4" w:rsidP="007F04B4">
      <w:r w:rsidRPr="007D162C">
        <w:t xml:space="preserve">Four submissions from industry and government supported the non-regulatory option. These submissions raised concerns that the prescriptive requirements included in the regulatory option may impact the ability to </w:t>
      </w:r>
      <w:r w:rsidRPr="007D162C">
        <w:lastRenderedPageBreak/>
        <w:t>deliver different types of information. For example, one submission noted the significant volume of information included in service timetables, and therefore argued it is important operators and providers are afforded flexibility to deliver services to their customers. Submissions also noted the value of the non-regulatory option in terms of staging the implementation costs of any updates to their information provision.</w:t>
      </w:r>
    </w:p>
    <w:p w14:paraId="70937968" w14:textId="77777777" w:rsidR="007F04B4" w:rsidRPr="007D162C" w:rsidRDefault="007F04B4" w:rsidP="007F04B4">
      <w:pPr>
        <w:rPr>
          <w:rFonts w:ascii="Calibri" w:hAnsi="Calibri"/>
          <w:lang w:eastAsia="zh-TW"/>
        </w:rPr>
      </w:pPr>
      <w:r w:rsidRPr="007D162C">
        <w:rPr>
          <w:rFonts w:ascii="Calibri" w:hAnsi="Calibri"/>
          <w:lang w:eastAsia="zh-TW"/>
        </w:rPr>
        <w:t xml:space="preserve">To the extent that guidance is followed, </w:t>
      </w:r>
      <w:r w:rsidRPr="007D162C">
        <w:t>people with low vision or other print disabilities</w:t>
      </w:r>
      <w:r w:rsidRPr="007D162C">
        <w:rPr>
          <w:rFonts w:ascii="Calibri" w:hAnsi="Calibri"/>
          <w:lang w:eastAsia="zh-TW"/>
        </w:rPr>
        <w:t xml:space="preserve"> would benefit through improved accessibility of printed information. </w:t>
      </w:r>
    </w:p>
    <w:p w14:paraId="64A58C08" w14:textId="77777777" w:rsidR="007F04B4" w:rsidRPr="007D162C" w:rsidRDefault="007F04B4" w:rsidP="007F04B4">
      <w:pPr>
        <w:pStyle w:val="Heading5"/>
      </w:pPr>
      <w:r w:rsidRPr="007D162C">
        <w:t>Regulatory</w:t>
      </w:r>
    </w:p>
    <w:p w14:paraId="3DF9F57C" w14:textId="77777777" w:rsidR="007F04B4" w:rsidRPr="007D162C" w:rsidRDefault="007F04B4" w:rsidP="007F04B4">
      <w:r w:rsidRPr="007D162C">
        <w:t xml:space="preserve">The majority of submissions from all stakeholder groups supported the regulatory option. Submissions noted that the whilst the Transport Standards already mandate that people have the right to general information about transport services under Section 27.1 of the Transport Standards, and Section 27.3 provides specifications for large print, the proposed regulatory amendments would bring the Transport Standards into alignment with best-practice principles. </w:t>
      </w:r>
    </w:p>
    <w:p w14:paraId="394B6313" w14:textId="77777777" w:rsidR="007F04B4" w:rsidRPr="007D162C" w:rsidRDefault="007F04B4" w:rsidP="007F04B4">
      <w:r w:rsidRPr="007D162C">
        <w:t>There was wide support from all stakeholder groups that the regulatory option would ensure consistency of service across transport networks and jurisdictions and result in a greater level of accessibility for people who request large print materials.</w:t>
      </w:r>
    </w:p>
    <w:p w14:paraId="1C249F41" w14:textId="77777777" w:rsidR="007F04B4" w:rsidRPr="007D162C" w:rsidRDefault="007F04B4" w:rsidP="007F04B4">
      <w:pPr>
        <w:pStyle w:val="Quote"/>
      </w:pPr>
      <w:r w:rsidRPr="007D162C">
        <w:t xml:space="preserve">Support the regulatory option as if the non-regulatory approach is taken there will be significant inconsistency across operators/providers rather than a more standardised approach. </w:t>
      </w:r>
    </w:p>
    <w:p w14:paraId="43FE41CD" w14:textId="77777777" w:rsidR="007F04B4" w:rsidRPr="007D162C" w:rsidRDefault="007F04B4" w:rsidP="007F04B4">
      <w:pPr>
        <w:pStyle w:val="Quote"/>
      </w:pPr>
      <w:r w:rsidRPr="007D162C">
        <w:t>City of Newcastle</w:t>
      </w:r>
    </w:p>
    <w:p w14:paraId="0C2F305D" w14:textId="77777777" w:rsidR="007F04B4" w:rsidRPr="007D162C" w:rsidRDefault="007F04B4" w:rsidP="007F04B4">
      <w:r w:rsidRPr="007D162C">
        <w:t>Submissions from the disability sector emphasized the importance of thorough user-testing prior to introduction of new materials into networks. One submission cited the guidelines maintained by the Round Table on Information Access for People with Print Disabilities as a definitive reference for the production of large print resources.</w:t>
      </w:r>
    </w:p>
    <w:p w14:paraId="095F1FED" w14:textId="77777777" w:rsidR="007F04B4" w:rsidRPr="007D162C" w:rsidRDefault="007F04B4" w:rsidP="007F04B4">
      <w:r w:rsidRPr="007D162C">
        <w:t xml:space="preserve">The majority of submissions from industry and government agreed that the proposed regulatory </w:t>
      </w:r>
      <w:bookmarkStart w:id="279" w:name="_Hlk119408836"/>
      <w:r w:rsidRPr="007D162C">
        <w:t>requirements are feasible to implement, would incur negligible cost increases and would result in tangible accessibility benefits for passengers who require large print formats</w:t>
      </w:r>
      <w:bookmarkEnd w:id="279"/>
      <w:r w:rsidRPr="007D162C">
        <w:t>. In the experience of these stakeholders, however, requests for information in large print format are infrequent, potentially due to the rise of other technology interventions. One submission noted that it is important that the legislative amendments make clear new requirements are only for documents that are being specifically produced in large print, rather than signage, and suggested amendments to the regulatory option to clearly articulate these requirements are for ad-hoc requests.</w:t>
      </w:r>
    </w:p>
    <w:p w14:paraId="21588D28" w14:textId="77777777" w:rsidR="007F04B4" w:rsidRPr="007D162C" w:rsidRDefault="007F04B4" w:rsidP="007F04B4">
      <w:pPr>
        <w:pStyle w:val="Heading4"/>
      </w:pPr>
      <w:r w:rsidRPr="007D162C">
        <w:t>Preferred option</w:t>
      </w:r>
    </w:p>
    <w:p w14:paraId="5D2C0B00" w14:textId="57D0478F" w:rsidR="007F04B4" w:rsidRPr="007D162C" w:rsidRDefault="007F04B4" w:rsidP="007F04B4">
      <w:r w:rsidRPr="007D162C">
        <w:t xml:space="preserve">Informed by the outcomes of consultation, impacts, cost and outcomes analysis above, the preferred option is the </w:t>
      </w:r>
      <w:r w:rsidRPr="007D162C">
        <w:rPr>
          <w:b/>
        </w:rPr>
        <w:t>regulatory option</w:t>
      </w:r>
      <w:r w:rsidR="009C44EC" w:rsidRPr="007D162C">
        <w:rPr>
          <w:b/>
        </w:rPr>
        <w:t xml:space="preserve"> with additional guidance</w:t>
      </w:r>
      <w:r w:rsidRPr="007D162C">
        <w:t>.</w:t>
      </w:r>
    </w:p>
    <w:p w14:paraId="7DAEE62C" w14:textId="33CE53D7" w:rsidR="007F04B4" w:rsidRPr="007D162C" w:rsidRDefault="007F04B4" w:rsidP="007F04B4">
      <w:r w:rsidRPr="007D162C">
        <w:t>The majority of submissions from all stakeholder groups supported the regulatory option to bring the Transport Standards into alignment with best practice principles for large print documentation. Industry and government were largely in support of the regulatory option, noting the proposed requirements are feasible to implement, would incur negligible cost increases and would result in tangible accessibility benefits for passengers who require large print formats. In circumstances where internal policies already reflect the proposed requirements, the impact on operators and providers will be minimal.</w:t>
      </w:r>
    </w:p>
    <w:p w14:paraId="39C12AC2" w14:textId="77777777" w:rsidR="007F04B4" w:rsidRPr="007D162C" w:rsidRDefault="007F04B4" w:rsidP="007F04B4">
      <w:r w:rsidRPr="007D162C">
        <w:t xml:space="preserve">The proposal only pertains to documents in large print format requested on an ad hoc basis, rather than signage or regular printed information. Legislative amendments will be drafted to ensure this distinction is clear. </w:t>
      </w:r>
    </w:p>
    <w:p w14:paraId="42922938" w14:textId="40B5A5BD" w:rsidR="002766EE" w:rsidRPr="007D162C" w:rsidRDefault="007F04B4" w:rsidP="007F04B4">
      <w:pPr>
        <w:rPr>
          <w:color w:val="000000" w:themeColor="text1"/>
          <w:lang w:val="en-AU"/>
        </w:rPr>
      </w:pPr>
      <w:r w:rsidRPr="007D162C">
        <w:t xml:space="preserve">The preferred option will be implemented through amendments to the Transport Standards and Guidelines. Operators and providers will be required to meet the new Transport Standards requirements prospectively, where </w:t>
      </w:r>
      <w:r w:rsidR="00EF1693">
        <w:t>new</w:t>
      </w:r>
      <w:r w:rsidRPr="007D162C">
        <w:t xml:space="preserve"> documents in large print format are requested. </w:t>
      </w:r>
      <w:r w:rsidRPr="007D162C">
        <w:rPr>
          <w:color w:val="000000" w:themeColor="text1"/>
          <w:lang w:val="en-AU"/>
        </w:rPr>
        <w:t>This would address the primary concerns of stakeholders</w:t>
      </w:r>
      <w:r w:rsidR="00EF1693">
        <w:rPr>
          <w:color w:val="000000" w:themeColor="text1"/>
          <w:lang w:val="en-AU"/>
        </w:rPr>
        <w:t>, and recognises the negligible costs and impact of implementing the reform</w:t>
      </w:r>
      <w:r w:rsidRPr="007D162C">
        <w:rPr>
          <w:color w:val="000000" w:themeColor="text1"/>
          <w:lang w:val="en-AU"/>
        </w:rPr>
        <w:t>.</w:t>
      </w:r>
    </w:p>
    <w:p w14:paraId="5F8796E8" w14:textId="0BEEEF6B" w:rsidR="002766EE" w:rsidRPr="007D162C" w:rsidRDefault="002766EE" w:rsidP="005D5D77">
      <w:pPr>
        <w:pStyle w:val="Heading2"/>
        <w:numPr>
          <w:ilvl w:val="0"/>
          <w:numId w:val="26"/>
        </w:numPr>
        <w:ind w:hanging="720"/>
      </w:pPr>
      <w:bookmarkStart w:id="280" w:name="_Toc112050092"/>
      <w:bookmarkStart w:id="281" w:name="_Toc127351761"/>
      <w:bookmarkStart w:id="282" w:name="_Toc140239719"/>
      <w:r w:rsidRPr="007D162C">
        <w:lastRenderedPageBreak/>
        <w:t>International Symbol for Access and Deafness</w:t>
      </w:r>
      <w:bookmarkEnd w:id="280"/>
      <w:bookmarkEnd w:id="281"/>
      <w:bookmarkEnd w:id="282"/>
    </w:p>
    <w:p w14:paraId="6FB51D77" w14:textId="77777777" w:rsidR="002766EE" w:rsidRPr="007D162C" w:rsidRDefault="002766EE" w:rsidP="002766EE">
      <w:pPr>
        <w:pStyle w:val="Heading4"/>
      </w:pPr>
      <w:r w:rsidRPr="007D162C">
        <w:t>Issue</w:t>
      </w:r>
    </w:p>
    <w:p w14:paraId="1238609C" w14:textId="18E1AA0B" w:rsidR="002766EE" w:rsidRPr="007D162C" w:rsidRDefault="002766EE" w:rsidP="002766EE">
      <w:r w:rsidRPr="007D162C">
        <w:t xml:space="preserve">Section 16.1 </w:t>
      </w:r>
      <w:r w:rsidR="00C01C3D">
        <w:t xml:space="preserve">of the </w:t>
      </w:r>
      <w:r w:rsidRPr="007D162C">
        <w:t xml:space="preserve">Transport Standards specifies requirements for the use of international symbols for accessibility and deafness. The Australian Standards currently referenced in Section 16.1 are outdated, and the requirements included in the Transport Standards do not align with those included in the Premises Standards. </w:t>
      </w:r>
    </w:p>
    <w:p w14:paraId="17DEF640" w14:textId="77777777" w:rsidR="002766EE" w:rsidRPr="007D162C" w:rsidRDefault="002766EE" w:rsidP="002766EE">
      <w:r w:rsidRPr="007D162C">
        <w:t>Collective government action would strengthen requirements for the use of the international symbol for accessibility and deafness and address key stakeholder issues raised through the Transport Standards review process.</w:t>
      </w:r>
    </w:p>
    <w:p w14:paraId="5F99A3DB" w14:textId="77777777" w:rsidR="002766EE" w:rsidRPr="007D162C" w:rsidRDefault="002766EE" w:rsidP="002766EE">
      <w:pPr>
        <w:pStyle w:val="Heading4"/>
        <w:tabs>
          <w:tab w:val="left" w:pos="284"/>
        </w:tabs>
      </w:pPr>
      <w:r w:rsidRPr="007D162C">
        <w:t>Reform options</w:t>
      </w:r>
    </w:p>
    <w:p w14:paraId="242FE1A6" w14:textId="77777777" w:rsidR="002766EE" w:rsidRPr="007D162C" w:rsidRDefault="002766EE" w:rsidP="002766EE">
      <w:pPr>
        <w:tabs>
          <w:tab w:val="left" w:pos="284"/>
        </w:tabs>
      </w:pPr>
      <w:r w:rsidRPr="007D162C">
        <w:t>Following is a summary of the proposed options for this reform. Full details of each reform option is provided at Appendix A.</w:t>
      </w:r>
    </w:p>
    <w:p w14:paraId="5BF07605" w14:textId="1A064284" w:rsidR="002766EE" w:rsidRPr="007D162C" w:rsidRDefault="002766EE" w:rsidP="002766EE">
      <w:pPr>
        <w:pStyle w:val="Tablefigureheading"/>
      </w:pPr>
      <w:bookmarkStart w:id="283" w:name="_Toc122446347"/>
      <w:bookmarkStart w:id="284" w:name="_Toc139969197"/>
      <w:r w:rsidRPr="007D162C">
        <w:t xml:space="preserve">Table </w:t>
      </w:r>
      <w:fldSimple w:instr=" SEQ Table \* ARABIC ">
        <w:r w:rsidR="00DC26AC">
          <w:rPr>
            <w:noProof/>
          </w:rPr>
          <w:t>39</w:t>
        </w:r>
      </w:fldSimple>
      <w:r w:rsidRPr="007D162C">
        <w:rPr>
          <w:noProof/>
        </w:rPr>
        <w:t>:</w:t>
      </w:r>
      <w:r w:rsidRPr="007D162C">
        <w:t xml:space="preserve"> Reform options for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3"/>
      <w:bookmarkEnd w:id="284"/>
    </w:p>
    <w:tbl>
      <w:tblPr>
        <w:tblStyle w:val="DefaultTable1"/>
        <w:tblW w:w="9072" w:type="dxa"/>
        <w:tblLook w:val="04A0" w:firstRow="1" w:lastRow="0" w:firstColumn="1" w:lastColumn="0" w:noHBand="0" w:noVBand="1"/>
        <w:tblCaption w:val="Reform options for print size and format"/>
        <w:tblDescription w:val="This table provides a description of each of the options for this reform area. Status quo, non-regulatory and regulatory."/>
      </w:tblPr>
      <w:tblGrid>
        <w:gridCol w:w="2232"/>
        <w:gridCol w:w="6840"/>
      </w:tblGrid>
      <w:tr w:rsidR="002766EE" w:rsidRPr="007D162C" w14:paraId="3CFAC44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32EC7A0E" w14:textId="77777777" w:rsidR="002766EE" w:rsidRPr="007D162C" w:rsidRDefault="002766EE" w:rsidP="00675105">
            <w:r w:rsidRPr="007D162C">
              <w:t>Option</w:t>
            </w:r>
          </w:p>
        </w:tc>
        <w:tc>
          <w:tcPr>
            <w:tcW w:w="6840" w:type="dxa"/>
          </w:tcPr>
          <w:p w14:paraId="35133591" w14:textId="77777777" w:rsidR="002766EE" w:rsidRPr="007D162C" w:rsidRDefault="002766EE"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2766EE" w:rsidRPr="007D162C" w14:paraId="33061C7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B48D85E" w14:textId="77777777" w:rsidR="002766EE" w:rsidRPr="007D162C" w:rsidRDefault="002766EE" w:rsidP="00675105">
            <w:r w:rsidRPr="007D162C">
              <w:t>Status Quo</w:t>
            </w:r>
          </w:p>
        </w:tc>
        <w:tc>
          <w:tcPr>
            <w:tcW w:w="6840" w:type="dxa"/>
          </w:tcPr>
          <w:p w14:paraId="34A182AA"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outdated Australian Standards in relation to the international symbol for accessibility and deafness.</w:t>
            </w:r>
          </w:p>
          <w:p w14:paraId="331E789E"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2766EE" w:rsidRPr="007D162C" w14:paraId="3EF2E84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C7EDD9F" w14:textId="77777777" w:rsidR="002766EE" w:rsidRPr="007D162C" w:rsidRDefault="002766EE" w:rsidP="00675105">
            <w:r w:rsidRPr="007D162C">
              <w:t>Non-Regulatory</w:t>
            </w:r>
          </w:p>
        </w:tc>
        <w:tc>
          <w:tcPr>
            <w:tcW w:w="6840" w:type="dxa"/>
          </w:tcPr>
          <w:p w14:paraId="7A08CED0"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pPr>
            <w:r w:rsidRPr="007D162C">
              <w:rPr>
                <w:color w:val="auto"/>
              </w:rPr>
              <w:t>Guidance would be developed which provides advice on the application of the international symbol for accessibility and deafness, including what features should be identified, design requirements and size to incorporate viewing distances.</w:t>
            </w:r>
          </w:p>
        </w:tc>
      </w:tr>
      <w:tr w:rsidR="002766EE" w:rsidRPr="007D162C" w14:paraId="28429F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7C639ED" w14:textId="77777777" w:rsidR="002766EE" w:rsidRPr="007D162C" w:rsidRDefault="002766EE" w:rsidP="00675105">
            <w:r w:rsidRPr="007D162C">
              <w:t>Regulatory</w:t>
            </w:r>
          </w:p>
        </w:tc>
        <w:tc>
          <w:tcPr>
            <w:tcW w:w="6840" w:type="dxa"/>
          </w:tcPr>
          <w:p w14:paraId="5AA8E0CF" w14:textId="26A44C08"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update </w:t>
            </w:r>
            <w:r w:rsidR="00C01C3D">
              <w:t xml:space="preserve">the </w:t>
            </w:r>
            <w:r w:rsidRPr="007D162C">
              <w:t>Australian Standards reference to more contemporary standards, and size requirements for the international symbol for accessibility and deafness.</w:t>
            </w:r>
          </w:p>
          <w:p w14:paraId="1BC54962" w14:textId="77777777" w:rsidR="002766EE" w:rsidRPr="0043456A" w:rsidRDefault="002766EE" w:rsidP="00675105">
            <w:pPr>
              <w:cnfStyle w:val="000000100000" w:firstRow="0" w:lastRow="0" w:firstColumn="0" w:lastColumn="0" w:oddVBand="0" w:evenVBand="0" w:oddHBand="1" w:evenHBand="0" w:firstRowFirstColumn="0" w:firstRowLastColumn="0" w:lastRowFirstColumn="0" w:lastRowLastColumn="0"/>
            </w:pPr>
            <w:r w:rsidRPr="007D162C">
              <w:t xml:space="preserve">Two regulatory options were presented for consideration in relation to the size of </w:t>
            </w:r>
            <w:r w:rsidRPr="0043456A">
              <w:t>accessibility symbols:</w:t>
            </w:r>
          </w:p>
          <w:p w14:paraId="7A9CE274"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b/>
              </w:rPr>
            </w:pPr>
            <w:r w:rsidRPr="0043456A">
              <w:rPr>
                <w:b/>
              </w:rPr>
              <w:t>Sub-option 1</w:t>
            </w:r>
          </w:p>
          <w:p w14:paraId="6FA882A2"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i/>
              </w:rPr>
            </w:pPr>
            <w:r w:rsidRPr="0043456A">
              <w:t xml:space="preserve">The size of accessibility symbols must comply with AS1428.2 (1992) </w:t>
            </w:r>
            <w:r w:rsidRPr="0043456A">
              <w:rPr>
                <w:i/>
              </w:rPr>
              <w:t>Design for access and mobility, Part 2: Enhanced and additional requirements—Buildings and facilities, Table 1.</w:t>
            </w:r>
          </w:p>
          <w:p w14:paraId="2EA882DB" w14:textId="77777777" w:rsidR="002766EE" w:rsidRPr="0043456A" w:rsidRDefault="002766EE" w:rsidP="002766EE">
            <w:pPr>
              <w:pStyle w:val="Tabletext"/>
              <w:cnfStyle w:val="000000100000" w:firstRow="0" w:lastRow="0" w:firstColumn="0" w:lastColumn="0" w:oddVBand="0" w:evenVBand="0" w:oddHBand="1" w:evenHBand="0" w:firstRowFirstColumn="0" w:firstRowLastColumn="0" w:lastRowFirstColumn="0" w:lastRowLastColumn="0"/>
              <w:rPr>
                <w:b/>
              </w:rPr>
            </w:pPr>
            <w:r w:rsidRPr="0043456A">
              <w:rPr>
                <w:b/>
              </w:rPr>
              <w:t>Sub-option 2</w:t>
            </w:r>
          </w:p>
          <w:p w14:paraId="11B0C4BB" w14:textId="77777777" w:rsidR="002766EE" w:rsidRPr="007D162C" w:rsidRDefault="002766EE" w:rsidP="002766EE">
            <w:pPr>
              <w:pStyle w:val="Tabletext"/>
              <w:cnfStyle w:val="000000100000" w:firstRow="0" w:lastRow="0" w:firstColumn="0" w:lastColumn="0" w:oddVBand="0" w:evenVBand="0" w:oddHBand="1" w:evenHBand="0" w:firstRowFirstColumn="0" w:firstRowLastColumn="0" w:lastRowFirstColumn="0" w:lastRowLastColumn="0"/>
            </w:pPr>
            <w:r w:rsidRPr="007D162C">
              <w:t>The size of accessibility symbols must be of appropriate size when considering viewing distances and provided at 60 millimetres x 60 millimetres at a minimum.</w:t>
            </w:r>
          </w:p>
          <w:p w14:paraId="4578041D"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EF2CE30" w14:textId="77777777" w:rsidR="002766EE" w:rsidRPr="007D162C" w:rsidRDefault="002766EE" w:rsidP="002766EE"/>
    <w:p w14:paraId="63DCD416" w14:textId="77777777" w:rsidR="002766EE" w:rsidRPr="007D162C" w:rsidRDefault="002766EE" w:rsidP="002766EE">
      <w:pPr>
        <w:pStyle w:val="Heading4"/>
        <w:tabs>
          <w:tab w:val="left" w:pos="284"/>
        </w:tabs>
      </w:pPr>
      <w:r w:rsidRPr="007D162C">
        <w:t>Cost benefit analysis</w:t>
      </w:r>
    </w:p>
    <w:p w14:paraId="29C1493A" w14:textId="77777777" w:rsidR="002766EE" w:rsidRPr="007D162C" w:rsidRDefault="002766EE" w:rsidP="006F011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7230BDC" w14:textId="77777777" w:rsidR="002766EE" w:rsidRPr="007D162C" w:rsidRDefault="002766EE" w:rsidP="002766EE">
      <w:r w:rsidRPr="007D162C">
        <w:t xml:space="preserve">The following categories of quantitative costs and benefits were identified in the CBA as pertaining to the reform options. </w:t>
      </w:r>
    </w:p>
    <w:p w14:paraId="168AF64E" w14:textId="7C1575FA" w:rsidR="002766EE" w:rsidRPr="007D162C" w:rsidRDefault="002766EE" w:rsidP="002766EE">
      <w:pPr>
        <w:pStyle w:val="Tablefigureheading"/>
      </w:pPr>
      <w:bookmarkStart w:id="285" w:name="_Toc122446348"/>
      <w:bookmarkStart w:id="286" w:name="_Toc139969198"/>
      <w:r w:rsidRPr="007D162C">
        <w:lastRenderedPageBreak/>
        <w:t xml:space="preserve">Table </w:t>
      </w:r>
      <w:fldSimple w:instr=" SEQ Table \* ARABIC ">
        <w:r w:rsidR="00DC26AC">
          <w:rPr>
            <w:noProof/>
          </w:rPr>
          <w:t>40</w:t>
        </w:r>
      </w:fldSimple>
      <w:r w:rsidRPr="007D162C">
        <w:t xml:space="preserve">: Benefit-cost ratios for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5"/>
      <w:bookmarkEnd w:id="286"/>
    </w:p>
    <w:tbl>
      <w:tblPr>
        <w:tblStyle w:val="DefaultTable1"/>
        <w:tblW w:w="9864" w:type="dxa"/>
        <w:tblLook w:val="04A0" w:firstRow="1" w:lastRow="0" w:firstColumn="1" w:lastColumn="0" w:noHBand="0" w:noVBand="1"/>
        <w:tblCaption w:val="Benefit-cost ratios for international symbol for access and deafness"/>
        <w:tblDescription w:val="This table provides the monetised benefits and costs for each of the options for this reform area."/>
      </w:tblPr>
      <w:tblGrid>
        <w:gridCol w:w="2410"/>
        <w:gridCol w:w="1276"/>
        <w:gridCol w:w="1701"/>
        <w:gridCol w:w="1701"/>
        <w:gridCol w:w="1701"/>
        <w:gridCol w:w="1075"/>
      </w:tblGrid>
      <w:tr w:rsidR="006F011D" w:rsidRPr="007D162C" w14:paraId="192E939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6C17B9B8" w14:textId="77777777" w:rsidR="002766EE" w:rsidRPr="007D162C" w:rsidRDefault="08D050C4" w:rsidP="00675105">
            <w:r w:rsidRPr="007D162C">
              <w:t>Reform Option</w:t>
            </w:r>
          </w:p>
        </w:tc>
        <w:tc>
          <w:tcPr>
            <w:tcW w:w="1276" w:type="dxa"/>
          </w:tcPr>
          <w:p w14:paraId="653CA833"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630D9D25"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C526E82"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21663171"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68838913"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2766EE" w:rsidRPr="007D162C" w14:paraId="217AE96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AE1D596" w14:textId="77777777" w:rsidR="002766EE" w:rsidRPr="007D162C" w:rsidRDefault="002766EE" w:rsidP="00675105">
            <w:r w:rsidRPr="007D162C">
              <w:t>Status Quo</w:t>
            </w:r>
          </w:p>
        </w:tc>
        <w:tc>
          <w:tcPr>
            <w:tcW w:w="1276" w:type="dxa"/>
          </w:tcPr>
          <w:p w14:paraId="34CBB662"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06208DBE"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29EA781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230D911A"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75" w:type="dxa"/>
          </w:tcPr>
          <w:p w14:paraId="5A845342"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F011D" w:rsidRPr="007D162C" w14:paraId="4D29F623"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03584FB6" w14:textId="77777777" w:rsidR="002766EE" w:rsidRPr="007D162C" w:rsidRDefault="002766EE" w:rsidP="00675105">
            <w:r w:rsidRPr="007D162C">
              <w:t xml:space="preserve">Non-regulatory </w:t>
            </w:r>
          </w:p>
        </w:tc>
        <w:tc>
          <w:tcPr>
            <w:tcW w:w="1276" w:type="dxa"/>
            <w:vAlign w:val="center"/>
          </w:tcPr>
          <w:p w14:paraId="6DF6BD4D"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37.8</w:t>
            </w:r>
          </w:p>
        </w:tc>
        <w:tc>
          <w:tcPr>
            <w:tcW w:w="1701" w:type="dxa"/>
          </w:tcPr>
          <w:p w14:paraId="2DC9180D"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16AC85EA"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62.5</w:t>
            </w:r>
          </w:p>
        </w:tc>
        <w:tc>
          <w:tcPr>
            <w:tcW w:w="1701" w:type="dxa"/>
            <w:vAlign w:val="center"/>
          </w:tcPr>
          <w:p w14:paraId="739A17A7"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62.5</w:t>
            </w:r>
            <w:r w:rsidR="004815D7" w:rsidRPr="007D162C">
              <w:rPr>
                <w:vertAlign w:val="superscript"/>
              </w:rPr>
              <w:t>i</w:t>
            </w:r>
          </w:p>
        </w:tc>
        <w:tc>
          <w:tcPr>
            <w:tcW w:w="1075" w:type="dxa"/>
            <w:vAlign w:val="center"/>
          </w:tcPr>
          <w:p w14:paraId="798A63F7"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0.60</w:t>
            </w:r>
          </w:p>
        </w:tc>
      </w:tr>
      <w:tr w:rsidR="006F011D" w:rsidRPr="007D162C" w14:paraId="187B091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DD47CD9" w14:textId="77777777" w:rsidR="002766EE" w:rsidRPr="007D162C" w:rsidRDefault="002766EE" w:rsidP="00675105">
            <w:r w:rsidRPr="007D162C">
              <w:t>Regulatory</w:t>
            </w:r>
          </w:p>
        </w:tc>
        <w:tc>
          <w:tcPr>
            <w:tcW w:w="1276" w:type="dxa"/>
            <w:vAlign w:val="center"/>
          </w:tcPr>
          <w:p w14:paraId="3BC66C6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53.3</w:t>
            </w:r>
          </w:p>
        </w:tc>
        <w:tc>
          <w:tcPr>
            <w:tcW w:w="1701" w:type="dxa"/>
          </w:tcPr>
          <w:p w14:paraId="4639372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C06CD69"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86.4</w:t>
            </w:r>
          </w:p>
        </w:tc>
        <w:tc>
          <w:tcPr>
            <w:tcW w:w="1701" w:type="dxa"/>
            <w:vAlign w:val="center"/>
          </w:tcPr>
          <w:p w14:paraId="4C02E59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86.4</w:t>
            </w:r>
          </w:p>
        </w:tc>
        <w:tc>
          <w:tcPr>
            <w:tcW w:w="1075" w:type="dxa"/>
            <w:vAlign w:val="center"/>
          </w:tcPr>
          <w:p w14:paraId="262FF29C"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0.62</w:t>
            </w:r>
          </w:p>
        </w:tc>
      </w:tr>
    </w:tbl>
    <w:p w14:paraId="43187698" w14:textId="77777777" w:rsidR="002766EE" w:rsidRPr="007D162C" w:rsidRDefault="002766EE" w:rsidP="002766EE">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1C8A8AC0" w14:textId="77777777" w:rsidR="002766EE"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09F99FF3" w14:textId="77777777" w:rsidR="006F011D" w:rsidRPr="007D162C" w:rsidRDefault="006F011D" w:rsidP="006F011D">
      <w:pPr>
        <w:spacing w:before="120" w:after="0"/>
        <w:rPr>
          <w:sz w:val="18"/>
          <w:szCs w:val="18"/>
        </w:rPr>
      </w:pPr>
    </w:p>
    <w:p w14:paraId="4879E998" w14:textId="77777777" w:rsidR="002766EE" w:rsidRPr="007D162C" w:rsidRDefault="002766EE" w:rsidP="002766EE">
      <w:pPr>
        <w:pStyle w:val="Heading6"/>
      </w:pPr>
      <w:r w:rsidRPr="007D162C">
        <w:t>Considerations to note in interpreting analysis</w:t>
      </w:r>
    </w:p>
    <w:p w14:paraId="08034E87" w14:textId="77777777" w:rsidR="002766EE" w:rsidRPr="007D162C" w:rsidRDefault="002766EE" w:rsidP="002766EE">
      <w:pPr>
        <w:pStyle w:val="Heading7"/>
      </w:pPr>
      <w:r w:rsidRPr="007D162C">
        <w:t>Limitations</w:t>
      </w:r>
    </w:p>
    <w:p w14:paraId="01E85083" w14:textId="77777777" w:rsidR="002766EE" w:rsidRPr="007D162C" w:rsidRDefault="002766EE" w:rsidP="00105D34">
      <w:pPr>
        <w:pStyle w:val="Heading8"/>
      </w:pPr>
      <w:r w:rsidRPr="007D162C">
        <w:t>Non-regulatory</w:t>
      </w:r>
    </w:p>
    <w:p w14:paraId="48655F4C" w14:textId="6EBCA3CD" w:rsidR="002766EE" w:rsidRPr="007D162C" w:rsidRDefault="002766EE" w:rsidP="002766EE">
      <w:r w:rsidRPr="007D162C">
        <w:t>The costs and benefits associated with the non-regulatory reform are lower than its regulatory counterpart reflecting an assumed lower rate of compliance with the reform. An estimated rate of uptake of 75</w:t>
      </w:r>
      <w:r w:rsidR="00A06601" w:rsidRPr="00A06601">
        <w:t xml:space="preserve"> per cent</w:t>
      </w:r>
      <w:r w:rsidRPr="007D162C">
        <w:t xml:space="preserve"> was applied to the non-regulatory option based on the alignment of the requirements with the Premises Standards and the low cost and complexity to implement the requirements. This implies that the benefits and costs quantified for this non-regulatory reform may not reflect future take-up of the reform.</w:t>
      </w:r>
    </w:p>
    <w:p w14:paraId="7405B8CE" w14:textId="77777777" w:rsidR="002766EE" w:rsidRPr="007D162C" w:rsidRDefault="002766EE" w:rsidP="00105D34">
      <w:pPr>
        <w:pStyle w:val="Heading8"/>
      </w:pPr>
      <w:r w:rsidRPr="007D162C">
        <w:t>Regulatory</w:t>
      </w:r>
    </w:p>
    <w:p w14:paraId="1A8FB1A5" w14:textId="77777777" w:rsidR="002766EE" w:rsidRPr="007D162C" w:rsidRDefault="002766EE" w:rsidP="002766EE">
      <w:r w:rsidRPr="007D162C">
        <w:t xml:space="preserve">The benefits and costs for this reform were estimated from publicly available data and a small number of data inputs from the survey to proxy the national compliance. </w:t>
      </w:r>
    </w:p>
    <w:p w14:paraId="159ED5B2" w14:textId="77777777" w:rsidR="002766EE" w:rsidRPr="007D162C" w:rsidRDefault="002766EE" w:rsidP="002766EE">
      <w:r w:rsidRPr="007D162C">
        <w:t>This reform provides confidence to people with vision impairments that their accessibility needs could be provided for throughout their journey.</w:t>
      </w:r>
    </w:p>
    <w:p w14:paraId="0978BD79" w14:textId="77777777" w:rsidR="002766EE" w:rsidRPr="007D162C" w:rsidRDefault="002766EE" w:rsidP="00105D34">
      <w:pPr>
        <w:pStyle w:val="Heading8"/>
      </w:pPr>
      <w:r w:rsidRPr="007D162C">
        <w:t>Interdependencies</w:t>
      </w:r>
    </w:p>
    <w:p w14:paraId="78097A15" w14:textId="77777777" w:rsidR="002766EE" w:rsidRPr="007D162C" w:rsidRDefault="002766EE" w:rsidP="002766EE">
      <w:r w:rsidRPr="007D162C">
        <w:t>This is an enabling reform to effectively and consistently communicate accessibility features across a whole public transport journey. This reform will assist passengers in making decisions about whether public transport is accessible for their needs, with benefits reliant on implementation of accessibility focused reforms such print size, letter heights, luminance contrast and others.</w:t>
      </w:r>
    </w:p>
    <w:p w14:paraId="1E9D8180" w14:textId="77777777" w:rsidR="002766EE" w:rsidRPr="007D162C" w:rsidRDefault="002766EE" w:rsidP="006F011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3564002" w14:textId="706FDB8D" w:rsidR="006F011D" w:rsidRPr="007D162C" w:rsidRDefault="002766EE" w:rsidP="006F011D">
      <w:r w:rsidRPr="007D162C">
        <w:t>The following categories of qualitative benefits were identified in the CBA as pertaining to the reform options.</w:t>
      </w:r>
    </w:p>
    <w:p w14:paraId="5EE264EA" w14:textId="31EF0B10" w:rsidR="002766EE" w:rsidRPr="007D162C" w:rsidRDefault="002766EE" w:rsidP="002766EE">
      <w:pPr>
        <w:pStyle w:val="Tablefigureheading"/>
      </w:pPr>
      <w:bookmarkStart w:id="287" w:name="_Toc122446349"/>
      <w:bookmarkStart w:id="288" w:name="_Toc139969199"/>
      <w:r w:rsidRPr="007D162C">
        <w:t xml:space="preserve">Table </w:t>
      </w:r>
      <w:fldSimple w:instr=" SEQ Table \* ARABIC ">
        <w:r w:rsidR="00DC26AC">
          <w:rPr>
            <w:noProof/>
          </w:rPr>
          <w:t>41</w:t>
        </w:r>
      </w:fldSimple>
      <w:r w:rsidRPr="007D162C">
        <w:rPr>
          <w:noProof/>
        </w:rPr>
        <w:t xml:space="preserve">: </w:t>
      </w:r>
      <w:r w:rsidRPr="007D162C">
        <w:t xml:space="preserve">Qualitative benefits </w:t>
      </w:r>
      <w:r w:rsidRPr="007D162C">
        <w:rPr>
          <w:noProof/>
        </w:rPr>
        <w:t>for</w:t>
      </w:r>
      <w:r w:rsidRPr="007D162C">
        <w:t xml:space="preserve"> </w:t>
      </w:r>
      <w:r w:rsidR="00754992" w:rsidRPr="007D162C">
        <w:t>I</w:t>
      </w:r>
      <w:r w:rsidRPr="007D162C">
        <w:t xml:space="preserve">nternational </w:t>
      </w:r>
      <w:r w:rsidR="00754992" w:rsidRPr="007D162C">
        <w:t>S</w:t>
      </w:r>
      <w:r w:rsidRPr="007D162C">
        <w:t xml:space="preserve">ymbol for </w:t>
      </w:r>
      <w:r w:rsidR="00754992" w:rsidRPr="007D162C">
        <w:t>A</w:t>
      </w:r>
      <w:r w:rsidRPr="007D162C">
        <w:t xml:space="preserve">ccess and </w:t>
      </w:r>
      <w:r w:rsidR="00754992" w:rsidRPr="007D162C">
        <w:t>D</w:t>
      </w:r>
      <w:r w:rsidRPr="007D162C">
        <w:t>eafness</w:t>
      </w:r>
      <w:bookmarkEnd w:id="287"/>
      <w:bookmarkEnd w:id="288"/>
    </w:p>
    <w:tbl>
      <w:tblPr>
        <w:tblStyle w:val="DefaultTable1"/>
        <w:tblW w:w="9864" w:type="dxa"/>
        <w:tblLook w:val="04A0" w:firstRow="1" w:lastRow="0" w:firstColumn="1" w:lastColumn="0" w:noHBand="0" w:noVBand="1"/>
        <w:tblCaption w:val="Qualitative benefits for international symbol for access and deafness"/>
      </w:tblPr>
      <w:tblGrid>
        <w:gridCol w:w="1213"/>
        <w:gridCol w:w="1343"/>
        <w:gridCol w:w="1626"/>
        <w:gridCol w:w="1300"/>
        <w:gridCol w:w="1278"/>
        <w:gridCol w:w="1641"/>
        <w:gridCol w:w="1463"/>
      </w:tblGrid>
      <w:tr w:rsidR="002766EE" w:rsidRPr="007D162C" w14:paraId="4064DE1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E465D32" w14:textId="77777777" w:rsidR="002766EE" w:rsidRPr="007D162C" w:rsidRDefault="08D050C4" w:rsidP="00675105">
            <w:r w:rsidRPr="007D162C">
              <w:t>Reform Option</w:t>
            </w:r>
          </w:p>
        </w:tc>
        <w:tc>
          <w:tcPr>
            <w:tcW w:w="1343" w:type="dxa"/>
          </w:tcPr>
          <w:p w14:paraId="5C720820"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1DAE9FF9"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4F3BDFF5"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70BA54D"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4D15902"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E5079FF" w14:textId="77777777" w:rsidR="002766EE"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2766EE" w:rsidRPr="007D162C" w14:paraId="17BADFC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8A7EF04" w14:textId="77777777" w:rsidR="002766EE" w:rsidRPr="007D162C" w:rsidRDefault="002766EE" w:rsidP="00675105">
            <w:r w:rsidRPr="007D162C">
              <w:t>Status Quo</w:t>
            </w:r>
          </w:p>
        </w:tc>
        <w:tc>
          <w:tcPr>
            <w:tcW w:w="1343" w:type="dxa"/>
          </w:tcPr>
          <w:p w14:paraId="5D89592C"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92EDC66"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5CA3915"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9FC9035"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934EFDC"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EE2A403" w14:textId="77777777" w:rsidR="002766EE"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2766EE" w:rsidRPr="007D162C" w14:paraId="3714FBD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7728BE12" w14:textId="77777777" w:rsidR="002766EE" w:rsidRPr="007D162C" w:rsidRDefault="002766EE" w:rsidP="00675105">
            <w:r w:rsidRPr="007D162C">
              <w:t xml:space="preserve">Non-regulatory </w:t>
            </w:r>
          </w:p>
        </w:tc>
        <w:tc>
          <w:tcPr>
            <w:tcW w:w="1343" w:type="dxa"/>
          </w:tcPr>
          <w:p w14:paraId="7110A961"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273EDD5C" w14:textId="77777777" w:rsidR="002766EE" w:rsidRPr="007D162C" w:rsidRDefault="002766EE"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1BED449"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0E2C166"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41" w:type="dxa"/>
          </w:tcPr>
          <w:p w14:paraId="16222778"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3750F007" w14:textId="77777777" w:rsidR="002766EE"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2766EE" w:rsidRPr="007D162C" w14:paraId="2C2627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B0D7D28" w14:textId="77777777" w:rsidR="002766EE" w:rsidRPr="007D162C" w:rsidRDefault="002766EE" w:rsidP="00675105">
            <w:r w:rsidRPr="007D162C">
              <w:t>Regulatory</w:t>
            </w:r>
          </w:p>
        </w:tc>
        <w:tc>
          <w:tcPr>
            <w:tcW w:w="1343" w:type="dxa"/>
          </w:tcPr>
          <w:p w14:paraId="0F87478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53CF6094" w14:textId="77777777" w:rsidR="002766EE" w:rsidRPr="007D162C" w:rsidRDefault="002766EE"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55B8EE7F"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32A26B15"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1BF2E284"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FE8AC48" w14:textId="77777777" w:rsidR="002766EE"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4EBA3EE5" w14:textId="77777777" w:rsidR="002766EE" w:rsidRPr="007D162C" w:rsidRDefault="002766EE" w:rsidP="002766EE"/>
    <w:p w14:paraId="5A0BA497" w14:textId="77777777" w:rsidR="002766EE" w:rsidRPr="007D162C" w:rsidRDefault="002766EE" w:rsidP="002766EE">
      <w:pPr>
        <w:pStyle w:val="Heading4"/>
        <w:tabs>
          <w:tab w:val="left" w:pos="284"/>
        </w:tabs>
      </w:pPr>
      <w:r w:rsidRPr="007D162C">
        <w:lastRenderedPageBreak/>
        <w:t xml:space="preserve">Analysis of submissions </w:t>
      </w:r>
    </w:p>
    <w:p w14:paraId="0BB6270D" w14:textId="77777777" w:rsidR="002766EE" w:rsidRPr="007D162C" w:rsidRDefault="002766EE" w:rsidP="002766EE">
      <w:pPr>
        <w:pStyle w:val="Heading5"/>
      </w:pPr>
      <w:r w:rsidRPr="007D162C">
        <w:t>Status quo</w:t>
      </w:r>
    </w:p>
    <w:p w14:paraId="6604CA4E" w14:textId="77777777" w:rsidR="002766EE" w:rsidRPr="007D162C" w:rsidRDefault="002766EE" w:rsidP="002766EE">
      <w:r w:rsidRPr="007D162C">
        <w:t xml:space="preserve">The status quo option would maintain the existing requirements for the international symbol for accessibility and deafness. </w:t>
      </w:r>
    </w:p>
    <w:p w14:paraId="60D1EF18" w14:textId="77777777" w:rsidR="002766EE" w:rsidRPr="007D162C" w:rsidRDefault="002766EE" w:rsidP="002766EE">
      <w:r w:rsidRPr="007D162C">
        <w:t>There was very limited support for the status quo option. One submission from government supported the status quo option, stating the current provisions are sufficient.</w:t>
      </w:r>
    </w:p>
    <w:p w14:paraId="70CE66F9" w14:textId="77777777" w:rsidR="002766EE" w:rsidRPr="007D162C" w:rsidRDefault="002766EE" w:rsidP="002766EE">
      <w:r w:rsidRPr="007D162C">
        <w:t xml:space="preserve">Maintaining the status quo would not provide greater clarity to public transport operators and providers. Maintaining the status quo would incur no additional costs by public transports operators and providers and would have negligible impacts on the user. </w:t>
      </w:r>
    </w:p>
    <w:p w14:paraId="395156F1" w14:textId="77777777" w:rsidR="002766EE" w:rsidRPr="007D162C" w:rsidRDefault="002766EE" w:rsidP="002766EE">
      <w:pPr>
        <w:pStyle w:val="Heading5"/>
      </w:pPr>
      <w:r w:rsidRPr="007D162C">
        <w:t>Non-regulatory</w:t>
      </w:r>
    </w:p>
    <w:p w14:paraId="00813864" w14:textId="77777777" w:rsidR="002766EE" w:rsidRPr="007D162C" w:rsidRDefault="002766EE" w:rsidP="002766EE">
      <w:r w:rsidRPr="007D162C">
        <w:t>The non-regulatory option would develop guidance that provides advice on the application of the international symbol for accessibility and deafness, including what features should be identified, design requirements and size to incorporate viewing distances.</w:t>
      </w:r>
    </w:p>
    <w:p w14:paraId="785D09D3" w14:textId="77777777" w:rsidR="002766EE" w:rsidRPr="007D162C" w:rsidRDefault="002766EE" w:rsidP="002766EE">
      <w:r w:rsidRPr="007D162C">
        <w:t>One submission from an operator and provider supported the non-regulatory option. This submission noted that in some cases, there is a lack of distinction between the responsibilities of jurisdictions and franchisee operators. They expressed concern that non-compliance with the new regulatory requirements could be wrongfully applied to the franchisee, despite lacking the means or authority to comply with the proposed regulatory requirements. For this reason, the non-regulatory option was supported.</w:t>
      </w:r>
    </w:p>
    <w:p w14:paraId="244ED805" w14:textId="77777777" w:rsidR="002766EE" w:rsidRPr="007D162C" w:rsidRDefault="002766EE" w:rsidP="002766EE">
      <w:r w:rsidRPr="007D162C">
        <w:t>To the extent that guidance is followed, people with disability would benefit from improved consistency and accessibility of symbols for accessibility across the whole public transport journey.</w:t>
      </w:r>
    </w:p>
    <w:p w14:paraId="7FC1FA46" w14:textId="77777777" w:rsidR="002766EE" w:rsidRPr="007D162C" w:rsidRDefault="002766EE" w:rsidP="002766EE">
      <w:pPr>
        <w:pStyle w:val="Heading5"/>
      </w:pPr>
      <w:r w:rsidRPr="007D162C">
        <w:t>Regulatory</w:t>
      </w:r>
    </w:p>
    <w:p w14:paraId="4FAB540D" w14:textId="77777777" w:rsidR="002766EE" w:rsidRPr="007D162C" w:rsidRDefault="002766EE" w:rsidP="002766EE">
      <w:r w:rsidRPr="007D162C">
        <w:t xml:space="preserve">During consultation, </w:t>
      </w:r>
      <w:bookmarkStart w:id="289" w:name="_Hlk119409123"/>
      <w:r w:rsidRPr="007D162C">
        <w:t>stakeholders overwhelmingly supported the notion that the consistency of symbols for accessibility is integral to the ‘whole-of-journey’ experience of passengers and contributes significantly to user confidence</w:t>
      </w:r>
      <w:bookmarkEnd w:id="289"/>
      <w:r w:rsidRPr="007D162C">
        <w:t xml:space="preserve">. Submissions agreed that all written and graphical transport related signage should be clearly visible and understood by all commuters. </w:t>
      </w:r>
    </w:p>
    <w:p w14:paraId="7AC4640A" w14:textId="5168CB60" w:rsidR="002766EE" w:rsidRPr="007D162C" w:rsidRDefault="08D050C4" w:rsidP="002766EE">
      <w:bookmarkStart w:id="290" w:name="_Hlk119409146"/>
      <w:r w:rsidRPr="007D162C">
        <w:t>The majority of submissions from all stakeholder groups supported the regulatory option, stating that the new requirements are feasible to implement and the impact on industry is likely to be minimal as the reforms do not involve material changes to requirements</w:t>
      </w:r>
      <w:r w:rsidRPr="007D162C">
        <w:rPr>
          <w:b/>
          <w:bCs/>
        </w:rPr>
        <w:t xml:space="preserve">. </w:t>
      </w:r>
      <w:r w:rsidRPr="007D162C">
        <w:t>Submissions noted that the Transport Standards currently reference AS1428.2 (1992)</w:t>
      </w:r>
      <w:r w:rsidR="00C01C3D">
        <w:t>,</w:t>
      </w:r>
      <w:r w:rsidRPr="007D162C">
        <w:t xml:space="preserve"> which is outdated and should be replaced with a modern reference in alignment with updates to the Premises Standards. Similarly, the harmonisation of references would provide greater clarity to operators and providers on their obligations under the Transport Standards. </w:t>
      </w:r>
      <w:bookmarkEnd w:id="290"/>
    </w:p>
    <w:p w14:paraId="5B3ED45C" w14:textId="77777777" w:rsidR="002766EE" w:rsidRPr="007D162C" w:rsidRDefault="002766EE" w:rsidP="002766EE">
      <w:pPr>
        <w:pStyle w:val="Quote"/>
      </w:pPr>
      <w:r w:rsidRPr="007D162C">
        <w:t>Consistency of symbols for accessibility is integral to the provision of information and whole of journey travel for people with disability. The harmonisation of the transport standards and premises standards will provide greater clarity and ease of use of public transport.</w:t>
      </w:r>
    </w:p>
    <w:p w14:paraId="1465A9A9" w14:textId="77777777" w:rsidR="002766EE" w:rsidRPr="007D162C" w:rsidRDefault="002766EE" w:rsidP="002766EE">
      <w:pPr>
        <w:pStyle w:val="Quote"/>
      </w:pPr>
      <w:r w:rsidRPr="007D162C">
        <w:t>Physical Disability Council of NSW</w:t>
      </w:r>
    </w:p>
    <w:p w14:paraId="1B2A82E0" w14:textId="46F9CDCB" w:rsidR="002766EE" w:rsidRPr="007D162C" w:rsidRDefault="08D050C4" w:rsidP="002766EE">
      <w:r w:rsidRPr="007D162C">
        <w:t>Submissions from individuals, people with disability and disability organisations noted that it is important that symbols and messaging also recogni</w:t>
      </w:r>
      <w:r w:rsidR="00A06601">
        <w:t>s</w:t>
      </w:r>
      <w:r w:rsidRPr="007D162C">
        <w:t>e that not all disabilities are visible, and it is important that correct and accurate symbols are used to indicate the presence of hearing loop technology.</w:t>
      </w:r>
    </w:p>
    <w:p w14:paraId="48EB93FB" w14:textId="77777777" w:rsidR="002766EE" w:rsidRPr="007D162C" w:rsidRDefault="002766EE" w:rsidP="002766EE">
      <w:r w:rsidRPr="007D162C">
        <w:t xml:space="preserve">There was mixed support for the sub-options presented in the regulatory option across all stakeholder groups. Approximately half of all submissions preferred sub-option 1, noting that it includes more comprehensive guidance material to support operators and providers, is feasible to implement and would result in a potential improvement for customers. Approximately half of all submissions supported sub-option 2, noting the value of aligning the Transport Standards requirements with the Premises Standards to promote consistency and certainty for operators and providers of their obligations under the DDA. </w:t>
      </w:r>
    </w:p>
    <w:p w14:paraId="1098DE67" w14:textId="77777777" w:rsidR="002766EE" w:rsidRPr="007D162C" w:rsidRDefault="002766EE" w:rsidP="002766EE">
      <w:r w:rsidRPr="007D162C">
        <w:lastRenderedPageBreak/>
        <w:t xml:space="preserve">One submission from government highlighted it is important the Transport Standards clarify this requirement is for fixed signage where viewing distances need to be considered, not printed material or digital materials which have size limitations. </w:t>
      </w:r>
    </w:p>
    <w:p w14:paraId="5398BD34" w14:textId="77777777" w:rsidR="002766EE" w:rsidRPr="007D162C" w:rsidRDefault="002766EE" w:rsidP="002766EE">
      <w:pPr>
        <w:pStyle w:val="Heading4"/>
      </w:pPr>
      <w:r w:rsidRPr="007D162C">
        <w:t>Preferred option</w:t>
      </w:r>
    </w:p>
    <w:p w14:paraId="259F5F0A" w14:textId="77777777" w:rsidR="002766EE" w:rsidRPr="007D162C" w:rsidRDefault="002766EE" w:rsidP="002766EE">
      <w:r w:rsidRPr="007D162C">
        <w:t xml:space="preserve">Informed by the outcomes of consultation, impacts, cost and outcomes analysis above, the preferred option is the </w:t>
      </w:r>
      <w:r w:rsidRPr="007D162C">
        <w:rPr>
          <w:b/>
        </w:rPr>
        <w:t>regulatory option, sub-option 2</w:t>
      </w:r>
      <w:r w:rsidRPr="007D162C">
        <w:t>.</w:t>
      </w:r>
    </w:p>
    <w:p w14:paraId="6E0DD2BB" w14:textId="77777777" w:rsidR="002766EE" w:rsidRPr="007D162C" w:rsidRDefault="002766EE" w:rsidP="002766EE">
      <w:r w:rsidRPr="007D162C">
        <w:t>The majority of submissions from all stakeholder groups supported the regulatory option to bring the Transport Standards into alignment with best practice principles for the use of the international symbol for accessibility and deafness. There was broad agreement from all stakeholders that the consistency of symbols for accessibility is integral to the ‘whole-of-journey’ experience of passengers and contributes significantly to user confidence.</w:t>
      </w:r>
    </w:p>
    <w:p w14:paraId="235A3071" w14:textId="6D235E30" w:rsidR="002766EE" w:rsidRDefault="002766EE" w:rsidP="002766EE">
      <w:r w:rsidRPr="007D162C">
        <w:t xml:space="preserve">Support for the two sub-options presented was approximately even across all stakeholder groups. Sub-option 2 will align the Transport Standards with the Premises Standards. </w:t>
      </w:r>
    </w:p>
    <w:p w14:paraId="5E2F918E" w14:textId="2243595D" w:rsidR="004E77B6" w:rsidRPr="00F55FEE" w:rsidRDefault="004E77B6" w:rsidP="004E77B6">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w:t>
      </w:r>
      <w:r w:rsidRPr="004E77B6">
        <w:rPr>
          <w:shd w:val="clear" w:color="auto" w:fill="FFFFFF"/>
        </w:rPr>
        <w:t xml:space="preserve">by </w:t>
      </w:r>
      <w:r w:rsidRPr="004E77B6">
        <w:t xml:space="preserve">AS1428.1 (2021), reference to AS1428.1 (2009) clauses 8.2.1 and 8.2.2 </w:t>
      </w:r>
      <w:r w:rsidRPr="004E77B6">
        <w:rPr>
          <w:shd w:val="clear" w:color="auto" w:fill="FFFFFF"/>
        </w:rPr>
        <w:t>will be updated with the equivalent</w:t>
      </w:r>
      <w:r w:rsidRPr="00F55FEE">
        <w:rPr>
          <w:shd w:val="clear" w:color="auto" w:fill="FFFFFF"/>
        </w:rPr>
        <w:t xml:space="preserve"> clause reference</w:t>
      </w:r>
      <w:r>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w:t>
      </w:r>
    </w:p>
    <w:p w14:paraId="3FBC00FA" w14:textId="77777777" w:rsidR="004E77B6" w:rsidRPr="007D162C" w:rsidRDefault="004E77B6" w:rsidP="002766EE"/>
    <w:p w14:paraId="5E25C045" w14:textId="00E13F98" w:rsidR="00947FA5" w:rsidRPr="007D162C" w:rsidRDefault="004E77B6" w:rsidP="002766EE">
      <w:r>
        <w:t>S</w:t>
      </w:r>
      <w:r w:rsidRPr="007D162C">
        <w:t xml:space="preserve">ubmissions </w:t>
      </w:r>
      <w:r>
        <w:t>indicate</w:t>
      </w:r>
      <w:r w:rsidRPr="007D162C">
        <w:t xml:space="preserve"> the new requirements are feasible to implement and the impact on industry is likely to be minimal as the reforms do not involve material changes to requirements</w:t>
      </w:r>
      <w:r w:rsidRPr="007D162C">
        <w:rPr>
          <w:b/>
        </w:rPr>
        <w:t xml:space="preserve">. </w:t>
      </w:r>
      <w:r w:rsidR="00CC2D7A" w:rsidRPr="007D162C">
        <w:t xml:space="preserve">Some stakeholders </w:t>
      </w:r>
      <w:r w:rsidR="00947FA5" w:rsidRPr="007D162C">
        <w:t>did raise cost concerns</w:t>
      </w:r>
      <w:r w:rsidR="00CC2D7A" w:rsidRPr="007D162C">
        <w:t xml:space="preserve">; however, </w:t>
      </w:r>
      <w:r w:rsidR="00C01C3D">
        <w:t>these concerns</w:t>
      </w:r>
      <w:r w:rsidR="004C5E35" w:rsidRPr="007D162C">
        <w:t xml:space="preserve"> often</w:t>
      </w:r>
      <w:r w:rsidR="00CC2D7A" w:rsidRPr="007D162C">
        <w:t xml:space="preserve"> included assets </w:t>
      </w:r>
      <w:r w:rsidR="00947FA5" w:rsidRPr="007D162C">
        <w:t>which</w:t>
      </w:r>
      <w:r w:rsidR="00CC2D7A" w:rsidRPr="007D162C">
        <w:t xml:space="preserve"> are in </w:t>
      </w:r>
      <w:r w:rsidR="00C01C3D">
        <w:t xml:space="preserve">the </w:t>
      </w:r>
      <w:r w:rsidR="00CC2D7A" w:rsidRPr="007D162C">
        <w:t xml:space="preserve">scope of the </w:t>
      </w:r>
      <w:r w:rsidR="00947FA5" w:rsidRPr="007D162C">
        <w:t xml:space="preserve">existing requirements in the </w:t>
      </w:r>
      <w:r w:rsidR="00CC2D7A" w:rsidRPr="007D162C">
        <w:t>Premises Standards</w:t>
      </w:r>
      <w:r w:rsidR="004C5E35" w:rsidRPr="007D162C">
        <w:t xml:space="preserve"> and are already implemented.</w:t>
      </w:r>
      <w:r w:rsidR="00CC2D7A" w:rsidRPr="007D162C">
        <w:t xml:space="preserve"> </w:t>
      </w:r>
      <w:r w:rsidR="00947FA5" w:rsidRPr="007D162C">
        <w:t xml:space="preserve">Those requirements in the Premises Standards </w:t>
      </w:r>
      <w:r w:rsidR="00CC2D7A" w:rsidRPr="007D162C">
        <w:t xml:space="preserve">for new or substantially renovated </w:t>
      </w:r>
      <w:r w:rsidR="00947FA5" w:rsidRPr="007D162C">
        <w:t>premise</w:t>
      </w:r>
      <w:r w:rsidR="00CC2D7A" w:rsidRPr="007D162C">
        <w:t>s</w:t>
      </w:r>
      <w:r w:rsidR="00947FA5" w:rsidRPr="007D162C">
        <w:t xml:space="preserve"> came into force </w:t>
      </w:r>
      <w:r w:rsidR="00CC2D7A" w:rsidRPr="007D162C">
        <w:t xml:space="preserve">from 2010. </w:t>
      </w:r>
      <w:r w:rsidR="00947FA5" w:rsidRPr="007D162C">
        <w:t xml:space="preserve">Standardisation to existing requirements would mitigate costs via economies of scale, consistency and clarity. </w:t>
      </w:r>
    </w:p>
    <w:p w14:paraId="56013717" w14:textId="31E01F3B" w:rsidR="002766EE" w:rsidRPr="007D162C" w:rsidRDefault="00947FA5" w:rsidP="002766EE">
      <w:r w:rsidRPr="007D162C">
        <w:t>The reform</w:t>
      </w:r>
      <w:r w:rsidR="002766EE" w:rsidRPr="007D162C">
        <w:t xml:space="preserve"> proposal only pertains to fixed signage where viewing distances need to be considered, not printed material or digital materials which have size limitations. Legislative amendments will ensure this distinction is clear. </w:t>
      </w:r>
    </w:p>
    <w:p w14:paraId="534C9E83" w14:textId="1CDEABF1" w:rsidR="006F011D" w:rsidRPr="007D162C" w:rsidRDefault="002766EE" w:rsidP="006F011D">
      <w:r w:rsidRPr="007D162C">
        <w:t xml:space="preserve">The preferred option will be implemented through amendments to the Transport Standards and Guidelines. Operators and providers will be required to meet the new Transport Standards requirements </w:t>
      </w:r>
      <w:r w:rsidR="6647ED5F" w:rsidRPr="007D162C">
        <w:t>prospectively.</w:t>
      </w:r>
      <w:r w:rsidR="006F011D" w:rsidRPr="007D162C">
        <w:br w:type="page"/>
      </w:r>
    </w:p>
    <w:p w14:paraId="3D69F330" w14:textId="2AACC82F" w:rsidR="006F011D" w:rsidRPr="007D162C" w:rsidRDefault="006F011D" w:rsidP="00301AFF">
      <w:pPr>
        <w:pStyle w:val="Heading2"/>
        <w:numPr>
          <w:ilvl w:val="0"/>
          <w:numId w:val="26"/>
        </w:numPr>
        <w:ind w:hanging="720"/>
      </w:pPr>
      <w:bookmarkStart w:id="291" w:name="_Toc112050093"/>
      <w:bookmarkStart w:id="292" w:name="_Toc127351762"/>
      <w:bookmarkStart w:id="293" w:name="_Toc140239720"/>
      <w:r w:rsidRPr="007D162C">
        <w:lastRenderedPageBreak/>
        <w:t>Letter heights and luminance contrast of signs</w:t>
      </w:r>
      <w:bookmarkEnd w:id="291"/>
      <w:bookmarkEnd w:id="292"/>
      <w:bookmarkEnd w:id="293"/>
    </w:p>
    <w:p w14:paraId="24A34BFC" w14:textId="77777777" w:rsidR="006F011D" w:rsidRPr="007D162C" w:rsidRDefault="006F011D" w:rsidP="006F011D">
      <w:pPr>
        <w:pStyle w:val="Heading4"/>
      </w:pPr>
      <w:r w:rsidRPr="007D162C">
        <w:t>Issue</w:t>
      </w:r>
    </w:p>
    <w:p w14:paraId="27A6CA54" w14:textId="1EE22125" w:rsidR="006F011D" w:rsidRPr="007D162C" w:rsidRDefault="006F011D" w:rsidP="006F011D">
      <w:r w:rsidRPr="007D162C">
        <w:t xml:space="preserve">Section 17.1 </w:t>
      </w:r>
      <w:r w:rsidR="00157A73">
        <w:t>of the Transport Standards</w:t>
      </w:r>
      <w:r w:rsidRPr="007D162C">
        <w:t xml:space="preserve"> contains requirements for letter heights and illumination of static, non-braille and non-tactile signs. However, the Transport Standards lack clarity regarding font type and luminance contrast for static, non-braille and non-tactile signs, and do </w:t>
      </w:r>
      <w:r w:rsidR="00157A73">
        <w:t>es</w:t>
      </w:r>
      <w:r w:rsidRPr="007D162C">
        <w:t>not provide certainty that signage design will be consistent and accessible to people with disability.</w:t>
      </w:r>
    </w:p>
    <w:p w14:paraId="44ACD2CE" w14:textId="77777777" w:rsidR="006F011D" w:rsidRPr="007D162C" w:rsidRDefault="006F011D" w:rsidP="006F011D">
      <w:r w:rsidRPr="007D162C">
        <w:t>Collective government action would strengthen requirements for non-braille and non-tactile signage and address key stakeholder issues raised through the Transport Standards review process.</w:t>
      </w:r>
    </w:p>
    <w:p w14:paraId="351FFDF5" w14:textId="77777777" w:rsidR="006F011D" w:rsidRPr="007D162C" w:rsidRDefault="006F011D" w:rsidP="006F011D">
      <w:pPr>
        <w:pStyle w:val="Heading4"/>
      </w:pPr>
      <w:r w:rsidRPr="007D162C">
        <w:t>Reform options</w:t>
      </w:r>
    </w:p>
    <w:p w14:paraId="275E60AB" w14:textId="77777777" w:rsidR="006F011D" w:rsidRPr="007D162C" w:rsidRDefault="006F011D" w:rsidP="006F011D">
      <w:pPr>
        <w:tabs>
          <w:tab w:val="left" w:pos="284"/>
        </w:tabs>
      </w:pPr>
      <w:r w:rsidRPr="007D162C">
        <w:t>Following is a summary of the proposed options for this reform. Full details of each reform option is provided at Appendix A.</w:t>
      </w:r>
    </w:p>
    <w:p w14:paraId="6AAF5098" w14:textId="63E38E93" w:rsidR="006F011D" w:rsidRPr="007D162C" w:rsidRDefault="006F011D" w:rsidP="00754992">
      <w:pPr>
        <w:pStyle w:val="Tablefigureheading"/>
        <w:jc w:val="both"/>
      </w:pPr>
      <w:bookmarkStart w:id="294" w:name="_Toc122446350"/>
      <w:bookmarkStart w:id="295" w:name="_Toc139969200"/>
      <w:r w:rsidRPr="007D162C">
        <w:t xml:space="preserve">Table </w:t>
      </w:r>
      <w:fldSimple w:instr=" SEQ Table \* ARABIC ">
        <w:r w:rsidR="00DC26AC">
          <w:rPr>
            <w:noProof/>
          </w:rPr>
          <w:t>42</w:t>
        </w:r>
      </w:fldSimple>
      <w:r w:rsidRPr="007D162C">
        <w:rPr>
          <w:noProof/>
        </w:rPr>
        <w:t>:</w:t>
      </w:r>
      <w:r w:rsidRPr="007D162C">
        <w:t xml:space="preserve"> Reform options for </w:t>
      </w:r>
      <w:r w:rsidR="00530C14" w:rsidRPr="007D162C">
        <w:t>l</w:t>
      </w:r>
      <w:r w:rsidRPr="007D162C">
        <w:t>etter heights and luminance contrast of signs</w:t>
      </w:r>
      <w:bookmarkEnd w:id="294"/>
      <w:bookmarkEnd w:id="295"/>
    </w:p>
    <w:tbl>
      <w:tblPr>
        <w:tblStyle w:val="DefaultTable1"/>
        <w:tblW w:w="9072" w:type="dxa"/>
        <w:tblLook w:val="04A0" w:firstRow="1" w:lastRow="0" w:firstColumn="1" w:lastColumn="0" w:noHBand="0" w:noVBand="1"/>
        <w:tblCaption w:val="Reform options for letter heights and luminance contrast of signs"/>
        <w:tblDescription w:val="This table provides a description of each of the options for this reform area. Status quo, non-regulatory and regulatory."/>
      </w:tblPr>
      <w:tblGrid>
        <w:gridCol w:w="2232"/>
        <w:gridCol w:w="6840"/>
      </w:tblGrid>
      <w:tr w:rsidR="006F011D" w:rsidRPr="007D162C" w14:paraId="7B61040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2B3B434" w14:textId="77777777" w:rsidR="006F011D" w:rsidRPr="007D162C" w:rsidRDefault="006F011D" w:rsidP="00675105">
            <w:r w:rsidRPr="007D162C">
              <w:t>Option</w:t>
            </w:r>
          </w:p>
        </w:tc>
        <w:tc>
          <w:tcPr>
            <w:tcW w:w="6840" w:type="dxa"/>
          </w:tcPr>
          <w:p w14:paraId="231518B1" w14:textId="77777777" w:rsidR="006F011D" w:rsidRPr="007D162C" w:rsidRDefault="006F011D"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F011D" w:rsidRPr="007D162C" w14:paraId="4DFADCF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3E59169" w14:textId="77777777" w:rsidR="006F011D" w:rsidRPr="007D162C" w:rsidRDefault="006F011D" w:rsidP="00675105">
            <w:r w:rsidRPr="007D162C">
              <w:t>Status Quo</w:t>
            </w:r>
          </w:p>
        </w:tc>
        <w:tc>
          <w:tcPr>
            <w:tcW w:w="6840" w:type="dxa"/>
          </w:tcPr>
          <w:p w14:paraId="29083A98" w14:textId="48295E0F"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reference Australian Standards for height and illumination of signs, however</w:t>
            </w:r>
            <w:r w:rsidR="00157A73">
              <w:t>,</w:t>
            </w:r>
            <w:r w:rsidRPr="007D162C">
              <w:t xml:space="preserve"> will continue to lack clarity regarding font type and luminance contrast for static, non-braille and non-tactile signs.</w:t>
            </w:r>
          </w:p>
          <w:p w14:paraId="3BBC9DB4"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F011D" w:rsidRPr="007D162C" w14:paraId="41BDC2C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BFC53D0" w14:textId="77777777" w:rsidR="006F011D" w:rsidRPr="007D162C" w:rsidRDefault="006F011D" w:rsidP="00675105">
            <w:r w:rsidRPr="007D162C">
              <w:t>Non-Regulatory</w:t>
            </w:r>
          </w:p>
        </w:tc>
        <w:tc>
          <w:tcPr>
            <w:tcW w:w="6840" w:type="dxa"/>
          </w:tcPr>
          <w:p w14:paraId="0A28291C" w14:textId="77777777" w:rsidR="006F011D" w:rsidRPr="007D162C" w:rsidRDefault="006F011D"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for operators and providers on appropriate signage design requirements, including font, letter height, luminance contrast, and location of signs.</w:t>
            </w:r>
          </w:p>
        </w:tc>
      </w:tr>
      <w:tr w:rsidR="006F011D" w:rsidRPr="007D162C" w14:paraId="495F6C6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7E6418F" w14:textId="77777777" w:rsidR="006F011D" w:rsidRPr="007D162C" w:rsidRDefault="006F011D" w:rsidP="00675105">
            <w:r w:rsidRPr="007D162C">
              <w:t>Regulatory</w:t>
            </w:r>
          </w:p>
        </w:tc>
        <w:tc>
          <w:tcPr>
            <w:tcW w:w="6840" w:type="dxa"/>
          </w:tcPr>
          <w:p w14:paraId="476DC8B1"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non-braille and non-tactile signs. There are 2 regulatory options that were consulted on.</w:t>
            </w:r>
          </w:p>
          <w:p w14:paraId="59B8FB8D"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897347A" w14:textId="661AFA62"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This option would require all non-braille and non-tactile signs</w:t>
            </w:r>
            <w:r w:rsidR="00157A73">
              <w:t xml:space="preserve"> to</w:t>
            </w:r>
            <w:r w:rsidRPr="007D162C">
              <w:t>:</w:t>
            </w:r>
          </w:p>
          <w:p w14:paraId="4BC50782"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use Sans Serif font</w:t>
            </w:r>
          </w:p>
          <w:p w14:paraId="60BDE23D"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provide characters, icons and symbols with a minimum luminance contrast of 30% to the background sign surface</w:t>
            </w:r>
          </w:p>
          <w:p w14:paraId="6F9D1A18"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78FF060C" w14:textId="775FE27F"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In addition to the requirements proposed in option 1, this option would require all non-braille and non-tactile signs</w:t>
            </w:r>
            <w:r w:rsidR="00157A73">
              <w:t xml:space="preserve"> to</w:t>
            </w:r>
            <w:r w:rsidRPr="007D162C">
              <w:t>:</w:t>
            </w:r>
          </w:p>
          <w:p w14:paraId="6A97F9F6" w14:textId="77777777" w:rsidR="006F011D" w:rsidRPr="007D162C" w:rsidRDefault="006F011D"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provide a luminance contrast on a sign of no less than 30% when viewed against the background or against other surfaces that are within 2 metres.</w:t>
            </w:r>
          </w:p>
          <w:p w14:paraId="635D3918" w14:textId="77777777" w:rsidR="006F011D" w:rsidRPr="007D162C" w:rsidRDefault="006F011D" w:rsidP="00157A73">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rPr>
                <w:lang w:val="en-US"/>
              </w:rPr>
              <w:t>Two sub-options were presented for</w:t>
            </w:r>
            <w:r w:rsidRPr="007D162C">
              <w:t xml:space="preserve"> minimum letter heights</w:t>
            </w:r>
            <w:r w:rsidRPr="007D162C">
              <w:rPr>
                <w:lang w:val="en-US"/>
              </w:rPr>
              <w:t>:</w:t>
            </w:r>
          </w:p>
          <w:p w14:paraId="0A6428AF" w14:textId="77777777" w:rsidR="006F011D" w:rsidRPr="007D162C" w:rsidRDefault="006F011D"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By using the Viewing Distance formula.</w:t>
            </w:r>
          </w:p>
          <w:p w14:paraId="3F7988AE" w14:textId="77777777" w:rsidR="006F011D" w:rsidRPr="007D162C" w:rsidRDefault="006F011D" w:rsidP="006F65FB">
            <w:pPr>
              <w:pStyle w:val="ListParagraph"/>
              <w:numPr>
                <w:ilvl w:val="6"/>
                <w:numId w:val="24"/>
              </w:numPr>
              <w:autoSpaceDE w:val="0"/>
              <w:autoSpaceDN w:val="0"/>
              <w:spacing w:before="40" w:after="40"/>
              <w:ind w:left="638"/>
              <w:cnfStyle w:val="000000100000" w:firstRow="0" w:lastRow="0" w:firstColumn="0" w:lastColumn="0" w:oddVBand="0" w:evenVBand="0" w:oddHBand="1" w:evenHBand="0" w:firstRowFirstColumn="0" w:firstRowLastColumn="0" w:lastRowFirstColumn="0" w:lastRowLastColumn="0"/>
            </w:pPr>
            <w:r w:rsidRPr="007D162C">
              <w:t>In accordance with AS1428.2 (1992) Clause 17.2 Height of letters in signs, Table 2, Height of letters for varying viewing distances</w:t>
            </w:r>
          </w:p>
          <w:p w14:paraId="347D6383" w14:textId="77777777" w:rsidR="006F011D" w:rsidRPr="007D162C" w:rsidRDefault="006F011D"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CCFC1FA" w14:textId="77777777" w:rsidR="006F011D" w:rsidRPr="007D162C" w:rsidRDefault="006F011D" w:rsidP="006F011D">
      <w:pPr>
        <w:pStyle w:val="Heading4"/>
        <w:tabs>
          <w:tab w:val="left" w:pos="284"/>
        </w:tabs>
      </w:pPr>
      <w:r w:rsidRPr="007D162C">
        <w:t xml:space="preserve">Cost benefit analysis </w:t>
      </w:r>
    </w:p>
    <w:p w14:paraId="795183FC" w14:textId="5F80767C" w:rsidR="006F011D" w:rsidRPr="007D162C" w:rsidRDefault="006F011D" w:rsidP="0015134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852297" w:rsidRPr="007D162C">
        <w:rPr>
          <w:rFonts w:asciiTheme="majorHAnsi" w:eastAsiaTheme="majorEastAsia" w:hAnsiTheme="majorHAnsi" w:cstheme="majorBidi"/>
          <w:color w:val="44546A" w:themeColor="text2"/>
          <w:kern w:val="0"/>
          <w:sz w:val="22"/>
          <w:szCs w:val="22"/>
          <w:lang w:val="en-AU"/>
        </w:rPr>
        <w:t xml:space="preserve">and </w:t>
      </w:r>
      <w:r w:rsidR="009E7F0F" w:rsidRPr="007D162C">
        <w:rPr>
          <w:rFonts w:asciiTheme="majorHAnsi" w:eastAsiaTheme="majorEastAsia" w:hAnsiTheme="majorHAnsi" w:cstheme="majorBidi"/>
          <w:color w:val="44546A" w:themeColor="text2"/>
          <w:kern w:val="0"/>
          <w:sz w:val="22"/>
          <w:szCs w:val="22"/>
          <w:lang w:val="en-AU"/>
        </w:rPr>
        <w:t xml:space="preserve">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4741579A" w14:textId="448F7D92" w:rsidR="006F011D" w:rsidRPr="007D162C" w:rsidRDefault="006F011D" w:rsidP="006F011D">
      <w:r w:rsidRPr="007D162C">
        <w:t>This assessment included a high-level summary of the definitional reform and potential impacts for letter heights and luminance contras</w:t>
      </w:r>
      <w:r w:rsidR="009E7F0F" w:rsidRPr="007D162C">
        <w:t>t</w:t>
      </w:r>
      <w:r w:rsidRPr="007D162C">
        <w:t xml:space="preserve"> of signs. </w:t>
      </w:r>
    </w:p>
    <w:p w14:paraId="2E718185" w14:textId="5A8B8E0A" w:rsidR="009E7F0F" w:rsidRPr="007D162C" w:rsidRDefault="08D050C4" w:rsidP="009E7F0F">
      <w:bookmarkStart w:id="296" w:name="_Hlk130816618"/>
      <w:r w:rsidRPr="007D162C">
        <w:lastRenderedPageBreak/>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536E9411" w14:textId="4CBEA8E3" w:rsidR="009E7F0F" w:rsidRPr="007D162C" w:rsidRDefault="08D050C4" w:rsidP="009E7F0F">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bookmarkEnd w:id="296"/>
    <w:p w14:paraId="30CA8EEE" w14:textId="77777777" w:rsidR="006F011D" w:rsidRPr="007D162C" w:rsidRDefault="006F011D" w:rsidP="006F011D">
      <w:pPr>
        <w:pStyle w:val="Heading4"/>
        <w:tabs>
          <w:tab w:val="left" w:pos="284"/>
        </w:tabs>
      </w:pPr>
      <w:r w:rsidRPr="007D162C">
        <w:t xml:space="preserve">Analysis of submissions </w:t>
      </w:r>
    </w:p>
    <w:p w14:paraId="65DA0E16" w14:textId="77777777" w:rsidR="006F011D" w:rsidRPr="007D162C" w:rsidRDefault="006F011D" w:rsidP="006F011D">
      <w:pPr>
        <w:pStyle w:val="Heading5"/>
      </w:pPr>
      <w:bookmarkStart w:id="297" w:name="_Hlk119414555"/>
      <w:r w:rsidRPr="007D162C">
        <w:t>Status quo</w:t>
      </w:r>
    </w:p>
    <w:p w14:paraId="795B42B9" w14:textId="25C6301E" w:rsidR="006F011D" w:rsidRPr="007D162C" w:rsidRDefault="00157A73" w:rsidP="006F011D">
      <w:r>
        <w:t xml:space="preserve">Section </w:t>
      </w:r>
      <w:r w:rsidR="006F011D" w:rsidRPr="007D162C">
        <w:t xml:space="preserve">17.1 </w:t>
      </w:r>
      <w:r>
        <w:t xml:space="preserve">of the </w:t>
      </w:r>
      <w:r w:rsidR="006F011D" w:rsidRPr="007D162C">
        <w:t xml:space="preserve">Transport Standards contains requirements for letter heights and illumination of static, non-braille and non-tactile signs, but lacks clarity regarding font type and luminance contrast. </w:t>
      </w:r>
    </w:p>
    <w:p w14:paraId="3D1BA027" w14:textId="77777777" w:rsidR="006F011D" w:rsidRPr="007D162C" w:rsidRDefault="006F011D" w:rsidP="006F011D">
      <w:r w:rsidRPr="007D162C">
        <w:t xml:space="preserve">Luminance contrast is important for people who have low vision as it helps differentiate the sign elements and improve readability. Consultation findings suggest that maintaining the status quo will continue to negatively impact people with disability if signage is unclear and difficult to read. </w:t>
      </w:r>
    </w:p>
    <w:p w14:paraId="67DBD633" w14:textId="77777777" w:rsidR="006F011D" w:rsidRPr="007D162C" w:rsidRDefault="006F011D" w:rsidP="006F011D">
      <w:r w:rsidRPr="007D162C">
        <w:t>No submissions preferred the status quo option.</w:t>
      </w:r>
    </w:p>
    <w:p w14:paraId="77B56127" w14:textId="77777777" w:rsidR="006F011D" w:rsidRPr="007D162C" w:rsidRDefault="006F011D" w:rsidP="006F011D">
      <w:r w:rsidRPr="007D162C">
        <w:t>Maintaining the status quo would incur no additional costs for operators and providers.</w:t>
      </w:r>
    </w:p>
    <w:p w14:paraId="045D1453" w14:textId="77777777" w:rsidR="006F011D" w:rsidRPr="007D162C" w:rsidRDefault="006F011D" w:rsidP="006F011D">
      <w:pPr>
        <w:pStyle w:val="Heading5"/>
      </w:pPr>
      <w:r w:rsidRPr="007D162C">
        <w:t>Non-regulatory</w:t>
      </w:r>
    </w:p>
    <w:p w14:paraId="01E17113" w14:textId="77777777" w:rsidR="006F011D" w:rsidRPr="007D162C" w:rsidRDefault="006F011D" w:rsidP="006F011D">
      <w:r w:rsidRPr="007D162C">
        <w:t>One submission from government and three submissions from industry supported the non-regulatory option. These submissions suggested that the current requirements in the Transport Standards are adequate, however, would benefit from additional guidance to deliver meaningful accessible outcomes for customers. This solution was preferred, as it maintains a level of flexibility to ensure that signage design can be considered as part of an integrated wayfinding strategy specific to each site and asset.</w:t>
      </w:r>
    </w:p>
    <w:p w14:paraId="40BB8CDE" w14:textId="77777777" w:rsidR="006F011D" w:rsidRPr="007D162C" w:rsidRDefault="006F011D" w:rsidP="006F011D">
      <w:r w:rsidRPr="007D162C">
        <w:t xml:space="preserve">One submission questioned how guidance material would apply to signs visible from the street or vehicles, such as station entrance flag-style signage, or internally illuminated signs, which may have different viewing requirements. </w:t>
      </w:r>
    </w:p>
    <w:p w14:paraId="7617E582" w14:textId="77777777" w:rsidR="006F011D" w:rsidRPr="007D162C" w:rsidRDefault="006F011D" w:rsidP="006F011D">
      <w:pPr>
        <w:pStyle w:val="Heading5"/>
      </w:pPr>
      <w:r w:rsidRPr="007D162C">
        <w:t>Regulatory</w:t>
      </w:r>
    </w:p>
    <w:p w14:paraId="0DCC9A4D" w14:textId="77777777" w:rsidR="006F011D" w:rsidRPr="007D162C" w:rsidRDefault="08D050C4" w:rsidP="006F011D">
      <w:r w:rsidRPr="007D162C">
        <w:t xml:space="preserve">Throughout public consultation, there was broad agreement that clear and legible signage is an important factor in providing an accessible public transport service. All submissions from individuals, people with disability and disability organisations, and the majority of submissions from industry and government supported the regulatory option. Reform to update outdated references to AS1428.2 (1992) was well supported by all stakeholder groups. Similarly, the additional requirements detailed in the regulatory option were well supported across all stakeholder groups to enable greater consistency across public transport networks and support a more accessible ‘whole of journey’ approach to signage. </w:t>
      </w:r>
    </w:p>
    <w:p w14:paraId="7D482900" w14:textId="77777777" w:rsidR="006F011D" w:rsidRPr="007D162C" w:rsidRDefault="08D050C4" w:rsidP="006F011D">
      <w:r w:rsidRPr="007D162C">
        <w:t>In particular, the added requirements for luminance contrast were noted as a beneficial addition to help make signs more legible and easily identifiable by the disability sector. In response to the specified requirements for luminance contrast, one submission from a disability organisation raised concerns that the 30 per cent minimum requirement does not meet the needs of the low vision community, and is not supported by contemporary evidence or user testing. The submission noted that whilst the 30 per cent figure is a minimum requirement, in practice this may not be exceeded, to the detriment of passengers with vision impairment.</w:t>
      </w:r>
    </w:p>
    <w:p w14:paraId="5459EB92" w14:textId="77777777" w:rsidR="006F011D" w:rsidRPr="007D162C" w:rsidRDefault="006F011D" w:rsidP="006F011D">
      <w:pPr>
        <w:pStyle w:val="Quote"/>
      </w:pPr>
      <w:r w:rsidRPr="007D162C">
        <w:t>We know from extensive anecdotal reports from clients and orientation and mobility specialists that the 30% level that is specified as a minimum does not meet the needs of the low vision community, and is, moreover, unsupported by robust, contemporary evidence and user testing.</w:t>
      </w:r>
      <w:r w:rsidRPr="007D162C">
        <w:br/>
      </w:r>
      <w:r w:rsidRPr="007D162C">
        <w:br/>
        <w:t>Vision Australia</w:t>
      </w:r>
    </w:p>
    <w:p w14:paraId="18AF2293" w14:textId="188C4B61" w:rsidR="006F011D" w:rsidRPr="007D162C" w:rsidRDefault="08D050C4" w:rsidP="006F011D">
      <w:r w:rsidRPr="007D162C">
        <w:t xml:space="preserve">One submission from government noted that as signs are often suspended from ceilings, there may be issues concerning the practicality of measuring luminance contrast testing with background surfaces within </w:t>
      </w:r>
      <w:r w:rsidRPr="007D162C">
        <w:lastRenderedPageBreak/>
        <w:t>two</w:t>
      </w:r>
      <w:r w:rsidR="00301AFF">
        <w:t> </w:t>
      </w:r>
      <w:r w:rsidRPr="007D162C">
        <w:t>metres, as the testing requirements are not always feasible. For this reason, the submission suggested the regulatory option be amended to remove ‘or against other surfaces within two metres’ and moved to guidance material. Similarly, one submission from industry noted that jurisdictions may also require signage – for example, school buses – and that these requirements could potentially contradict new requirements agreed to the Transport Standards. The majority of submissions from industry and government noted that the impact of the proposed regulatory changes would be minimal, although if the requirements were introduced retrospectively, complexities may arise.</w:t>
      </w:r>
    </w:p>
    <w:p w14:paraId="11CE0F69" w14:textId="77777777" w:rsidR="006F011D" w:rsidRPr="007D162C" w:rsidRDefault="006F011D" w:rsidP="006F011D">
      <w:bookmarkStart w:id="298" w:name="_Hlk119412530"/>
      <w:r w:rsidRPr="007D162C">
        <w:t>There was split support for regulatory option 1 and option 2 among all stakeholder groups</w:t>
      </w:r>
      <w:bookmarkEnd w:id="298"/>
      <w:r w:rsidRPr="007D162C">
        <w:t xml:space="preserve">. Those who preferred option 1 noted the option will provide clarity to both customers and operators and providers regarding what is required, and will see the Transport Standards maintain prescriptive requirements relating to letter height. Those who preferred option 2 stated that it will provide the greatest certainty for sign design. The majority of submissions that support option 2 supported sub-option 2. These responses noted the value of maintaining reference to Australian Standards to reflect best practice design. </w:t>
      </w:r>
    </w:p>
    <w:p w14:paraId="2931F6DA" w14:textId="77777777" w:rsidR="006F011D" w:rsidRPr="007D162C" w:rsidRDefault="006F011D" w:rsidP="006F011D">
      <w:r w:rsidRPr="007D162C">
        <w:t>Two submissions from the disability community did not support either of the proposed options, instead stating further consultation through a co-design process is required to identify appropriate font size, stroke width, text justification and signage finish. These submissions stated it is critical that user testing is conducted to ensure these factors are considered and the resulting signage is legible to people with vision impairment. One submission also noted that consideration should be made to ensuring signage is inclusive of people with intellectual disability.</w:t>
      </w:r>
    </w:p>
    <w:p w14:paraId="7CD7DC83" w14:textId="77777777" w:rsidR="006F011D" w:rsidRPr="007D162C" w:rsidRDefault="006F011D" w:rsidP="006F011D">
      <w:pPr>
        <w:pStyle w:val="Quote"/>
      </w:pPr>
      <w:r w:rsidRPr="007D162C">
        <w:t>Choice of signage, clear and easy wayfinding, accessible information, text print size, language choices and accessible pictograms are all important elements to ensure transport is accessible and inclusive for people with intellectual disability.</w:t>
      </w:r>
      <w:r w:rsidRPr="007D162C">
        <w:br/>
      </w:r>
      <w:r w:rsidRPr="007D162C">
        <w:br/>
        <w:t>Council for Intellectual Disability</w:t>
      </w:r>
    </w:p>
    <w:p w14:paraId="00338D32" w14:textId="77777777" w:rsidR="00BD6B89" w:rsidRPr="007D162C" w:rsidRDefault="00BD6B89" w:rsidP="00BD6B89"/>
    <w:p w14:paraId="54BC7787" w14:textId="77777777" w:rsidR="006F011D" w:rsidRPr="007D162C" w:rsidRDefault="006F011D" w:rsidP="006F011D">
      <w:pPr>
        <w:pStyle w:val="Heading4"/>
      </w:pPr>
      <w:r w:rsidRPr="007D162C">
        <w:t>Preferred option</w:t>
      </w:r>
    </w:p>
    <w:p w14:paraId="5D425102" w14:textId="77777777" w:rsidR="006F011D" w:rsidRPr="007D162C" w:rsidRDefault="006F011D" w:rsidP="006F011D">
      <w:r w:rsidRPr="007D162C">
        <w:t xml:space="preserve">Informed by the outcomes of consultation, impacts, cost and outcomes analysis above, the preferred option is the </w:t>
      </w:r>
      <w:r w:rsidRPr="007D162C">
        <w:rPr>
          <w:b/>
        </w:rPr>
        <w:t>regulatory option 2, sub-option 2</w:t>
      </w:r>
      <w:r w:rsidRPr="007D162C">
        <w:t>.</w:t>
      </w:r>
    </w:p>
    <w:p w14:paraId="542A8F38" w14:textId="77777777" w:rsidR="006F011D" w:rsidRPr="007D162C" w:rsidRDefault="08D050C4" w:rsidP="006F011D">
      <w:r w:rsidRPr="007D162C">
        <w:t>The majority of submissions from industry and government, and all submissions from individuals, people with disability and disability organisations supported the regulatory option. There was broad support for aligning the Transport Standards with contemporary best practice, and the additional requirements proposed were supported as a mechanism to provide more consistent and accessible ‘whole of journey’ experiences for people with disability. Feedback provided from the disability sector will inform the development of guidance to supplement new requirements with best practice advice regarding stroke width, text justification and signage finish, the value of user-testing and luminance contrast.</w:t>
      </w:r>
    </w:p>
    <w:p w14:paraId="7FC53AD8" w14:textId="77777777" w:rsidR="006F011D" w:rsidRPr="007D162C" w:rsidRDefault="006F011D" w:rsidP="006F011D">
      <w:r w:rsidRPr="007D162C">
        <w:t xml:space="preserve">Option 2, sub-option 2 was supported by a combination of industry, government and disability sector stakeholders. This option will provide the greatest certainty for sign design, and aligns with industry best practice design. </w:t>
      </w:r>
    </w:p>
    <w:p w14:paraId="4C6F7910" w14:textId="77777777" w:rsidR="006F011D" w:rsidRPr="007D162C" w:rsidRDefault="006F011D" w:rsidP="006F011D">
      <w:r w:rsidRPr="007D162C">
        <w:rPr>
          <w:rFonts w:ascii="Calibri" w:eastAsia="Calibri" w:hAnsi="Calibri" w:cs="Times New Roman"/>
          <w:color w:val="000000" w:themeColor="text1"/>
        </w:rPr>
        <w:t>Consultation findings indicate that while the impact of the proposed requirements would be minimal for new assets, complexities may arise when retrofitting existing assets. As such, the new Transport Standards requirements would apply to new or substantially upgraded infrastructure and would not be retrospective.</w:t>
      </w:r>
      <w:r w:rsidRPr="007D162C">
        <w:t xml:space="preserve"> </w:t>
      </w:r>
    </w:p>
    <w:bookmarkEnd w:id="297"/>
    <w:p w14:paraId="6B8439BF" w14:textId="77777777" w:rsidR="00BD6B89" w:rsidRPr="007D162C" w:rsidRDefault="006F011D" w:rsidP="006F011D">
      <w:pPr>
        <w:rPr>
          <w:rFonts w:ascii="Calibri" w:eastAsia="Calibri" w:hAnsi="Calibri" w:cs="Times New Roman"/>
          <w:color w:val="000000" w:themeColor="text1"/>
        </w:rPr>
      </w:pPr>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This would address the primary concerns of stakeholders.</w:t>
      </w:r>
    </w:p>
    <w:p w14:paraId="4AA8338C" w14:textId="77777777" w:rsidR="00BD6B89" w:rsidRPr="007D162C" w:rsidRDefault="00BD6B89" w:rsidP="00BD6B89">
      <w:r w:rsidRPr="007D162C">
        <w:br w:type="page"/>
      </w:r>
    </w:p>
    <w:p w14:paraId="31CE4FB6" w14:textId="38327582" w:rsidR="00BD6B89" w:rsidRPr="007D162C" w:rsidRDefault="00BD6B89" w:rsidP="009B61BE">
      <w:pPr>
        <w:pStyle w:val="Heading2"/>
        <w:numPr>
          <w:ilvl w:val="0"/>
          <w:numId w:val="26"/>
        </w:numPr>
        <w:ind w:hanging="720"/>
      </w:pPr>
      <w:bookmarkStart w:id="299" w:name="_Toc112050094"/>
      <w:bookmarkStart w:id="300" w:name="_Toc127351763"/>
      <w:bookmarkStart w:id="301" w:name="_Toc140239721"/>
      <w:r w:rsidRPr="007D162C">
        <w:lastRenderedPageBreak/>
        <w:t>Location of signs</w:t>
      </w:r>
      <w:bookmarkEnd w:id="299"/>
      <w:bookmarkEnd w:id="300"/>
      <w:bookmarkEnd w:id="301"/>
    </w:p>
    <w:p w14:paraId="52D4C864" w14:textId="77777777" w:rsidR="00BD6B89" w:rsidRPr="007D162C" w:rsidRDefault="00BD6B89" w:rsidP="00BD6B89">
      <w:pPr>
        <w:pStyle w:val="Heading4"/>
        <w:rPr>
          <w:color w:val="081E3E"/>
          <w:sz w:val="36"/>
          <w:szCs w:val="36"/>
        </w:rPr>
      </w:pPr>
      <w:r w:rsidRPr="007D162C">
        <w:t>Issue</w:t>
      </w:r>
    </w:p>
    <w:p w14:paraId="481884E9" w14:textId="1E6EA5E5" w:rsidR="00BD6B89" w:rsidRPr="007D162C" w:rsidRDefault="00BD6B89" w:rsidP="00BD6B89">
      <w:r w:rsidRPr="007D162C">
        <w:t>Section</w:t>
      </w:r>
      <w:r w:rsidR="00D22456">
        <w:t>s</w:t>
      </w:r>
      <w:r w:rsidRPr="007D162C">
        <w:t xml:space="preserve"> 17.2 </w:t>
      </w:r>
      <w:r w:rsidR="00D22456">
        <w:t>and 1</w:t>
      </w:r>
      <w:r w:rsidRPr="007D162C">
        <w:t xml:space="preserve">7.3 </w:t>
      </w:r>
      <w:r w:rsidR="00D22456">
        <w:t xml:space="preserve">of the </w:t>
      </w:r>
      <w:r w:rsidRPr="007D162C">
        <w:t>Transport Standards include provisions for the location of signage in premises, infrastructure and conveyances via reference to AS1428.2 (1992). To simplify the Transport Standards, there is an opportunity to combine these sections and update references to the outdated Australian Standard.</w:t>
      </w:r>
    </w:p>
    <w:p w14:paraId="6FAFBDA7" w14:textId="77777777" w:rsidR="00BD6B89" w:rsidRPr="007D162C" w:rsidRDefault="08D050C4" w:rsidP="00BD6B89">
      <w:r w:rsidRPr="007D162C">
        <w:t xml:space="preserve">Collective government action would update Australian Standard references to reflect technological progress and modernise the Transport Standards. </w:t>
      </w:r>
    </w:p>
    <w:p w14:paraId="440B95CC" w14:textId="77777777" w:rsidR="00BD6B89" w:rsidRPr="007D162C" w:rsidRDefault="00BD6B89" w:rsidP="00BD6B89">
      <w:pPr>
        <w:pStyle w:val="Heading4"/>
        <w:tabs>
          <w:tab w:val="left" w:pos="284"/>
        </w:tabs>
      </w:pPr>
      <w:r w:rsidRPr="007D162C">
        <w:t>Reform options</w:t>
      </w:r>
    </w:p>
    <w:p w14:paraId="0B7E7CC4" w14:textId="77777777" w:rsidR="00BD6B89" w:rsidRPr="007D162C" w:rsidRDefault="00BD6B89" w:rsidP="00BD6B89">
      <w:pPr>
        <w:tabs>
          <w:tab w:val="left" w:pos="284"/>
        </w:tabs>
      </w:pPr>
      <w:r w:rsidRPr="007D162C">
        <w:t>Following is a summary of the proposed options for this reform. Full details of each reform option is provided at Appendix A.</w:t>
      </w:r>
    </w:p>
    <w:p w14:paraId="0E8533E3" w14:textId="073F2609" w:rsidR="00BD6B89" w:rsidRPr="007D162C" w:rsidRDefault="00BD6B89" w:rsidP="00754992">
      <w:pPr>
        <w:pStyle w:val="Tablefigureheading"/>
        <w:jc w:val="both"/>
      </w:pPr>
      <w:bookmarkStart w:id="302" w:name="_Toc122446352"/>
      <w:bookmarkStart w:id="303" w:name="_Toc139969201"/>
      <w:r w:rsidRPr="007D162C">
        <w:t xml:space="preserve">Table </w:t>
      </w:r>
      <w:fldSimple w:instr=" SEQ Table \* ARABIC ">
        <w:r w:rsidR="00DC26AC">
          <w:rPr>
            <w:noProof/>
          </w:rPr>
          <w:t>43</w:t>
        </w:r>
      </w:fldSimple>
      <w:r w:rsidRPr="007D162C">
        <w:rPr>
          <w:noProof/>
        </w:rPr>
        <w:t>:</w:t>
      </w:r>
      <w:r w:rsidRPr="007D162C">
        <w:t xml:space="preserve"> Reform options for </w:t>
      </w:r>
      <w:r w:rsidR="00161AE8" w:rsidRPr="007D162C">
        <w:t>L</w:t>
      </w:r>
      <w:r w:rsidRPr="007D162C">
        <w:t>ocation of signs</w:t>
      </w:r>
      <w:bookmarkEnd w:id="302"/>
      <w:bookmarkEnd w:id="303"/>
    </w:p>
    <w:tbl>
      <w:tblPr>
        <w:tblStyle w:val="DefaultTable1"/>
        <w:tblW w:w="9072" w:type="dxa"/>
        <w:tblLook w:val="04A0" w:firstRow="1" w:lastRow="0" w:firstColumn="1" w:lastColumn="0" w:noHBand="0" w:noVBand="1"/>
        <w:tblCaption w:val="Reform options for location of signs"/>
        <w:tblDescription w:val="This table provides a description of each of the options for this reform area. Status quo, non-regulatory and regulatory."/>
      </w:tblPr>
      <w:tblGrid>
        <w:gridCol w:w="2232"/>
        <w:gridCol w:w="6840"/>
      </w:tblGrid>
      <w:tr w:rsidR="00BD6B89" w:rsidRPr="007D162C" w14:paraId="35856E6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7244649" w14:textId="77777777" w:rsidR="00BD6B89" w:rsidRPr="007D162C" w:rsidRDefault="00BD6B89" w:rsidP="00675105">
            <w:r w:rsidRPr="007D162C">
              <w:t>Option</w:t>
            </w:r>
          </w:p>
        </w:tc>
        <w:tc>
          <w:tcPr>
            <w:tcW w:w="6840" w:type="dxa"/>
          </w:tcPr>
          <w:p w14:paraId="35A9288D" w14:textId="77777777" w:rsidR="00BD6B89" w:rsidRPr="007D162C" w:rsidRDefault="00BD6B89"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BD6B89" w:rsidRPr="007D162C" w14:paraId="4EA78CE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AE8722D" w14:textId="77777777" w:rsidR="00BD6B89" w:rsidRPr="007D162C" w:rsidRDefault="00BD6B89" w:rsidP="00675105">
            <w:r w:rsidRPr="007D162C">
              <w:t>Status Quo</w:t>
            </w:r>
          </w:p>
        </w:tc>
        <w:tc>
          <w:tcPr>
            <w:tcW w:w="6840" w:type="dxa"/>
          </w:tcPr>
          <w:p w14:paraId="22711A9E"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provide requirements on the location of signs in premises, infrastructure and conveyances.</w:t>
            </w:r>
          </w:p>
          <w:p w14:paraId="6816D2F2"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D6B89" w:rsidRPr="007D162C" w14:paraId="1C6F6EF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CD5E8A5" w14:textId="77777777" w:rsidR="00BD6B89" w:rsidRPr="007D162C" w:rsidRDefault="00BD6B89" w:rsidP="00675105">
            <w:r w:rsidRPr="007D162C">
              <w:t>Non-Regulatory</w:t>
            </w:r>
          </w:p>
        </w:tc>
        <w:tc>
          <w:tcPr>
            <w:tcW w:w="6840" w:type="dxa"/>
          </w:tcPr>
          <w:p w14:paraId="054AAA2F"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that provides advice on best practice location of signs, including signage placement, purpose of the sign message, format of signs, operational context which considers passenger movements in an environment, and common viewing ranges for both seating and standing passengers.</w:t>
            </w:r>
          </w:p>
        </w:tc>
      </w:tr>
      <w:tr w:rsidR="00BD6B89" w:rsidRPr="007D162C" w14:paraId="1C6B7DFC"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9FFF148" w14:textId="77777777" w:rsidR="00BD6B89" w:rsidRPr="007D162C" w:rsidRDefault="00BD6B89" w:rsidP="00675105">
            <w:r w:rsidRPr="007D162C">
              <w:t>Regulatory</w:t>
            </w:r>
          </w:p>
        </w:tc>
        <w:tc>
          <w:tcPr>
            <w:tcW w:w="6840" w:type="dxa"/>
          </w:tcPr>
          <w:p w14:paraId="6AD86046"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the location of non-braille and non-tactile signs, including:</w:t>
            </w:r>
          </w:p>
          <w:p w14:paraId="09F246DC"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signs must be visible from seated and standing position.</w:t>
            </w:r>
          </w:p>
          <w:p w14:paraId="2E9508EA"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if used on conveyances, destination signs must be placed above the windscreen.</w:t>
            </w:r>
          </w:p>
          <w:p w14:paraId="2683CC2E" w14:textId="77777777" w:rsidR="00BD6B89" w:rsidRPr="007D162C" w:rsidRDefault="00BD6B89" w:rsidP="00BD6B89">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7D162C">
              <w:t xml:space="preserve">placement of the sign must be considered. Two regulatory sub-options were provided for consideration. Sub-option 1 proposes specific height ranges for the placement of signs in uncrowded and crowded areas, respectively. Sub-option 2 proposes compliance with AS1428.2 (1992). </w:t>
            </w:r>
          </w:p>
          <w:p w14:paraId="293CCC04"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2CCFFCA" w14:textId="77777777" w:rsidR="00BD6B89" w:rsidRPr="007D162C" w:rsidRDefault="00BD6B89" w:rsidP="00BD6B89"/>
    <w:p w14:paraId="6D7DE104" w14:textId="77777777" w:rsidR="00BD6B89" w:rsidRPr="007D162C" w:rsidRDefault="00BD6B89" w:rsidP="00BD6B89">
      <w:pPr>
        <w:pStyle w:val="Heading4"/>
        <w:tabs>
          <w:tab w:val="left" w:pos="284"/>
        </w:tabs>
      </w:pPr>
      <w:r w:rsidRPr="007D162C">
        <w:t>Cost benefit analysis</w:t>
      </w:r>
    </w:p>
    <w:p w14:paraId="112E413B" w14:textId="3F34859F" w:rsidR="00BD6B89" w:rsidRPr="007D162C" w:rsidRDefault="00BD6B89" w:rsidP="00BD6B89">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9E7F0F"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368921C4" w14:textId="6A720DF9" w:rsidR="00BD6B89" w:rsidRPr="007D162C" w:rsidRDefault="00BD6B89" w:rsidP="00BD6B89">
      <w:r w:rsidRPr="007D162C">
        <w:t>This assessment included a high-level summary of the definitional reform and potential impacts for the location of signs.</w:t>
      </w:r>
    </w:p>
    <w:p w14:paraId="739A333F" w14:textId="77777777" w:rsidR="009E7F0F" w:rsidRPr="007D162C" w:rsidRDefault="08D050C4" w:rsidP="009E7F0F">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7DACE68D" w14:textId="77777777" w:rsidR="009E7F0F" w:rsidRPr="007D162C" w:rsidRDefault="08D050C4" w:rsidP="009E7F0F">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45E131EC" w14:textId="77777777" w:rsidR="00BD6B89" w:rsidRPr="007D162C" w:rsidRDefault="00BD6B89" w:rsidP="00BD6B89">
      <w:pPr>
        <w:pStyle w:val="Heading4"/>
        <w:tabs>
          <w:tab w:val="left" w:pos="284"/>
        </w:tabs>
      </w:pPr>
      <w:r w:rsidRPr="007D162C">
        <w:lastRenderedPageBreak/>
        <w:t xml:space="preserve">Analysis of submissions </w:t>
      </w:r>
    </w:p>
    <w:p w14:paraId="6B44FCC7" w14:textId="77777777" w:rsidR="00BD6B89" w:rsidRPr="007D162C" w:rsidRDefault="00BD6B89" w:rsidP="00BD6B89">
      <w:pPr>
        <w:pStyle w:val="Heading5"/>
      </w:pPr>
      <w:r w:rsidRPr="007D162C">
        <w:t>Status quo</w:t>
      </w:r>
    </w:p>
    <w:p w14:paraId="50A25A86" w14:textId="64EBEC39" w:rsidR="00BD6B89" w:rsidRPr="007D162C" w:rsidRDefault="00BD6B89" w:rsidP="00BD6B89">
      <w:r w:rsidRPr="007D162C">
        <w:t>Currently, requirements for the location of signage on public transport networks are contained in Section 17.2 and Section 17.3. These requirements do not include provisions which consider environmental factors in sign location</w:t>
      </w:r>
      <w:r w:rsidR="001733E2">
        <w:t>.</w:t>
      </w:r>
      <w:r w:rsidRPr="007D162C">
        <w:t xml:space="preserve"> </w:t>
      </w:r>
      <w:r w:rsidR="001733E2">
        <w:t>F</w:t>
      </w:r>
      <w:r w:rsidRPr="007D162C">
        <w:t>or example, a local bus stop identification sign versus an exit sign on a crowded station platform</w:t>
      </w:r>
      <w:r w:rsidR="001733E2">
        <w:t xml:space="preserve">. This </w:t>
      </w:r>
      <w:r w:rsidRPr="007D162C">
        <w:t>may consequently negatively impact legibility for users.</w:t>
      </w:r>
    </w:p>
    <w:p w14:paraId="7F77A6CF" w14:textId="77777777" w:rsidR="00BD6B89" w:rsidRPr="007D162C" w:rsidRDefault="00BD6B89" w:rsidP="00BD6B89">
      <w:r w:rsidRPr="007D162C">
        <w:t>No submissions preferred the status quo option for this reform area.</w:t>
      </w:r>
    </w:p>
    <w:p w14:paraId="2C475520" w14:textId="77777777" w:rsidR="00BD6B89" w:rsidRPr="007D162C" w:rsidRDefault="00BD6B89" w:rsidP="00BD6B89">
      <w:r w:rsidRPr="007D162C">
        <w:t>Maintaining status quo would incur no additional costs for public transports operators and providers.</w:t>
      </w:r>
    </w:p>
    <w:p w14:paraId="47998544" w14:textId="77777777" w:rsidR="00BD6B89" w:rsidRPr="007D162C" w:rsidRDefault="00BD6B89" w:rsidP="00BD6B89">
      <w:pPr>
        <w:pStyle w:val="Heading5"/>
      </w:pPr>
      <w:r w:rsidRPr="007D162C">
        <w:t>Non-regulatory</w:t>
      </w:r>
    </w:p>
    <w:p w14:paraId="679A56F8" w14:textId="31440CDC" w:rsidR="00BD6B89" w:rsidRPr="007D162C" w:rsidRDefault="00BD6B89" w:rsidP="00BD6B89">
      <w:r w:rsidRPr="007D162C">
        <w:t>The non-regulatory option would develop guidance that provides advice on best practice location of signs, including signage placement, purpose of the sign message, format of signs, operational context which considers passenger movements in an environment, and common viewing ranges for both seat</w:t>
      </w:r>
      <w:r w:rsidR="001733E2">
        <w:t>ed</w:t>
      </w:r>
      <w:r w:rsidRPr="007D162C">
        <w:t xml:space="preserve"> and standing passengers.</w:t>
      </w:r>
    </w:p>
    <w:p w14:paraId="27075D0F" w14:textId="77777777" w:rsidR="00BD6B89" w:rsidRPr="007D162C" w:rsidRDefault="00BD6B89" w:rsidP="00BD6B89">
      <w:r w:rsidRPr="007D162C">
        <w:t xml:space="preserve">Three submissions from industry and one submission from government supported the non-regulatory option. </w:t>
      </w:r>
    </w:p>
    <w:p w14:paraId="6089D0AE" w14:textId="77777777" w:rsidR="00BD6B89" w:rsidRPr="007D162C" w:rsidRDefault="00BD6B89" w:rsidP="00BD6B89">
      <w:r w:rsidRPr="007D162C">
        <w:t>Two of these submissions noted that conveyances are subject to design requirements mandated under Australian Design Rules (ADRs). These submissions highlighted that compliance with ADRs that impact conveyance design must take precedence over conflicting requirements in the Transport Standards. For this reason, the non-regulatory option was noted as providing valuable flexibility to operators and providers to implement upgrades as per their operational requirements</w:t>
      </w:r>
    </w:p>
    <w:p w14:paraId="221780F3" w14:textId="77777777" w:rsidR="00BD6B89" w:rsidRPr="007D162C" w:rsidRDefault="00BD6B89" w:rsidP="00BD6B89">
      <w:r w:rsidRPr="007D162C">
        <w:t xml:space="preserve">To the extent that guidance is followed, people with disability would benefit from improved accessibility and consistency of sign placement.  </w:t>
      </w:r>
    </w:p>
    <w:p w14:paraId="7ABAA6AB" w14:textId="77777777" w:rsidR="00BD6B89" w:rsidRPr="007D162C" w:rsidRDefault="00BD6B89" w:rsidP="00BD6B89">
      <w:pPr>
        <w:pStyle w:val="Heading5"/>
      </w:pPr>
      <w:r w:rsidRPr="007D162C">
        <w:t>Regulatory</w:t>
      </w:r>
    </w:p>
    <w:p w14:paraId="6598D765" w14:textId="77777777" w:rsidR="00BD6B89" w:rsidRPr="007D162C" w:rsidRDefault="00BD6B89" w:rsidP="00BD6B89">
      <w:r w:rsidRPr="007D162C">
        <w:t>There was broad support from all stakeholder groups for the regulatory option. Submissions noted that the current requirements included in Sections 17.2 and 17.3 of the Transport Standards are useful, and should be improved to provide greater clarity regarding the placement of non-braille and non-tactile signs, including through the provision of viewing height ranges.</w:t>
      </w:r>
    </w:p>
    <w:p w14:paraId="338C1F79" w14:textId="77777777" w:rsidR="00BD6B89" w:rsidRPr="007D162C" w:rsidRDefault="08D050C4" w:rsidP="00BD6B89">
      <w:r w:rsidRPr="007D162C">
        <w:t>Individuals, people with disability and disability organisations noted that in certain cases, signs may technically meet compliance requirements, but not be placed to adequately meet the needs of passengers. Poor placement can lead to situations where signs are obscured at peak usage times, negatively impacting passengers with disability.</w:t>
      </w:r>
    </w:p>
    <w:p w14:paraId="21A0405F" w14:textId="77777777" w:rsidR="00BD6B89" w:rsidRPr="007D162C" w:rsidRDefault="00BD6B89" w:rsidP="00BD6B89">
      <w:pPr>
        <w:pStyle w:val="Quote"/>
      </w:pPr>
      <w:r w:rsidRPr="007D162C">
        <w:t xml:space="preserve">Access to accurate information at bus stops is often absent or inaccessible. This can be as simple as bus stop numbers or zone letters in bus interchanges being at a suitable height to be seen, where currently they are at the top of a pole of sign, or being able to access information about which buses stop at a particular zones at a bus interchange (O-Bahn). </w:t>
      </w:r>
    </w:p>
    <w:p w14:paraId="1BD24711" w14:textId="77777777" w:rsidR="00BD6B89" w:rsidRPr="007D162C" w:rsidRDefault="00BD6B89" w:rsidP="00BD6B89">
      <w:pPr>
        <w:pStyle w:val="Quote"/>
      </w:pPr>
      <w:r w:rsidRPr="007D162C">
        <w:t>Campbelltown City Council Disability Access and Inclusion Advisory Committee</w:t>
      </w:r>
    </w:p>
    <w:p w14:paraId="6CFD26BF" w14:textId="77777777" w:rsidR="00BD6B89" w:rsidRPr="007D162C" w:rsidRDefault="00BD6B89" w:rsidP="00BD6B89">
      <w:r w:rsidRPr="007D162C">
        <w:t xml:space="preserve">Submissions from all stakeholder groups advocated for consistency in the placement of signage to provide certainty to passengers when completing a public transport journey. The majority of submissions from industry and government noted that although challenges may arise with retrofitting, these requirements could easily be incorporated in the design phase of new projects. </w:t>
      </w:r>
    </w:p>
    <w:p w14:paraId="46C469D8" w14:textId="77777777" w:rsidR="00BD6B89" w:rsidRPr="007D162C" w:rsidRDefault="00BD6B89" w:rsidP="00BD6B89">
      <w:r w:rsidRPr="007D162C">
        <w:t xml:space="preserve">The regulatory option was identified by the majority of submissions as providing a greater level of consistency across jurisdictions and modes of transport, and improving public transport accessibility by establishing a greater level of predictability. </w:t>
      </w:r>
      <w:bookmarkStart w:id="304" w:name="_Hlk119414223"/>
      <w:r w:rsidRPr="007D162C">
        <w:t xml:space="preserve">Operators and providers noted that both of proposed regulatory options are feasible to implement, would reduce regulatory ambiguity and would result in improved accessibility for </w:t>
      </w:r>
      <w:r w:rsidRPr="007D162C">
        <w:lastRenderedPageBreak/>
        <w:t>passengers with disability.</w:t>
      </w:r>
      <w:bookmarkEnd w:id="304"/>
      <w:r w:rsidRPr="007D162C">
        <w:t xml:space="preserve"> Submissions noted that there is minimal practical difference between the two sub-options.</w:t>
      </w:r>
    </w:p>
    <w:p w14:paraId="781D5211" w14:textId="77777777" w:rsidR="00BD6B89" w:rsidRPr="007D162C" w:rsidRDefault="00BD6B89" w:rsidP="00BD6B89">
      <w:bookmarkStart w:id="305" w:name="_Hlk119414298"/>
      <w:r w:rsidRPr="007D162C">
        <w:t>There was mixed support for the proposed sub-options from all stakeholders.</w:t>
      </w:r>
      <w:bookmarkEnd w:id="305"/>
      <w:r w:rsidRPr="007D162C">
        <w:t xml:space="preserve"> Submissions that preferred sub-option 1 noted the value of direct reference to technical specifications and the provision for flexibility in the range of heights to accommodate the practical placement of signs in conveyances with limited space. Submissions that preferred sub-option 2 noted that reference to the Australian Standard would </w:t>
      </w:r>
      <w:bookmarkStart w:id="306" w:name="_Hlk119414409"/>
      <w:r w:rsidRPr="007D162C">
        <w:t>assist operators and providers by removing ambiguity and provides greater flexibility with placement zones for signs in constrained environments.</w:t>
      </w:r>
      <w:bookmarkEnd w:id="306"/>
    </w:p>
    <w:p w14:paraId="17E244C6" w14:textId="77777777" w:rsidR="00BD6B89" w:rsidRPr="007D162C" w:rsidRDefault="08D050C4" w:rsidP="00BD6B89">
      <w:r w:rsidRPr="007D162C">
        <w:t>Submissions stated that the placement of signs needs to consider that often people are using facilities whilst there is heavy foot traffic and should be placed in locations that allow for ease of reading and wayfinding during peak usage times. Submissions emphasised further clarity is needed regarding the definition of 'crowded' and 'uncrowded' areas. One submission from an individual suggested providing additional guidance material that states wayfinding information signs should be located both prior to and at decision points, to support passenger flow during peak times. Multiple submissions emphasized that user-testing should be conducted when determining the location of new signs, to ensure accessibility for people with disability, including consideration of lighting to manage glare.</w:t>
      </w:r>
    </w:p>
    <w:p w14:paraId="5E75174D" w14:textId="77777777" w:rsidR="00BD6B89" w:rsidRPr="007D162C" w:rsidRDefault="00BD6B89" w:rsidP="00BD6B89">
      <w:r w:rsidRPr="007D162C">
        <w:t>One submission from industry noted that that conveyances are subject to design requirements mandated under Australian Design Rules (ADRs). This submission stressed that compliance with ADRs that impact conveyance design must take precedence over conflicting requirements in the Transport Standards.</w:t>
      </w:r>
    </w:p>
    <w:p w14:paraId="4D0BC7BA" w14:textId="77777777" w:rsidR="00BD6B89" w:rsidRPr="007D162C" w:rsidRDefault="00BD6B89" w:rsidP="00BD6B89">
      <w:pPr>
        <w:pStyle w:val="Heading4"/>
      </w:pPr>
      <w:r w:rsidRPr="007D162C">
        <w:t>Preferred option</w:t>
      </w:r>
    </w:p>
    <w:p w14:paraId="57FA13D8" w14:textId="2DA2A946" w:rsidR="00BD6B89" w:rsidRPr="007D162C" w:rsidRDefault="00BD6B89" w:rsidP="00BD6B89">
      <w:r w:rsidRPr="007D162C">
        <w:t xml:space="preserve">Informed by the outcomes of consultation, impacts, cost and outcomes analysis above, the preferred option is </w:t>
      </w:r>
      <w:r w:rsidRPr="008B0801">
        <w:t xml:space="preserve">the </w:t>
      </w:r>
      <w:r w:rsidRPr="007D162C">
        <w:rPr>
          <w:b/>
        </w:rPr>
        <w:t>regulatory option, sub-option 2</w:t>
      </w:r>
      <w:r w:rsidR="000F79C9" w:rsidRPr="007D162C">
        <w:rPr>
          <w:b/>
        </w:rPr>
        <w:t xml:space="preserve"> </w:t>
      </w:r>
      <w:r w:rsidR="000F79C9" w:rsidRPr="008B0801">
        <w:t>with additional guidance</w:t>
      </w:r>
      <w:r w:rsidRPr="008B0801">
        <w:t>.</w:t>
      </w:r>
      <w:r w:rsidRPr="007D162C">
        <w:t xml:space="preserve"> </w:t>
      </w:r>
    </w:p>
    <w:p w14:paraId="2FD8272D" w14:textId="77777777" w:rsidR="00BD6B89" w:rsidRPr="007D162C" w:rsidRDefault="00BD6B89" w:rsidP="00BD6B89">
      <w:r w:rsidRPr="007D162C">
        <w:t>There was broad support from all stakeholder groups for the regulatory option. Operators and providers noted that the proposed regulatory amendments are feasible to implement, would reduce regulatory ambiguity and would result in improved accessibility for passengers with disability.</w:t>
      </w:r>
    </w:p>
    <w:p w14:paraId="1263BDCC" w14:textId="24E4FAEE" w:rsidR="00BD6B89" w:rsidRPr="007D162C" w:rsidRDefault="00BD6B89" w:rsidP="00BD6B89">
      <w:r w:rsidRPr="007D162C">
        <w:t>There was mixed support for the proposed sub-options across all stakeholder groups. Reference to technical standards in sub-option 2 will assist operators and providers by removing ambiguity and provid</w:t>
      </w:r>
      <w:r w:rsidR="008B0801">
        <w:t>ing</w:t>
      </w:r>
      <w:r w:rsidRPr="007D162C">
        <w:t xml:space="preserve"> greater flexibility with placement zones for signs in constrained environments.</w:t>
      </w:r>
    </w:p>
    <w:p w14:paraId="1774E36C" w14:textId="48F7DDDC" w:rsidR="00BD6B89" w:rsidRPr="007D162C" w:rsidRDefault="00BD6B89" w:rsidP="00BD6B89">
      <w:r w:rsidRPr="007D162C">
        <w:t xml:space="preserve">Additional guidance material to supplement the regulatory amendments will be provided, including the potential layout of signage to support wayfinding, the value of user-testing and the interaction of the Transport Standards with other regulations such as </w:t>
      </w:r>
      <w:r w:rsidR="008B0801">
        <w:t>ADR</w:t>
      </w:r>
      <w:r w:rsidRPr="007D162C">
        <w:t xml:space="preserve"> 44/02, for the provision of emergency exit signage. </w:t>
      </w:r>
    </w:p>
    <w:p w14:paraId="7A45756E" w14:textId="77777777" w:rsidR="00BD6B89" w:rsidRPr="007D162C" w:rsidRDefault="00BD6B89" w:rsidP="00BD6B89">
      <w:pPr>
        <w:rPr>
          <w:rFonts w:ascii="Calibri" w:eastAsia="Calibri" w:hAnsi="Calibri" w:cs="Times New Roman"/>
          <w:color w:val="000000" w:themeColor="text1"/>
        </w:rPr>
      </w:pPr>
      <w:r w:rsidRPr="007D162C">
        <w:rPr>
          <w:rFonts w:ascii="Calibri" w:eastAsia="Calibri" w:hAnsi="Calibri" w:cs="Times New Roman"/>
          <w:color w:val="000000" w:themeColor="text1"/>
        </w:rPr>
        <w:t>Consultation findings indicate that while the impact of the proposed requirements would be minimal for new assets, complexities may arise when retrofitting existing assets. As such, the new Transport Standards requirements would apply to new or substantially upgraded infrastructure and would not be retrospective.</w:t>
      </w:r>
    </w:p>
    <w:p w14:paraId="55B6FCF0" w14:textId="1631E702" w:rsidR="005C1F88" w:rsidRDefault="00BD6B89" w:rsidP="00BD6B89">
      <w:r w:rsidRPr="007D162C">
        <w:t>The preferred option will be implemented through amendments to the Transport Standards and Guidelines. Operators and providers will be required to meet the new Transport Standards requirements prospectively with a trigger mechanism.</w:t>
      </w:r>
    </w:p>
    <w:p w14:paraId="1377F446" w14:textId="77777777" w:rsidR="005C1F88" w:rsidRDefault="005C1F88">
      <w:pPr>
        <w:spacing w:line="259" w:lineRule="auto"/>
      </w:pPr>
      <w:r>
        <w:br w:type="page"/>
      </w:r>
    </w:p>
    <w:p w14:paraId="1E6B51E8" w14:textId="77777777" w:rsidR="002766EE" w:rsidRPr="007D162C" w:rsidRDefault="002766EE" w:rsidP="00BD6B89"/>
    <w:p w14:paraId="10420CD1" w14:textId="2A614118" w:rsidR="00E44CC7" w:rsidRPr="007D162C" w:rsidRDefault="00E44CC7" w:rsidP="0012349C">
      <w:pPr>
        <w:pStyle w:val="Heading2"/>
        <w:numPr>
          <w:ilvl w:val="0"/>
          <w:numId w:val="26"/>
        </w:numPr>
        <w:ind w:hanging="720"/>
      </w:pPr>
      <w:bookmarkStart w:id="307" w:name="_Toc122515461"/>
      <w:bookmarkStart w:id="308" w:name="_Toc140239722"/>
      <w:r w:rsidRPr="007D162C">
        <w:t>Braille embossed (printed) specifications</w:t>
      </w:r>
      <w:bookmarkEnd w:id="307"/>
      <w:bookmarkEnd w:id="308"/>
    </w:p>
    <w:p w14:paraId="50F25DE1" w14:textId="77777777" w:rsidR="00E44CC7" w:rsidRPr="008B0801" w:rsidRDefault="00E44CC7" w:rsidP="00E44CC7">
      <w:pPr>
        <w:pStyle w:val="Heading4"/>
      </w:pPr>
      <w:r w:rsidRPr="007D162C">
        <w:t>Issue</w:t>
      </w:r>
    </w:p>
    <w:p w14:paraId="7D08642A" w14:textId="474B0323" w:rsidR="00E44CC7" w:rsidRPr="007D162C" w:rsidRDefault="00E44CC7" w:rsidP="00E44CC7">
      <w:r w:rsidRPr="008B0801">
        <w:t xml:space="preserve">The Transport Standards requires that general information about transport services must be accessible to all passengers, and that if information cannot be supplied in a passenger’s preferred format, equivalent access must be given via direct assistance. Section 17.6 </w:t>
      </w:r>
      <w:r w:rsidR="00D22456">
        <w:t xml:space="preserve">of the </w:t>
      </w:r>
      <w:r w:rsidRPr="008B0801">
        <w:t>Transport Standards includes design specifications for braille materials. However, there is a lack of clarity on the standard of braille required for use in the provision of public transport information in printed formats</w:t>
      </w:r>
      <w:r w:rsidRPr="007D162C">
        <w:t xml:space="preserve">. This presents a challenge to people with vision impairment who rely on braille to access key journey information. </w:t>
      </w:r>
    </w:p>
    <w:p w14:paraId="45F7A0E2" w14:textId="77777777" w:rsidR="00E44CC7" w:rsidRPr="007D162C" w:rsidRDefault="00E44CC7" w:rsidP="00E44CC7">
      <w:r w:rsidRPr="007D162C">
        <w:t>Collective government action would strengthen requirements for braille in printed formats and address key stakeholder issues raised through the Transport Standards review process.</w:t>
      </w:r>
    </w:p>
    <w:p w14:paraId="47E3E13B" w14:textId="77777777" w:rsidR="00E44CC7" w:rsidRPr="007D162C" w:rsidRDefault="00E44CC7" w:rsidP="00E44CC7">
      <w:pPr>
        <w:pStyle w:val="Heading4"/>
      </w:pPr>
      <w:r w:rsidRPr="007D162C">
        <w:t>Reform options</w:t>
      </w:r>
    </w:p>
    <w:p w14:paraId="0C447A31" w14:textId="77777777" w:rsidR="00E44CC7" w:rsidRPr="007D162C" w:rsidRDefault="00E44CC7" w:rsidP="00E44CC7">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3A10508A" w14:textId="41F26DF8" w:rsidR="00E44CC7" w:rsidRPr="007D162C" w:rsidRDefault="00E44CC7" w:rsidP="004228D6">
      <w:pPr>
        <w:pStyle w:val="Tablefigureheading"/>
      </w:pPr>
      <w:bookmarkStart w:id="309" w:name="_Toc122446354"/>
      <w:bookmarkStart w:id="310" w:name="_Toc139969202"/>
      <w:r w:rsidRPr="007D162C">
        <w:t xml:space="preserve">Table </w:t>
      </w:r>
      <w:fldSimple w:instr=" SEQ Table \* ARABIC ">
        <w:r w:rsidR="00DC26AC">
          <w:rPr>
            <w:noProof/>
          </w:rPr>
          <w:t>44</w:t>
        </w:r>
      </w:fldSimple>
      <w:r w:rsidRPr="007D162C">
        <w:t xml:space="preserve">: Reform options for </w:t>
      </w:r>
      <w:r w:rsidR="00161AE8" w:rsidRPr="007D162C">
        <w:t>B</w:t>
      </w:r>
      <w:r w:rsidRPr="007D162C">
        <w:t>raille embossed (printed) specifications</w:t>
      </w:r>
      <w:bookmarkEnd w:id="309"/>
      <w:bookmarkEnd w:id="310"/>
    </w:p>
    <w:tbl>
      <w:tblPr>
        <w:tblStyle w:val="DefaultTable1"/>
        <w:tblW w:w="9214" w:type="dxa"/>
        <w:tblLook w:val="04A0" w:firstRow="1" w:lastRow="0" w:firstColumn="1" w:lastColumn="0" w:noHBand="0" w:noVBand="1"/>
        <w:tblCaption w:val="Reform options for braille embossed (printed) specifications"/>
        <w:tblDescription w:val="This table provides a description of each of the options for this reform area. Status quo, non-regulatory and regulatory."/>
      </w:tblPr>
      <w:tblGrid>
        <w:gridCol w:w="1701"/>
        <w:gridCol w:w="7513"/>
      </w:tblGrid>
      <w:tr w:rsidR="00E44CC7" w:rsidRPr="007D162C" w14:paraId="46364384"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EEE9474" w14:textId="77777777" w:rsidR="00E44CC7" w:rsidRPr="007D162C" w:rsidRDefault="00E44CC7" w:rsidP="00163A8D">
            <w:r w:rsidRPr="007D162C">
              <w:t>Option</w:t>
            </w:r>
          </w:p>
        </w:tc>
        <w:tc>
          <w:tcPr>
            <w:tcW w:w="7513" w:type="dxa"/>
          </w:tcPr>
          <w:p w14:paraId="41C1E335" w14:textId="77777777" w:rsidR="00E44CC7" w:rsidRPr="007D162C" w:rsidRDefault="00E44CC7" w:rsidP="00163A8D">
            <w:pPr>
              <w:cnfStyle w:val="100000000000" w:firstRow="1" w:lastRow="0" w:firstColumn="0" w:lastColumn="0" w:oddVBand="0" w:evenVBand="0" w:oddHBand="0" w:evenHBand="0" w:firstRowFirstColumn="0" w:firstRowLastColumn="0" w:lastRowFirstColumn="0" w:lastRowLastColumn="0"/>
            </w:pPr>
            <w:r w:rsidRPr="007D162C">
              <w:t>Description</w:t>
            </w:r>
          </w:p>
        </w:tc>
      </w:tr>
      <w:tr w:rsidR="00E44CC7" w:rsidRPr="007D162C" w14:paraId="5427E86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AC901EF" w14:textId="77777777" w:rsidR="00E44CC7" w:rsidRPr="007D162C" w:rsidRDefault="00E44CC7" w:rsidP="00163A8D">
            <w:r w:rsidRPr="007D162C">
              <w:t>Status Quo</w:t>
            </w:r>
          </w:p>
        </w:tc>
        <w:tc>
          <w:tcPr>
            <w:tcW w:w="7513" w:type="dxa"/>
          </w:tcPr>
          <w:p w14:paraId="7C5C05A3"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the standard of braille and raised lettering.</w:t>
            </w:r>
          </w:p>
          <w:p w14:paraId="715139EB"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E44CC7" w:rsidRPr="007D162C" w14:paraId="42859102" w14:textId="77777777" w:rsidTr="08D050C4">
        <w:tc>
          <w:tcPr>
            <w:cnfStyle w:val="001000000000" w:firstRow="0" w:lastRow="0" w:firstColumn="1" w:lastColumn="0" w:oddVBand="0" w:evenVBand="0" w:oddHBand="0" w:evenHBand="0" w:firstRowFirstColumn="0" w:firstRowLastColumn="0" w:lastRowFirstColumn="0" w:lastRowLastColumn="0"/>
            <w:tcW w:w="1701" w:type="dxa"/>
          </w:tcPr>
          <w:p w14:paraId="1A0A9C65" w14:textId="77777777" w:rsidR="00E44CC7" w:rsidRPr="007D162C" w:rsidRDefault="00E44CC7" w:rsidP="00163A8D">
            <w:r w:rsidRPr="007D162C">
              <w:t>Non-Regulatory</w:t>
            </w:r>
          </w:p>
        </w:tc>
        <w:tc>
          <w:tcPr>
            <w:tcW w:w="7513" w:type="dxa"/>
          </w:tcPr>
          <w:p w14:paraId="241E894A" w14:textId="77777777" w:rsidR="00E44CC7" w:rsidRPr="007D162C" w:rsidRDefault="00E44CC7" w:rsidP="00163A8D">
            <w:pPr>
              <w:cnfStyle w:val="000000000000" w:firstRow="0" w:lastRow="0" w:firstColumn="0" w:lastColumn="0" w:oddVBand="0" w:evenVBand="0" w:oddHBand="0" w:evenHBand="0" w:firstRowFirstColumn="0" w:firstRowLastColumn="0" w:lastRowFirstColumn="0" w:lastRowLastColumn="0"/>
            </w:pPr>
            <w:r w:rsidRPr="007D162C">
              <w:t>Guidance would be developed on best practice for the provision of information in braille formats, including the standard of braille to use, and recommended braille publications.</w:t>
            </w:r>
          </w:p>
        </w:tc>
      </w:tr>
      <w:tr w:rsidR="00E44CC7" w:rsidRPr="007D162C" w14:paraId="0DED4B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918CB40" w14:textId="77777777" w:rsidR="00E44CC7" w:rsidRPr="007D162C" w:rsidRDefault="00E44CC7" w:rsidP="00163A8D">
            <w:r w:rsidRPr="007D162C">
              <w:t>Regulatory</w:t>
            </w:r>
          </w:p>
        </w:tc>
        <w:tc>
          <w:tcPr>
            <w:tcW w:w="7513" w:type="dxa"/>
          </w:tcPr>
          <w:p w14:paraId="673A21B3"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new requirements for the standard of braille, including: </w:t>
            </w:r>
          </w:p>
          <w:p w14:paraId="3C2BCCDC" w14:textId="77777777" w:rsidR="00E44CC7" w:rsidRPr="007D162C" w:rsidRDefault="00E44CC7" w:rsidP="00E44CC7">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The standard of braille to provide information to passengers in braille format.</w:t>
            </w:r>
          </w:p>
          <w:p w14:paraId="775EDEEC" w14:textId="2689E81F" w:rsidR="00E44CC7" w:rsidRPr="007D162C" w:rsidRDefault="00E44CC7" w:rsidP="00E44CC7">
            <w:pPr>
              <w:pStyle w:val="Listparagraphbullets"/>
              <w:spacing w:before="0" w:after="0"/>
              <w:cnfStyle w:val="000000100000" w:firstRow="0" w:lastRow="0" w:firstColumn="0" w:lastColumn="0" w:oddVBand="0" w:evenVBand="0" w:oddHBand="1" w:evenHBand="0" w:firstRowFirstColumn="0" w:firstRowLastColumn="0" w:lastRowFirstColumn="0" w:lastRowLastColumn="0"/>
            </w:pPr>
            <w:r w:rsidRPr="007D162C">
              <w:t>If material is specifically requested in a grade of braille other than the standard specified in the Transport Standards</w:t>
            </w:r>
            <w:r w:rsidR="00D22456">
              <w:t>,</w:t>
            </w:r>
            <w:r w:rsidRPr="007D162C">
              <w:t xml:space="preserve"> it must be supplied in the passenger's preferred grade in a timely manner.</w:t>
            </w:r>
          </w:p>
          <w:p w14:paraId="0D9AFD1F" w14:textId="77777777" w:rsidR="00E44CC7" w:rsidRPr="007D162C" w:rsidRDefault="00E44CC7" w:rsidP="00163A8D">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37B3042" w14:textId="77777777" w:rsidR="004329F7" w:rsidRPr="007D162C" w:rsidRDefault="004329F7" w:rsidP="004329F7"/>
    <w:p w14:paraId="07F74CD7" w14:textId="77777777" w:rsidR="00E44CC7" w:rsidRPr="007D162C" w:rsidRDefault="00E44CC7" w:rsidP="00E44CC7">
      <w:pPr>
        <w:pStyle w:val="Heading4"/>
        <w:tabs>
          <w:tab w:val="left" w:pos="284"/>
        </w:tabs>
      </w:pPr>
      <w:r w:rsidRPr="007D162C">
        <w:t>Cost benefit analysis</w:t>
      </w:r>
    </w:p>
    <w:p w14:paraId="354B870F" w14:textId="77777777" w:rsidR="00E44CC7" w:rsidRPr="007D162C" w:rsidRDefault="00E44CC7" w:rsidP="000C7A9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D8911B5" w14:textId="77777777" w:rsidR="00E44CC7" w:rsidRPr="007D162C" w:rsidRDefault="00E44CC7" w:rsidP="00E44CC7">
      <w:r w:rsidRPr="007D162C">
        <w:t xml:space="preserve">The following categories of quantitative costs and benefits were identified in the CBA as pertaining to the reform options. </w:t>
      </w:r>
    </w:p>
    <w:p w14:paraId="7E791CA0" w14:textId="77777777" w:rsidR="00AA180A" w:rsidRPr="007D162C" w:rsidRDefault="00AA180A">
      <w:pPr>
        <w:spacing w:line="259" w:lineRule="auto"/>
        <w:rPr>
          <w:rFonts w:ascii="Calibri" w:hAnsi="Calibri"/>
          <w:b/>
          <w:color w:val="002D72"/>
          <w:lang w:val="en-AU"/>
        </w:rPr>
      </w:pPr>
      <w:bookmarkStart w:id="311" w:name="_Toc122446355"/>
      <w:r w:rsidRPr="007D162C">
        <w:br w:type="page"/>
      </w:r>
    </w:p>
    <w:p w14:paraId="074C1818" w14:textId="3E8A750E" w:rsidR="00E44CC7" w:rsidRPr="007D162C" w:rsidRDefault="00E44CC7" w:rsidP="004228D6">
      <w:pPr>
        <w:pStyle w:val="Tablefigureheading"/>
      </w:pPr>
      <w:bookmarkStart w:id="312" w:name="_Toc139969203"/>
      <w:r w:rsidRPr="007D162C">
        <w:lastRenderedPageBreak/>
        <w:t xml:space="preserve">Table </w:t>
      </w:r>
      <w:fldSimple w:instr=" SEQ Table \* ARABIC ">
        <w:r w:rsidR="00DC26AC">
          <w:rPr>
            <w:noProof/>
          </w:rPr>
          <w:t>45</w:t>
        </w:r>
      </w:fldSimple>
      <w:r w:rsidRPr="007D162C">
        <w:t xml:space="preserve">: Benefit-cost ratios for </w:t>
      </w:r>
      <w:r w:rsidR="001075A6" w:rsidRPr="007D162C">
        <w:t>B</w:t>
      </w:r>
      <w:r w:rsidRPr="007D162C">
        <w:t>raille embossed (printed) specifications</w:t>
      </w:r>
      <w:bookmarkEnd w:id="311"/>
      <w:bookmarkEnd w:id="312"/>
    </w:p>
    <w:tbl>
      <w:tblPr>
        <w:tblStyle w:val="DefaultTable1"/>
        <w:tblW w:w="9236" w:type="dxa"/>
        <w:tblLook w:val="04A0" w:firstRow="1" w:lastRow="0" w:firstColumn="1" w:lastColumn="0" w:noHBand="0" w:noVBand="1"/>
        <w:tblCaption w:val="Benefit-cost ratios for braille embossed (printed) specifications"/>
        <w:tblDescription w:val="This table provides the monetised benefits and costs for each of the options for this reform area."/>
      </w:tblPr>
      <w:tblGrid>
        <w:gridCol w:w="1560"/>
        <w:gridCol w:w="1275"/>
        <w:gridCol w:w="1791"/>
        <w:gridCol w:w="1895"/>
        <w:gridCol w:w="1701"/>
        <w:gridCol w:w="1014"/>
      </w:tblGrid>
      <w:tr w:rsidR="00E44CC7" w:rsidRPr="007D162C" w14:paraId="33027AD8"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450ED6" w14:textId="77777777" w:rsidR="00E44CC7" w:rsidRPr="007D162C" w:rsidRDefault="08D050C4" w:rsidP="00163A8D">
            <w:pPr>
              <w:rPr>
                <w:sz w:val="22"/>
                <w:szCs w:val="22"/>
              </w:rPr>
            </w:pPr>
            <w:r w:rsidRPr="007D162C">
              <w:rPr>
                <w:sz w:val="22"/>
                <w:szCs w:val="22"/>
              </w:rPr>
              <w:t>Reform Option</w:t>
            </w:r>
          </w:p>
        </w:tc>
        <w:tc>
          <w:tcPr>
            <w:tcW w:w="1275" w:type="dxa"/>
          </w:tcPr>
          <w:p w14:paraId="2D56F179"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791" w:type="dxa"/>
          </w:tcPr>
          <w:p w14:paraId="7B7A7E9A"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95" w:type="dxa"/>
          </w:tcPr>
          <w:p w14:paraId="2557DD5F"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36D45011" w14:textId="77777777" w:rsidR="00E44CC7"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1014" w:type="dxa"/>
          </w:tcPr>
          <w:p w14:paraId="0A106BC1"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1C3CED" w:rsidRPr="007D162C" w14:paraId="59E609D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2F7EFF" w14:textId="77777777" w:rsidR="001C3CED" w:rsidRPr="007D162C" w:rsidRDefault="001C3CED" w:rsidP="001C3CED">
            <w:r w:rsidRPr="007D162C">
              <w:t>Status Quo</w:t>
            </w:r>
          </w:p>
        </w:tc>
        <w:tc>
          <w:tcPr>
            <w:tcW w:w="1275" w:type="dxa"/>
          </w:tcPr>
          <w:p w14:paraId="1627BDE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91" w:type="dxa"/>
          </w:tcPr>
          <w:p w14:paraId="0DAD026A"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95" w:type="dxa"/>
          </w:tcPr>
          <w:p w14:paraId="4142640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2B0435A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14" w:type="dxa"/>
          </w:tcPr>
          <w:p w14:paraId="5B8A0B72"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1E5B5B84" w14:textId="77777777" w:rsidTr="08D050C4">
        <w:tc>
          <w:tcPr>
            <w:cnfStyle w:val="001000000000" w:firstRow="0" w:lastRow="0" w:firstColumn="1" w:lastColumn="0" w:oddVBand="0" w:evenVBand="0" w:oddHBand="0" w:evenHBand="0" w:firstRowFirstColumn="0" w:firstRowLastColumn="0" w:lastRowFirstColumn="0" w:lastRowLastColumn="0"/>
            <w:tcW w:w="1560" w:type="dxa"/>
          </w:tcPr>
          <w:p w14:paraId="6913D5B1" w14:textId="77777777" w:rsidR="001C3CED" w:rsidRPr="007D162C" w:rsidRDefault="001C3CED" w:rsidP="001C3CED">
            <w:r w:rsidRPr="007D162C">
              <w:t xml:space="preserve">Non-regulatory </w:t>
            </w:r>
          </w:p>
        </w:tc>
        <w:tc>
          <w:tcPr>
            <w:tcW w:w="1275" w:type="dxa"/>
            <w:vAlign w:val="center"/>
          </w:tcPr>
          <w:p w14:paraId="38F9D2AC"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t>5.1</w:t>
            </w:r>
          </w:p>
        </w:tc>
        <w:tc>
          <w:tcPr>
            <w:tcW w:w="1791" w:type="dxa"/>
          </w:tcPr>
          <w:p w14:paraId="6313F57C"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95" w:type="dxa"/>
            <w:vAlign w:val="center"/>
          </w:tcPr>
          <w:p w14:paraId="0FBD908F"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7.9</w:t>
            </w:r>
          </w:p>
        </w:tc>
        <w:tc>
          <w:tcPr>
            <w:tcW w:w="1701" w:type="dxa"/>
            <w:vAlign w:val="center"/>
          </w:tcPr>
          <w:p w14:paraId="765F70B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rPr>
                <w:vertAlign w:val="superscript"/>
              </w:rPr>
            </w:pPr>
            <w:r w:rsidRPr="007D162C">
              <w:t>7.9</w:t>
            </w:r>
            <w:r w:rsidRPr="007D162C">
              <w:rPr>
                <w:vertAlign w:val="superscript"/>
              </w:rPr>
              <w:t>i</w:t>
            </w:r>
          </w:p>
        </w:tc>
        <w:tc>
          <w:tcPr>
            <w:tcW w:w="1014" w:type="dxa"/>
            <w:vAlign w:val="center"/>
          </w:tcPr>
          <w:p w14:paraId="4675556F" w14:textId="77777777" w:rsidR="001C3CED"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0.65</w:t>
            </w:r>
          </w:p>
        </w:tc>
      </w:tr>
      <w:tr w:rsidR="001C3CED" w:rsidRPr="007D162C" w14:paraId="6B6E8B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1D2A8C7" w14:textId="77777777" w:rsidR="001C3CED" w:rsidRPr="007D162C" w:rsidRDefault="001C3CED" w:rsidP="001C3CED">
            <w:r w:rsidRPr="007D162C">
              <w:t>Regulatory</w:t>
            </w:r>
          </w:p>
        </w:tc>
        <w:tc>
          <w:tcPr>
            <w:tcW w:w="1275" w:type="dxa"/>
            <w:vAlign w:val="center"/>
          </w:tcPr>
          <w:p w14:paraId="79A19B41"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12.9</w:t>
            </w:r>
          </w:p>
        </w:tc>
        <w:tc>
          <w:tcPr>
            <w:tcW w:w="1791" w:type="dxa"/>
          </w:tcPr>
          <w:p w14:paraId="47CDF8F6"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95" w:type="dxa"/>
            <w:vAlign w:val="center"/>
          </w:tcPr>
          <w:p w14:paraId="43D4C205"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701" w:type="dxa"/>
            <w:vAlign w:val="center"/>
          </w:tcPr>
          <w:p w14:paraId="54240CB0"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014" w:type="dxa"/>
            <w:vAlign w:val="center"/>
          </w:tcPr>
          <w:p w14:paraId="060791BC" w14:textId="77777777" w:rsidR="001C3CED"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1.21</w:t>
            </w:r>
          </w:p>
        </w:tc>
      </w:tr>
    </w:tbl>
    <w:p w14:paraId="0AFBBB07" w14:textId="77777777" w:rsidR="00E44CC7" w:rsidRPr="007D162C" w:rsidRDefault="00E44CC7" w:rsidP="00E44CC7">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642B59C" w14:textId="6030C6FB" w:rsidR="00BD6B89" w:rsidRPr="007D162C" w:rsidRDefault="00BD6B89" w:rsidP="00BD6B89">
      <w:pPr>
        <w:spacing w:before="120" w:after="0"/>
        <w:rPr>
          <w:sz w:val="18"/>
          <w:szCs w:val="18"/>
        </w:rPr>
      </w:pPr>
      <w:r w:rsidRPr="007D162C">
        <w:rPr>
          <w:sz w:val="18"/>
          <w:szCs w:val="18"/>
          <w:vertAlign w:val="superscript"/>
        </w:rPr>
        <w:t>(</w:t>
      </w:r>
      <w:r w:rsidR="008B0801">
        <w:rPr>
          <w:sz w:val="18"/>
          <w:szCs w:val="18"/>
          <w:vertAlign w:val="superscript"/>
        </w:rPr>
        <w:t>i</w:t>
      </w:r>
      <w:r w:rsidRPr="007D162C">
        <w:rPr>
          <w:sz w:val="18"/>
          <w:szCs w:val="18"/>
          <w:vertAlign w:val="superscript"/>
        </w:rPr>
        <w:t>)</w:t>
      </w:r>
      <w:r w:rsidRPr="007D162C">
        <w:rPr>
          <w:sz w:val="18"/>
          <w:szCs w:val="18"/>
        </w:rPr>
        <w:t xml:space="preserve"> Non-regulatory compliance rates are calculated using assumptions about retrospective and prospective take-up rates, and are not a percentage of the regulatory costs.</w:t>
      </w:r>
    </w:p>
    <w:p w14:paraId="783E191B" w14:textId="77777777" w:rsidR="00E44CC7" w:rsidRPr="007D162C" w:rsidRDefault="00E44CC7" w:rsidP="00E44CC7"/>
    <w:p w14:paraId="01560F55" w14:textId="77777777" w:rsidR="00E44CC7" w:rsidRPr="007D162C" w:rsidRDefault="00E44CC7" w:rsidP="00E44CC7">
      <w:pPr>
        <w:pStyle w:val="Heading6"/>
      </w:pPr>
      <w:r w:rsidRPr="007D162C">
        <w:t>Considerations to note in interpreting analysis</w:t>
      </w:r>
    </w:p>
    <w:p w14:paraId="5D96E05B" w14:textId="77777777" w:rsidR="00E44CC7" w:rsidRPr="007D162C" w:rsidRDefault="00E44CC7" w:rsidP="00645CAB">
      <w:pPr>
        <w:pStyle w:val="Heading7"/>
      </w:pPr>
      <w:r w:rsidRPr="007D162C">
        <w:t>Limitations</w:t>
      </w:r>
    </w:p>
    <w:p w14:paraId="0029F0E9" w14:textId="77777777" w:rsidR="00E44CC7" w:rsidRPr="007D162C" w:rsidRDefault="00E44CC7" w:rsidP="00105D34">
      <w:pPr>
        <w:pStyle w:val="Heading8"/>
      </w:pPr>
      <w:r w:rsidRPr="007D162C">
        <w:t>Non-regulatory</w:t>
      </w:r>
    </w:p>
    <w:p w14:paraId="640BBE29" w14:textId="5B16FA77" w:rsidR="00E44CC7" w:rsidRPr="007D162C" w:rsidRDefault="00E44CC7" w:rsidP="00645CAB">
      <w:r w:rsidRPr="007D162C">
        <w:t>The costs and benefits associated with the non-regulatory reform are lower than its regulatory counterpart reflecting an assumed lower rate of compliance with the reform. An estimated rate of uptake of 75</w:t>
      </w:r>
      <w:r w:rsidR="008B0801">
        <w:t xml:space="preserve"> per cent</w:t>
      </w:r>
      <w:r w:rsidRPr="007D162C">
        <w:t xml:space="preserve"> was applied to the non-regulatory option based on the low cost and complexity to update to a new braille format. This implies that the benefits and costs quantified for this non-regulatory reform may not reflect future take-up of the reform.</w:t>
      </w:r>
    </w:p>
    <w:p w14:paraId="318B087C" w14:textId="77777777" w:rsidR="00E44CC7" w:rsidRPr="007D162C" w:rsidRDefault="00E44CC7" w:rsidP="00105D34">
      <w:pPr>
        <w:pStyle w:val="Heading8"/>
      </w:pPr>
      <w:r w:rsidRPr="007D162C">
        <w:t>Regulatory</w:t>
      </w:r>
    </w:p>
    <w:p w14:paraId="3DD139E4" w14:textId="77777777" w:rsidR="00E44CC7" w:rsidRPr="007D162C" w:rsidRDefault="00E44CC7" w:rsidP="00645CAB">
      <w:r w:rsidRPr="007D162C">
        <w:t>The benefits and costs for this reform reflect a change in braille standards, requiring upgrades to the standard of braille across a number of conveyances nationally. The benefits for this reform were estimated based on a small number of data points provided through the survey and were proxied at a national level implying that the benefits and costs may not reflect the extent of existing compliance.</w:t>
      </w:r>
    </w:p>
    <w:p w14:paraId="1EA6A630" w14:textId="77777777" w:rsidR="00E44CC7" w:rsidRPr="007D162C" w:rsidRDefault="00E44CC7" w:rsidP="00645CAB">
      <w:r w:rsidRPr="007D162C">
        <w:t>This reform provides only benefits users with vision impairment reflecting a relatively small cohort of beneficiaries.</w:t>
      </w:r>
    </w:p>
    <w:p w14:paraId="7A42486A" w14:textId="77777777" w:rsidR="00E44CC7" w:rsidRPr="007D162C" w:rsidRDefault="00E44CC7" w:rsidP="00645CAB">
      <w:pPr>
        <w:pStyle w:val="Heading7"/>
      </w:pPr>
      <w:r w:rsidRPr="007D162C">
        <w:t>Interdependencies</w:t>
      </w:r>
    </w:p>
    <w:p w14:paraId="5BE10790" w14:textId="22933744" w:rsidR="00E44CC7" w:rsidRPr="007D162C" w:rsidRDefault="08D050C4" w:rsidP="00645CAB">
      <w:r w:rsidRPr="007D162C">
        <w:t xml:space="preserve">The accessibility benefits of this reform will only be realised if there </w:t>
      </w:r>
      <w:r w:rsidR="008B0801">
        <w:t>is</w:t>
      </w:r>
      <w:r w:rsidRPr="007D162C">
        <w:t xml:space="preserve"> equitable access across the whole public transport journey, with benefits reliant on implementation of other reforms such as braille and tactile lettering for signage.</w:t>
      </w:r>
    </w:p>
    <w:p w14:paraId="62EBFF4B" w14:textId="77777777" w:rsidR="00E44CC7" w:rsidRPr="007D162C" w:rsidRDefault="00E44CC7" w:rsidP="00E44CC7">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2ADD43D" w14:textId="77777777" w:rsidR="00E44CC7" w:rsidRPr="007D162C" w:rsidRDefault="00E44CC7" w:rsidP="00E44CC7">
      <w:r w:rsidRPr="007D162C">
        <w:t>The following categories of qualitative benefits were identified in the CBA as pertaining to the reform options.</w:t>
      </w:r>
    </w:p>
    <w:p w14:paraId="5D0641FD" w14:textId="59570FDB" w:rsidR="00E44CC7" w:rsidRPr="007D162C" w:rsidRDefault="00E44CC7" w:rsidP="004228D6">
      <w:pPr>
        <w:pStyle w:val="Tablefigureheading"/>
      </w:pPr>
      <w:bookmarkStart w:id="313" w:name="_Toc122446356"/>
      <w:bookmarkStart w:id="314" w:name="_Toc139969204"/>
      <w:r w:rsidRPr="007D162C">
        <w:t xml:space="preserve">Table </w:t>
      </w:r>
      <w:fldSimple w:instr=" SEQ Table \* ARABIC ">
        <w:r w:rsidR="00DC26AC">
          <w:rPr>
            <w:noProof/>
          </w:rPr>
          <w:t>46</w:t>
        </w:r>
      </w:fldSimple>
      <w:r w:rsidRPr="007D162C">
        <w:t xml:space="preserve">: Qualitative benefits for </w:t>
      </w:r>
      <w:r w:rsidR="001075A6" w:rsidRPr="007D162C">
        <w:t>B</w:t>
      </w:r>
      <w:r w:rsidRPr="007D162C">
        <w:t>raille embossed (printed) specifications</w:t>
      </w:r>
      <w:bookmarkEnd w:id="313"/>
      <w:bookmarkEnd w:id="314"/>
    </w:p>
    <w:tbl>
      <w:tblPr>
        <w:tblStyle w:val="DefaultTable1"/>
        <w:tblW w:w="9449" w:type="dxa"/>
        <w:tblLook w:val="04A0" w:firstRow="1" w:lastRow="0" w:firstColumn="1" w:lastColumn="0" w:noHBand="0" w:noVBand="1"/>
        <w:tblCaption w:val="Qualitative benefits for braille embossed (printed) specifications"/>
      </w:tblPr>
      <w:tblGrid>
        <w:gridCol w:w="1528"/>
        <w:gridCol w:w="1171"/>
        <w:gridCol w:w="1455"/>
        <w:gridCol w:w="1091"/>
        <w:gridCol w:w="1134"/>
        <w:gridCol w:w="1611"/>
        <w:gridCol w:w="1459"/>
      </w:tblGrid>
      <w:tr w:rsidR="00E44CC7" w:rsidRPr="007D162C" w14:paraId="34CEE54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541E64CB" w14:textId="77777777" w:rsidR="00E44CC7" w:rsidRPr="007D162C" w:rsidRDefault="08D050C4" w:rsidP="00163A8D">
            <w:pPr>
              <w:rPr>
                <w:sz w:val="21"/>
                <w:szCs w:val="21"/>
              </w:rPr>
            </w:pPr>
            <w:r w:rsidRPr="007D162C">
              <w:rPr>
                <w:sz w:val="21"/>
                <w:szCs w:val="21"/>
              </w:rPr>
              <w:t>Reform Option</w:t>
            </w:r>
          </w:p>
        </w:tc>
        <w:tc>
          <w:tcPr>
            <w:tcW w:w="1171" w:type="dxa"/>
          </w:tcPr>
          <w:p w14:paraId="2D0DB071"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55" w:type="dxa"/>
          </w:tcPr>
          <w:p w14:paraId="013699B9"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091" w:type="dxa"/>
          </w:tcPr>
          <w:p w14:paraId="26B40A4D"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63FBF95F"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611" w:type="dxa"/>
          </w:tcPr>
          <w:p w14:paraId="549AAF34"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459" w:type="dxa"/>
          </w:tcPr>
          <w:p w14:paraId="4D403F72" w14:textId="77777777" w:rsidR="00E44CC7"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C3CED" w:rsidRPr="007D162C" w14:paraId="317E5D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003EF871" w14:textId="77777777" w:rsidR="001C3CED" w:rsidRPr="007D162C" w:rsidRDefault="001C3CED" w:rsidP="001C3CED">
            <w:r w:rsidRPr="007D162C">
              <w:t>Status Quo</w:t>
            </w:r>
          </w:p>
        </w:tc>
        <w:tc>
          <w:tcPr>
            <w:tcW w:w="1171" w:type="dxa"/>
          </w:tcPr>
          <w:p w14:paraId="0ACDAF24"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5" w:type="dxa"/>
          </w:tcPr>
          <w:p w14:paraId="0FC4B26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91" w:type="dxa"/>
          </w:tcPr>
          <w:p w14:paraId="07FBDAD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6408449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11" w:type="dxa"/>
          </w:tcPr>
          <w:p w14:paraId="2C3D019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9" w:type="dxa"/>
          </w:tcPr>
          <w:p w14:paraId="3B72785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4EAF3C21" w14:textId="77777777" w:rsidTr="08D050C4">
        <w:tc>
          <w:tcPr>
            <w:cnfStyle w:val="001000000000" w:firstRow="0" w:lastRow="0" w:firstColumn="1" w:lastColumn="0" w:oddVBand="0" w:evenVBand="0" w:oddHBand="0" w:evenHBand="0" w:firstRowFirstColumn="0" w:firstRowLastColumn="0" w:lastRowFirstColumn="0" w:lastRowLastColumn="0"/>
            <w:tcW w:w="1528" w:type="dxa"/>
          </w:tcPr>
          <w:p w14:paraId="57E7C2D1" w14:textId="77777777" w:rsidR="001C3CED" w:rsidRPr="007D162C" w:rsidRDefault="001C3CED" w:rsidP="001C3CED">
            <w:r w:rsidRPr="007D162C">
              <w:t xml:space="preserve">Non-regulatory </w:t>
            </w:r>
          </w:p>
        </w:tc>
        <w:tc>
          <w:tcPr>
            <w:tcW w:w="1171" w:type="dxa"/>
          </w:tcPr>
          <w:p w14:paraId="7129AFF4"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55" w:type="dxa"/>
          </w:tcPr>
          <w:p w14:paraId="67501049"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1" w:type="dxa"/>
          </w:tcPr>
          <w:p w14:paraId="058DA90C"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269AF3B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611" w:type="dxa"/>
          </w:tcPr>
          <w:p w14:paraId="2185BDA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59" w:type="dxa"/>
          </w:tcPr>
          <w:p w14:paraId="22CA8724"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C3CED" w:rsidRPr="007D162C" w14:paraId="6A188CB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3A2A5D7" w14:textId="77777777" w:rsidR="001C3CED" w:rsidRPr="007D162C" w:rsidRDefault="001C3CED" w:rsidP="001C3CED">
            <w:r w:rsidRPr="007D162C">
              <w:t>Regulatory</w:t>
            </w:r>
          </w:p>
        </w:tc>
        <w:tc>
          <w:tcPr>
            <w:tcW w:w="1171" w:type="dxa"/>
          </w:tcPr>
          <w:p w14:paraId="01C0F982"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55" w:type="dxa"/>
          </w:tcPr>
          <w:p w14:paraId="63309FE1"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091" w:type="dxa"/>
          </w:tcPr>
          <w:p w14:paraId="5B7268A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4F25F7C8"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611" w:type="dxa"/>
          </w:tcPr>
          <w:p w14:paraId="7E9F8C1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9" w:type="dxa"/>
          </w:tcPr>
          <w:p w14:paraId="49CD7544"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bl>
    <w:p w14:paraId="4ADC2319" w14:textId="77777777" w:rsidR="00E44CC7" w:rsidRPr="007D162C" w:rsidRDefault="00E44CC7" w:rsidP="00E44CC7"/>
    <w:p w14:paraId="7A3B5A42" w14:textId="77777777" w:rsidR="00E44CC7" w:rsidRPr="007D162C" w:rsidRDefault="00E44CC7" w:rsidP="00E44CC7">
      <w:pPr>
        <w:pStyle w:val="Heading4"/>
        <w:tabs>
          <w:tab w:val="left" w:pos="284"/>
        </w:tabs>
      </w:pPr>
      <w:r w:rsidRPr="007D162C">
        <w:lastRenderedPageBreak/>
        <w:t xml:space="preserve">Analysis of submissions </w:t>
      </w:r>
    </w:p>
    <w:p w14:paraId="5202908F" w14:textId="77777777" w:rsidR="00E44CC7" w:rsidRPr="007D162C" w:rsidRDefault="00E44CC7" w:rsidP="00E44CC7">
      <w:pPr>
        <w:pStyle w:val="Heading5"/>
      </w:pPr>
      <w:r w:rsidRPr="007D162C">
        <w:t>Status quo</w:t>
      </w:r>
    </w:p>
    <w:p w14:paraId="47709E15" w14:textId="77777777" w:rsidR="00E44CC7" w:rsidRPr="007D162C" w:rsidRDefault="00E44CC7" w:rsidP="00E44CC7">
      <w:r w:rsidRPr="007D162C">
        <w:t xml:space="preserve">Under the status quo, the Transport Standards will continue to not include provisions for the minimum standard of braille. Ambiguity regarding the standard of braille will remain, and this may lead to situations where different complexities and standards of braille are used throughout public transport sites. Inconsistent braille requirements present challenges to braille readers. </w:t>
      </w:r>
    </w:p>
    <w:p w14:paraId="466D6731" w14:textId="77777777" w:rsidR="00E44CC7" w:rsidRPr="007D162C" w:rsidRDefault="00E44CC7" w:rsidP="00E44CC7">
      <w:r w:rsidRPr="007D162C">
        <w:t>Multiple submissions from operators and providers shared that they receive very few requests for information in braille format, and current solutions involving direct assistance and engagement with customers works effectively.</w:t>
      </w:r>
    </w:p>
    <w:p w14:paraId="6E1C9B4A" w14:textId="77777777" w:rsidR="00E44CC7" w:rsidRPr="007D162C" w:rsidRDefault="08D050C4" w:rsidP="00E44CC7">
      <w:r w:rsidRPr="007D162C">
        <w:t xml:space="preserve">Although the majority of stakeholders were supportive of reform in this area, several submissions from organisations representing people with vision impairment, including Blind Citizens Australia, Vision Australia, and the Australian Braille Authority, raised significant concerns regarding factual errors presented in the Consultation RIS issue statement and the proposed non-regulatory and regulatory options. For this reason, all three submissions advocated for further consultation with community representatives and subject matter experts to develop fit-for-purpose amendments to the status quo. These submissions either abstained from supporting any options presented in the Consultation RIS, supported the continuation of the status quo pending further consultation, or suggested significant amendments to the proposed options. </w:t>
      </w:r>
    </w:p>
    <w:p w14:paraId="5A7E5394" w14:textId="77777777" w:rsidR="00E44CC7" w:rsidRPr="007D162C" w:rsidRDefault="00E44CC7" w:rsidP="00BE72A4">
      <w:pPr>
        <w:pStyle w:val="Quote"/>
      </w:pPr>
      <w:r w:rsidRPr="007D162C">
        <w:t>BCA recommends that the options listed in the consultation RIS are discarded in their entirety and a regulatory option is developed in consultation with braille experts. Further there needs to be a clear stipulation between braille labelling and braille signage to ensure consistency in application of any measures under this section.</w:t>
      </w:r>
      <w:r w:rsidRPr="007D162C">
        <w:br/>
      </w:r>
      <w:r w:rsidRPr="007D162C">
        <w:br/>
        <w:t>Blind Citizens Australia</w:t>
      </w:r>
    </w:p>
    <w:p w14:paraId="3B592B9C" w14:textId="77777777" w:rsidR="00E44CC7" w:rsidRPr="007D162C" w:rsidRDefault="00E44CC7" w:rsidP="00E44CC7">
      <w:r w:rsidRPr="007D162C">
        <w:t xml:space="preserve">These submissions emphasized that whilst this is not an ideal solution, </w:t>
      </w:r>
      <w:bookmarkStart w:id="315" w:name="_Hlk119415233"/>
      <w:r w:rsidRPr="007D162C">
        <w:t xml:space="preserve">the non-regulatory and regulatory options are flawed and their adoption would result in significant disadvantages and negligible benefits to braille passengers in a public transport context. </w:t>
      </w:r>
      <w:bookmarkEnd w:id="315"/>
      <w:r w:rsidRPr="007D162C">
        <w:t xml:space="preserve">These submissions noted that the content of the options was not developed in consultation with braille experts. This is reflected by inaccurate descriptions of braille codes and usage, and a poor awareness of the neuropsychology of braille reading. For example, one submission noted that the provision for ‘all transport related information to be produced only in Grade 1 braille’ is fundamentally flawed, as this does not reflect the complexities and practical use cases of braille. If this proposal was adopted, it would significantly disadvantage the majority of braille readers who use contracted braille. It is also questionable if people who only use Grade 1 braille would want to access transport related information in this format. </w:t>
      </w:r>
    </w:p>
    <w:p w14:paraId="66EAC727" w14:textId="77777777" w:rsidR="00E44CC7" w:rsidRPr="007D162C" w:rsidRDefault="00E44CC7" w:rsidP="00E44CC7">
      <w:r w:rsidRPr="007D162C">
        <w:t>Maintaining the status quo would incur no additional costs to public transports operators and providers.</w:t>
      </w:r>
    </w:p>
    <w:p w14:paraId="57E707F2" w14:textId="77777777" w:rsidR="00E44CC7" w:rsidRPr="007D162C" w:rsidRDefault="00E44CC7" w:rsidP="00E44CC7">
      <w:pPr>
        <w:pStyle w:val="Heading5"/>
      </w:pPr>
      <w:r w:rsidRPr="007D162C">
        <w:t>Non-regulatory</w:t>
      </w:r>
    </w:p>
    <w:p w14:paraId="5528B484" w14:textId="77777777" w:rsidR="00E44CC7" w:rsidRPr="007D162C" w:rsidRDefault="00E44CC7" w:rsidP="00E44CC7">
      <w:r w:rsidRPr="007D162C">
        <w:t>There was broad support for increasing the consistency in the use of grades of braille to produce positive outcomes for passengers.</w:t>
      </w:r>
    </w:p>
    <w:p w14:paraId="15A2117C" w14:textId="77777777" w:rsidR="00E44CC7" w:rsidRPr="007D162C" w:rsidRDefault="00E44CC7" w:rsidP="00E44CC7">
      <w:r w:rsidRPr="007D162C">
        <w:t xml:space="preserve">One submission from government and three submissions from industry supported the non-regulatory option. Some submissions raised concerns that the regulatory option lacks clarity regarding the extent to which information must be readily available in braille format, the practical implementation of proposed requirements, and what a “timely manner” would entail should a passenger request printed material in a grade other than Grade 1. </w:t>
      </w:r>
    </w:p>
    <w:p w14:paraId="05857A3F" w14:textId="77777777" w:rsidR="00E44CC7" w:rsidRPr="007D162C" w:rsidRDefault="00E44CC7" w:rsidP="00E44CC7">
      <w:r w:rsidRPr="007D162C">
        <w:t xml:space="preserve">One submission from government noted the benefit of improved guidance, whilst minimizing the risk of perverse outcomes whereby operators and providers cease printing in braille altogether. For example, if information is provided in the default format, Grade 1 Braille (uncontracted), but an experienced Braille reader requests an alternate Braille format, it must be provided for the readers under the regulatory option. </w:t>
      </w:r>
      <w:r w:rsidRPr="007D162C">
        <w:lastRenderedPageBreak/>
        <w:t>This may result in some operators choosing not to provide print information in Braille in the first place to avoid potential extra responsibility</w:t>
      </w:r>
    </w:p>
    <w:p w14:paraId="6CAF7F34" w14:textId="395FD25C" w:rsidR="00E44CC7" w:rsidRPr="007D162C" w:rsidRDefault="00E44CC7" w:rsidP="00E44CC7">
      <w:r w:rsidRPr="007D162C">
        <w:t xml:space="preserve">Additionally, this submission noted the proposed regulatory option seems to confuse signage requirements under the </w:t>
      </w:r>
      <w:r w:rsidR="00D22456">
        <w:t xml:space="preserve">section 17.6 of the </w:t>
      </w:r>
      <w:r w:rsidRPr="007D162C">
        <w:t xml:space="preserve">Transport Standard and general information (non-signage) requirements under the </w:t>
      </w:r>
      <w:r w:rsidR="00D22456">
        <w:t xml:space="preserve">section </w:t>
      </w:r>
      <w:r w:rsidRPr="007D162C">
        <w:t>27.1. The submission supported the non-regulatory option, suggesting the proposed regulatory option in the Consultation RIS will further confuse the issue.</w:t>
      </w:r>
    </w:p>
    <w:p w14:paraId="23AFD033" w14:textId="77777777" w:rsidR="00E44CC7" w:rsidRPr="007D162C" w:rsidRDefault="00E44CC7" w:rsidP="00E44CC7">
      <w:pPr>
        <w:pStyle w:val="Heading5"/>
      </w:pPr>
      <w:r w:rsidRPr="007D162C">
        <w:t>Regulatory</w:t>
      </w:r>
    </w:p>
    <w:p w14:paraId="2AD2F3FE" w14:textId="77777777" w:rsidR="00E44CC7" w:rsidRPr="007D162C" w:rsidRDefault="08D050C4" w:rsidP="00E44CC7">
      <w:r w:rsidRPr="007D162C">
        <w:t xml:space="preserve">The majority of submissions from individuals, people with disability and disability organisations, and government supported reforms to improve the functional accessibility of printed braille resources. </w:t>
      </w:r>
      <w:bookmarkStart w:id="316" w:name="_Hlk119415191"/>
      <w:bookmarkEnd w:id="316"/>
    </w:p>
    <w:p w14:paraId="79E72B57" w14:textId="77777777" w:rsidR="00E44CC7" w:rsidRPr="007D162C" w:rsidRDefault="00E44CC7" w:rsidP="00E44CC7">
      <w:bookmarkStart w:id="317" w:name="_Hlk130395802"/>
      <w:r w:rsidRPr="007D162C">
        <w:t xml:space="preserve">During consultation, both industry and the disability sector noted the current braille requirements in the Transport Standards are inadequate and do not reflect current best practice. </w:t>
      </w:r>
      <w:bookmarkEnd w:id="317"/>
      <w:r w:rsidRPr="007D162C">
        <w:t xml:space="preserve">Although the Transport Standards include provisions for braille signage, stakeholders raised that no regulation or guidance is provided for service-related printed publications that are provided in braille format. This was highlighted as a cause of situations where inappropriate practices are unintentionally implemented by operators and providers, disadvantaging braille readers. </w:t>
      </w:r>
    </w:p>
    <w:p w14:paraId="3476A12B" w14:textId="77777777" w:rsidR="00E44CC7" w:rsidRPr="007D162C" w:rsidRDefault="00E44CC7" w:rsidP="00E44CC7">
      <w:r w:rsidRPr="007D162C">
        <w:t>New regulatory requirements were highlighted by the majority of industry and government submissions as a tangible way to provider greater clarity to operators and providers and improve outcomes for passengers who use braille. There was broad agreement that standardizing the grade of braille required in printed format would also contribute to a greater consistency of service across jurisdictions and modes of transport. To avoid misinterpretation of new requirements, one submission from government suggested amendments to provide clarity that makes clear the specifications detailed in the regulatory proposal only apply to printed information, not braille signage.</w:t>
      </w:r>
    </w:p>
    <w:p w14:paraId="4611AC23" w14:textId="77777777" w:rsidR="00E44CC7" w:rsidRPr="007D162C" w:rsidRDefault="00E44CC7" w:rsidP="00E44CC7">
      <w:r w:rsidRPr="007D162C">
        <w:t xml:space="preserve">Several submissions from operators and providers noted that compliance with the proposed requirements would incur minimal additional costs and have minimal impact on the way requests are current processed, given that there is already a requirement to provide information in accessible formats. </w:t>
      </w:r>
    </w:p>
    <w:p w14:paraId="2F05996D" w14:textId="77777777" w:rsidR="00E44CC7" w:rsidRPr="007D162C" w:rsidRDefault="00E44CC7" w:rsidP="00E44CC7">
      <w:r w:rsidRPr="007D162C">
        <w:t xml:space="preserve">One submission from government raised concerns that the regulatory option may require operators and providers to provide braille versions, in various formats, of any material available. This submission noted that given requests for braille documents are rare, these translations would be bespoke, outsourced, time consuming and expensive to produce. </w:t>
      </w:r>
    </w:p>
    <w:p w14:paraId="04DBB4DB" w14:textId="77777777" w:rsidR="00E44CC7" w:rsidRPr="007D162C" w:rsidRDefault="00E44CC7" w:rsidP="00BE72A4">
      <w:pPr>
        <w:pStyle w:val="Quote"/>
      </w:pPr>
      <w:r w:rsidRPr="007D162C">
        <w:t>We feel that an exemption should be made in 1-to-1 translation of braille in signage, to avoid the use of words related to colour. For instance, the passenger information totems at Southern Cross Station, in central Melbourne, say in both English and Braille to press the red or green buttons. We feel it would be more sensible for the braille translation to specify, for instance, the left or right buttons.</w:t>
      </w:r>
    </w:p>
    <w:p w14:paraId="7BB5E941" w14:textId="77777777" w:rsidR="00E44CC7" w:rsidRPr="007D162C" w:rsidRDefault="00E44CC7" w:rsidP="00BE72A4">
      <w:pPr>
        <w:pStyle w:val="Quote"/>
      </w:pPr>
      <w:r w:rsidRPr="007D162C">
        <w:t>PMP Urbanists</w:t>
      </w:r>
    </w:p>
    <w:p w14:paraId="0CC26F8F" w14:textId="77777777" w:rsidR="00E44CC7" w:rsidRPr="007D162C" w:rsidRDefault="00E44CC7" w:rsidP="00E44CC7">
      <w:r w:rsidRPr="007D162C">
        <w:t>A submission from industry noted that the exact following of legislative requirements can result in sub-optimal outcomes for those with low vision. The submission suggested that the adoption of new requirements for braille standards could be accompanied by a register of precedential exemptions which are recorded and accessible via the legislation.</w:t>
      </w:r>
    </w:p>
    <w:p w14:paraId="1A3E67B1" w14:textId="77777777" w:rsidR="00E44CC7" w:rsidRPr="007D162C" w:rsidRDefault="00E44CC7" w:rsidP="00E44CC7">
      <w:pPr>
        <w:pStyle w:val="Heading4"/>
      </w:pPr>
      <w:r w:rsidRPr="007D162C">
        <w:t>Preferred option</w:t>
      </w:r>
    </w:p>
    <w:p w14:paraId="6F71994D" w14:textId="77777777" w:rsidR="00E718F6" w:rsidRPr="007D162C" w:rsidRDefault="00E718F6" w:rsidP="00E718F6">
      <w:r w:rsidRPr="007D162C">
        <w:t xml:space="preserve">Informed by the outcomes of consultation, stakeholder impacts, cost and outcomes analysis, the preferred option is to support a </w:t>
      </w:r>
      <w:r w:rsidRPr="007D162C">
        <w:rPr>
          <w:b/>
        </w:rPr>
        <w:t>regulatory option in-principle, with a working group to determine the final technical specifications.</w:t>
      </w:r>
    </w:p>
    <w:p w14:paraId="741309E4" w14:textId="77777777" w:rsidR="00E718F6" w:rsidRPr="007D162C" w:rsidRDefault="08D050C4" w:rsidP="00E718F6">
      <w:r w:rsidRPr="007D162C">
        <w:t xml:space="preserve">Although the majority of stakeholders were supportive of reform in this area, several submissions from organisations representing people with vision impairment raised significant concerns regarding factual errors presented in the Consultation RIS issue statement and the proposed non-regulatory and regulatory options. </w:t>
      </w:r>
      <w:bookmarkStart w:id="318" w:name="_Hlk130395707"/>
      <w:bookmarkEnd w:id="318"/>
    </w:p>
    <w:p w14:paraId="196F77D3" w14:textId="77777777" w:rsidR="00E718F6" w:rsidRPr="007D162C" w:rsidRDefault="00E718F6" w:rsidP="00E718F6">
      <w:r w:rsidRPr="007D162C">
        <w:lastRenderedPageBreak/>
        <w:t>Similarly, submissions from industry and government highlighted the need for further clarity regarding a number of matters, including expected timeframes for development and to what materials the requirements would apply. Responses from the disability sector were largely supportive of aligning the Transport Standards with best practice to improve accessibility outcomes for braille readers. Operators and providers were also supportive of reform to improve regulatory clarity, and would likely incur minimal additional costs and have minimal impact on the way requests are current processed, given that there is already a requirement to provide information in accessible formats.</w:t>
      </w:r>
    </w:p>
    <w:p w14:paraId="6454A734" w14:textId="77777777" w:rsidR="00E718F6" w:rsidRPr="007D162C" w:rsidRDefault="00E718F6" w:rsidP="00E718F6">
      <w:r w:rsidRPr="007D162C">
        <w:t>Consultation has demonstrated that the inclusion of new requirements to improve the functional accessibility of printed braille resources is welcomed by all stakeholder groups. However, there were concerns that the grade of braille specified was incorrect.</w:t>
      </w:r>
    </w:p>
    <w:p w14:paraId="5E94F5FA" w14:textId="5F273666" w:rsidR="00713118" w:rsidRDefault="00E718F6" w:rsidP="00713118">
      <w:r w:rsidRPr="007D162C">
        <w:t>This Decision RIS proposes the establishment of a working group consisting of braille users, subject matter experts, public transport operators and providers and governments to determine the appropriate grade of braille to be specified. The remit of the working group will not intersect with other braille reforms considered in this DRIS.</w:t>
      </w:r>
      <w:r w:rsidR="00713118">
        <w:t xml:space="preserve"> Once developed, the preferred option would </w:t>
      </w:r>
      <w:r w:rsidR="00713118" w:rsidRPr="007D162C">
        <w:t>will be implemented through amendments to the Transport Standards and Guidelines. Operators and providers will be required to meet the new Transport Standards requirements retrospectively with a compliance schedule timing of 5 years.</w:t>
      </w:r>
    </w:p>
    <w:p w14:paraId="6E94B978" w14:textId="6BD17C28" w:rsidR="00713118" w:rsidRPr="007D162C" w:rsidRDefault="00BD6B89" w:rsidP="00BD6B89">
      <w:r w:rsidRPr="007D162C">
        <w:br w:type="page"/>
      </w:r>
    </w:p>
    <w:p w14:paraId="1A14886C" w14:textId="79C715AC" w:rsidR="00BD6B89" w:rsidRPr="007D162C" w:rsidRDefault="00BD6B89" w:rsidP="004C192E">
      <w:pPr>
        <w:pStyle w:val="Heading2"/>
        <w:numPr>
          <w:ilvl w:val="0"/>
          <w:numId w:val="26"/>
        </w:numPr>
        <w:ind w:hanging="720"/>
      </w:pPr>
      <w:bookmarkStart w:id="319" w:name="_Toc112050096"/>
      <w:bookmarkStart w:id="320" w:name="_Toc127351765"/>
      <w:bookmarkStart w:id="321" w:name="_Toc140239723"/>
      <w:r w:rsidRPr="007D162C">
        <w:lastRenderedPageBreak/>
        <w:t>Braille and tactile lettering for signage</w:t>
      </w:r>
      <w:bookmarkEnd w:id="319"/>
      <w:bookmarkEnd w:id="320"/>
      <w:bookmarkEnd w:id="321"/>
    </w:p>
    <w:p w14:paraId="20C25B59" w14:textId="77777777" w:rsidR="00BD6B89" w:rsidRPr="007D162C" w:rsidRDefault="00BD6B89" w:rsidP="00BD6B89">
      <w:pPr>
        <w:pStyle w:val="Heading4"/>
      </w:pPr>
      <w:r w:rsidRPr="007D162C">
        <w:t>Issue</w:t>
      </w:r>
    </w:p>
    <w:p w14:paraId="5B371D14" w14:textId="4514A02B" w:rsidR="00BD6B89" w:rsidRPr="007D162C" w:rsidRDefault="00BD6B89" w:rsidP="00BD6B89">
      <w:r w:rsidRPr="007D162C">
        <w:t xml:space="preserve">Braille and tactile signs provide people with vision impairment equitable access to public transport services, subsequently reducing discrimination for people with disability. Section 17.6 of </w:t>
      </w:r>
      <w:r w:rsidR="00DF3FB9">
        <w:t>the Transport Standards</w:t>
      </w:r>
      <w:r w:rsidRPr="007D162C">
        <w:t xml:space="preserve"> includes design specifications for braille materials. However, the Transport Standards do not reflect current best practice and standards in relation to braille and tactile signs. The requirements included in the Transport Standards also do not align with those included in the Premises Standards, creating uncertainty for operators and providers and inconsistency for passengers of braille.</w:t>
      </w:r>
    </w:p>
    <w:p w14:paraId="6C63677F" w14:textId="77777777" w:rsidR="00BD6B89" w:rsidRPr="007D162C" w:rsidRDefault="08D050C4" w:rsidP="00BD6B89">
      <w:r w:rsidRPr="007D162C">
        <w:t>Collective government action would strengthen requirements for braille and tactile lettering for signage and address key stakeholder issues raised through the Transport Standards review process.</w:t>
      </w:r>
    </w:p>
    <w:p w14:paraId="6D085086" w14:textId="44252268" w:rsidR="00BD6B89" w:rsidRPr="007D162C" w:rsidRDefault="08D050C4" w:rsidP="00BD6B89">
      <w:pPr>
        <w:pStyle w:val="Heading4"/>
        <w:tabs>
          <w:tab w:val="left" w:pos="284"/>
        </w:tabs>
      </w:pPr>
      <w:r w:rsidRPr="007D162C">
        <w:t>Reform options</w:t>
      </w:r>
    </w:p>
    <w:p w14:paraId="730608B5" w14:textId="77777777" w:rsidR="00BD6B89" w:rsidRPr="007D162C" w:rsidRDefault="00BD6B89" w:rsidP="00BD6B89">
      <w:pPr>
        <w:tabs>
          <w:tab w:val="left" w:pos="284"/>
        </w:tabs>
      </w:pPr>
      <w:r w:rsidRPr="007D162C">
        <w:t>Following is a summary of the proposed options for this reform. Full details of each reform option is provided at Appendix A.</w:t>
      </w:r>
    </w:p>
    <w:p w14:paraId="4988F479" w14:textId="524D5DA9" w:rsidR="00BD6B89" w:rsidRPr="007D162C" w:rsidRDefault="00BD6B89" w:rsidP="00F24CDA">
      <w:pPr>
        <w:pStyle w:val="Tablefigureheading"/>
      </w:pPr>
      <w:bookmarkStart w:id="322" w:name="_Toc122446358"/>
      <w:bookmarkStart w:id="323" w:name="_Toc139969205"/>
      <w:r w:rsidRPr="007D162C">
        <w:t xml:space="preserve">Table </w:t>
      </w:r>
      <w:fldSimple w:instr=" SEQ Table \* ARABIC ">
        <w:r w:rsidR="00DC26AC">
          <w:rPr>
            <w:noProof/>
          </w:rPr>
          <w:t>47</w:t>
        </w:r>
      </w:fldSimple>
      <w:r w:rsidRPr="007D162C">
        <w:rPr>
          <w:noProof/>
        </w:rPr>
        <w:t>:</w:t>
      </w:r>
      <w:r w:rsidRPr="007D162C">
        <w:t xml:space="preserve"> Reform options for </w:t>
      </w:r>
      <w:r w:rsidR="001075A6" w:rsidRPr="007D162C">
        <w:t>B</w:t>
      </w:r>
      <w:r w:rsidRPr="007D162C">
        <w:t>raille and tactile lettering for signage</w:t>
      </w:r>
      <w:bookmarkEnd w:id="322"/>
      <w:bookmarkEnd w:id="323"/>
    </w:p>
    <w:tbl>
      <w:tblPr>
        <w:tblStyle w:val="DefaultTable1"/>
        <w:tblW w:w="9072" w:type="dxa"/>
        <w:tblLook w:val="04A0" w:firstRow="1" w:lastRow="0" w:firstColumn="1" w:lastColumn="0" w:noHBand="0" w:noVBand="1"/>
        <w:tblCaption w:val="Reform options for braille and tactile lettering for signage"/>
        <w:tblDescription w:val="This table provides a description of each of the options for this reform area. Status quo, non-regulatory and regulatory."/>
      </w:tblPr>
      <w:tblGrid>
        <w:gridCol w:w="2232"/>
        <w:gridCol w:w="6840"/>
      </w:tblGrid>
      <w:tr w:rsidR="00BD6B89" w:rsidRPr="007D162C" w14:paraId="73C5C08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2617B561" w14:textId="77777777" w:rsidR="00BD6B89" w:rsidRPr="007D162C" w:rsidRDefault="00BD6B89" w:rsidP="00675105">
            <w:r w:rsidRPr="007D162C">
              <w:t>Option</w:t>
            </w:r>
          </w:p>
        </w:tc>
        <w:tc>
          <w:tcPr>
            <w:tcW w:w="6840" w:type="dxa"/>
          </w:tcPr>
          <w:p w14:paraId="76960188" w14:textId="77777777" w:rsidR="00BD6B89" w:rsidRPr="007D162C" w:rsidRDefault="00BD6B89"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BD6B89" w:rsidRPr="007D162C" w14:paraId="13DE49B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478F50F" w14:textId="77777777" w:rsidR="00BD6B89" w:rsidRPr="007D162C" w:rsidRDefault="00BD6B89" w:rsidP="00675105">
            <w:r w:rsidRPr="007D162C">
              <w:t>Status Quo</w:t>
            </w:r>
          </w:p>
        </w:tc>
        <w:tc>
          <w:tcPr>
            <w:tcW w:w="6840" w:type="dxa"/>
          </w:tcPr>
          <w:p w14:paraId="2F5E0276"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the standard and complexity of braille and raised lettering on signs, including the use of identification signage.</w:t>
            </w:r>
          </w:p>
          <w:p w14:paraId="449143AE"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D6B89" w:rsidRPr="007D162C" w14:paraId="0C0D8745"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1BFEE91" w14:textId="77777777" w:rsidR="00BD6B89" w:rsidRPr="007D162C" w:rsidRDefault="00BD6B89" w:rsidP="00675105">
            <w:r w:rsidRPr="007D162C">
              <w:t>Non-Regulatory</w:t>
            </w:r>
          </w:p>
        </w:tc>
        <w:tc>
          <w:tcPr>
            <w:tcW w:w="6840" w:type="dxa"/>
          </w:tcPr>
          <w:p w14:paraId="4B3003C5" w14:textId="77777777" w:rsidR="00BD6B89"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to include best practice advice on braille and tactile signage, including definitions, locations of signage, recommendations for co-design and consultation with people with disability, and harmonisation with the Premises Standards.</w:t>
            </w:r>
          </w:p>
        </w:tc>
      </w:tr>
      <w:tr w:rsidR="00BD6B89" w:rsidRPr="007D162C" w14:paraId="7658DB5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E0B085A" w14:textId="77777777" w:rsidR="00BD6B89" w:rsidRPr="007D162C" w:rsidRDefault="00BD6B89" w:rsidP="00675105">
            <w:r w:rsidRPr="007D162C">
              <w:t>Regulatory</w:t>
            </w:r>
          </w:p>
        </w:tc>
        <w:tc>
          <w:tcPr>
            <w:tcW w:w="6840" w:type="dxa"/>
          </w:tcPr>
          <w:p w14:paraId="084C5DEF"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braille and tactile signage, including braille design requirements, tactile design requirements, and braille and tactile labels.</w:t>
            </w:r>
          </w:p>
          <w:p w14:paraId="74BC4967"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9E4952A" w14:textId="77777777" w:rsidR="00BD6B89" w:rsidRPr="007D162C" w:rsidRDefault="00BD6B89" w:rsidP="00BD6B89">
      <w:pPr>
        <w:pStyle w:val="Heading4"/>
        <w:tabs>
          <w:tab w:val="left" w:pos="284"/>
        </w:tabs>
      </w:pPr>
      <w:r w:rsidRPr="007D162C">
        <w:t>Cost benefit analysis</w:t>
      </w:r>
    </w:p>
    <w:p w14:paraId="613B5B60" w14:textId="77777777" w:rsidR="00BD6B89" w:rsidRPr="007D162C" w:rsidRDefault="00BD6B89" w:rsidP="00F24CDA">
      <w:pPr>
        <w:pStyle w:val="Heading6"/>
      </w:pPr>
      <w:r w:rsidRPr="007D162C">
        <w:t xml:space="preserve">Quantitative assessment </w:t>
      </w:r>
    </w:p>
    <w:p w14:paraId="3D2D5A07" w14:textId="5475D03D" w:rsidR="008B0801" w:rsidRDefault="00BD6B89" w:rsidP="00BD6B89">
      <w:r w:rsidRPr="007D162C">
        <w:t xml:space="preserve">The following categories of quantitative costs and benefits were identified in the CBA as pertaining to the reform options. </w:t>
      </w:r>
    </w:p>
    <w:p w14:paraId="0FE38474" w14:textId="13B3D088" w:rsidR="00BD6B89" w:rsidRPr="007D162C" w:rsidRDefault="00BD6B89" w:rsidP="00F24CDA">
      <w:pPr>
        <w:pStyle w:val="Tablefigureheading"/>
      </w:pPr>
      <w:bookmarkStart w:id="324" w:name="_Toc122446359"/>
      <w:bookmarkStart w:id="325" w:name="_Toc139969206"/>
      <w:r w:rsidRPr="007D162C">
        <w:t xml:space="preserve">Table </w:t>
      </w:r>
      <w:fldSimple w:instr=" SEQ Table \* ARABIC ">
        <w:r w:rsidR="00DC26AC">
          <w:rPr>
            <w:noProof/>
          </w:rPr>
          <w:t>48</w:t>
        </w:r>
      </w:fldSimple>
      <w:r w:rsidRPr="007D162C">
        <w:t xml:space="preserve">: Benefit-cost ratios for </w:t>
      </w:r>
      <w:r w:rsidR="001075A6" w:rsidRPr="007D162C">
        <w:t>B</w:t>
      </w:r>
      <w:r w:rsidRPr="007D162C">
        <w:t>raille and tactile lettering for signage</w:t>
      </w:r>
      <w:bookmarkEnd w:id="324"/>
      <w:bookmarkEnd w:id="325"/>
    </w:p>
    <w:tbl>
      <w:tblPr>
        <w:tblStyle w:val="DefaultTable1"/>
        <w:tblW w:w="9864" w:type="dxa"/>
        <w:tblLook w:val="04A0" w:firstRow="1" w:lastRow="0" w:firstColumn="1" w:lastColumn="0" w:noHBand="0" w:noVBand="1"/>
        <w:tblCaption w:val="Benefit-cost ratios for braille and tactile lettering for signage"/>
        <w:tblDescription w:val="This table provides the monetised benefits and costs for each of the options for this reform area."/>
      </w:tblPr>
      <w:tblGrid>
        <w:gridCol w:w="2694"/>
        <w:gridCol w:w="1275"/>
        <w:gridCol w:w="1701"/>
        <w:gridCol w:w="1701"/>
        <w:gridCol w:w="1560"/>
        <w:gridCol w:w="933"/>
      </w:tblGrid>
      <w:tr w:rsidR="00F24CDA" w:rsidRPr="007D162C" w14:paraId="48583DF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265D1BAD" w14:textId="77777777" w:rsidR="00BD6B89" w:rsidRPr="007D162C" w:rsidRDefault="08D050C4" w:rsidP="00675105">
            <w:r w:rsidRPr="007D162C">
              <w:t>Reform Option</w:t>
            </w:r>
          </w:p>
        </w:tc>
        <w:tc>
          <w:tcPr>
            <w:tcW w:w="1275" w:type="dxa"/>
          </w:tcPr>
          <w:p w14:paraId="5CFB84E7"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8266F94"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35935C8E"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71527A9E"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0436E0BC" w14:textId="77777777" w:rsidR="00BD6B89" w:rsidRPr="007D162C" w:rsidRDefault="08D050C4" w:rsidP="00F24CDA">
            <w:pPr>
              <w:ind w:right="170"/>
              <w:cnfStyle w:val="100000000000" w:firstRow="1" w:lastRow="0" w:firstColumn="0" w:lastColumn="0" w:oddVBand="0" w:evenVBand="0" w:oddHBand="0" w:evenHBand="0" w:firstRowFirstColumn="0" w:firstRowLastColumn="0" w:lastRowFirstColumn="0" w:lastRowLastColumn="0"/>
            </w:pPr>
            <w:r w:rsidRPr="007D162C">
              <w:t>BCR</w:t>
            </w:r>
          </w:p>
        </w:tc>
      </w:tr>
      <w:tr w:rsidR="00BD6B89" w:rsidRPr="007D162C" w14:paraId="1B0703B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4E63B4" w14:textId="77777777" w:rsidR="00BD6B89" w:rsidRPr="007D162C" w:rsidRDefault="00BD6B89" w:rsidP="00675105">
            <w:r w:rsidRPr="007D162C">
              <w:t>Status Quo</w:t>
            </w:r>
          </w:p>
        </w:tc>
        <w:tc>
          <w:tcPr>
            <w:tcW w:w="1275" w:type="dxa"/>
          </w:tcPr>
          <w:p w14:paraId="6653DFF5"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AC3A5A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7EB7B85C"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60" w:type="dxa"/>
          </w:tcPr>
          <w:p w14:paraId="69288B71"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933" w:type="dxa"/>
          </w:tcPr>
          <w:p w14:paraId="537A6F27"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D6B89" w:rsidRPr="007D162C" w14:paraId="1304B8E1"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77271198" w14:textId="77777777" w:rsidR="00BD6B89" w:rsidRPr="007D162C" w:rsidRDefault="00BD6B89" w:rsidP="00675105">
            <w:r w:rsidRPr="007D162C">
              <w:t xml:space="preserve">Non-regulatory </w:t>
            </w:r>
          </w:p>
        </w:tc>
        <w:tc>
          <w:tcPr>
            <w:tcW w:w="1275" w:type="dxa"/>
          </w:tcPr>
          <w:p w14:paraId="30DAED4E" w14:textId="2B8B749A" w:rsidR="00BD6B89"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59CE9131"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tcPr>
          <w:p w14:paraId="64A4E60E"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560" w:type="dxa"/>
          </w:tcPr>
          <w:p w14:paraId="251A9E73"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933" w:type="dxa"/>
            <w:vAlign w:val="center"/>
          </w:tcPr>
          <w:p w14:paraId="093D62D2"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r w:rsidR="00BD6B89" w:rsidRPr="007D162C" w14:paraId="39D3B3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735581F" w14:textId="77777777" w:rsidR="00BD6B89" w:rsidRPr="007D162C" w:rsidRDefault="00BD6B89" w:rsidP="00675105">
            <w:r w:rsidRPr="007D162C">
              <w:t>Regulatory</w:t>
            </w:r>
          </w:p>
        </w:tc>
        <w:tc>
          <w:tcPr>
            <w:tcW w:w="1275" w:type="dxa"/>
            <w:vAlign w:val="center"/>
          </w:tcPr>
          <w:p w14:paraId="14826293"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6.3</w:t>
            </w:r>
          </w:p>
        </w:tc>
        <w:tc>
          <w:tcPr>
            <w:tcW w:w="1701" w:type="dxa"/>
          </w:tcPr>
          <w:p w14:paraId="690C558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193AEC40"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1560" w:type="dxa"/>
            <w:vAlign w:val="center"/>
          </w:tcPr>
          <w:p w14:paraId="0486078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10.6</w:t>
            </w:r>
          </w:p>
        </w:tc>
        <w:tc>
          <w:tcPr>
            <w:tcW w:w="933" w:type="dxa"/>
            <w:vAlign w:val="center"/>
          </w:tcPr>
          <w:p w14:paraId="24DC7DD2" w14:textId="1C405EE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0.59</w:t>
            </w:r>
            <w:r w:rsidR="008B0801" w:rsidRPr="007D162C">
              <w:rPr>
                <w:vertAlign w:val="superscript"/>
              </w:rPr>
              <w:t xml:space="preserve"> i</w:t>
            </w:r>
          </w:p>
        </w:tc>
      </w:tr>
    </w:tbl>
    <w:p w14:paraId="09A21F78" w14:textId="77777777" w:rsidR="00BD6B89" w:rsidRPr="007D162C" w:rsidRDefault="00BD6B89" w:rsidP="00BD6B89">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B9DE39C" w14:textId="20050ECA" w:rsidR="004815D7" w:rsidRPr="007D162C" w:rsidRDefault="004815D7" w:rsidP="00F24CDA">
      <w:pPr>
        <w:spacing w:before="120" w:after="0"/>
        <w:rPr>
          <w:sz w:val="20"/>
          <w:szCs w:val="20"/>
        </w:rPr>
      </w:pPr>
      <w:r w:rsidRPr="007D162C">
        <w:rPr>
          <w:sz w:val="20"/>
          <w:szCs w:val="20"/>
          <w:vertAlign w:val="superscript"/>
        </w:rPr>
        <w:t>(i)</w:t>
      </w:r>
      <w:r w:rsidRPr="007D162C">
        <w:rPr>
          <w:sz w:val="18"/>
          <w:szCs w:val="18"/>
        </w:rPr>
        <w:t>The benefits and costs presented in the table above are rounded to two decimal places. The CBA calculated to four decimal places and this may result in zero values in the table</w:t>
      </w:r>
    </w:p>
    <w:p w14:paraId="6331A72B" w14:textId="77777777" w:rsidR="000E3BA6" w:rsidRPr="007D162C" w:rsidRDefault="000E3BA6" w:rsidP="00F24CDA">
      <w:pPr>
        <w:rPr>
          <w:lang w:val="en-AU"/>
        </w:rPr>
      </w:pPr>
    </w:p>
    <w:p w14:paraId="02E7121D" w14:textId="77777777" w:rsidR="00BD6B89" w:rsidRPr="007D162C" w:rsidRDefault="00BD6B89" w:rsidP="000E3BA6">
      <w:pPr>
        <w:pStyle w:val="Heading6"/>
      </w:pPr>
      <w:r w:rsidRPr="007D162C">
        <w:t>Considerations to note in interpreting analysis</w:t>
      </w:r>
    </w:p>
    <w:p w14:paraId="75AE8ED1" w14:textId="77777777" w:rsidR="00BD6B89" w:rsidRPr="007D162C" w:rsidRDefault="00BD6B89" w:rsidP="00F24CDA">
      <w:pPr>
        <w:pStyle w:val="Heading7"/>
      </w:pPr>
      <w:r w:rsidRPr="007D162C">
        <w:t>Limitations</w:t>
      </w:r>
    </w:p>
    <w:p w14:paraId="44A9CF2E" w14:textId="77777777" w:rsidR="00BD6B89" w:rsidRPr="007D162C" w:rsidRDefault="00BD6B89" w:rsidP="00105D34">
      <w:pPr>
        <w:pStyle w:val="Heading8"/>
      </w:pPr>
      <w:r w:rsidRPr="007D162C">
        <w:t>Non-regulatory</w:t>
      </w:r>
    </w:p>
    <w:p w14:paraId="417DEDCE" w14:textId="4192C8FB" w:rsidR="00BD6B89" w:rsidRPr="007D162C" w:rsidRDefault="00BD6B89" w:rsidP="00F24CDA">
      <w:r w:rsidRPr="007D162C">
        <w:t>The costs and benefits associated with the non-regulatory reform are lower than its regulatory counterpart reflecting an assumed lower rate of compliance with the reform. An estimated rate of uptake of 75</w:t>
      </w:r>
      <w:r w:rsidR="008B0801">
        <w:t xml:space="preserve"> per cent</w:t>
      </w:r>
      <w:r w:rsidRPr="007D162C">
        <w:t xml:space="preserve"> for new assets was applied to the non-regulatory option based on the low cost and complexity to install signs in a new braille format. Existing assets signs were not expected to be replaced to be updated to the braille format unless the sign itself was being replaced. This implies that the benefits and costs quantified for this non-regulatory reform may not reflect future take-up of the reform.</w:t>
      </w:r>
    </w:p>
    <w:p w14:paraId="1718C65D" w14:textId="77777777" w:rsidR="00BD6B89" w:rsidRPr="007D162C" w:rsidRDefault="00BD6B89" w:rsidP="00F24CDA">
      <w:r w:rsidRPr="007D162C">
        <w:t>Non-regulatory compliance rates are calculated using assumptions about retrospective and prospective take-up rates, and are not a percentage of the regulatory costs.</w:t>
      </w:r>
    </w:p>
    <w:p w14:paraId="2C7E9F0D" w14:textId="77777777" w:rsidR="00BD6B89" w:rsidRPr="007D162C" w:rsidRDefault="00BD6B89" w:rsidP="00105D34">
      <w:pPr>
        <w:pStyle w:val="Heading8"/>
      </w:pPr>
      <w:r w:rsidRPr="007D162C">
        <w:t>Regulatory</w:t>
      </w:r>
    </w:p>
    <w:p w14:paraId="10A87138" w14:textId="77777777" w:rsidR="00BD6B89" w:rsidRPr="007D162C" w:rsidRDefault="00BD6B89" w:rsidP="00F24CDA">
      <w:r w:rsidRPr="007D162C">
        <w:t>The benefits and costs for this reform reflect a change in braille standards, requiring upgrades to the standard of braille across a number of conveyances nationally. The benefits for this reform were estimated based on a small number of data points provided through the survey and were proxied at a national level implying that the benefits and costs may not reflect the extent of existing compliance.</w:t>
      </w:r>
    </w:p>
    <w:p w14:paraId="290C2D5D" w14:textId="77777777" w:rsidR="00BD6B89" w:rsidRPr="007D162C" w:rsidRDefault="00BD6B89" w:rsidP="00F24CDA">
      <w:r w:rsidRPr="007D162C">
        <w:t>This reform provides only benefits users with vision impairment reflecting a relatively small cohort of beneficiaries.</w:t>
      </w:r>
    </w:p>
    <w:p w14:paraId="53350F38" w14:textId="77777777" w:rsidR="00BD6B89" w:rsidRPr="007D162C" w:rsidRDefault="00BD6B89" w:rsidP="00105D34">
      <w:pPr>
        <w:pStyle w:val="Heading8"/>
      </w:pPr>
      <w:r w:rsidRPr="007D162C">
        <w:t>Interdependencies</w:t>
      </w:r>
    </w:p>
    <w:p w14:paraId="3595A74B" w14:textId="77777777" w:rsidR="00BD6B89" w:rsidRPr="007D162C" w:rsidRDefault="08D050C4" w:rsidP="00F24CDA">
      <w:r w:rsidRPr="007D162C">
        <w:t>The accessibility benefits of this reform will only be realised if there was equitable access across the whole public transport journey, with benefits reliant on implementation of other reforms such as international symbol for access and deafness, letter heights and luminance contrast.</w:t>
      </w:r>
    </w:p>
    <w:p w14:paraId="493FBAD1" w14:textId="77777777" w:rsidR="00BD6B89" w:rsidRPr="007D162C" w:rsidRDefault="00BD6B89" w:rsidP="00F24CDA">
      <w:pPr>
        <w:pStyle w:val="Heading6"/>
      </w:pPr>
      <w:r w:rsidRPr="007D162C">
        <w:t xml:space="preserve">Qualitative assessment </w:t>
      </w:r>
    </w:p>
    <w:p w14:paraId="2CEEC436" w14:textId="77777777" w:rsidR="00F24CDA" w:rsidRPr="007D162C" w:rsidRDefault="00BD6B89" w:rsidP="00F24CDA">
      <w:pPr>
        <w:pStyle w:val="Tablefigureheading"/>
        <w:rPr>
          <w:rFonts w:asciiTheme="minorHAnsi" w:hAnsiTheme="minorHAnsi"/>
          <w:b w:val="0"/>
          <w:color w:val="auto"/>
          <w:lang w:val="en-US"/>
        </w:rPr>
      </w:pPr>
      <w:r w:rsidRPr="007D162C">
        <w:rPr>
          <w:rFonts w:asciiTheme="minorHAnsi" w:hAnsiTheme="minorHAnsi"/>
          <w:b w:val="0"/>
          <w:color w:val="auto"/>
          <w:lang w:val="en-US"/>
        </w:rPr>
        <w:t>The following categories of qualitative benefits were identified in the CBA as pertaining to the reform options.</w:t>
      </w:r>
    </w:p>
    <w:p w14:paraId="5EEA0EC0" w14:textId="77777777" w:rsidR="00F24CDA" w:rsidRPr="007D162C" w:rsidRDefault="00F24CDA" w:rsidP="00F24CDA"/>
    <w:p w14:paraId="5444D25C" w14:textId="661BA3CB" w:rsidR="00BD6B89" w:rsidRPr="007D162C" w:rsidRDefault="00BD6B89" w:rsidP="00F24CDA">
      <w:pPr>
        <w:pStyle w:val="Tablefigureheading"/>
      </w:pPr>
      <w:bookmarkStart w:id="326" w:name="_Toc122446360"/>
      <w:bookmarkStart w:id="327" w:name="_Toc139969207"/>
      <w:r w:rsidRPr="007D162C">
        <w:t xml:space="preserve">Table </w:t>
      </w:r>
      <w:fldSimple w:instr=" SEQ Table \* ARABIC ">
        <w:r w:rsidR="00DC26AC">
          <w:rPr>
            <w:noProof/>
          </w:rPr>
          <w:t>49</w:t>
        </w:r>
      </w:fldSimple>
      <w:r w:rsidRPr="007D162C">
        <w:rPr>
          <w:noProof/>
        </w:rPr>
        <w:t xml:space="preserve">: </w:t>
      </w:r>
      <w:r w:rsidRPr="007D162C">
        <w:t xml:space="preserve">Qualitative benefits </w:t>
      </w:r>
      <w:r w:rsidRPr="007D162C">
        <w:rPr>
          <w:noProof/>
        </w:rPr>
        <w:t>for</w:t>
      </w:r>
      <w:r w:rsidRPr="007D162C">
        <w:t xml:space="preserve"> braille and tactile lettering for signage</w:t>
      </w:r>
      <w:bookmarkEnd w:id="326"/>
      <w:bookmarkEnd w:id="327"/>
    </w:p>
    <w:tbl>
      <w:tblPr>
        <w:tblStyle w:val="DefaultTable1"/>
        <w:tblW w:w="9864" w:type="dxa"/>
        <w:tblLook w:val="04A0" w:firstRow="1" w:lastRow="0" w:firstColumn="1" w:lastColumn="0" w:noHBand="0" w:noVBand="1"/>
        <w:tblCaption w:val="Qualitative benefits for braille and tactile lettering for signage"/>
      </w:tblPr>
      <w:tblGrid>
        <w:gridCol w:w="1276"/>
        <w:gridCol w:w="1280"/>
        <w:gridCol w:w="1626"/>
        <w:gridCol w:w="1300"/>
        <w:gridCol w:w="1278"/>
        <w:gridCol w:w="1641"/>
        <w:gridCol w:w="1463"/>
      </w:tblGrid>
      <w:tr w:rsidR="00BD6B89" w:rsidRPr="007D162C" w14:paraId="24B655A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6F4701DD" w14:textId="77777777" w:rsidR="00BD6B89" w:rsidRPr="007D162C" w:rsidRDefault="08D050C4" w:rsidP="00675105">
            <w:r w:rsidRPr="007D162C">
              <w:t>Reform Option</w:t>
            </w:r>
          </w:p>
        </w:tc>
        <w:tc>
          <w:tcPr>
            <w:tcW w:w="1280" w:type="dxa"/>
          </w:tcPr>
          <w:p w14:paraId="121F7173"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B500D7C"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9223D8B"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19FBBC4"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07F2FF82"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1040E5A3" w14:textId="77777777" w:rsidR="00BD6B89"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D6B89" w:rsidRPr="007D162C" w14:paraId="09D52A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2011E1F" w14:textId="77777777" w:rsidR="00BD6B89" w:rsidRPr="007D162C" w:rsidRDefault="00BD6B89" w:rsidP="00675105">
            <w:r w:rsidRPr="007D162C">
              <w:t>Status Quo</w:t>
            </w:r>
          </w:p>
        </w:tc>
        <w:tc>
          <w:tcPr>
            <w:tcW w:w="1280" w:type="dxa"/>
          </w:tcPr>
          <w:p w14:paraId="7FED4A0C"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4D3EB6C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9F7E4C2"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360FE435"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1AB2974E"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50633AD7"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D6B89" w:rsidRPr="007D162C" w14:paraId="0E4E2B0B" w14:textId="77777777" w:rsidTr="08D050C4">
        <w:tc>
          <w:tcPr>
            <w:cnfStyle w:val="001000000000" w:firstRow="0" w:lastRow="0" w:firstColumn="1" w:lastColumn="0" w:oddVBand="0" w:evenVBand="0" w:oddHBand="0" w:evenHBand="0" w:firstRowFirstColumn="0" w:firstRowLastColumn="0" w:lastRowFirstColumn="0" w:lastRowLastColumn="0"/>
            <w:tcW w:w="1276" w:type="dxa"/>
          </w:tcPr>
          <w:p w14:paraId="51BC81FB" w14:textId="77777777" w:rsidR="00BD6B89" w:rsidRPr="007D162C" w:rsidRDefault="00BD6B89" w:rsidP="00675105">
            <w:r w:rsidRPr="007D162C">
              <w:t xml:space="preserve">Non-regulatory </w:t>
            </w:r>
          </w:p>
        </w:tc>
        <w:tc>
          <w:tcPr>
            <w:tcW w:w="1280" w:type="dxa"/>
          </w:tcPr>
          <w:p w14:paraId="47D35AEA"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1253AFF5"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2F920187"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F516260" w14:textId="77777777" w:rsidR="00BD6B89" w:rsidRPr="007D162C" w:rsidRDefault="00BD6B89"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037B78B"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348931F4" w14:textId="77777777" w:rsidR="00BD6B8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BD6B89" w:rsidRPr="007D162C" w14:paraId="4E916E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D610D2" w14:textId="77777777" w:rsidR="00BD6B89" w:rsidRPr="007D162C" w:rsidRDefault="00BD6B89" w:rsidP="00675105">
            <w:r w:rsidRPr="007D162C">
              <w:t>Regulatory</w:t>
            </w:r>
          </w:p>
        </w:tc>
        <w:tc>
          <w:tcPr>
            <w:tcW w:w="1280" w:type="dxa"/>
          </w:tcPr>
          <w:p w14:paraId="1A50419A"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3F16759"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F166FDD"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0ACE4369" w14:textId="77777777" w:rsidR="00BD6B89" w:rsidRPr="007D162C" w:rsidRDefault="00BD6B89"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25FCC99F"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6DCF8E42" w14:textId="77777777" w:rsidR="00BD6B8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3C42DCE4" w14:textId="77777777" w:rsidR="00F8004F" w:rsidRPr="007D162C" w:rsidRDefault="00F8004F" w:rsidP="00F8004F"/>
    <w:p w14:paraId="6C20F622" w14:textId="77777777" w:rsidR="00BD6B89" w:rsidRPr="007D162C" w:rsidRDefault="00BD6B89" w:rsidP="00BD6B89">
      <w:pPr>
        <w:pStyle w:val="Heading4"/>
        <w:tabs>
          <w:tab w:val="left" w:pos="284"/>
        </w:tabs>
      </w:pPr>
      <w:r w:rsidRPr="007D162C">
        <w:t xml:space="preserve">Analysis of submissions </w:t>
      </w:r>
    </w:p>
    <w:p w14:paraId="478F785A" w14:textId="77777777" w:rsidR="00BD6B89" w:rsidRPr="007D162C" w:rsidRDefault="00BD6B89" w:rsidP="00BD6B89">
      <w:pPr>
        <w:pStyle w:val="Heading5"/>
      </w:pPr>
      <w:r w:rsidRPr="007D162C">
        <w:t>Status quo</w:t>
      </w:r>
    </w:p>
    <w:p w14:paraId="6608F43A" w14:textId="77777777" w:rsidR="00BD6B89" w:rsidRPr="007D162C" w:rsidRDefault="00BD6B89" w:rsidP="00BD6B89">
      <w:r w:rsidRPr="007D162C">
        <w:t xml:space="preserve">Under the status quo, the Transport Standards will continue to lack specific design requirements for braille and tactile signage. </w:t>
      </w:r>
    </w:p>
    <w:p w14:paraId="008E459E" w14:textId="77777777" w:rsidR="00BD6B89" w:rsidRPr="007D162C" w:rsidRDefault="08D050C4" w:rsidP="00BD6B89">
      <w:r w:rsidRPr="007D162C">
        <w:t xml:space="preserve">Submissions from individuals, people with disability and disability organisations noted that currently, braille signage produced in compliance with the Transport Standards has a significantly different layout to signage produced in compliance with the Premises Standards. Consequently, examples were provided where braille signage is provided inconsistently and is of varying quality, both within public transport sites and across </w:t>
      </w:r>
      <w:r w:rsidRPr="007D162C">
        <w:lastRenderedPageBreak/>
        <w:t>networks and jurisdictions. This was noted as detrimental to passengers by decreasing the predictability of information. Further, as there are no auditing mechanisms incorporated to measure compliance with requirements for braille and tactile signs, one submission noted these issues may go unresolved.</w:t>
      </w:r>
    </w:p>
    <w:p w14:paraId="6D116B21" w14:textId="77777777" w:rsidR="00BD6B89" w:rsidRPr="007D162C" w:rsidRDefault="00BD6B89" w:rsidP="00BD6B89">
      <w:pPr>
        <w:pStyle w:val="Quote"/>
      </w:pPr>
      <w:r w:rsidRPr="007D162C">
        <w:t>The end result of this jumbled mess of braille signs is that there is no consistency or predictability, and more often than not the fundamental purpose of the braille sign is thwarted because it is difficult or impossible to read.</w:t>
      </w:r>
      <w:r w:rsidRPr="007D162C">
        <w:br/>
      </w:r>
      <w:r w:rsidRPr="007D162C">
        <w:br/>
        <w:t>Vision Australia</w:t>
      </w:r>
    </w:p>
    <w:p w14:paraId="5047BBB0" w14:textId="77777777" w:rsidR="00BD6B89" w:rsidRPr="007D162C" w:rsidRDefault="00BD6B89" w:rsidP="00BD6B89">
      <w:bookmarkStart w:id="328" w:name="_Hlk119415765"/>
      <w:r w:rsidRPr="007D162C">
        <w:t>Submissions from industry and government largely supported reform in this area, noting that the current requirements do not reflect contemporary best practice for braille and tactile signage or align with requirements included in the Premises Standards.</w:t>
      </w:r>
    </w:p>
    <w:bookmarkEnd w:id="328"/>
    <w:p w14:paraId="6AF82720" w14:textId="77777777" w:rsidR="00BD6B89" w:rsidRPr="007D162C" w:rsidRDefault="08D050C4" w:rsidP="00BD6B89">
      <w:r w:rsidRPr="007D162C">
        <w:t>In their submission, Vision Australia supported the status quo as an interim measure, stating that the policy options presented in the non-regulatory and regulatory options are flawed, self-contradictory and not fit-for-purpose. The submission noted the necessity of new regulatory requirements, but that the content must be subject to further consultation with subject matter experts and the community. The submission stated that the option presented in the Consultation RIS was not adequately developed with braille passengers and recognised experts, such as the Australian Braille Authority.</w:t>
      </w:r>
    </w:p>
    <w:p w14:paraId="4D01EECF" w14:textId="77777777" w:rsidR="00BD6B89" w:rsidRPr="007D162C" w:rsidRDefault="00BD6B89" w:rsidP="00BD6B89">
      <w:r w:rsidRPr="007D162C">
        <w:t>Maintaining status quo has would incur no additional costs to public transports operators and providers.</w:t>
      </w:r>
    </w:p>
    <w:p w14:paraId="5E336286" w14:textId="77777777" w:rsidR="00BD6B89" w:rsidRPr="007D162C" w:rsidRDefault="00BD6B89" w:rsidP="00BD6B89">
      <w:pPr>
        <w:pStyle w:val="Heading5"/>
      </w:pPr>
      <w:r w:rsidRPr="007D162C">
        <w:t>Non-regulatory</w:t>
      </w:r>
    </w:p>
    <w:p w14:paraId="74579B06" w14:textId="77777777" w:rsidR="00BD6B89" w:rsidRPr="007D162C" w:rsidRDefault="00BD6B89" w:rsidP="00BD6B89">
      <w:r w:rsidRPr="007D162C">
        <w:t xml:space="preserve">There was mixed support for the non-regulatory option by industry and government. These submissions noted the benefit of additional guidance material to help foster a more consistent user-experience, by supporting operators and providers to produce signage in-line with best practice principles and other applicable standards, including the Premises Standards and National Construction Code. </w:t>
      </w:r>
    </w:p>
    <w:p w14:paraId="5FE3280B" w14:textId="77777777" w:rsidR="00BD6B89" w:rsidRPr="007D162C" w:rsidRDefault="08D050C4" w:rsidP="00BD6B89">
      <w:r w:rsidRPr="007D162C">
        <w:t>These submissions favoured the non-regulatory option as it provides necessary flexibility to accommodate the unique operating environments of conveyances. These submissions stated that the regulatory option does not provide the necessary flexibility to accommodate situations where there may not be an appropriate location for braille signage to be installed. Conversely, the non-regulatory option was noted to allow for consideration of individual circumstances to ensure the best outcome for passengers. One submission from industry also noted the importance of flexibility to allow signage to be presented with information that is relevant to braille readers. For example, references to colour should be replaced with directional cues.</w:t>
      </w:r>
    </w:p>
    <w:p w14:paraId="2884195F" w14:textId="77777777" w:rsidR="00BD6B89" w:rsidRPr="007D162C" w:rsidRDefault="00BD6B89" w:rsidP="00BD6B89">
      <w:r w:rsidRPr="007D162C">
        <w:t>Three submissions from government and industry noted that internal policies have already been developed and implemented to ensure braille signage meets industry best-practice, including compliance with AS1428.4.2 and through co-design. These submissions noted, however, that there is a limited number of signs that the proposed requirements would impact, as most signs would be covered by the Premises Standards and National Construction Code.</w:t>
      </w:r>
    </w:p>
    <w:p w14:paraId="6ECE1026" w14:textId="77777777" w:rsidR="00BD6B89" w:rsidRPr="007D162C" w:rsidRDefault="00BD6B89" w:rsidP="00BD6B89">
      <w:r w:rsidRPr="007D162C">
        <w:t>The Australian Braille Authority supported the non-regulatory option in their submission. Support for the non-regulatory option was prefaced by the caveat that they were not consulted in the development of the options for this reform area, despite being the standards setting body for braille in Australia. The submission highlighted concerns that the Transport Standards currently do not include specifications for how information should be adjusted for relevance to braille readers, and proposed the non-regulatory option as a pathway to ensure signage is both legible and relevant to passengers.</w:t>
      </w:r>
    </w:p>
    <w:p w14:paraId="724E7C4F" w14:textId="77777777" w:rsidR="00BD6B89" w:rsidRPr="007D162C" w:rsidRDefault="00BD6B89" w:rsidP="00BD6B89">
      <w:pPr>
        <w:pStyle w:val="Heading5"/>
      </w:pPr>
      <w:r w:rsidRPr="007D162C">
        <w:t>Regulatory</w:t>
      </w:r>
    </w:p>
    <w:p w14:paraId="580D8AB3" w14:textId="2BD32927" w:rsidR="00BD6B89" w:rsidRPr="007D162C" w:rsidRDefault="08D050C4" w:rsidP="00BD6B89">
      <w:r w:rsidRPr="007D162C">
        <w:t>The majority of submissions from individuals, people with disability and disability organisations supported the regulatory option. There was mixed support for the regulatory option from industry and government.</w:t>
      </w:r>
      <w:r w:rsidR="004C192E">
        <w:t xml:space="preserve"> </w:t>
      </w:r>
      <w:r w:rsidRPr="007D162C">
        <w:t xml:space="preserve">There was agreement among all stakeholder groups that the standardisation of braille formatting will enable a more consistent user experience for braille readers, and ensure information is provided to the same standard as other passengers. These submissions noted that the Transport Standards do not reflect current best practice for braille and tactile signage, and that there are inconsistencies in the format of signage between the </w:t>
      </w:r>
      <w:r w:rsidRPr="007D162C">
        <w:lastRenderedPageBreak/>
        <w:t>requirements of the Transport Standards and Premises Standards. Two submissions from the disability sector noted the importance of user-testing to ensure signage is designed appropriately and leads to an optimal outcome for all stakeholders.</w:t>
      </w:r>
    </w:p>
    <w:p w14:paraId="1A8ECFFE" w14:textId="77777777" w:rsidR="00BD6B89" w:rsidRPr="007D162C" w:rsidRDefault="00BD6B89" w:rsidP="00BD6B89">
      <w:pPr>
        <w:pStyle w:val="Quote"/>
      </w:pPr>
      <w:r w:rsidRPr="007D162C">
        <w:t>Although there is some level of clarity provided within the regulatory option, BCA strongly recommends that user testing is conducted wherever braille and tactile lettering for signage are implemented to ensure people who are blind or vision impaired can access either the braille, the tactile lettering, or both, as applicable.</w:t>
      </w:r>
      <w:r w:rsidRPr="007D162C">
        <w:br/>
      </w:r>
      <w:r w:rsidRPr="007D162C">
        <w:br/>
        <w:t>Blind Citizens Australia</w:t>
      </w:r>
    </w:p>
    <w:p w14:paraId="73CE0A61" w14:textId="77777777" w:rsidR="00BD6B89" w:rsidRPr="007D162C" w:rsidRDefault="00BD6B89" w:rsidP="00BD6B89">
      <w:r w:rsidRPr="007D162C">
        <w:t>Submissions from industry and government noted that the requirements are feasible to implement and would represent a functional improvement for braille readers. These submissions highlighted that the regulatory option would improve clarity to operators and providers and remove inconsistencies with other legislation, such as the Premises Standards. Costs would be incurred if any new regulatory requirements were implemented retrospectively.</w:t>
      </w:r>
    </w:p>
    <w:p w14:paraId="4271138A" w14:textId="77777777" w:rsidR="00BD6B89" w:rsidRPr="007D162C" w:rsidRDefault="00BD6B89" w:rsidP="00BD6B89">
      <w:pPr>
        <w:pStyle w:val="Heading4"/>
      </w:pPr>
      <w:r w:rsidRPr="007D162C">
        <w:t>Preferred option</w:t>
      </w:r>
    </w:p>
    <w:p w14:paraId="68F962B2" w14:textId="77777777" w:rsidR="00616608" w:rsidRPr="007D162C" w:rsidRDefault="00616608" w:rsidP="00616608">
      <w:r w:rsidRPr="007D162C">
        <w:t xml:space="preserve">Informed by the outcomes of consultation, stakeholder impacts, cost and outcomes analysis, the preferred option is to support a </w:t>
      </w:r>
      <w:r w:rsidRPr="007D162C">
        <w:rPr>
          <w:b/>
        </w:rPr>
        <w:t>regulatory option in-principle, with a working group to determine the final technical specifications.</w:t>
      </w:r>
    </w:p>
    <w:p w14:paraId="424C235A" w14:textId="77777777" w:rsidR="00616608" w:rsidRPr="007D162C" w:rsidRDefault="08D050C4" w:rsidP="00616608">
      <w:r w:rsidRPr="007D162C">
        <w:t xml:space="preserve">Although the majority of stakeholders were supportive of reform in this area, several submissions from organisations representing people with vision impairment raised significant concerns regarding factual errors presented in the Consultation RIS issue statement and the proposed non-regulatory and regulatory options. </w:t>
      </w:r>
    </w:p>
    <w:p w14:paraId="7DF5019E" w14:textId="7EA7F87D" w:rsidR="00616608" w:rsidRPr="007D162C" w:rsidRDefault="00616608" w:rsidP="00616608">
      <w:r w:rsidRPr="007D162C">
        <w:t>Similarly, submissions from industry and government highlighted the need for further clarity regarding a number of matters, including expected timeframes for development and to what materials the requirements would apply. Responses from the disability sector were largely supportive of aligning the Transport Standards with best practice to improve accessibility outcomes for braille readers. Operators and providers were also supportive of reform to improve regulatory clarity, and would likely incur minimal additional costs.</w:t>
      </w:r>
    </w:p>
    <w:p w14:paraId="3B4C0701" w14:textId="7365073E" w:rsidR="00616608" w:rsidRPr="007D162C" w:rsidRDefault="00616608" w:rsidP="00616608">
      <w:r w:rsidRPr="007D162C">
        <w:t>Consultation has demonstrated that the inclusion of new requirements to improve the functional accessibility of braille and tactile signage resources is welcomed by all stakeholder groups. However, there were concerns that the grade of braille specified was incorrect.</w:t>
      </w:r>
    </w:p>
    <w:p w14:paraId="74F122F0" w14:textId="6C585378" w:rsidR="00675105" w:rsidRPr="007D162C" w:rsidRDefault="08D050C4" w:rsidP="00616608">
      <w:r w:rsidRPr="007D162C">
        <w:t>This Decision RIS proposes the establishment of a working group consisting of braille users, subject matter experts, public transport operators and providers and governments to determine the appropriate grade of braille to be specified. The remit of the working group will not intersect with other braille reforms considered in this DRIS</w:t>
      </w:r>
      <w:r w:rsidR="00B0322F">
        <w:t xml:space="preserve">, including Stage1 Chapter 5.3 </w:t>
      </w:r>
      <w:r w:rsidR="00B0322F">
        <w:rPr>
          <w:i/>
        </w:rPr>
        <w:t>Priority Seating</w:t>
      </w:r>
      <w:r w:rsidRPr="007D162C">
        <w:t>.</w:t>
      </w:r>
      <w:r w:rsidR="00982AA8">
        <w:t xml:space="preserve"> Once developed, t</w:t>
      </w:r>
      <w:r w:rsidR="00982AA8" w:rsidRPr="007D162C">
        <w:t>he preferred option will be implemented through amendments to the Transport Standards and Guidelines. Operators and providers will be required to meet the new Transport Standards requirements prospectively with a trigger mechanism.</w:t>
      </w:r>
      <w:r w:rsidR="003C2729">
        <w:t xml:space="preserve"> </w:t>
      </w:r>
    </w:p>
    <w:p w14:paraId="547A289E" w14:textId="77777777" w:rsidR="00675105" w:rsidRPr="007D162C" w:rsidRDefault="08D050C4" w:rsidP="08D050C4">
      <w:pPr>
        <w:pStyle w:val="Heading4"/>
      </w:pPr>
      <w:r w:rsidRPr="007D162C">
        <w:t>Interaction with Stage 1 reform area</w:t>
      </w:r>
    </w:p>
    <w:p w14:paraId="6F0B5E2A" w14:textId="4AB68D59" w:rsidR="00675105" w:rsidRPr="007D162C" w:rsidRDefault="08D050C4" w:rsidP="08D050C4">
      <w:pPr>
        <w:pStyle w:val="Tablefigureheading"/>
      </w:pPr>
      <w:r w:rsidRPr="007D162C">
        <w:t xml:space="preserve">Table </w:t>
      </w:r>
      <w:r w:rsidRPr="007D162C">
        <w:rPr>
          <w:noProof/>
        </w:rPr>
        <w:t xml:space="preserve">47: Interaction with Stage 1 </w:t>
      </w:r>
      <w:r w:rsidRPr="007D162C">
        <w:t>for Braille and tactile lettering for signage</w:t>
      </w:r>
    </w:p>
    <w:tbl>
      <w:tblPr>
        <w:tblStyle w:val="DefaultTable1"/>
        <w:tblW w:w="0" w:type="auto"/>
        <w:tblLook w:val="04A0" w:firstRow="1" w:lastRow="0" w:firstColumn="1" w:lastColumn="0" w:noHBand="0" w:noVBand="1"/>
        <w:tblCaption w:val="Interaction with Stage 1 for braille and tactile lettering for signage"/>
      </w:tblPr>
      <w:tblGrid>
        <w:gridCol w:w="1638"/>
        <w:gridCol w:w="2190"/>
        <w:gridCol w:w="6036"/>
      </w:tblGrid>
      <w:tr w:rsidR="08D050C4" w:rsidRPr="007D162C" w14:paraId="15210FA0"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05B06C4" w14:textId="77777777" w:rsidR="08D050C4" w:rsidRPr="007D162C" w:rsidRDefault="08D050C4">
            <w:r w:rsidRPr="007D162C">
              <w:t>Stage 1 reform area</w:t>
            </w:r>
          </w:p>
        </w:tc>
        <w:tc>
          <w:tcPr>
            <w:tcW w:w="2190" w:type="dxa"/>
          </w:tcPr>
          <w:p w14:paraId="2557C080"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47207F59"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Description</w:t>
            </w:r>
          </w:p>
        </w:tc>
      </w:tr>
      <w:tr w:rsidR="08D050C4" w:rsidRPr="007D162C" w14:paraId="696E02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75B5D5E" w14:textId="77777777" w:rsidR="08D050C4" w:rsidRPr="007D162C" w:rsidRDefault="08D050C4">
            <w:pPr>
              <w:rPr>
                <w:b w:val="0"/>
              </w:rPr>
            </w:pPr>
            <w:r w:rsidRPr="007D162C">
              <w:rPr>
                <w:b w:val="0"/>
              </w:rPr>
              <w:t>Chapter 5.3: Priority seating</w:t>
            </w:r>
          </w:p>
        </w:tc>
        <w:tc>
          <w:tcPr>
            <w:tcW w:w="2190" w:type="dxa"/>
          </w:tcPr>
          <w:p w14:paraId="4F2759A7"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Contain potentially contradictory requirements for braille sign height on conveyances.</w:t>
            </w:r>
          </w:p>
        </w:tc>
        <w:tc>
          <w:tcPr>
            <w:tcW w:w="6036" w:type="dxa"/>
          </w:tcPr>
          <w:p w14:paraId="63FCD721"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 xml:space="preserve">Stage 1 is applicable to conveyances. It includes proposals for braille and tactile signs to 'be located immediately adjacent or as close as possible to the priority seating'. </w:t>
            </w:r>
          </w:p>
          <w:p w14:paraId="1EDE9B74" w14:textId="29F933E5"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t xml:space="preserve">Stage 2 is applicable to infrastructure, premises and conveyances. It stipulates the height above floor of braille text as 1200 </w:t>
            </w:r>
            <w:r w:rsidR="009134C0" w:rsidRPr="007D162C">
              <w:t>millimetres</w:t>
            </w:r>
            <w:r w:rsidRPr="007D162C">
              <w:t xml:space="preserve"> to 1600 </w:t>
            </w:r>
            <w:r w:rsidR="009134C0" w:rsidRPr="007D162C">
              <w:t>millimetres</w:t>
            </w:r>
            <w:r w:rsidRPr="007D162C">
              <w:t>. On conveyances this range</w:t>
            </w:r>
            <w:r w:rsidR="008C3936">
              <w:t>, it</w:t>
            </w:r>
            <w:r w:rsidRPr="007D162C">
              <w:t xml:space="preserve"> may in some case </w:t>
            </w:r>
            <w:r w:rsidR="00A932AE">
              <w:t>not be possible and</w:t>
            </w:r>
            <w:r w:rsidRPr="007D162C">
              <w:t xml:space="preserve"> in </w:t>
            </w:r>
            <w:r w:rsidR="00A932AE">
              <w:t>this situation</w:t>
            </w:r>
            <w:r w:rsidRPr="007D162C">
              <w:t xml:space="preserve"> the Stage 1 </w:t>
            </w:r>
            <w:r w:rsidR="00A932AE">
              <w:t>requirement will take precedence</w:t>
            </w:r>
            <w:r w:rsidRPr="007D162C">
              <w:t>.</w:t>
            </w:r>
          </w:p>
        </w:tc>
      </w:tr>
    </w:tbl>
    <w:p w14:paraId="7C68C976" w14:textId="12A3EFAB" w:rsidR="00675105" w:rsidRPr="007D162C" w:rsidRDefault="00675105" w:rsidP="08D050C4"/>
    <w:p w14:paraId="5B05A502" w14:textId="0A724BA6" w:rsidR="00675105" w:rsidRPr="007D162C" w:rsidRDefault="00675105" w:rsidP="001B7B6E">
      <w:pPr>
        <w:pStyle w:val="Heading2"/>
        <w:numPr>
          <w:ilvl w:val="0"/>
          <w:numId w:val="26"/>
        </w:numPr>
        <w:ind w:hanging="1146"/>
        <w:jc w:val="center"/>
      </w:pPr>
      <w:bookmarkStart w:id="329" w:name="_Toc127351766"/>
      <w:bookmarkStart w:id="330" w:name="_Toc140239724"/>
      <w:r w:rsidRPr="007D162C">
        <w:t>Lifts - Braille and tactile information at lift landings</w:t>
      </w:r>
      <w:bookmarkEnd w:id="329"/>
      <w:bookmarkEnd w:id="330"/>
    </w:p>
    <w:p w14:paraId="0298225C" w14:textId="77777777" w:rsidR="00675105" w:rsidRPr="007D162C" w:rsidRDefault="00675105" w:rsidP="00675105">
      <w:pPr>
        <w:pStyle w:val="Heading4"/>
      </w:pPr>
      <w:r w:rsidRPr="007D162C">
        <w:t>Issue</w:t>
      </w:r>
    </w:p>
    <w:p w14:paraId="216AD4BA" w14:textId="77777777" w:rsidR="00675105" w:rsidRPr="007D162C" w:rsidRDefault="00675105" w:rsidP="00675105">
      <w:r w:rsidRPr="007D162C">
        <w:t>Inadequate and inconsistent braille and tactile information at lift landings can lead to disorientation and a reluctance to use public transport by affected passengers. Affected passengers need information about which landing a lift car has arrived at so they can continue their journey.</w:t>
      </w:r>
    </w:p>
    <w:p w14:paraId="1A6FAAFB" w14:textId="77777777" w:rsidR="00675105" w:rsidRPr="007D162C" w:rsidRDefault="08D050C4" w:rsidP="00675105">
      <w:pPr>
        <w:tabs>
          <w:tab w:val="left" w:pos="284"/>
        </w:tabs>
      </w:pPr>
      <w:r w:rsidRPr="007D162C">
        <w:t>Collective government action would ensure braille and tactile information is consistently provided at lift landings. This change is needed to modernise the Transport Standards to address key stakeholder issues raised through the Transport Standards review process, and promote consistency with the Premises Standards.</w:t>
      </w:r>
    </w:p>
    <w:p w14:paraId="48FF2DA2" w14:textId="77777777" w:rsidR="00675105" w:rsidRPr="007D162C" w:rsidRDefault="00675105" w:rsidP="000E3BA6">
      <w:pPr>
        <w:pStyle w:val="Heading4"/>
      </w:pPr>
      <w:r w:rsidRPr="007D162C">
        <w:t>Reform options</w:t>
      </w:r>
    </w:p>
    <w:p w14:paraId="00868083"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42FCE134" w14:textId="66F15C64" w:rsidR="00675105" w:rsidRPr="007D162C" w:rsidRDefault="00675105" w:rsidP="00105D34">
      <w:pPr>
        <w:pStyle w:val="Tablefigureheading"/>
      </w:pPr>
      <w:bookmarkStart w:id="331" w:name="_Toc122446361"/>
      <w:bookmarkStart w:id="332" w:name="_Toc139969208"/>
      <w:r w:rsidRPr="007D162C">
        <w:t xml:space="preserve">Table </w:t>
      </w:r>
      <w:fldSimple w:instr=" SEQ Table \* ARABIC ">
        <w:r w:rsidR="00DC26AC">
          <w:rPr>
            <w:noProof/>
          </w:rPr>
          <w:t>50</w:t>
        </w:r>
      </w:fldSimple>
      <w:r w:rsidRPr="007D162C">
        <w:t xml:space="preserve"> Reform options for Lifts - </w:t>
      </w:r>
      <w:r w:rsidR="001075A6" w:rsidRPr="007D162C">
        <w:t>B</w:t>
      </w:r>
      <w:r w:rsidRPr="007D162C">
        <w:t>raille and tactile information at lift landings</w:t>
      </w:r>
      <w:bookmarkEnd w:id="331"/>
      <w:bookmarkEnd w:id="332"/>
    </w:p>
    <w:tbl>
      <w:tblPr>
        <w:tblStyle w:val="DefaultTable1"/>
        <w:tblW w:w="9072" w:type="dxa"/>
        <w:tblLook w:val="04A0" w:firstRow="1" w:lastRow="0" w:firstColumn="1" w:lastColumn="0" w:noHBand="0" w:noVBand="1"/>
        <w:tblCaption w:val="Reform options for Lifts - braille and tactile information at lift landings"/>
        <w:tblDescription w:val="This table provides a description of each of the options for this reform area. Status quo, non-regulatory and regulatory."/>
      </w:tblPr>
      <w:tblGrid>
        <w:gridCol w:w="2232"/>
        <w:gridCol w:w="6840"/>
      </w:tblGrid>
      <w:tr w:rsidR="00675105" w:rsidRPr="007D162C" w14:paraId="2C9839F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A5869E5" w14:textId="77777777" w:rsidR="00675105" w:rsidRPr="007D162C" w:rsidRDefault="00675105" w:rsidP="00675105">
            <w:r w:rsidRPr="007D162C">
              <w:t>Option</w:t>
            </w:r>
          </w:p>
        </w:tc>
        <w:tc>
          <w:tcPr>
            <w:tcW w:w="6840" w:type="dxa"/>
          </w:tcPr>
          <w:p w14:paraId="2CE371F9"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64F751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F5ABA0" w14:textId="77777777" w:rsidR="00675105" w:rsidRPr="007D162C" w:rsidRDefault="00675105" w:rsidP="00675105">
            <w:r w:rsidRPr="007D162C">
              <w:t>Status Quo</w:t>
            </w:r>
          </w:p>
        </w:tc>
        <w:tc>
          <w:tcPr>
            <w:tcW w:w="6840" w:type="dxa"/>
          </w:tcPr>
          <w:p w14:paraId="79C5F79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will continue to not include requirements for braille and tactile wayfinding information at lift landings.</w:t>
            </w:r>
          </w:p>
          <w:p w14:paraId="3AB8F76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5BB17BF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EEC5EFE" w14:textId="77777777" w:rsidR="00675105" w:rsidRPr="007D162C" w:rsidRDefault="00675105" w:rsidP="00675105">
            <w:r w:rsidRPr="007D162C">
              <w:t>Non-regulatory</w:t>
            </w:r>
          </w:p>
        </w:tc>
        <w:tc>
          <w:tcPr>
            <w:tcW w:w="6840" w:type="dxa"/>
          </w:tcPr>
          <w:p w14:paraId="4D05343A"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Guidance would be developed to encourage operators and providers to provide braille and tactile signs on lift landing door frames, including location of signage and information to be provided on signs.</w:t>
            </w:r>
          </w:p>
        </w:tc>
      </w:tr>
      <w:tr w:rsidR="00675105" w:rsidRPr="007D162C" w14:paraId="0AC1FC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ECDBD0" w14:textId="77777777" w:rsidR="00675105" w:rsidRPr="007D162C" w:rsidRDefault="00675105" w:rsidP="00675105">
            <w:r w:rsidRPr="007D162C">
              <w:t>Regulatory</w:t>
            </w:r>
          </w:p>
        </w:tc>
        <w:tc>
          <w:tcPr>
            <w:tcW w:w="6840" w:type="dxa"/>
          </w:tcPr>
          <w:p w14:paraId="13B99FC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updated to include braille and tactile signage requirements at lift landings, including updated Australian Standards requirements. </w:t>
            </w:r>
          </w:p>
          <w:p w14:paraId="5333F16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4EF2386F" w14:textId="77777777" w:rsidR="000E3BA6" w:rsidRPr="007D162C" w:rsidRDefault="000E3BA6" w:rsidP="00105D34"/>
    <w:p w14:paraId="3D6BC7E0" w14:textId="77777777" w:rsidR="00675105" w:rsidRPr="007D162C" w:rsidRDefault="00675105" w:rsidP="00675105">
      <w:pPr>
        <w:pStyle w:val="Heading4"/>
        <w:tabs>
          <w:tab w:val="left" w:pos="284"/>
        </w:tabs>
      </w:pPr>
      <w:r w:rsidRPr="007D162C">
        <w:t>Cost benefit analysis</w:t>
      </w:r>
    </w:p>
    <w:p w14:paraId="6ADFB623" w14:textId="77777777" w:rsidR="00675105" w:rsidRPr="007D162C" w:rsidRDefault="00675105" w:rsidP="000E3BA6">
      <w:pPr>
        <w:pStyle w:val="Heading6"/>
      </w:pPr>
      <w:r w:rsidRPr="007D162C">
        <w:t xml:space="preserve">Quantitative assessment </w:t>
      </w:r>
    </w:p>
    <w:p w14:paraId="72F25257" w14:textId="50F6F7A1" w:rsidR="00675105" w:rsidRPr="007D162C" w:rsidRDefault="00675105" w:rsidP="00675105">
      <w:r w:rsidRPr="007D162C">
        <w:t xml:space="preserve">The following categories of quantitative costs and benefits were identified in the CBA as pertaining to the reform options. </w:t>
      </w:r>
    </w:p>
    <w:p w14:paraId="554DC51F" w14:textId="12A8EE45" w:rsidR="00675105" w:rsidRPr="007D162C" w:rsidRDefault="00675105" w:rsidP="00105D34">
      <w:pPr>
        <w:pStyle w:val="Tablefigureheading"/>
      </w:pPr>
      <w:bookmarkStart w:id="333" w:name="_Toc122446362"/>
      <w:bookmarkStart w:id="334" w:name="_Toc139969209"/>
      <w:r w:rsidRPr="007D162C">
        <w:t xml:space="preserve">Table </w:t>
      </w:r>
      <w:fldSimple w:instr=" SEQ Table \* ARABIC ">
        <w:r w:rsidR="00DC26AC">
          <w:rPr>
            <w:noProof/>
          </w:rPr>
          <w:t>51</w:t>
        </w:r>
      </w:fldSimple>
      <w:r w:rsidRPr="007D162C">
        <w:t xml:space="preserve">: Benefit-cost ratios for Lifts - </w:t>
      </w:r>
      <w:r w:rsidR="001075A6" w:rsidRPr="007D162C">
        <w:t>B</w:t>
      </w:r>
      <w:r w:rsidRPr="007D162C">
        <w:t>raille and tactile information at lift landings</w:t>
      </w:r>
      <w:bookmarkEnd w:id="333"/>
      <w:bookmarkEnd w:id="334"/>
    </w:p>
    <w:tbl>
      <w:tblPr>
        <w:tblStyle w:val="DefaultTable1"/>
        <w:tblW w:w="9864" w:type="dxa"/>
        <w:tblLook w:val="04A0" w:firstRow="1" w:lastRow="0" w:firstColumn="1" w:lastColumn="0" w:noHBand="0" w:noVBand="1"/>
        <w:tblCaption w:val="Benefit-cost ratios for Lifts - braille and tactile information at lift landings"/>
        <w:tblDescription w:val="This table provides the monetised benefits and costs for each of the options for this reform area."/>
      </w:tblPr>
      <w:tblGrid>
        <w:gridCol w:w="2552"/>
        <w:gridCol w:w="1417"/>
        <w:gridCol w:w="1701"/>
        <w:gridCol w:w="1701"/>
        <w:gridCol w:w="1560"/>
        <w:gridCol w:w="933"/>
      </w:tblGrid>
      <w:tr w:rsidR="00675105" w:rsidRPr="007D162C" w14:paraId="7D0BB19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239022D6" w14:textId="77777777" w:rsidR="00675105" w:rsidRPr="007D162C" w:rsidRDefault="08D050C4" w:rsidP="00675105">
            <w:r w:rsidRPr="007D162C">
              <w:t>Reform Option</w:t>
            </w:r>
          </w:p>
        </w:tc>
        <w:tc>
          <w:tcPr>
            <w:tcW w:w="1417" w:type="dxa"/>
          </w:tcPr>
          <w:p w14:paraId="6B9526C9"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53FDCBF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4A862EE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18C11C0C"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435DB59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23E95A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A93BAF" w14:textId="77777777" w:rsidR="00675105" w:rsidRPr="007D162C" w:rsidRDefault="00675105" w:rsidP="00675105">
            <w:r w:rsidRPr="007D162C">
              <w:t>Status Quo</w:t>
            </w:r>
          </w:p>
        </w:tc>
        <w:tc>
          <w:tcPr>
            <w:tcW w:w="1417" w:type="dxa"/>
          </w:tcPr>
          <w:p w14:paraId="2B638137"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2360F04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8ED95D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560" w:type="dxa"/>
          </w:tcPr>
          <w:p w14:paraId="2D9A946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933" w:type="dxa"/>
          </w:tcPr>
          <w:p w14:paraId="1E3CF75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04950B5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4A46E220" w14:textId="77777777" w:rsidR="00675105" w:rsidRPr="007D162C" w:rsidRDefault="00675105" w:rsidP="00675105">
            <w:r w:rsidRPr="007D162C">
              <w:t xml:space="preserve">Non-regulatory </w:t>
            </w:r>
          </w:p>
        </w:tc>
        <w:tc>
          <w:tcPr>
            <w:tcW w:w="1417" w:type="dxa"/>
          </w:tcPr>
          <w:p w14:paraId="1C5DC756"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54B4DC52"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39752AD4"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560" w:type="dxa"/>
          </w:tcPr>
          <w:p w14:paraId="5EF8D637"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933" w:type="dxa"/>
          </w:tcPr>
          <w:p w14:paraId="0B3ED599"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r>
      <w:tr w:rsidR="00675105" w:rsidRPr="007D162C" w14:paraId="7FE3BC1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E13B15" w14:textId="77777777" w:rsidR="00675105" w:rsidRPr="007D162C" w:rsidRDefault="00675105" w:rsidP="00675105">
            <w:r w:rsidRPr="007D162C">
              <w:t>Regulatory</w:t>
            </w:r>
          </w:p>
        </w:tc>
        <w:tc>
          <w:tcPr>
            <w:tcW w:w="1417" w:type="dxa"/>
            <w:vAlign w:val="center"/>
          </w:tcPr>
          <w:p w14:paraId="2FA48818"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13.8</w:t>
            </w:r>
          </w:p>
        </w:tc>
        <w:tc>
          <w:tcPr>
            <w:tcW w:w="1701" w:type="dxa"/>
          </w:tcPr>
          <w:p w14:paraId="5605D70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391757B3"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1.0</w:t>
            </w:r>
          </w:p>
        </w:tc>
        <w:tc>
          <w:tcPr>
            <w:tcW w:w="1560" w:type="dxa"/>
            <w:vAlign w:val="center"/>
          </w:tcPr>
          <w:p w14:paraId="4F8C494A"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1.0</w:t>
            </w:r>
          </w:p>
        </w:tc>
        <w:tc>
          <w:tcPr>
            <w:tcW w:w="933" w:type="dxa"/>
            <w:vAlign w:val="center"/>
          </w:tcPr>
          <w:p w14:paraId="53E47ED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ascii="Arial" w:hAnsi="Arial" w:cs="Arial"/>
                <w:sz w:val="18"/>
                <w:szCs w:val="18"/>
              </w:rPr>
              <w:t>13.30</w:t>
            </w:r>
          </w:p>
        </w:tc>
      </w:tr>
    </w:tbl>
    <w:p w14:paraId="5EB406C9" w14:textId="77777777" w:rsidR="00105D34" w:rsidRPr="007D162C" w:rsidRDefault="00675105" w:rsidP="00105D34">
      <w:pPr>
        <w:spacing w:before="120" w:after="0"/>
        <w:rPr>
          <w:sz w:val="20"/>
          <w:szCs w:val="20"/>
        </w:rPr>
      </w:pPr>
      <w:bookmarkStart w:id="335" w:name="_Hlk125452320"/>
      <w:r w:rsidRPr="007D162C">
        <w:rPr>
          <w:sz w:val="20"/>
          <w:szCs w:val="20"/>
          <w:vertAlign w:val="superscript"/>
        </w:rPr>
        <w:t>*</w:t>
      </w:r>
      <w:r w:rsidRPr="007D162C">
        <w:rPr>
          <w:sz w:val="20"/>
          <w:szCs w:val="20"/>
        </w:rPr>
        <w:t>$M, 2022/23, real, discounted at 7% over a 15-year appraisal period after implementation of all reforms, assessed incrementally</w:t>
      </w:r>
      <w:bookmarkStart w:id="336" w:name="_Hlk125452192"/>
      <w:bookmarkEnd w:id="335"/>
    </w:p>
    <w:p w14:paraId="3B754907" w14:textId="77777777" w:rsidR="00105D34" w:rsidRPr="007D162C" w:rsidRDefault="00105D34" w:rsidP="00105D34">
      <w:pPr>
        <w:spacing w:before="120" w:after="0"/>
        <w:rPr>
          <w:sz w:val="20"/>
        </w:rPr>
      </w:pPr>
    </w:p>
    <w:p w14:paraId="1D7F5CA0" w14:textId="77777777" w:rsidR="00675105" w:rsidRPr="007D162C" w:rsidRDefault="00675105" w:rsidP="00675105">
      <w:pPr>
        <w:pStyle w:val="Heading6"/>
      </w:pPr>
      <w:r w:rsidRPr="007D162C">
        <w:lastRenderedPageBreak/>
        <w:t>Considerations to note in interpreting analysis</w:t>
      </w:r>
    </w:p>
    <w:bookmarkEnd w:id="336"/>
    <w:p w14:paraId="3A1119C0" w14:textId="77777777" w:rsidR="00675105" w:rsidRPr="007D162C" w:rsidRDefault="00675105" w:rsidP="00105D34">
      <w:pPr>
        <w:pStyle w:val="Heading7"/>
      </w:pPr>
      <w:r w:rsidRPr="007D162C">
        <w:t>Limitations:</w:t>
      </w:r>
    </w:p>
    <w:p w14:paraId="3D15BA5C" w14:textId="77777777" w:rsidR="00675105" w:rsidRPr="007D162C" w:rsidRDefault="00675105" w:rsidP="00105D34">
      <w:pPr>
        <w:pStyle w:val="Heading8"/>
      </w:pPr>
      <w:r w:rsidRPr="007D162C">
        <w:t>Non-regulatory</w:t>
      </w:r>
    </w:p>
    <w:p w14:paraId="059B2C93" w14:textId="77777777" w:rsidR="00675105" w:rsidRPr="007D162C" w:rsidRDefault="00675105" w:rsidP="000E3BA6">
      <w:r w:rsidRPr="007D162C">
        <w:t xml:space="preserve">There are no costs and benefits associated with this non-regulatory reform. The Department indicated that the compliance rate applied to new assets only and responses to the </w:t>
      </w:r>
      <w:r w:rsidR="00105D34" w:rsidRPr="007D162C">
        <w:t xml:space="preserve">data </w:t>
      </w:r>
      <w:r w:rsidRPr="007D162C">
        <w:t>survey did not identify a pipeline of future investments.</w:t>
      </w:r>
    </w:p>
    <w:p w14:paraId="2D09AC04" w14:textId="77777777" w:rsidR="00675105" w:rsidRPr="007D162C" w:rsidRDefault="00675105" w:rsidP="00105D34">
      <w:pPr>
        <w:pStyle w:val="Heading8"/>
      </w:pPr>
      <w:r w:rsidRPr="007D162C">
        <w:t>Regulatory</w:t>
      </w:r>
    </w:p>
    <w:p w14:paraId="6718DA29" w14:textId="77777777" w:rsidR="00675105" w:rsidRPr="007D162C" w:rsidRDefault="08D050C4" w:rsidP="000E3BA6">
      <w:r w:rsidRPr="007D162C">
        <w:t>The benefits and costs of this reform were estimated through limited data provided through the survey and costs developed by Rider Levett Bucknall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3F764663" w14:textId="77777777" w:rsidR="00675105" w:rsidRPr="007D162C" w:rsidRDefault="00675105" w:rsidP="000E3BA6">
      <w:r w:rsidRPr="007D162C">
        <w:t>Lifts covered by the Premises Standards were compliant, implying cost implications for remaining lifts and with benefits impacting a small cohort of beneficiaries with vision impairments.</w:t>
      </w:r>
    </w:p>
    <w:p w14:paraId="37772898" w14:textId="77777777" w:rsidR="00675105" w:rsidRPr="007D162C" w:rsidRDefault="00675105" w:rsidP="00105D34">
      <w:pPr>
        <w:pStyle w:val="Heading8"/>
      </w:pPr>
      <w:r w:rsidRPr="007D162C">
        <w:t>Interdependencies</w:t>
      </w:r>
    </w:p>
    <w:p w14:paraId="715D26E2" w14:textId="77777777" w:rsidR="00675105" w:rsidRPr="007D162C" w:rsidRDefault="08D050C4" w:rsidP="000E3BA6">
      <w:r w:rsidRPr="007D162C">
        <w:t>The accessibility benefits of this reform will only be realised if there was equitable access across the whole public transport journey, with benefits reliant on implementation of other reforms related to other lift infrastructure.</w:t>
      </w:r>
    </w:p>
    <w:p w14:paraId="1DA999E0" w14:textId="77777777" w:rsidR="00675105" w:rsidRPr="007D162C" w:rsidRDefault="00675105" w:rsidP="000E3BA6">
      <w:pPr>
        <w:pStyle w:val="Heading6"/>
      </w:pPr>
      <w:r w:rsidRPr="007D162C">
        <w:t xml:space="preserve">Qualitative assessment </w:t>
      </w:r>
    </w:p>
    <w:p w14:paraId="0E80DDE6" w14:textId="77777777" w:rsidR="000E3BA6" w:rsidRPr="007D162C" w:rsidRDefault="00675105" w:rsidP="00675105">
      <w:r w:rsidRPr="007D162C">
        <w:t>The following categories of qualitative benefits were identified in the CBA as pertaining to the reform options.</w:t>
      </w:r>
    </w:p>
    <w:p w14:paraId="41AAB7CF" w14:textId="343271FB" w:rsidR="00675105" w:rsidRPr="007D162C" w:rsidRDefault="00675105" w:rsidP="000E3BA6">
      <w:pPr>
        <w:pStyle w:val="Tablefigureheading"/>
      </w:pPr>
      <w:bookmarkStart w:id="337" w:name="_Toc122446363"/>
      <w:bookmarkStart w:id="338" w:name="_Toc139969210"/>
      <w:r w:rsidRPr="007D162C">
        <w:t xml:space="preserve">Table </w:t>
      </w:r>
      <w:fldSimple w:instr=" SEQ Table \* ARABIC ">
        <w:r w:rsidR="00DC26AC">
          <w:rPr>
            <w:noProof/>
          </w:rPr>
          <w:t>52</w:t>
        </w:r>
      </w:fldSimple>
      <w:r w:rsidRPr="007D162C">
        <w:rPr>
          <w:noProof/>
        </w:rPr>
        <w:t xml:space="preserve">: </w:t>
      </w:r>
      <w:r w:rsidRPr="007D162C">
        <w:t xml:space="preserve">Qualitative benefits </w:t>
      </w:r>
      <w:r w:rsidRPr="007D162C">
        <w:rPr>
          <w:noProof/>
        </w:rPr>
        <w:t>for</w:t>
      </w:r>
      <w:r w:rsidRPr="007D162C">
        <w:t xml:space="preserve"> Lifts - </w:t>
      </w:r>
      <w:r w:rsidR="001075A6" w:rsidRPr="007D162C">
        <w:t>B</w:t>
      </w:r>
      <w:r w:rsidRPr="007D162C">
        <w:t>raille and tactile information at lift landings</w:t>
      </w:r>
      <w:bookmarkEnd w:id="337"/>
      <w:bookmarkEnd w:id="338"/>
    </w:p>
    <w:tbl>
      <w:tblPr>
        <w:tblStyle w:val="DefaultTable1"/>
        <w:tblW w:w="9864" w:type="dxa"/>
        <w:tblLook w:val="04A0" w:firstRow="1" w:lastRow="0" w:firstColumn="1" w:lastColumn="0" w:noHBand="0" w:noVBand="1"/>
        <w:tblCaption w:val="Qualitative benefits for Lifts - braille and tactile information at lift landings"/>
      </w:tblPr>
      <w:tblGrid>
        <w:gridCol w:w="1213"/>
        <w:gridCol w:w="1343"/>
        <w:gridCol w:w="1626"/>
        <w:gridCol w:w="1300"/>
        <w:gridCol w:w="1278"/>
        <w:gridCol w:w="1641"/>
        <w:gridCol w:w="1463"/>
      </w:tblGrid>
      <w:tr w:rsidR="00675105" w:rsidRPr="007D162C" w14:paraId="3FE3BD7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5A5910" w14:textId="77777777" w:rsidR="00675105" w:rsidRPr="007D162C" w:rsidRDefault="08D050C4" w:rsidP="00675105">
            <w:r w:rsidRPr="007D162C">
              <w:t>Reform Option</w:t>
            </w:r>
          </w:p>
        </w:tc>
        <w:tc>
          <w:tcPr>
            <w:tcW w:w="1343" w:type="dxa"/>
          </w:tcPr>
          <w:p w14:paraId="1E17A4FD"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C21402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2A6BB2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0166E71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3BB42A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1F7F0F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626AE2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E895F6" w14:textId="77777777" w:rsidR="00675105" w:rsidRPr="007D162C" w:rsidRDefault="00675105" w:rsidP="00675105">
            <w:r w:rsidRPr="007D162C">
              <w:t>Status Quo</w:t>
            </w:r>
          </w:p>
        </w:tc>
        <w:tc>
          <w:tcPr>
            <w:tcW w:w="1343" w:type="dxa"/>
          </w:tcPr>
          <w:p w14:paraId="5BCDD16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01E6A6B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0895CB71"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5AA5A2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352AD6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35D25DF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3162915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97F7328" w14:textId="77777777" w:rsidR="00675105" w:rsidRPr="007D162C" w:rsidRDefault="00675105" w:rsidP="00675105">
            <w:r w:rsidRPr="007D162C">
              <w:t xml:space="preserve">Non-regulatory </w:t>
            </w:r>
          </w:p>
        </w:tc>
        <w:tc>
          <w:tcPr>
            <w:tcW w:w="1343" w:type="dxa"/>
          </w:tcPr>
          <w:p w14:paraId="6971A3A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479FA9D0"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5342653B"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35326C0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6A669849"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7CED299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2CEF1F3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D6E11F8" w14:textId="77777777" w:rsidR="00675105" w:rsidRPr="007D162C" w:rsidRDefault="00675105" w:rsidP="00675105">
            <w:r w:rsidRPr="007D162C">
              <w:t>Regulatory</w:t>
            </w:r>
          </w:p>
        </w:tc>
        <w:tc>
          <w:tcPr>
            <w:tcW w:w="1343" w:type="dxa"/>
          </w:tcPr>
          <w:p w14:paraId="72B41163"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10BE8F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40F447A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66CE2C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A44B1D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866DB1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6C8CC350" w14:textId="77777777" w:rsidR="000E3BA6" w:rsidRPr="007D162C" w:rsidRDefault="000E3BA6" w:rsidP="000E3BA6"/>
    <w:p w14:paraId="6F2DC175" w14:textId="77777777" w:rsidR="00675105" w:rsidRPr="007D162C" w:rsidRDefault="00675105" w:rsidP="00675105">
      <w:pPr>
        <w:pStyle w:val="Heading4"/>
        <w:tabs>
          <w:tab w:val="left" w:pos="284"/>
        </w:tabs>
      </w:pPr>
      <w:r w:rsidRPr="007D162C">
        <w:t xml:space="preserve">Analysis of submissions </w:t>
      </w:r>
    </w:p>
    <w:p w14:paraId="496386D6" w14:textId="77777777" w:rsidR="00675105" w:rsidRPr="007D162C" w:rsidRDefault="00675105" w:rsidP="00675105">
      <w:pPr>
        <w:pStyle w:val="Heading5"/>
      </w:pPr>
      <w:r w:rsidRPr="007D162C">
        <w:t>Status quo</w:t>
      </w:r>
    </w:p>
    <w:p w14:paraId="0A3897C9" w14:textId="77777777" w:rsidR="00675105" w:rsidRPr="007D162C" w:rsidRDefault="00675105" w:rsidP="00675105">
      <w:r w:rsidRPr="007D162C">
        <w:t>The status quo option would continue to not include requirements for braille and tactile wayfinding information at lift landings.</w:t>
      </w:r>
    </w:p>
    <w:p w14:paraId="3823BDE8" w14:textId="77777777" w:rsidR="00675105" w:rsidRPr="007D162C" w:rsidRDefault="00675105" w:rsidP="00675105">
      <w:r w:rsidRPr="007D162C">
        <w:t xml:space="preserve">During consultation, there was one government submission supporting the status quo. The submission argued that the provision of braille and tactile information at lift landings would be technically challenging due to variances in lift frames and the length of the information required. </w:t>
      </w:r>
    </w:p>
    <w:p w14:paraId="4E39367C" w14:textId="77777777" w:rsidR="00675105" w:rsidRPr="007D162C" w:rsidRDefault="00675105" w:rsidP="00675105">
      <w:r w:rsidRPr="007D162C">
        <w:rPr>
          <w:rFonts w:ascii="Calibri" w:eastAsia="Calibri" w:hAnsi="Calibri" w:cs="Times New Roman"/>
          <w:color w:val="000000" w:themeColor="text1"/>
        </w:rPr>
        <w:t>Maintaining the status quo has no ongoing costs for public transport operators and providers. For people living with disability, the status quo would remain a barrier to independent travel</w:t>
      </w:r>
      <w:r w:rsidRPr="007D162C">
        <w:t>.</w:t>
      </w:r>
    </w:p>
    <w:p w14:paraId="03EC1EA6" w14:textId="77777777" w:rsidR="00675105" w:rsidRPr="007D162C" w:rsidRDefault="00675105" w:rsidP="00675105">
      <w:pPr>
        <w:pStyle w:val="Heading5"/>
      </w:pPr>
      <w:r w:rsidRPr="007D162C">
        <w:t>Non-regulatory</w:t>
      </w:r>
    </w:p>
    <w:p w14:paraId="1460737D" w14:textId="77777777" w:rsidR="00675105" w:rsidRPr="007D162C" w:rsidRDefault="00675105" w:rsidP="00675105">
      <w:r w:rsidRPr="007D162C">
        <w:t>The proposed non-regulatory option provides guidance to public transport operators and providers on best practice design and implementation of braille and tactile signs on lift landing doors.</w:t>
      </w:r>
    </w:p>
    <w:p w14:paraId="533B4A31" w14:textId="77777777" w:rsidR="00675105" w:rsidRPr="007D162C" w:rsidRDefault="00675105" w:rsidP="00675105">
      <w:r w:rsidRPr="007D162C">
        <w:lastRenderedPageBreak/>
        <w:t>There were a small number of submissions from government and industry stakeholders that supported the non-regulatory option. Those submissions raised the benefits of a flexible approach for addressing site-specific issues. Other issues raised in support of the non-regulatory option included avoiding possible regulatory inconsistencies among disability standards, the high costs associated with additional signage requirements and associated maintenance. Submissions suggesting higher costs also stated that their public transport buildings already had sufficient wayfinding information, which would imply that costs should not be higher as sufficient wayfinding information is already provided.</w:t>
      </w:r>
    </w:p>
    <w:p w14:paraId="249A1417" w14:textId="77777777" w:rsidR="00675105" w:rsidRPr="007D162C" w:rsidRDefault="00675105" w:rsidP="00675105">
      <w:r w:rsidRPr="007D162C">
        <w:t xml:space="preserve">There were no submissions from disability stakeholders supporting the non-regulatory option. </w:t>
      </w:r>
    </w:p>
    <w:p w14:paraId="46018B79" w14:textId="77777777" w:rsidR="00675105" w:rsidRPr="007D162C" w:rsidRDefault="00675105" w:rsidP="00675105">
      <w:pPr>
        <w:pStyle w:val="Heading5"/>
      </w:pPr>
      <w:r w:rsidRPr="007D162C">
        <w:t>Regulatory</w:t>
      </w:r>
    </w:p>
    <w:p w14:paraId="20E9850F" w14:textId="2BD36682" w:rsidR="008B0801" w:rsidRDefault="00675105" w:rsidP="008B0801">
      <w:r w:rsidRPr="007D162C">
        <w:t>The submissions supporting the regulatory option converged on the benefits of a consistent approach to providing information at lift landings. Most of the submissions supported the regulatory option. Stakeholders' submissions focused on the benefits of regulation in providing consistency of requirements, low-cost implementation and increased inclusion of people living with disability.</w:t>
      </w:r>
    </w:p>
    <w:p w14:paraId="607D9F05" w14:textId="77777777" w:rsidR="00675105" w:rsidRPr="007D162C" w:rsidRDefault="00675105" w:rsidP="00675105">
      <w:pPr>
        <w:pStyle w:val="Quote"/>
      </w:pPr>
      <w:r w:rsidRPr="007D162C">
        <w:t>The regulatory option is needed to ensure that there is a consistent and predictable approach taken. Having braille and tactile signs in some locations or in some premises but not in others is, in some ways, more confusing and disorienting for people who are blind or have low vision that having none at all.</w:t>
      </w:r>
    </w:p>
    <w:p w14:paraId="4E4A5FCD" w14:textId="77777777" w:rsidR="00675105" w:rsidRPr="007D162C" w:rsidRDefault="00675105" w:rsidP="00675105">
      <w:pPr>
        <w:pStyle w:val="Quote"/>
      </w:pPr>
      <w:r w:rsidRPr="007D162C">
        <w:t>Vision Australia</w:t>
      </w:r>
    </w:p>
    <w:p w14:paraId="164A2546" w14:textId="77777777" w:rsidR="00675105" w:rsidRPr="007D162C" w:rsidRDefault="00675105" w:rsidP="00675105">
      <w:r w:rsidRPr="007D162C">
        <w:t>Disability stakeholders told us without regulation public transport operators and providers may only implement some or none of the recommendations. Discretionary implementation would result in inadequate and inconsistent braille and tactile information at lift landings. For disability stakeholders, the regulatory option was the most effective way to remove barriers to travel and allow them to participate more in their community and travel confidently</w:t>
      </w:r>
    </w:p>
    <w:p w14:paraId="3584B430" w14:textId="72D2D06D" w:rsidR="00675105" w:rsidRPr="007D162C" w:rsidRDefault="00675105" w:rsidP="00675105">
      <w:r w:rsidRPr="007D162C">
        <w:t>Public transport owners and operators, who supported the regulatory option, stated that the regulatory option was the most efficient pathway to address their obligations under the Transport Standards to remove discrimination, as far as possible, for people living with disability.</w:t>
      </w:r>
    </w:p>
    <w:p w14:paraId="3F017366" w14:textId="77777777" w:rsidR="00675105" w:rsidRPr="007D162C" w:rsidRDefault="00675105" w:rsidP="00675105">
      <w:r w:rsidRPr="007D162C">
        <w:t>Public transport owners and operators were conscious of costs associated with disability reform. However, government and industry stakeholders balanced those costs against the benefit of regulatory reform. Government stakeholders told us that cost associated with implementation would not be significant</w:t>
      </w:r>
    </w:p>
    <w:p w14:paraId="35B4E15A" w14:textId="77777777" w:rsidR="00675105" w:rsidRPr="007D162C" w:rsidRDefault="00675105" w:rsidP="00675105">
      <w:r w:rsidRPr="007D162C">
        <w:t>Many lifts sold in Australia are imported from Europe and comply with European lift standards. The Australian Standard AS1735.12 (2020) was updated in 2020 and harmonized requirements with European lift standards. Previous European lift standards addressed many features addressed in the lift reform areas (reforms 17, 18, 19, 20). Therefore, compliance costs are considered low due to the number of pre-existing lifts which already meet the requirements of AS1735.12 (2020). However, where lifts would not meet the requirements of AS1735.12 (2020), retrofitting those older lifts and sites would be more expensive.</w:t>
      </w:r>
    </w:p>
    <w:p w14:paraId="7736169A"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2F8593B4" w14:textId="77777777" w:rsidR="00517711" w:rsidRPr="007D162C" w:rsidRDefault="00675105" w:rsidP="00675105">
      <w:r w:rsidRPr="007D162C">
        <w:t xml:space="preserve">Informed by the outcomes of consultation, impacts, cost and outcomes analysis, the preferred option is the </w:t>
      </w:r>
      <w:r w:rsidRPr="007D162C">
        <w:rPr>
          <w:b/>
        </w:rPr>
        <w:t>regulatory option</w:t>
      </w:r>
      <w:r w:rsidRPr="007D162C">
        <w:t xml:space="preserve">. </w:t>
      </w:r>
    </w:p>
    <w:p w14:paraId="710E1B23" w14:textId="435A6DE4" w:rsidR="00675105" w:rsidRPr="007D162C" w:rsidRDefault="00D406B1" w:rsidP="00675105">
      <w:r w:rsidRPr="007D162C">
        <w:t>Updated braille and tactile signage at lift landings would align with those in building regulation</w:t>
      </w:r>
      <w:r w:rsidR="00517711" w:rsidRPr="007D162C">
        <w:t xml:space="preserve">. </w:t>
      </w:r>
      <w:r w:rsidRPr="007D162C">
        <w:t>Th</w:t>
      </w:r>
      <w:r w:rsidR="00517711" w:rsidRPr="007D162C">
        <w:t>e braille requirements in the</w:t>
      </w:r>
      <w:r w:rsidR="00931D84" w:rsidRPr="007D162C">
        <w:t xml:space="preserve"> proposed</w:t>
      </w:r>
      <w:r w:rsidR="00517711" w:rsidRPr="007D162C">
        <w:t xml:space="preserve"> Australian Standard are considered sufficient</w:t>
      </w:r>
      <w:r w:rsidR="00095C6F" w:rsidRPr="007D162C">
        <w:t>,</w:t>
      </w:r>
      <w:r w:rsidR="00517711" w:rsidRPr="007D162C">
        <w:t xml:space="preserve"> and this reform would not be in scope of working groups proposed in the Decision RIS. </w:t>
      </w:r>
    </w:p>
    <w:p w14:paraId="76A55D88" w14:textId="19151E3C" w:rsidR="00675105" w:rsidRPr="007D162C" w:rsidRDefault="00675105" w:rsidP="00675105">
      <w:r w:rsidRPr="007D162C">
        <w:t>The consultation process provided evidence that the existing provision of audio, braille and tactile signs was insufficient to address the wayfinding and communication issues identified in the issue statement.</w:t>
      </w:r>
      <w:r w:rsidR="00B559BD">
        <w:t xml:space="preserve"> </w:t>
      </w:r>
      <w:r w:rsidRPr="007D162C">
        <w:t xml:space="preserve">On balance, submissions identified that regulation of braille and tactile signage at lift landings would align with the objectives of the Transport Standards to remove discrimination, as far as possible, for people with </w:t>
      </w:r>
      <w:r w:rsidRPr="007D162C">
        <w:lastRenderedPageBreak/>
        <w:t xml:space="preserve">disability concerning public transport services. Braille requirements would align with those in the Premises Standards. </w:t>
      </w:r>
    </w:p>
    <w:p w14:paraId="63720A27" w14:textId="64932AEA" w:rsidR="00517711" w:rsidRPr="007D162C" w:rsidRDefault="00517711" w:rsidP="00675105">
      <w:r w:rsidRPr="007D162C">
        <w:t xml:space="preserve">The scope of </w:t>
      </w:r>
      <w:r w:rsidR="00095C6F" w:rsidRPr="007D162C">
        <w:t>assets included in this</w:t>
      </w:r>
      <w:r w:rsidRPr="007D162C">
        <w:t xml:space="preserve"> reform is </w:t>
      </w:r>
      <w:r w:rsidR="00095C6F" w:rsidRPr="007D162C">
        <w:t>small</w:t>
      </w:r>
      <w:r w:rsidRPr="007D162C">
        <w:t>.</w:t>
      </w:r>
      <w:r w:rsidR="00931D84" w:rsidRPr="007D162C">
        <w:t xml:space="preserve"> Braille requirements would align with those in the Premises Standards, which cover the majority of lifts in operation in transport infrastructure. </w:t>
      </w:r>
      <w:r w:rsidRPr="007D162C">
        <w:t>During consultation, stakeholder</w:t>
      </w:r>
      <w:r w:rsidR="00095C6F" w:rsidRPr="007D162C">
        <w:t>s</w:t>
      </w:r>
      <w:r w:rsidRPr="007D162C">
        <w:t xml:space="preserve"> who provided </w:t>
      </w:r>
      <w:r w:rsidR="004C5E35" w:rsidRPr="007D162C">
        <w:t xml:space="preserve">examples or </w:t>
      </w:r>
      <w:r w:rsidRPr="007D162C">
        <w:t xml:space="preserve">estimates </w:t>
      </w:r>
      <w:r w:rsidR="00095C6F" w:rsidRPr="007D162C">
        <w:t>for</w:t>
      </w:r>
      <w:r w:rsidRPr="007D162C">
        <w:t xml:space="preserve"> implementing the </w:t>
      </w:r>
      <w:r w:rsidR="004C5E35" w:rsidRPr="007D162C">
        <w:t>regulatory option</w:t>
      </w:r>
      <w:r w:rsidRPr="007D162C">
        <w:t xml:space="preserve"> included </w:t>
      </w:r>
      <w:r w:rsidR="004C5E35" w:rsidRPr="007D162C">
        <w:t>assets</w:t>
      </w:r>
      <w:r w:rsidRPr="007D162C">
        <w:t xml:space="preserve"> that </w:t>
      </w:r>
      <w:r w:rsidR="004C5E35" w:rsidRPr="007D162C">
        <w:t>are</w:t>
      </w:r>
      <w:r w:rsidRPr="007D162C">
        <w:t xml:space="preserve"> </w:t>
      </w:r>
      <w:r w:rsidR="00095C6F" w:rsidRPr="007D162C">
        <w:t xml:space="preserve">out of scope of the Transport Standards and are </w:t>
      </w:r>
      <w:r w:rsidR="004C5E35" w:rsidRPr="007D162C">
        <w:t>already</w:t>
      </w:r>
      <w:r w:rsidR="00095C6F" w:rsidRPr="007D162C">
        <w:t xml:space="preserve"> required to have braille and tactile signage at lift landings.</w:t>
      </w:r>
      <w:r w:rsidRPr="007D162C">
        <w:t xml:space="preserve"> </w:t>
      </w:r>
    </w:p>
    <w:p w14:paraId="41022870" w14:textId="77777777" w:rsidR="00675105" w:rsidRPr="007D162C" w:rsidRDefault="08D050C4" w:rsidP="00675105">
      <w:r w:rsidRPr="007D162C">
        <w:t>The regulatory option ensures that people living with disability can access and safely use public transport.  Standardisation of requirements provides certainty for transport owners and operators and manufacturers, installers, and readers of braille and tactile signs.</w:t>
      </w:r>
    </w:p>
    <w:p w14:paraId="526CEE45" w14:textId="14280C02" w:rsidR="00675105" w:rsidRPr="007D162C" w:rsidRDefault="00675105" w:rsidP="00675105">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r w:rsidRPr="007D162C">
        <w:br w:type="page"/>
      </w:r>
    </w:p>
    <w:p w14:paraId="37FDAE8D" w14:textId="6B8F8759" w:rsidR="00675105" w:rsidRPr="007D162C" w:rsidRDefault="00675105" w:rsidP="001B7B6E">
      <w:pPr>
        <w:pStyle w:val="Heading2"/>
        <w:numPr>
          <w:ilvl w:val="0"/>
          <w:numId w:val="26"/>
        </w:numPr>
        <w:ind w:hanging="720"/>
      </w:pPr>
      <w:bookmarkStart w:id="339" w:name="_Toc127351767"/>
      <w:bookmarkStart w:id="340" w:name="_Toc140239725"/>
      <w:r w:rsidRPr="007D162C">
        <w:lastRenderedPageBreak/>
        <w:t>Lifts - Audible wayfinding</w:t>
      </w:r>
      <w:bookmarkEnd w:id="339"/>
      <w:bookmarkEnd w:id="340"/>
    </w:p>
    <w:p w14:paraId="1A1E16C4" w14:textId="77777777" w:rsidR="00675105" w:rsidRPr="007D162C" w:rsidRDefault="00675105" w:rsidP="00675105">
      <w:pPr>
        <w:pStyle w:val="Heading4"/>
      </w:pPr>
      <w:r w:rsidRPr="007D162C">
        <w:t>Issue</w:t>
      </w:r>
    </w:p>
    <w:p w14:paraId="0F5C11E2" w14:textId="77777777" w:rsidR="00675105" w:rsidRPr="007D162C" w:rsidRDefault="00675105" w:rsidP="00675105">
      <w:r w:rsidRPr="007D162C">
        <w:t>The Transport Standards reference AS 1735.12 (1999), which excludes public transport lifts serving less than three floors on platforms, over bridges, subways, and concourses from providing audible wayfinding information.</w:t>
      </w:r>
    </w:p>
    <w:p w14:paraId="5A26B2D0" w14:textId="77777777" w:rsidR="00675105" w:rsidRPr="007D162C" w:rsidRDefault="00675105" w:rsidP="00675105">
      <w:r w:rsidRPr="007D162C">
        <w:t>Without audible wayfinding cues, people with disability can become confused and disoriented, resulting in a reluctance to use public transport and limiting their participation in the community.</w:t>
      </w:r>
    </w:p>
    <w:p w14:paraId="19A6B9BF" w14:textId="38C44511" w:rsidR="00675105" w:rsidRPr="007D162C" w:rsidRDefault="00675105" w:rsidP="00675105">
      <w:pPr>
        <w:tabs>
          <w:tab w:val="left" w:pos="284"/>
        </w:tabs>
      </w:pPr>
      <w:r w:rsidRPr="007D162C">
        <w:t xml:space="preserve">Collective government action would ensure audible wayfinding information is provided consistently at lift landings and address key stakeholder issues raised through the Transport Standards review process and promote consistency with the Premises Standards. </w:t>
      </w:r>
    </w:p>
    <w:p w14:paraId="6E3AFC98" w14:textId="77777777" w:rsidR="00675105" w:rsidRPr="007D162C" w:rsidRDefault="00675105" w:rsidP="00675105">
      <w:pPr>
        <w:pStyle w:val="Heading4"/>
        <w:tabs>
          <w:tab w:val="left" w:pos="284"/>
        </w:tabs>
      </w:pPr>
      <w:r w:rsidRPr="007D162C">
        <w:t>Reform options</w:t>
      </w:r>
    </w:p>
    <w:p w14:paraId="67F94DCD"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622A919B" w14:textId="44E86D95" w:rsidR="00675105" w:rsidRPr="007D162C" w:rsidRDefault="00675105" w:rsidP="00F7313B">
      <w:pPr>
        <w:pStyle w:val="Tablefigureheading"/>
      </w:pPr>
      <w:bookmarkStart w:id="341" w:name="_Toc122446365"/>
      <w:bookmarkStart w:id="342" w:name="_Toc139969211"/>
      <w:r w:rsidRPr="007D162C">
        <w:t xml:space="preserve">Table </w:t>
      </w:r>
      <w:fldSimple w:instr=" SEQ Table \* ARABIC ">
        <w:r w:rsidR="00DC26AC">
          <w:rPr>
            <w:noProof/>
          </w:rPr>
          <w:t>53</w:t>
        </w:r>
      </w:fldSimple>
      <w:r w:rsidRPr="007D162C">
        <w:t xml:space="preserve">: Reform options for Lifts - </w:t>
      </w:r>
      <w:r w:rsidR="001075A6" w:rsidRPr="007D162C">
        <w:t>A</w:t>
      </w:r>
      <w:r w:rsidRPr="007D162C">
        <w:t>udible wayfinding</w:t>
      </w:r>
      <w:bookmarkEnd w:id="341"/>
      <w:bookmarkEnd w:id="342"/>
    </w:p>
    <w:tbl>
      <w:tblPr>
        <w:tblStyle w:val="DefaultTable1"/>
        <w:tblW w:w="9072" w:type="dxa"/>
        <w:tblLook w:val="04A0" w:firstRow="1" w:lastRow="0" w:firstColumn="1" w:lastColumn="0" w:noHBand="0" w:noVBand="1"/>
        <w:tblCaption w:val="Reform options for Lifts audible wayfinding"/>
        <w:tblDescription w:val="This table provides a description of each of the options for this reform area. Status quo, non-regulatory and regulatory."/>
      </w:tblPr>
      <w:tblGrid>
        <w:gridCol w:w="2232"/>
        <w:gridCol w:w="6840"/>
      </w:tblGrid>
      <w:tr w:rsidR="00675105" w:rsidRPr="007D162C" w14:paraId="25D2C53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1620C2E0" w14:textId="77777777" w:rsidR="00675105" w:rsidRPr="007D162C" w:rsidRDefault="00675105" w:rsidP="00675105">
            <w:r w:rsidRPr="007D162C">
              <w:t>Option</w:t>
            </w:r>
          </w:p>
        </w:tc>
        <w:tc>
          <w:tcPr>
            <w:tcW w:w="6840" w:type="dxa"/>
          </w:tcPr>
          <w:p w14:paraId="01E0BD82"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600104F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1E3E603" w14:textId="77777777" w:rsidR="00675105" w:rsidRPr="007D162C" w:rsidRDefault="00675105" w:rsidP="00675105">
            <w:r w:rsidRPr="007D162C">
              <w:t>Status Quo</w:t>
            </w:r>
          </w:p>
        </w:tc>
        <w:tc>
          <w:tcPr>
            <w:tcW w:w="6840" w:type="dxa"/>
          </w:tcPr>
          <w:p w14:paraId="3EFBB93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Lifts serving less than three floors would continue not to be required to provide audible wayfinding information.</w:t>
            </w:r>
          </w:p>
          <w:p w14:paraId="59FD2854"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i/>
              </w:rPr>
            </w:pPr>
            <w:r w:rsidRPr="007D162C">
              <w:t>The Transport Standards would remain unchanged and guidance material would not be updated.</w:t>
            </w:r>
            <w:r w:rsidRPr="007D162C">
              <w:rPr>
                <w:i/>
              </w:rPr>
              <w:t xml:space="preserve"> </w:t>
            </w:r>
          </w:p>
        </w:tc>
      </w:tr>
      <w:tr w:rsidR="00675105" w:rsidRPr="007D162C" w14:paraId="0977DCB2"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277701" w14:textId="77777777" w:rsidR="00675105" w:rsidRPr="007D162C" w:rsidRDefault="00675105" w:rsidP="00675105">
            <w:r w:rsidRPr="007D162C">
              <w:t xml:space="preserve">Non-regulatory </w:t>
            </w:r>
          </w:p>
        </w:tc>
        <w:tc>
          <w:tcPr>
            <w:tcW w:w="6840" w:type="dxa"/>
          </w:tcPr>
          <w:p w14:paraId="5F0D38F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rFonts w:ascii="Calibri" w:eastAsia="Calibri" w:hAnsi="Calibri" w:cs="Times New Roman"/>
              </w:rPr>
              <w:t xml:space="preserve">Guidance would be developed to provide </w:t>
            </w:r>
            <w:r w:rsidRPr="007D162C">
              <w:t>operators and providers</w:t>
            </w:r>
            <w:r w:rsidRPr="007D162C">
              <w:rPr>
                <w:rFonts w:ascii="Calibri" w:eastAsia="Calibri" w:hAnsi="Calibri" w:cs="Times New Roman"/>
              </w:rPr>
              <w:t xml:space="preserve"> best practice advice on audible wayfinding information for lifts. There are 2 non-regulatory options that were consulted on.</w:t>
            </w:r>
            <w:r w:rsidRPr="007D162C">
              <w:rPr>
                <w:b/>
              </w:rPr>
              <w:t xml:space="preserve"> </w:t>
            </w:r>
          </w:p>
          <w:p w14:paraId="194ECF72"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b/>
              </w:rPr>
              <w:t>Option 1</w:t>
            </w:r>
          </w:p>
          <w:p w14:paraId="7F7903FA"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Prescriptive advice on the type of location and wayfinding information recommended to be provided in audio announcements.</w:t>
            </w:r>
          </w:p>
          <w:p w14:paraId="609A9D88"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b/>
              </w:rPr>
            </w:pPr>
            <w:r w:rsidRPr="007D162C">
              <w:rPr>
                <w:b/>
              </w:rPr>
              <w:t>Option 2</w:t>
            </w:r>
          </w:p>
          <w:p w14:paraId="269A533C"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t>Performance-based advice recommended to be provided to ensure passengers can confirm where they have arrived and make basic orientation decisions while travelling on public transport services.</w:t>
            </w:r>
          </w:p>
        </w:tc>
      </w:tr>
      <w:tr w:rsidR="00675105" w:rsidRPr="007D162C" w14:paraId="4F3C6F0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5A5F78" w14:textId="77777777" w:rsidR="00675105" w:rsidRPr="007D162C" w:rsidRDefault="00675105" w:rsidP="00675105">
            <w:r w:rsidRPr="007D162C">
              <w:t>Regulatory</w:t>
            </w:r>
          </w:p>
        </w:tc>
        <w:tc>
          <w:tcPr>
            <w:tcW w:w="6840" w:type="dxa"/>
          </w:tcPr>
          <w:p w14:paraId="640D716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The Transport Standards would be amended to include requirements for audible landing location and wayfinding information in lifts. There are 2 regulatory options that were consulted on.</w:t>
            </w:r>
          </w:p>
          <w:p w14:paraId="72C3A0E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5601AC9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19480171"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Prescriptive requirements for the type of location and wayfinding information in audio announcements.</w:t>
            </w:r>
          </w:p>
          <w:p w14:paraId="7A6C0FEF"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EAC3365"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t>Performance-based requirements to ensure passengers can confirm where they have arrived and to make fundamental orientation decisions while travelling on public transport services.</w:t>
            </w:r>
          </w:p>
        </w:tc>
      </w:tr>
    </w:tbl>
    <w:p w14:paraId="5C7B2D83" w14:textId="77777777" w:rsidR="00493191" w:rsidRPr="007D162C" w:rsidRDefault="00493191" w:rsidP="00493191"/>
    <w:p w14:paraId="7C8DE49C" w14:textId="77777777" w:rsidR="00675105" w:rsidRPr="007D162C" w:rsidRDefault="00675105" w:rsidP="00675105">
      <w:pPr>
        <w:pStyle w:val="Heading4"/>
        <w:tabs>
          <w:tab w:val="left" w:pos="284"/>
        </w:tabs>
      </w:pPr>
      <w:r w:rsidRPr="007D162C">
        <w:lastRenderedPageBreak/>
        <w:t>Cost benefit analysis</w:t>
      </w:r>
    </w:p>
    <w:p w14:paraId="6A8835B2" w14:textId="77777777" w:rsidR="00675105" w:rsidRPr="007D162C" w:rsidRDefault="00675105" w:rsidP="00F7313B">
      <w:pPr>
        <w:pStyle w:val="Heading6"/>
      </w:pPr>
      <w:r w:rsidRPr="007D162C">
        <w:t xml:space="preserve">Quantitative assessment </w:t>
      </w:r>
    </w:p>
    <w:p w14:paraId="0680E5C7" w14:textId="77777777" w:rsidR="00675105" w:rsidRPr="007D162C" w:rsidRDefault="00675105" w:rsidP="00675105">
      <w:r w:rsidRPr="007D162C">
        <w:t xml:space="preserve">The following categories of quantitative costs and benefits were identified in the CBA as pertaining to the reform options. </w:t>
      </w:r>
    </w:p>
    <w:p w14:paraId="19FBBD4A" w14:textId="29D67390" w:rsidR="00675105" w:rsidRPr="007D162C" w:rsidRDefault="00675105" w:rsidP="00F7313B">
      <w:pPr>
        <w:pStyle w:val="Tablefigureheading"/>
      </w:pPr>
      <w:bookmarkStart w:id="343" w:name="_Toc122446366"/>
      <w:bookmarkStart w:id="344" w:name="_Toc139969212"/>
      <w:r w:rsidRPr="007D162C">
        <w:t xml:space="preserve">Table </w:t>
      </w:r>
      <w:fldSimple w:instr=" SEQ Table \* ARABIC ">
        <w:r w:rsidR="00DC26AC">
          <w:rPr>
            <w:noProof/>
          </w:rPr>
          <w:t>54</w:t>
        </w:r>
      </w:fldSimple>
      <w:r w:rsidRPr="007D162C">
        <w:t xml:space="preserve">: Benefit-cost ratios for Lifts - </w:t>
      </w:r>
      <w:r w:rsidR="001075A6" w:rsidRPr="007D162C">
        <w:t>A</w:t>
      </w:r>
      <w:r w:rsidRPr="007D162C">
        <w:t>udible wayfinding</w:t>
      </w:r>
      <w:bookmarkEnd w:id="343"/>
      <w:bookmarkEnd w:id="344"/>
    </w:p>
    <w:tbl>
      <w:tblPr>
        <w:tblStyle w:val="DefaultTable1"/>
        <w:tblW w:w="9864" w:type="dxa"/>
        <w:tblLook w:val="04A0" w:firstRow="1" w:lastRow="0" w:firstColumn="1" w:lastColumn="0" w:noHBand="0" w:noVBand="1"/>
        <w:tblCaption w:val="Benefit-cost ratios for Lifts - audible wayfinding"/>
        <w:tblDescription w:val="This table provides the monetised benefits and costs for each of the options for this reform area."/>
      </w:tblPr>
      <w:tblGrid>
        <w:gridCol w:w="2694"/>
        <w:gridCol w:w="1275"/>
        <w:gridCol w:w="1701"/>
        <w:gridCol w:w="1701"/>
        <w:gridCol w:w="1560"/>
        <w:gridCol w:w="933"/>
      </w:tblGrid>
      <w:tr w:rsidR="00675105" w:rsidRPr="007D162C" w14:paraId="775D8EA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699989FC" w14:textId="77777777" w:rsidR="00675105" w:rsidRPr="007D162C" w:rsidRDefault="08D050C4" w:rsidP="00675105">
            <w:r w:rsidRPr="007D162C">
              <w:t>Reform Option</w:t>
            </w:r>
          </w:p>
        </w:tc>
        <w:tc>
          <w:tcPr>
            <w:tcW w:w="1275" w:type="dxa"/>
          </w:tcPr>
          <w:p w14:paraId="424F7B0A"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7E2FF71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126F9A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1F43926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7E53FEA9"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490E623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B36A736" w14:textId="77777777" w:rsidR="00675105" w:rsidRPr="007D162C" w:rsidRDefault="00675105" w:rsidP="00675105">
            <w:r w:rsidRPr="007D162C">
              <w:t>Status Quo</w:t>
            </w:r>
          </w:p>
        </w:tc>
        <w:tc>
          <w:tcPr>
            <w:tcW w:w="1275" w:type="dxa"/>
          </w:tcPr>
          <w:p w14:paraId="5AB996E9"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1CDF4FC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E0329D4"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560" w:type="dxa"/>
          </w:tcPr>
          <w:p w14:paraId="1A6882E2"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933" w:type="dxa"/>
          </w:tcPr>
          <w:p w14:paraId="3671DBEA"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20F33C60"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47DBD43E" w14:textId="77777777" w:rsidR="00675105" w:rsidRPr="007D162C" w:rsidRDefault="00675105" w:rsidP="00675105">
            <w:r w:rsidRPr="007D162C">
              <w:t xml:space="preserve">Non-regulatory </w:t>
            </w:r>
          </w:p>
        </w:tc>
        <w:tc>
          <w:tcPr>
            <w:tcW w:w="1275" w:type="dxa"/>
            <w:vAlign w:val="center"/>
          </w:tcPr>
          <w:p w14:paraId="576A21B1"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701" w:type="dxa"/>
          </w:tcPr>
          <w:p w14:paraId="1D9B74F8"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6FE3169F"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1.3</w:t>
            </w:r>
          </w:p>
        </w:tc>
        <w:tc>
          <w:tcPr>
            <w:tcW w:w="1560" w:type="dxa"/>
            <w:vAlign w:val="center"/>
          </w:tcPr>
          <w:p w14:paraId="75E7CB5E"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1.3</w:t>
            </w:r>
            <w:r w:rsidR="00F7313B" w:rsidRPr="007D162C">
              <w:rPr>
                <w:vertAlign w:val="superscript"/>
              </w:rPr>
              <w:t>i</w:t>
            </w:r>
          </w:p>
        </w:tc>
        <w:tc>
          <w:tcPr>
            <w:tcW w:w="933" w:type="dxa"/>
            <w:vAlign w:val="center"/>
          </w:tcPr>
          <w:p w14:paraId="5871CDDB"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0.07</w:t>
            </w:r>
          </w:p>
        </w:tc>
      </w:tr>
      <w:tr w:rsidR="00675105" w:rsidRPr="007D162C" w14:paraId="72BB8AE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600558" w14:textId="77777777" w:rsidR="00675105" w:rsidRPr="007D162C" w:rsidRDefault="00675105" w:rsidP="00675105">
            <w:r w:rsidRPr="007D162C">
              <w:t>Regulatory</w:t>
            </w:r>
          </w:p>
        </w:tc>
        <w:tc>
          <w:tcPr>
            <w:tcW w:w="1275" w:type="dxa"/>
            <w:vAlign w:val="center"/>
          </w:tcPr>
          <w:p w14:paraId="34B9CBF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15.0</w:t>
            </w:r>
          </w:p>
        </w:tc>
        <w:tc>
          <w:tcPr>
            <w:tcW w:w="1701" w:type="dxa"/>
          </w:tcPr>
          <w:p w14:paraId="56D2E27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7347460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9.4</w:t>
            </w:r>
          </w:p>
        </w:tc>
        <w:tc>
          <w:tcPr>
            <w:tcW w:w="1560" w:type="dxa"/>
            <w:vAlign w:val="center"/>
          </w:tcPr>
          <w:p w14:paraId="10573180"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9.4</w:t>
            </w:r>
          </w:p>
        </w:tc>
        <w:tc>
          <w:tcPr>
            <w:tcW w:w="933" w:type="dxa"/>
            <w:vAlign w:val="center"/>
          </w:tcPr>
          <w:p w14:paraId="7C12A7C7"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1.60</w:t>
            </w:r>
          </w:p>
        </w:tc>
      </w:tr>
    </w:tbl>
    <w:p w14:paraId="1FCCCBD0"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0EB3A2D6"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C7AAF08" w14:textId="77777777" w:rsidR="00105D34" w:rsidRPr="007D162C" w:rsidRDefault="00105D34" w:rsidP="00105D34"/>
    <w:p w14:paraId="29997DBB" w14:textId="77777777" w:rsidR="00675105" w:rsidRPr="007D162C" w:rsidRDefault="00675105" w:rsidP="00675105">
      <w:pPr>
        <w:pStyle w:val="Heading6"/>
      </w:pPr>
      <w:r w:rsidRPr="007D162C">
        <w:t>Considerations to note in interpreting analysis</w:t>
      </w:r>
    </w:p>
    <w:p w14:paraId="00792EC7" w14:textId="77777777" w:rsidR="00675105" w:rsidRPr="007D162C" w:rsidRDefault="00675105" w:rsidP="00F7313B">
      <w:pPr>
        <w:pStyle w:val="Heading7"/>
      </w:pPr>
      <w:r w:rsidRPr="007D162C">
        <w:t>Limitations</w:t>
      </w:r>
    </w:p>
    <w:p w14:paraId="4404327A" w14:textId="77777777" w:rsidR="00675105" w:rsidRPr="007D162C" w:rsidRDefault="00675105" w:rsidP="00F7313B">
      <w:pPr>
        <w:pStyle w:val="Heading8"/>
      </w:pPr>
      <w:r w:rsidRPr="007D162C">
        <w:t>Non-regulatory</w:t>
      </w:r>
    </w:p>
    <w:p w14:paraId="70115646" w14:textId="084B6D8B" w:rsidR="00675105" w:rsidRPr="007D162C" w:rsidRDefault="00675105" w:rsidP="00105D34">
      <w:r w:rsidRPr="007D162C">
        <w:t>The costs and benefits associated with the non-regulatory reform are lower than its regulatory counterpart reflecting an assumed lower rate of compliance with the reform. An estimated rate of uptake of 15</w:t>
      </w:r>
      <w:r w:rsidR="008B0801">
        <w:t xml:space="preserve"> per cent</w:t>
      </w:r>
      <w:r w:rsidRPr="007D162C">
        <w:t xml:space="preserve"> was applied to the non-regulatory option based on the high complexity to implement and maintain the audio wayfinding requirements in lifts where they are not currently installed or operational. This implies that the benefits and costs quantified for this non-regulatory reform may not reflect future take-up of the reform.</w:t>
      </w:r>
    </w:p>
    <w:p w14:paraId="6427AC92" w14:textId="77777777" w:rsidR="00675105" w:rsidRPr="007D162C" w:rsidRDefault="00675105" w:rsidP="00F7313B">
      <w:pPr>
        <w:pStyle w:val="Heading8"/>
      </w:pPr>
      <w:r w:rsidRPr="007D162C">
        <w:t>Regulatory option</w:t>
      </w:r>
    </w:p>
    <w:p w14:paraId="611441AB" w14:textId="77777777" w:rsidR="00675105" w:rsidRPr="007D162C" w:rsidRDefault="00675105" w:rsidP="00105D34">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612814C9" w14:textId="77777777" w:rsidR="00675105" w:rsidRPr="007D162C" w:rsidRDefault="00675105" w:rsidP="00105D34">
      <w:r w:rsidRPr="007D162C">
        <w:t>Lifts covered by the Premises Standards were compliant, implying cost implications for remaining lifts and with benefits impacting a small cohort of beneficiaries with vision impairments.</w:t>
      </w:r>
    </w:p>
    <w:p w14:paraId="59B250CA" w14:textId="77777777" w:rsidR="00675105" w:rsidRPr="007D162C" w:rsidRDefault="00675105" w:rsidP="00F7313B">
      <w:pPr>
        <w:pStyle w:val="Heading8"/>
      </w:pPr>
      <w:r w:rsidRPr="007D162C">
        <w:t>Interdependencies</w:t>
      </w:r>
    </w:p>
    <w:p w14:paraId="28D23332" w14:textId="2EEBB67C" w:rsidR="00675105" w:rsidRPr="007D162C" w:rsidRDefault="08D050C4" w:rsidP="00105D34">
      <w:r w:rsidRPr="007D162C">
        <w:t xml:space="preserve">The accessibility benefits of this reform will only be realised if there </w:t>
      </w:r>
      <w:r w:rsidR="005428FC">
        <w:t>i</w:t>
      </w:r>
      <w:r w:rsidRPr="007D162C">
        <w:t>s equitable access across the whole public transport journey, with benefits reliant on implementation of other reforms related to other lift infrastructure.</w:t>
      </w:r>
    </w:p>
    <w:p w14:paraId="2302C887" w14:textId="77777777" w:rsidR="00675105" w:rsidRPr="007D162C" w:rsidRDefault="00675105" w:rsidP="00F7313B">
      <w:pPr>
        <w:pStyle w:val="Heading6"/>
      </w:pPr>
      <w:r w:rsidRPr="007D162C">
        <w:t xml:space="preserve">Qualitative assessment </w:t>
      </w:r>
    </w:p>
    <w:p w14:paraId="3CD3A1D5" w14:textId="77777777" w:rsidR="00F26EC2" w:rsidRDefault="00675105" w:rsidP="00675105">
      <w:r w:rsidRPr="007D162C">
        <w:t>The following categories of qualitative benefits were identified in the CBA as pertaining to the reform options.</w:t>
      </w:r>
    </w:p>
    <w:p w14:paraId="0FA9771F" w14:textId="075C7631" w:rsidR="00F26EC2" w:rsidRDefault="00F26EC2">
      <w:pPr>
        <w:spacing w:line="259" w:lineRule="auto"/>
      </w:pPr>
    </w:p>
    <w:p w14:paraId="515FA1B7" w14:textId="77777777" w:rsidR="00675105" w:rsidRPr="007D162C" w:rsidRDefault="00675105" w:rsidP="00675105"/>
    <w:p w14:paraId="1DF44A76" w14:textId="329730E3" w:rsidR="00675105" w:rsidRPr="007D162C" w:rsidRDefault="00675105" w:rsidP="00F7313B">
      <w:pPr>
        <w:pStyle w:val="Tablefigureheading"/>
      </w:pPr>
      <w:bookmarkStart w:id="345" w:name="_Toc122446367"/>
      <w:bookmarkStart w:id="346" w:name="_Toc139969213"/>
      <w:r w:rsidRPr="007D162C">
        <w:lastRenderedPageBreak/>
        <w:t xml:space="preserve">Table </w:t>
      </w:r>
      <w:fldSimple w:instr=" SEQ Table \* ARABIC ">
        <w:r w:rsidR="00DC26AC">
          <w:rPr>
            <w:noProof/>
          </w:rPr>
          <w:t>55</w:t>
        </w:r>
      </w:fldSimple>
      <w:r w:rsidRPr="007D162C">
        <w:t xml:space="preserve">: Qualitative benefits for Lifts - </w:t>
      </w:r>
      <w:r w:rsidR="001075A6" w:rsidRPr="007D162C">
        <w:t>A</w:t>
      </w:r>
      <w:r w:rsidRPr="007D162C">
        <w:t>udible wayfinding</w:t>
      </w:r>
      <w:bookmarkEnd w:id="345"/>
      <w:bookmarkEnd w:id="346"/>
    </w:p>
    <w:tbl>
      <w:tblPr>
        <w:tblStyle w:val="DefaultTable1"/>
        <w:tblW w:w="9864" w:type="dxa"/>
        <w:tblLook w:val="04A0" w:firstRow="1" w:lastRow="0" w:firstColumn="1" w:lastColumn="0" w:noHBand="0" w:noVBand="1"/>
        <w:tblCaption w:val="Qualitative benefits for Lifts - audible wayfinding"/>
      </w:tblPr>
      <w:tblGrid>
        <w:gridCol w:w="1213"/>
        <w:gridCol w:w="1343"/>
        <w:gridCol w:w="1626"/>
        <w:gridCol w:w="1300"/>
        <w:gridCol w:w="1278"/>
        <w:gridCol w:w="1641"/>
        <w:gridCol w:w="1463"/>
      </w:tblGrid>
      <w:tr w:rsidR="00675105" w:rsidRPr="007D162C" w14:paraId="21EA678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FD961CA" w14:textId="77777777" w:rsidR="00675105" w:rsidRPr="007D162C" w:rsidRDefault="08D050C4" w:rsidP="00675105">
            <w:r w:rsidRPr="007D162C">
              <w:t>Reform Option</w:t>
            </w:r>
          </w:p>
        </w:tc>
        <w:tc>
          <w:tcPr>
            <w:tcW w:w="1343" w:type="dxa"/>
          </w:tcPr>
          <w:p w14:paraId="118962D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EA0BCFF"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77F7101"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F1F228E"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87D90B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425318C"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374184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93860F" w14:textId="77777777" w:rsidR="00675105" w:rsidRPr="007D162C" w:rsidRDefault="00675105" w:rsidP="00675105">
            <w:r w:rsidRPr="007D162C">
              <w:t>Status Quo</w:t>
            </w:r>
          </w:p>
        </w:tc>
        <w:tc>
          <w:tcPr>
            <w:tcW w:w="1343" w:type="dxa"/>
          </w:tcPr>
          <w:p w14:paraId="0E8AAE44"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794C1EBF"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844807E"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7024C65"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E39AAD0"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55ACB98"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6458C5C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79251C5" w14:textId="77777777" w:rsidR="00675105" w:rsidRPr="007D162C" w:rsidRDefault="00675105" w:rsidP="00675105">
            <w:r w:rsidRPr="007D162C">
              <w:t xml:space="preserve">Non-regulatory </w:t>
            </w:r>
          </w:p>
        </w:tc>
        <w:tc>
          <w:tcPr>
            <w:tcW w:w="1343" w:type="dxa"/>
          </w:tcPr>
          <w:p w14:paraId="7357E3B5"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0DC77B3C"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38CF769A" w14:textId="77777777" w:rsidR="00675105" w:rsidRPr="007D162C" w:rsidRDefault="08D050C4" w:rsidP="00F7313B">
            <w:pPr>
              <w:tabs>
                <w:tab w:val="left" w:pos="783"/>
              </w:tabs>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A05C89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AEC1541" w14:textId="77777777" w:rsidR="00675105" w:rsidRPr="007D162C" w:rsidRDefault="08D050C4" w:rsidP="08D050C4">
            <w:pPr>
              <w:tabs>
                <w:tab w:val="left" w:pos="783"/>
              </w:tabs>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6DF82964" w14:textId="77777777" w:rsidR="00675105" w:rsidRPr="007D162C" w:rsidRDefault="08D050C4" w:rsidP="08D050C4">
            <w:pPr>
              <w:tabs>
                <w:tab w:val="left" w:pos="783"/>
              </w:tabs>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6B95509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CA96001" w14:textId="77777777" w:rsidR="00675105" w:rsidRPr="007D162C" w:rsidRDefault="00675105" w:rsidP="00675105">
            <w:r w:rsidRPr="007D162C">
              <w:t>Regulatory</w:t>
            </w:r>
          </w:p>
        </w:tc>
        <w:tc>
          <w:tcPr>
            <w:tcW w:w="1343" w:type="dxa"/>
          </w:tcPr>
          <w:p w14:paraId="48D4DCF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92E622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73773067" w14:textId="77777777" w:rsidR="00675105" w:rsidRPr="007D162C" w:rsidRDefault="08D050C4" w:rsidP="00F7313B">
            <w:pPr>
              <w:tabs>
                <w:tab w:val="left" w:pos="783"/>
              </w:tabs>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88C3E6"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FD0185D"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D43580B" w14:textId="77777777" w:rsidR="00675105" w:rsidRPr="007D162C" w:rsidRDefault="08D050C4" w:rsidP="08D050C4">
            <w:pPr>
              <w:tabs>
                <w:tab w:val="left" w:pos="783"/>
              </w:tabs>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5A40E22E" w14:textId="77777777" w:rsidR="00F7313B" w:rsidRPr="007D162C" w:rsidRDefault="00F7313B" w:rsidP="00F7313B"/>
    <w:p w14:paraId="0631E358" w14:textId="77777777" w:rsidR="00675105" w:rsidRPr="007D162C" w:rsidRDefault="00675105" w:rsidP="00675105">
      <w:pPr>
        <w:pStyle w:val="Heading4"/>
        <w:tabs>
          <w:tab w:val="left" w:pos="284"/>
        </w:tabs>
      </w:pPr>
      <w:r w:rsidRPr="007D162C">
        <w:t xml:space="preserve">Analysis of submissions </w:t>
      </w:r>
    </w:p>
    <w:p w14:paraId="42EB5846" w14:textId="77777777" w:rsidR="00675105" w:rsidRPr="007D162C" w:rsidRDefault="00675105" w:rsidP="00675105">
      <w:pPr>
        <w:pStyle w:val="Heading5"/>
      </w:pPr>
      <w:r w:rsidRPr="007D162C">
        <w:t>Status quo</w:t>
      </w:r>
    </w:p>
    <w:p w14:paraId="59A63CD6" w14:textId="2E036A79" w:rsidR="00675105" w:rsidRPr="007D162C" w:rsidRDefault="005428FC" w:rsidP="00493191">
      <w:pPr>
        <w:tabs>
          <w:tab w:val="left" w:pos="783"/>
        </w:tabs>
        <w:spacing w:before="80" w:after="80"/>
        <w:rPr>
          <w:rFonts w:ascii="Calibri" w:eastAsia="Calibri" w:hAnsi="Calibri" w:cs="Times New Roman"/>
          <w:color w:val="000000" w:themeColor="text1"/>
        </w:rPr>
      </w:pPr>
      <w:r>
        <w:rPr>
          <w:rFonts w:ascii="Calibri" w:eastAsia="Calibri" w:hAnsi="Calibri" w:cs="Times New Roman"/>
          <w:color w:val="000000" w:themeColor="text1"/>
        </w:rPr>
        <w:t>Lift</w:t>
      </w:r>
      <w:r w:rsidR="00675105" w:rsidRPr="007D162C">
        <w:rPr>
          <w:rFonts w:ascii="Calibri" w:eastAsia="Calibri" w:hAnsi="Calibri" w:cs="Times New Roman"/>
          <w:color w:val="000000" w:themeColor="text1"/>
        </w:rPr>
        <w:t xml:space="preserve"> design and technology have changed since the inception of the Transport Standards in 2002. The exemption for audible wayfinding no longer aligns with industry best practice in the manufacturing and installation of lifts. Under the status quo, there will continue to be no requirements for audio announcements in lifts serving less than three levels. </w:t>
      </w:r>
    </w:p>
    <w:p w14:paraId="5978BB8D"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Only one public transport operator and provider supported the status quo. The submission stated that they already require audible announcements at lift landings. It was not clear in the submission if the audible announcements mentioned include lifts serving less than three floors.  </w:t>
      </w:r>
    </w:p>
    <w:p w14:paraId="07BFF9F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Maintaining the status quo has no ongoing costs for public transport operators and providers. For people living with disability, the status quo would remain a barrier to independent travel.</w:t>
      </w:r>
    </w:p>
    <w:p w14:paraId="6AE49E11" w14:textId="77777777" w:rsidR="00675105" w:rsidRPr="007D162C" w:rsidRDefault="00675105" w:rsidP="00675105">
      <w:pPr>
        <w:pStyle w:val="Heading5"/>
      </w:pPr>
      <w:r w:rsidRPr="007D162C">
        <w:t>Non-regulatory</w:t>
      </w:r>
    </w:p>
    <w:p w14:paraId="5F90D441"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non-regulatory option is discretionary and does not provide certainty that guidance will be implemented.</w:t>
      </w:r>
    </w:p>
    <w:p w14:paraId="522BB8F9" w14:textId="54187554"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small number of public transport operators and providers supported the non-regulatory option. Supporters of the non-regulatory options raised concerns about the interaction with the requirements in the Premises Standards and costs to develop and install verbal audio announcements. One submission stated that most of their existing lift cars are equipped to deliver verbal audio announcements and those announcements exceed current Transport Standards requirements. It was not clear if the existing audible wayfinding requirements applied to lifts serving less than three floors.  </w:t>
      </w:r>
    </w:p>
    <w:p w14:paraId="72640FDB" w14:textId="77777777" w:rsidR="00675105" w:rsidRPr="007D162C" w:rsidRDefault="00675105" w:rsidP="00675105">
      <w:r w:rsidRPr="007D162C">
        <w:t xml:space="preserve">It was acknowledged by </w:t>
      </w:r>
      <w:r w:rsidRPr="007D162C">
        <w:rPr>
          <w:rFonts w:ascii="Calibri" w:eastAsia="Calibri" w:hAnsi="Calibri" w:cs="Times New Roman"/>
          <w:color w:val="000000" w:themeColor="text1"/>
        </w:rPr>
        <w:t>public transport operators and providers that the majority of their existing lifts had the capacity to deliver audible wayfinding cues. However, submissions raised concerns about retrofitting older lifts to deliver audio announcements.</w:t>
      </w:r>
    </w:p>
    <w:p w14:paraId="03C137E1" w14:textId="1C0E3067" w:rsidR="00675105" w:rsidRPr="007D162C" w:rsidRDefault="00675105" w:rsidP="00675105">
      <w:r w:rsidRPr="007D162C">
        <w:t xml:space="preserve">One submission indicated a preference for </w:t>
      </w:r>
      <w:r w:rsidR="005428FC">
        <w:t>o</w:t>
      </w:r>
      <w:r w:rsidRPr="007D162C">
        <w:t>ption 2, the performance-based non-regulatory option.</w:t>
      </w:r>
    </w:p>
    <w:p w14:paraId="268954D5" w14:textId="77777777" w:rsidR="00675105" w:rsidRPr="007D162C" w:rsidRDefault="00675105" w:rsidP="00675105">
      <w:r w:rsidRPr="007D162C">
        <w:t>There were no submissions received from people with disability or their advocates supporting the non-regulatory option.</w:t>
      </w:r>
    </w:p>
    <w:p w14:paraId="7D883BA7" w14:textId="77777777" w:rsidR="00675105" w:rsidRPr="007D162C" w:rsidRDefault="00675105" w:rsidP="00675105">
      <w:pPr>
        <w:pStyle w:val="Heading5"/>
      </w:pPr>
      <w:r w:rsidRPr="007D162C">
        <w:t>Regulatory</w:t>
      </w:r>
    </w:p>
    <w:p w14:paraId="6E65726C" w14:textId="77777777" w:rsidR="00675105" w:rsidRPr="007D162C" w:rsidRDefault="00675105" w:rsidP="00675105">
      <w:r w:rsidRPr="007D162C">
        <w:t>There are two regulatory options proposed. Both options would apply to premises (except premises to which the Premises Standards apply) and infrastructure (except airports that do not accept regular public transport services).</w:t>
      </w:r>
    </w:p>
    <w:p w14:paraId="44E383B5" w14:textId="77777777" w:rsidR="00675105" w:rsidRPr="007D162C" w:rsidRDefault="00675105" w:rsidP="00675105">
      <w:r w:rsidRPr="007D162C">
        <w:t xml:space="preserve">Submissions from people with disability and their advocates strongly supported the regulatory option. People with disability were evenly divided on regulatory option 1 and 2. Those who supported option 1, argued that prescriptive requirements would ensure consistency, while those who supported option 2 acknowledged that </w:t>
      </w:r>
      <w:r w:rsidRPr="007D162C">
        <w:rPr>
          <w:rFonts w:ascii="Calibri" w:eastAsia="Calibri" w:hAnsi="Calibri" w:cs="Times New Roman"/>
          <w:color w:val="000000" w:themeColor="text1"/>
        </w:rPr>
        <w:lastRenderedPageBreak/>
        <w:t xml:space="preserve">public transport operators and providers </w:t>
      </w:r>
      <w:r w:rsidRPr="007D162C">
        <w:t>may need performance-based requirements to deal with site specific issues.</w:t>
      </w:r>
    </w:p>
    <w:p w14:paraId="674094F0" w14:textId="79148E56" w:rsidR="00675105" w:rsidRPr="007D162C" w:rsidRDefault="00675105" w:rsidP="00675105">
      <w:r w:rsidRPr="007D162C">
        <w:t xml:space="preserve">People with disability and their advocates said the </w:t>
      </w:r>
      <w:r w:rsidR="00B559BD">
        <w:t xml:space="preserve">existing </w:t>
      </w:r>
      <w:r w:rsidRPr="007D162C">
        <w:t>Transport Standards requirement</w:t>
      </w:r>
      <w:r w:rsidR="00B559BD">
        <w:t>s</w:t>
      </w:r>
      <w:r w:rsidRPr="007D162C">
        <w:t xml:space="preserve"> were not acceptable. Without audible wayfinding cues, using public transport can be unsafe, interrupt their journey, undermine their independence and reduce their usage of public transport. </w:t>
      </w:r>
    </w:p>
    <w:p w14:paraId="339EA164" w14:textId="77777777" w:rsidR="00675105" w:rsidRPr="007D162C" w:rsidRDefault="00675105" w:rsidP="00675105">
      <w:pPr>
        <w:pStyle w:val="Quote"/>
      </w:pPr>
      <w:r w:rsidRPr="007D162C">
        <w:t>The increasing complexity of public transport infrastructure and premises have led to an unprecedented need for clear, consistent, and meaningful information to assist people who are blind or have low vision with independent and safe wayfinding.</w:t>
      </w:r>
    </w:p>
    <w:p w14:paraId="67A249E0" w14:textId="77777777" w:rsidR="00675105" w:rsidRPr="007D162C" w:rsidRDefault="00675105" w:rsidP="00675105">
      <w:pPr>
        <w:pStyle w:val="Quote"/>
      </w:pPr>
      <w:r w:rsidRPr="007D162C">
        <w:t>Vision Australia</w:t>
      </w:r>
    </w:p>
    <w:p w14:paraId="57F8FA54" w14:textId="77777777" w:rsidR="00675105" w:rsidRPr="007D162C" w:rsidRDefault="00675105" w:rsidP="00675105">
      <w:r w:rsidRPr="007D162C">
        <w:t xml:space="preserve">Most public transport operators and providers supported the regulatory option. Their submissions acknowledged the need for audible wayfinding cues and the benefits that would extend to other public transport passengers. </w:t>
      </w:r>
    </w:p>
    <w:p w14:paraId="05A84E32" w14:textId="77777777" w:rsidR="00675105" w:rsidRPr="007D162C" w:rsidRDefault="00675105" w:rsidP="00675105">
      <w:r w:rsidRPr="007D162C">
        <w:t>Public transport operators’ and providers’ submissions indicated that the regulatory option was of low complexity to implement and the number of lifts in scope and their capability to deliver audible announcements was known. Costs were likely to be limited to developing site-specific appropriate audible wayfinding cues for lifts serving less than three floors. The need to address site-specific factors meant most submission supported regulatory option 2.</w:t>
      </w:r>
    </w:p>
    <w:p w14:paraId="24CC9A4D"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5848300C" w14:textId="77777777" w:rsidR="00675105" w:rsidRPr="007D162C" w:rsidRDefault="00675105" w:rsidP="00675105">
      <w:r w:rsidRPr="007D162C">
        <w:t xml:space="preserve">Informed by the outcomes of consultation, impacts, cost and outcomes analysis, the preferred option is </w:t>
      </w:r>
      <w:r w:rsidRPr="007D162C">
        <w:rPr>
          <w:b/>
        </w:rPr>
        <w:t>Regulatory Option 2.</w:t>
      </w:r>
    </w:p>
    <w:p w14:paraId="64681F6A" w14:textId="77777777" w:rsidR="00675105" w:rsidRPr="007D162C" w:rsidRDefault="00675105" w:rsidP="00675105">
      <w:r w:rsidRPr="007D162C">
        <w:t>The consultation process provided evidence that lifts operating under three floors do not meet the varying needs of people with disability or provide accessible public transport services.</w:t>
      </w:r>
    </w:p>
    <w:p w14:paraId="098A044C" w14:textId="77777777" w:rsidR="00675105" w:rsidRPr="007D162C" w:rsidRDefault="00675105" w:rsidP="00675105">
      <w:r w:rsidRPr="007D162C">
        <w:t>Most existing lift cars can deliver verbal audio announcements. The limitation to the provision of audible wayfinding is due to the ongoing reference to the lift standard AS1735.12 (1999) in the Transport Standards.</w:t>
      </w:r>
    </w:p>
    <w:p w14:paraId="0ED38279" w14:textId="791E9E08" w:rsidR="00675105" w:rsidRPr="007D162C" w:rsidRDefault="00675105" w:rsidP="00675105">
      <w:r w:rsidRPr="007D162C">
        <w:t>It is noted all regulatory lift reforms areas in th</w:t>
      </w:r>
      <w:r w:rsidR="005428FC">
        <w:t>e DRIS</w:t>
      </w:r>
      <w:r w:rsidRPr="007D162C">
        <w:t xml:space="preserve">, which include reforms 17, 18, 19, 20 and 34, are addressed by adoption and reference to elements in AS1735.12 (2020). </w:t>
      </w:r>
    </w:p>
    <w:p w14:paraId="63410B89" w14:textId="77777777" w:rsidR="00675105" w:rsidRPr="007D162C" w:rsidRDefault="00675105" w:rsidP="00675105">
      <w:r w:rsidRPr="007D162C">
        <w:t>The regulatory option ensures that people living with disability can access and safely use public transport. For people with disability the regulatory option addresses consistency and certainty in accessing information while travelling across the transport network.</w:t>
      </w:r>
    </w:p>
    <w:p w14:paraId="51646DB8" w14:textId="0359F0B0" w:rsidR="00675105" w:rsidRPr="007D162C" w:rsidRDefault="00675105" w:rsidP="00675105">
      <w:r w:rsidRPr="007D162C">
        <w:t>Aligning the Transport Standards with industry best practice would provide certainty for transport owners and operators to meet their obligations under the Transport Standards. Updated Transport Standards Guidelines would support public transport operators in delivering performance-based requirements in regulatory option 2.</w:t>
      </w:r>
    </w:p>
    <w:p w14:paraId="480585AA" w14:textId="36A47B33" w:rsidR="003F5DDB" w:rsidRDefault="00675105" w:rsidP="00675105">
      <w:r w:rsidRPr="007D162C">
        <w:t>The preferred option will be implemented through amendments to the Transport Standards and Guidelines. Operators and providers will be required to meet the new Transport Standards requirements prospectively with a trigger mechanism.</w:t>
      </w:r>
    </w:p>
    <w:p w14:paraId="5F171A2F" w14:textId="77777777" w:rsidR="003F5DDB" w:rsidRDefault="003F5DDB">
      <w:pPr>
        <w:spacing w:line="259" w:lineRule="auto"/>
      </w:pPr>
      <w:r>
        <w:br w:type="page"/>
      </w:r>
    </w:p>
    <w:p w14:paraId="7CDC9DF3" w14:textId="77777777" w:rsidR="00675105" w:rsidRPr="007D162C" w:rsidRDefault="00675105" w:rsidP="00675105"/>
    <w:p w14:paraId="506E1FEE" w14:textId="77777777" w:rsidR="00675105" w:rsidRPr="007D162C" w:rsidRDefault="4C4858D8" w:rsidP="4C4858D8">
      <w:pPr>
        <w:pStyle w:val="Heading4"/>
      </w:pPr>
      <w:r w:rsidRPr="007D162C">
        <w:t>Interaction with Stage 1 reform area</w:t>
      </w:r>
    </w:p>
    <w:p w14:paraId="7CFCDAF0" w14:textId="15A531D1" w:rsidR="00675105" w:rsidRPr="007D162C" w:rsidRDefault="4C4858D8" w:rsidP="4C4858D8">
      <w:pPr>
        <w:pStyle w:val="Tablefigureheading"/>
      </w:pPr>
      <w:r w:rsidRPr="007D162C">
        <w:t xml:space="preserve">Table </w:t>
      </w:r>
      <w:r w:rsidRPr="007D162C">
        <w:rPr>
          <w:noProof/>
        </w:rPr>
        <w:t>54</w:t>
      </w:r>
      <w:r w:rsidRPr="007D162C">
        <w:t>: Interaction with stage 1 Lifts - Audible wayfinding</w:t>
      </w:r>
    </w:p>
    <w:tbl>
      <w:tblPr>
        <w:tblStyle w:val="DefaultTable1"/>
        <w:tblW w:w="0" w:type="auto"/>
        <w:tblLook w:val="04A0" w:firstRow="1" w:lastRow="0" w:firstColumn="1" w:lastColumn="0" w:noHBand="0" w:noVBand="1"/>
        <w:tblCaption w:val="Interaction with stage 1 Lifts - audible wayfinding"/>
      </w:tblPr>
      <w:tblGrid>
        <w:gridCol w:w="1638"/>
        <w:gridCol w:w="2190"/>
        <w:gridCol w:w="6036"/>
      </w:tblGrid>
      <w:tr w:rsidR="4C4858D8" w:rsidRPr="007D162C" w14:paraId="2196CEC9" w14:textId="77777777" w:rsidTr="4C48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13950CF" w14:textId="77777777" w:rsidR="4C4858D8" w:rsidRPr="007D162C" w:rsidRDefault="4C4858D8">
            <w:r w:rsidRPr="007D162C">
              <w:t>Stage 1 reform area</w:t>
            </w:r>
          </w:p>
        </w:tc>
        <w:tc>
          <w:tcPr>
            <w:tcW w:w="2190" w:type="dxa"/>
          </w:tcPr>
          <w:p w14:paraId="0043D778" w14:textId="77777777" w:rsidR="4C4858D8" w:rsidRPr="007D162C" w:rsidRDefault="4C4858D8">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3870A1FE" w14:textId="77777777" w:rsidR="4C4858D8" w:rsidRPr="007D162C" w:rsidRDefault="4C4858D8">
            <w:pPr>
              <w:cnfStyle w:val="100000000000" w:firstRow="1" w:lastRow="0" w:firstColumn="0" w:lastColumn="0" w:oddVBand="0" w:evenVBand="0" w:oddHBand="0" w:evenHBand="0" w:firstRowFirstColumn="0" w:firstRowLastColumn="0" w:lastRowFirstColumn="0" w:lastRowLastColumn="0"/>
            </w:pPr>
            <w:r w:rsidRPr="007D162C">
              <w:t>Description</w:t>
            </w:r>
          </w:p>
        </w:tc>
      </w:tr>
      <w:tr w:rsidR="4C4858D8" w:rsidRPr="007D162C" w14:paraId="1D9E3A14" w14:textId="77777777" w:rsidTr="4C48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5071E7E" w14:textId="77777777" w:rsidR="4C4858D8" w:rsidRPr="007D162C" w:rsidRDefault="4C4858D8">
            <w:pPr>
              <w:rPr>
                <w:b w:val="0"/>
              </w:rPr>
            </w:pPr>
            <w:r w:rsidRPr="007D162C">
              <w:rPr>
                <w:b w:val="0"/>
              </w:rPr>
              <w:t>Chapter 5.6: Lifts</w:t>
            </w:r>
          </w:p>
        </w:tc>
        <w:tc>
          <w:tcPr>
            <w:tcW w:w="2190" w:type="dxa"/>
          </w:tcPr>
          <w:p w14:paraId="540E6C60"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Require differing requirements for audio announcements at lift landings.</w:t>
            </w:r>
          </w:p>
        </w:tc>
        <w:tc>
          <w:tcPr>
            <w:tcW w:w="6036" w:type="dxa"/>
          </w:tcPr>
          <w:p w14:paraId="2BCBF6CC"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 xml:space="preserve">Stage 1 requires audio announcements when lifts stopped at more than two landings. </w:t>
            </w:r>
          </w:p>
          <w:p w14:paraId="7C4707AD" w14:textId="77777777" w:rsidR="4C4858D8" w:rsidRPr="007D162C" w:rsidRDefault="4C4858D8">
            <w:pPr>
              <w:cnfStyle w:val="000000100000" w:firstRow="0" w:lastRow="0" w:firstColumn="0" w:lastColumn="0" w:oddVBand="0" w:evenVBand="0" w:oddHBand="1" w:evenHBand="0" w:firstRowFirstColumn="0" w:firstRowLastColumn="0" w:lastRowFirstColumn="0" w:lastRowLastColumn="0"/>
            </w:pPr>
            <w:r w:rsidRPr="007D162C">
              <w:t>Stage 2 proposes audible wayfinding announcements at all landings through AS1735.12 (2020).</w:t>
            </w:r>
          </w:p>
        </w:tc>
      </w:tr>
    </w:tbl>
    <w:p w14:paraId="170A7F92" w14:textId="77777777" w:rsidR="00675105" w:rsidRPr="007D162C" w:rsidRDefault="4C4858D8" w:rsidP="4C4858D8">
      <w:pPr>
        <w:spacing w:before="240"/>
      </w:pPr>
      <w:r w:rsidRPr="007D162C">
        <w:t>The stage 2 reform options supersede stage 1 reform options. AS1735.12 (2020) requires audible wayfinding announcements at all landings. The AS1735.12 (2020) requirement would make the Stage 1 requirement for audio announcements when lifts stopped at more than two floors redundant.</w:t>
      </w:r>
    </w:p>
    <w:p w14:paraId="14D21BB7" w14:textId="29D78AF6" w:rsidR="00675105" w:rsidRPr="007D162C" w:rsidRDefault="00675105" w:rsidP="00675105">
      <w:r w:rsidRPr="007D162C">
        <w:br w:type="page"/>
      </w:r>
    </w:p>
    <w:p w14:paraId="5B7DF639" w14:textId="77777777" w:rsidR="00675105" w:rsidRPr="007D162C" w:rsidRDefault="00675105" w:rsidP="001B7B6E">
      <w:pPr>
        <w:pStyle w:val="Heading2"/>
        <w:numPr>
          <w:ilvl w:val="0"/>
          <w:numId w:val="26"/>
        </w:numPr>
        <w:ind w:hanging="1004"/>
        <w:jc w:val="center"/>
      </w:pPr>
      <w:bookmarkStart w:id="347" w:name="_Toc127351768"/>
      <w:bookmarkStart w:id="348" w:name="_Toc140239726"/>
      <w:bookmarkStart w:id="349" w:name="_Hlk118728032"/>
      <w:r w:rsidRPr="007D162C">
        <w:lastRenderedPageBreak/>
        <w:t>Lifts - Emergency communication systems in lift cars</w:t>
      </w:r>
      <w:bookmarkEnd w:id="347"/>
      <w:bookmarkEnd w:id="348"/>
    </w:p>
    <w:bookmarkEnd w:id="349"/>
    <w:p w14:paraId="0A5BD222" w14:textId="77777777" w:rsidR="00675105" w:rsidRPr="007D162C" w:rsidRDefault="00675105" w:rsidP="00675105">
      <w:pPr>
        <w:pStyle w:val="Heading4"/>
      </w:pPr>
      <w:r w:rsidRPr="007D162C">
        <w:t>Issue</w:t>
      </w:r>
    </w:p>
    <w:p w14:paraId="7F992BA1"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People who are deaf, hard of hearing, speech impaired or non-verbal are at risk of being unable to communicate the need for assistance during an emergency. The Transport Standards reference an out of date standard, which has no requirements for a means by which deaf, hard of hearing, speech impaired or non-verbal passengers in a lift car can communicate with staff in an emergency and receive a message confirming their call. The Transport Standards references AS1735.12 (1999) and updated requirements in AS1735.12 (2020) and AS1428.5 (2021) align with industry best practice in the provision of emergency communications in lift cars.</w:t>
      </w:r>
    </w:p>
    <w:p w14:paraId="322BB20E" w14:textId="77777777" w:rsidR="00675105" w:rsidRPr="007D162C" w:rsidRDefault="00675105" w:rsidP="00675105">
      <w:pPr>
        <w:tabs>
          <w:tab w:val="left" w:pos="284"/>
        </w:tabs>
      </w:pPr>
      <w:r w:rsidRPr="007D162C">
        <w:t xml:space="preserve">Collective government action would ensure emergency communication systems in lift cars are accessible and would address key stakeholder issues raised through the Transport Standards review process and promote consistency with the Premises Standards. </w:t>
      </w:r>
    </w:p>
    <w:p w14:paraId="515A9296" w14:textId="77777777" w:rsidR="00675105" w:rsidRPr="007D162C" w:rsidRDefault="00675105" w:rsidP="00675105">
      <w:pPr>
        <w:pStyle w:val="Heading4"/>
        <w:tabs>
          <w:tab w:val="left" w:pos="284"/>
        </w:tabs>
      </w:pPr>
      <w:r w:rsidRPr="007D162C">
        <w:t>Reform options</w:t>
      </w:r>
    </w:p>
    <w:p w14:paraId="1AB6539E" w14:textId="77777777" w:rsidR="00675105" w:rsidRPr="007D162C" w:rsidRDefault="00675105" w:rsidP="00675105">
      <w:pPr>
        <w:tabs>
          <w:tab w:val="left" w:pos="284"/>
        </w:tabs>
      </w:pPr>
      <w:r w:rsidRPr="007D162C">
        <w:t>Following is a summary of the proposed options for this reform. Full details of each reform option is provided at Appendix A.</w:t>
      </w:r>
    </w:p>
    <w:p w14:paraId="5FB2A70B" w14:textId="7295FF49" w:rsidR="00675105" w:rsidRPr="007D162C" w:rsidRDefault="00675105" w:rsidP="00493191">
      <w:pPr>
        <w:pStyle w:val="Tablefigureheading"/>
      </w:pPr>
      <w:bookmarkStart w:id="350" w:name="_Toc122446368"/>
      <w:bookmarkStart w:id="351" w:name="_Toc139969214"/>
      <w:r w:rsidRPr="007D162C">
        <w:t xml:space="preserve">Table </w:t>
      </w:r>
      <w:fldSimple w:instr=" SEQ Table \* ARABIC ">
        <w:r w:rsidR="00DC26AC">
          <w:rPr>
            <w:noProof/>
          </w:rPr>
          <w:t>56</w:t>
        </w:r>
      </w:fldSimple>
      <w:r w:rsidRPr="007D162C">
        <w:rPr>
          <w:noProof/>
        </w:rPr>
        <w:t>:</w:t>
      </w:r>
      <w:r w:rsidRPr="007D162C">
        <w:t xml:space="preserve"> Reform options for Lifts - </w:t>
      </w:r>
      <w:r w:rsidR="001075A6" w:rsidRPr="007D162C">
        <w:t>E</w:t>
      </w:r>
      <w:r w:rsidRPr="007D162C">
        <w:t>mergency communication systems in lift cars</w:t>
      </w:r>
      <w:bookmarkEnd w:id="350"/>
      <w:bookmarkEnd w:id="351"/>
    </w:p>
    <w:tbl>
      <w:tblPr>
        <w:tblStyle w:val="DefaultTable1"/>
        <w:tblW w:w="9072" w:type="dxa"/>
        <w:tblLook w:val="04A0" w:firstRow="1" w:lastRow="0" w:firstColumn="1" w:lastColumn="0" w:noHBand="0" w:noVBand="1"/>
        <w:tblCaption w:val="Reform options for Lifts - emergency communication systems in lift cars"/>
        <w:tblDescription w:val="This table provides a description of each of the options for this reform area. Status quo, non-regulatory and regulatory."/>
      </w:tblPr>
      <w:tblGrid>
        <w:gridCol w:w="2232"/>
        <w:gridCol w:w="6840"/>
      </w:tblGrid>
      <w:tr w:rsidR="00675105" w:rsidRPr="007D162C" w14:paraId="0873375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63BF383F" w14:textId="77777777" w:rsidR="00675105" w:rsidRPr="007D162C" w:rsidRDefault="00675105" w:rsidP="00675105">
            <w:r w:rsidRPr="007D162C">
              <w:t>Option</w:t>
            </w:r>
          </w:p>
        </w:tc>
        <w:tc>
          <w:tcPr>
            <w:tcW w:w="6840" w:type="dxa"/>
          </w:tcPr>
          <w:p w14:paraId="39DDAE44"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14FC72DF"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471E5613" w14:textId="77777777" w:rsidR="00675105" w:rsidRPr="007D162C" w:rsidRDefault="00675105" w:rsidP="00675105">
            <w:r w:rsidRPr="007D162C">
              <w:t>Status Quo</w:t>
            </w:r>
          </w:p>
        </w:tc>
        <w:tc>
          <w:tcPr>
            <w:tcW w:w="6840" w:type="dxa"/>
          </w:tcPr>
          <w:p w14:paraId="71D8F875" w14:textId="007AD66D"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reference an outdated Australian Standard that mean</w:t>
            </w:r>
            <w:r w:rsidR="00B559BD">
              <w:t>s</w:t>
            </w:r>
            <w:r w:rsidRPr="007D162C">
              <w:t xml:space="preserve"> people with disability would continue to encounter barriers to communicate for assistance during an emergency. </w:t>
            </w:r>
          </w:p>
          <w:p w14:paraId="2BC08D6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1793987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3CF8411" w14:textId="77777777" w:rsidR="00675105" w:rsidRPr="007D162C" w:rsidRDefault="00675105" w:rsidP="00675105">
            <w:r w:rsidRPr="007D162C">
              <w:t xml:space="preserve">Non-regulatory </w:t>
            </w:r>
          </w:p>
        </w:tc>
        <w:tc>
          <w:tcPr>
            <w:tcW w:w="6840" w:type="dxa"/>
          </w:tcPr>
          <w:p w14:paraId="3B0A5CB6"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Guidance would be developed that provides advice on emergency communications systems in lift cars to ensure deaf, hard of hearing, speech impaired or non-verbal passengers are able to communicate with staff in an emergency and receive a message confirming their call. </w:t>
            </w:r>
          </w:p>
        </w:tc>
      </w:tr>
      <w:tr w:rsidR="00675105" w:rsidRPr="007D162C" w14:paraId="0125A36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44D1215" w14:textId="77777777" w:rsidR="00675105" w:rsidRPr="007D162C" w:rsidRDefault="00675105" w:rsidP="00675105">
            <w:r w:rsidRPr="007D162C">
              <w:t>Regulatory</w:t>
            </w:r>
          </w:p>
        </w:tc>
        <w:tc>
          <w:tcPr>
            <w:tcW w:w="6840" w:type="dxa"/>
          </w:tcPr>
          <w:p w14:paraId="6BBB64F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update Australian Standard references to more contemporary standards.</w:t>
            </w:r>
          </w:p>
          <w:p w14:paraId="0F1DB140"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1BFAF812" w14:textId="77777777" w:rsidR="001E307C" w:rsidRPr="007D162C" w:rsidRDefault="001E307C" w:rsidP="001E307C"/>
    <w:p w14:paraId="060B86DD" w14:textId="77777777" w:rsidR="00675105" w:rsidRPr="007D162C" w:rsidRDefault="00675105" w:rsidP="00675105">
      <w:pPr>
        <w:pStyle w:val="Heading4"/>
        <w:tabs>
          <w:tab w:val="left" w:pos="284"/>
        </w:tabs>
      </w:pPr>
      <w:r w:rsidRPr="007D162C">
        <w:t>Cost benefit analysis</w:t>
      </w:r>
    </w:p>
    <w:p w14:paraId="03416D5F" w14:textId="77777777" w:rsidR="00675105" w:rsidRPr="007D162C" w:rsidRDefault="00675105" w:rsidP="00493191">
      <w:pPr>
        <w:pStyle w:val="Heading6"/>
      </w:pPr>
      <w:r w:rsidRPr="007D162C">
        <w:t xml:space="preserve">Quantitative assessment </w:t>
      </w:r>
    </w:p>
    <w:p w14:paraId="000D7D44" w14:textId="77777777" w:rsidR="001E307C" w:rsidRPr="007D162C" w:rsidRDefault="00675105" w:rsidP="00675105">
      <w:r w:rsidRPr="007D162C">
        <w:t xml:space="preserve">The following categories of quantitative costs and benefits were identified in the CBA as pertaining to the reform options. </w:t>
      </w:r>
    </w:p>
    <w:p w14:paraId="208B47D3" w14:textId="77777777" w:rsidR="001E307C" w:rsidRPr="007D162C" w:rsidRDefault="001E307C" w:rsidP="001E307C">
      <w:r w:rsidRPr="007D162C">
        <w:br w:type="page"/>
      </w:r>
    </w:p>
    <w:p w14:paraId="1A4F3FA1" w14:textId="77777777" w:rsidR="00675105" w:rsidRPr="007D162C" w:rsidRDefault="00675105" w:rsidP="00675105"/>
    <w:p w14:paraId="6D48C9C5" w14:textId="08DAE7A3" w:rsidR="00675105" w:rsidRPr="007D162C" w:rsidRDefault="00675105" w:rsidP="00493191">
      <w:pPr>
        <w:pStyle w:val="Tablefigureheading"/>
      </w:pPr>
      <w:bookmarkStart w:id="352" w:name="_Toc122446369"/>
      <w:bookmarkStart w:id="353" w:name="_Toc139969215"/>
      <w:r w:rsidRPr="007D162C">
        <w:t xml:space="preserve">Table </w:t>
      </w:r>
      <w:fldSimple w:instr=" SEQ Table \* ARABIC ">
        <w:r w:rsidR="00DC26AC">
          <w:rPr>
            <w:noProof/>
          </w:rPr>
          <w:t>57</w:t>
        </w:r>
      </w:fldSimple>
      <w:r w:rsidRPr="007D162C">
        <w:t xml:space="preserve">: Benefit-cost ratios for Lifts - </w:t>
      </w:r>
      <w:r w:rsidR="001075A6" w:rsidRPr="007D162C">
        <w:t>E</w:t>
      </w:r>
      <w:r w:rsidRPr="007D162C">
        <w:t>mergency communication systems in lift cars</w:t>
      </w:r>
      <w:bookmarkEnd w:id="352"/>
      <w:bookmarkEnd w:id="353"/>
    </w:p>
    <w:tbl>
      <w:tblPr>
        <w:tblStyle w:val="DefaultTable1"/>
        <w:tblW w:w="9864" w:type="dxa"/>
        <w:tblLook w:val="04A0" w:firstRow="1" w:lastRow="0" w:firstColumn="1" w:lastColumn="0" w:noHBand="0" w:noVBand="1"/>
        <w:tblCaption w:val="Benefit-cost ratios for Lifts - emergency communication systems in lift cars"/>
        <w:tblDescription w:val="This table provides the monetised benefits and costs for each of the options for this reform area."/>
      </w:tblPr>
      <w:tblGrid>
        <w:gridCol w:w="2552"/>
        <w:gridCol w:w="1227"/>
        <w:gridCol w:w="1648"/>
        <w:gridCol w:w="1692"/>
        <w:gridCol w:w="1685"/>
        <w:gridCol w:w="1060"/>
      </w:tblGrid>
      <w:tr w:rsidR="00675105" w:rsidRPr="007D162C" w14:paraId="2CA2374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C7172F2" w14:textId="77777777" w:rsidR="00675105" w:rsidRPr="007D162C" w:rsidRDefault="08D050C4" w:rsidP="00675105">
            <w:r w:rsidRPr="007D162C">
              <w:t>Reform Option</w:t>
            </w:r>
          </w:p>
        </w:tc>
        <w:tc>
          <w:tcPr>
            <w:tcW w:w="1227" w:type="dxa"/>
          </w:tcPr>
          <w:p w14:paraId="4753627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64F4493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0AA8A2DD"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027CA56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60" w:type="dxa"/>
          </w:tcPr>
          <w:p w14:paraId="02E1D482"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163E0D5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2F642B" w14:textId="77777777" w:rsidR="00675105" w:rsidRPr="007D162C" w:rsidRDefault="00675105" w:rsidP="00675105">
            <w:r w:rsidRPr="007D162C">
              <w:t>Status Quo</w:t>
            </w:r>
          </w:p>
        </w:tc>
        <w:tc>
          <w:tcPr>
            <w:tcW w:w="1227" w:type="dxa"/>
          </w:tcPr>
          <w:p w14:paraId="4322C5D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8" w:type="dxa"/>
          </w:tcPr>
          <w:p w14:paraId="280C0153"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92" w:type="dxa"/>
          </w:tcPr>
          <w:p w14:paraId="6F9BA68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85" w:type="dxa"/>
          </w:tcPr>
          <w:p w14:paraId="4150F0B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60" w:type="dxa"/>
          </w:tcPr>
          <w:p w14:paraId="592FB4F5"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309CACD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6592C9D9" w14:textId="77777777" w:rsidR="00675105" w:rsidRPr="007D162C" w:rsidRDefault="00675105" w:rsidP="00675105">
            <w:r w:rsidRPr="007D162C">
              <w:t xml:space="preserve">Non-regulatory </w:t>
            </w:r>
          </w:p>
        </w:tc>
        <w:tc>
          <w:tcPr>
            <w:tcW w:w="1227" w:type="dxa"/>
            <w:vAlign w:val="center"/>
          </w:tcPr>
          <w:p w14:paraId="4B5684B7"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648" w:type="dxa"/>
          </w:tcPr>
          <w:p w14:paraId="512E361F"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692" w:type="dxa"/>
            <w:vAlign w:val="center"/>
          </w:tcPr>
          <w:p w14:paraId="74DF34B3"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1.0</w:t>
            </w:r>
          </w:p>
        </w:tc>
        <w:tc>
          <w:tcPr>
            <w:tcW w:w="1685" w:type="dxa"/>
            <w:vAlign w:val="center"/>
          </w:tcPr>
          <w:p w14:paraId="31F5B76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t>1.0</w:t>
            </w:r>
            <w:r w:rsidR="001E307C" w:rsidRPr="007D162C">
              <w:rPr>
                <w:vertAlign w:val="superscript"/>
              </w:rPr>
              <w:t>i</w:t>
            </w:r>
          </w:p>
        </w:tc>
        <w:tc>
          <w:tcPr>
            <w:tcW w:w="1060" w:type="dxa"/>
            <w:vAlign w:val="center"/>
          </w:tcPr>
          <w:p w14:paraId="3A88E3EC"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0.12</w:t>
            </w:r>
          </w:p>
        </w:tc>
      </w:tr>
      <w:tr w:rsidR="00675105" w:rsidRPr="007D162C" w14:paraId="46C153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9FF20D" w14:textId="77777777" w:rsidR="00675105" w:rsidRPr="007D162C" w:rsidRDefault="00675105" w:rsidP="00675105">
            <w:r w:rsidRPr="007D162C">
              <w:t>Regulatory</w:t>
            </w:r>
          </w:p>
        </w:tc>
        <w:tc>
          <w:tcPr>
            <w:tcW w:w="1227" w:type="dxa"/>
            <w:vAlign w:val="center"/>
          </w:tcPr>
          <w:p w14:paraId="6415A1C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39.8</w:t>
            </w:r>
          </w:p>
        </w:tc>
        <w:tc>
          <w:tcPr>
            <w:tcW w:w="1648" w:type="dxa"/>
          </w:tcPr>
          <w:p w14:paraId="2CED47C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692" w:type="dxa"/>
            <w:vAlign w:val="center"/>
          </w:tcPr>
          <w:p w14:paraId="25E8A03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8.8</w:t>
            </w:r>
          </w:p>
        </w:tc>
        <w:tc>
          <w:tcPr>
            <w:tcW w:w="1685" w:type="dxa"/>
            <w:vAlign w:val="center"/>
          </w:tcPr>
          <w:p w14:paraId="6857843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8.8</w:t>
            </w:r>
          </w:p>
        </w:tc>
        <w:tc>
          <w:tcPr>
            <w:tcW w:w="1060" w:type="dxa"/>
            <w:vAlign w:val="center"/>
          </w:tcPr>
          <w:p w14:paraId="0079410D"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4.52</w:t>
            </w:r>
          </w:p>
        </w:tc>
      </w:tr>
    </w:tbl>
    <w:p w14:paraId="01A2F187"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631886FB"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3EFF3B34" w14:textId="77777777" w:rsidR="00493191" w:rsidRPr="007D162C" w:rsidRDefault="00493191" w:rsidP="00493191"/>
    <w:p w14:paraId="608F0E09" w14:textId="77777777" w:rsidR="00675105" w:rsidRPr="007D162C" w:rsidRDefault="00675105" w:rsidP="00675105">
      <w:pPr>
        <w:pStyle w:val="Heading6"/>
      </w:pPr>
      <w:r w:rsidRPr="007D162C">
        <w:t>Considerations to note in interpreting analysis</w:t>
      </w:r>
    </w:p>
    <w:p w14:paraId="6B1A486F" w14:textId="77777777" w:rsidR="00675105" w:rsidRPr="007D162C" w:rsidRDefault="00675105" w:rsidP="001E307C">
      <w:pPr>
        <w:pStyle w:val="Heading7"/>
      </w:pPr>
      <w:r w:rsidRPr="007D162C">
        <w:t>Limitations</w:t>
      </w:r>
    </w:p>
    <w:p w14:paraId="6A59AA01" w14:textId="77777777" w:rsidR="00675105" w:rsidRPr="007D162C" w:rsidRDefault="00675105" w:rsidP="001E307C">
      <w:pPr>
        <w:pStyle w:val="Heading8"/>
      </w:pPr>
      <w:r w:rsidRPr="007D162C">
        <w:t>Non-regulatory</w:t>
      </w:r>
    </w:p>
    <w:p w14:paraId="0CDBE6EC" w14:textId="049AC811" w:rsidR="00675105" w:rsidRPr="007D162C" w:rsidRDefault="00675105" w:rsidP="00493191">
      <w:r w:rsidRPr="007D162C">
        <w:t>The costs and benefits associated with the non-regulatory reform are lower than its regulatory counterpart reflecting an assumed lower rate of compliance with the reform. An estimated rate of uptake of 15</w:t>
      </w:r>
      <w:r w:rsidR="0079621E">
        <w:t xml:space="preserve"> per cent</w:t>
      </w:r>
      <w:r w:rsidRPr="007D162C">
        <w:t xml:space="preserve"> was applied to the non-regulatory option based on the high complexity to implement and maintain the emergency communication systems in lifts where they are not currently installed or operational. This implies that the benefits and costs quantified for this non-regulatory reform may not reflect future take-up of the reform.</w:t>
      </w:r>
    </w:p>
    <w:p w14:paraId="6B369731" w14:textId="77777777" w:rsidR="00675105" w:rsidRPr="007D162C" w:rsidRDefault="00675105" w:rsidP="001E307C">
      <w:pPr>
        <w:pStyle w:val="Heading8"/>
      </w:pPr>
      <w:r w:rsidRPr="007D162C">
        <w:t>Regulatory</w:t>
      </w:r>
    </w:p>
    <w:p w14:paraId="28531A21" w14:textId="77777777" w:rsidR="00675105" w:rsidRPr="007D162C" w:rsidRDefault="00675105" w:rsidP="00493191">
      <w:r w:rsidRPr="007D162C">
        <w:t>The benefits and costs of this reform were estimated through limited data provided through the survey and costs developed by Rider Levitt Bucknall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171E2A0D" w14:textId="77777777" w:rsidR="00675105" w:rsidRPr="007D162C" w:rsidRDefault="00675105" w:rsidP="00493191">
      <w:r w:rsidRPr="007D162C">
        <w:t>Lifts covered by the Premises Standards were compliant, implying cost implications for remaining lifts and with benefits impacting all public transport users, specifically those with hearing impairments.</w:t>
      </w:r>
    </w:p>
    <w:p w14:paraId="7B3FE1D4" w14:textId="77777777" w:rsidR="00675105" w:rsidRPr="007D162C" w:rsidRDefault="00675105" w:rsidP="001E307C">
      <w:pPr>
        <w:pStyle w:val="Heading8"/>
      </w:pPr>
      <w:r w:rsidRPr="007D162C">
        <w:t>Interdependencies</w:t>
      </w:r>
    </w:p>
    <w:p w14:paraId="5CC76931" w14:textId="77777777" w:rsidR="00675105" w:rsidRPr="007D162C" w:rsidRDefault="08D050C4" w:rsidP="00493191">
      <w:r w:rsidRPr="007D162C">
        <w:t>The accessibility benefits of this reform will only be realised if there was equitable access across the whole public transport journey, with benefits reliant on implementation of other reforms related to other lift infrastructure.</w:t>
      </w:r>
    </w:p>
    <w:p w14:paraId="691B5B48" w14:textId="77777777" w:rsidR="00675105" w:rsidRPr="007D162C" w:rsidRDefault="00675105" w:rsidP="00493191">
      <w:pPr>
        <w:pStyle w:val="Heading6"/>
      </w:pPr>
      <w:r w:rsidRPr="007D162C">
        <w:t xml:space="preserve">Qualitative assessment </w:t>
      </w:r>
    </w:p>
    <w:p w14:paraId="5989DB3B" w14:textId="471F8918" w:rsidR="0079621E" w:rsidRDefault="00675105" w:rsidP="00675105">
      <w:r w:rsidRPr="007D162C">
        <w:t>The following categories of qualitative benefits were identified in the CBA as pertaining to the reform options.</w:t>
      </w:r>
    </w:p>
    <w:p w14:paraId="18AC4CDD" w14:textId="4CF2790D" w:rsidR="00675105" w:rsidRPr="007D162C" w:rsidRDefault="00675105" w:rsidP="001E307C">
      <w:pPr>
        <w:pStyle w:val="Tablefigureheading"/>
      </w:pPr>
      <w:bookmarkStart w:id="354" w:name="_Toc122446370"/>
      <w:bookmarkStart w:id="355" w:name="_Toc139969216"/>
      <w:r w:rsidRPr="007D162C">
        <w:t xml:space="preserve">Table </w:t>
      </w:r>
      <w:fldSimple w:instr=" SEQ Table \* ARABIC ">
        <w:r w:rsidR="00DC26AC">
          <w:rPr>
            <w:noProof/>
          </w:rPr>
          <w:t>58</w:t>
        </w:r>
      </w:fldSimple>
      <w:r w:rsidRPr="007D162C">
        <w:rPr>
          <w:noProof/>
        </w:rPr>
        <w:t xml:space="preserve">: </w:t>
      </w:r>
      <w:r w:rsidRPr="007D162C">
        <w:t xml:space="preserve">Qualitative benefits </w:t>
      </w:r>
      <w:r w:rsidRPr="007D162C">
        <w:rPr>
          <w:noProof/>
        </w:rPr>
        <w:t>for</w:t>
      </w:r>
      <w:r w:rsidRPr="007D162C">
        <w:t xml:space="preserve"> Lifts - </w:t>
      </w:r>
      <w:r w:rsidR="001075A6" w:rsidRPr="007D162C">
        <w:t>E</w:t>
      </w:r>
      <w:r w:rsidRPr="007D162C">
        <w:t>mergency communication systems in lift cars</w:t>
      </w:r>
      <w:bookmarkEnd w:id="354"/>
      <w:bookmarkEnd w:id="355"/>
    </w:p>
    <w:tbl>
      <w:tblPr>
        <w:tblStyle w:val="DefaultTable1"/>
        <w:tblW w:w="9864" w:type="dxa"/>
        <w:tblLook w:val="04A0" w:firstRow="1" w:lastRow="0" w:firstColumn="1" w:lastColumn="0" w:noHBand="0" w:noVBand="1"/>
        <w:tblCaption w:val="Qualitative benefits for Lifts - emergency communication systems in lift cars"/>
      </w:tblPr>
      <w:tblGrid>
        <w:gridCol w:w="1213"/>
        <w:gridCol w:w="1343"/>
        <w:gridCol w:w="1626"/>
        <w:gridCol w:w="1300"/>
        <w:gridCol w:w="1278"/>
        <w:gridCol w:w="1641"/>
        <w:gridCol w:w="1463"/>
      </w:tblGrid>
      <w:tr w:rsidR="00675105" w:rsidRPr="007D162C" w14:paraId="17E70E7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50D7960" w14:textId="77777777" w:rsidR="00675105" w:rsidRPr="007D162C" w:rsidRDefault="08D050C4" w:rsidP="00675105">
            <w:r w:rsidRPr="007D162C">
              <w:t>Reform Option</w:t>
            </w:r>
          </w:p>
        </w:tc>
        <w:tc>
          <w:tcPr>
            <w:tcW w:w="1343" w:type="dxa"/>
          </w:tcPr>
          <w:p w14:paraId="10F62F7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4F87CF0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81E47D7"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CB6C618"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ADA4907"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330883B"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02CC568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62376BA" w14:textId="77777777" w:rsidR="00675105" w:rsidRPr="007D162C" w:rsidRDefault="00675105" w:rsidP="00675105">
            <w:r w:rsidRPr="007D162C">
              <w:t>Status Quo</w:t>
            </w:r>
          </w:p>
        </w:tc>
        <w:tc>
          <w:tcPr>
            <w:tcW w:w="1343" w:type="dxa"/>
          </w:tcPr>
          <w:p w14:paraId="698E8294"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1B344CC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4071F5B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6EEC2048"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739F49D6"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40E0954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2956700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741F8128" w14:textId="77777777" w:rsidR="00675105" w:rsidRPr="007D162C" w:rsidRDefault="00675105" w:rsidP="00675105">
            <w:r w:rsidRPr="007D162C">
              <w:t xml:space="preserve">Non-regulatory </w:t>
            </w:r>
          </w:p>
        </w:tc>
        <w:tc>
          <w:tcPr>
            <w:tcW w:w="1343" w:type="dxa"/>
          </w:tcPr>
          <w:p w14:paraId="77AAC3C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D24CD5B"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37E6FAD8"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333201C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07A991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1A50D05E"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4618879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149A20" w14:textId="77777777" w:rsidR="00675105" w:rsidRPr="007D162C" w:rsidRDefault="00675105" w:rsidP="00675105">
            <w:r w:rsidRPr="007D162C">
              <w:t>Regulatory</w:t>
            </w:r>
          </w:p>
        </w:tc>
        <w:tc>
          <w:tcPr>
            <w:tcW w:w="1343" w:type="dxa"/>
          </w:tcPr>
          <w:p w14:paraId="5569B8CE"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3E3A85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5FBE65A7"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264E9328"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2F70370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EFCDF8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3616EA19" w14:textId="77777777" w:rsidR="001E307C" w:rsidRPr="007D162C" w:rsidRDefault="001E307C" w:rsidP="001E307C"/>
    <w:p w14:paraId="281FA20B" w14:textId="77777777" w:rsidR="00675105" w:rsidRPr="007D162C" w:rsidRDefault="00675105" w:rsidP="00675105">
      <w:pPr>
        <w:pStyle w:val="Heading4"/>
        <w:tabs>
          <w:tab w:val="left" w:pos="284"/>
        </w:tabs>
      </w:pPr>
      <w:r w:rsidRPr="007D162C">
        <w:lastRenderedPageBreak/>
        <w:t xml:space="preserve">Analysis of submissions </w:t>
      </w:r>
    </w:p>
    <w:p w14:paraId="6098351E" w14:textId="77777777" w:rsidR="00675105" w:rsidRPr="007D162C" w:rsidRDefault="00675105" w:rsidP="00675105">
      <w:pPr>
        <w:pStyle w:val="Heading5"/>
      </w:pPr>
      <w:r w:rsidRPr="007D162C">
        <w:t>Status quo</w:t>
      </w:r>
    </w:p>
    <w:p w14:paraId="4A3AB7C9" w14:textId="1926AA12"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Transport Standards reference AS1735.12 (1999) Lifts, escalators and moving walks. The </w:t>
      </w:r>
      <w:bookmarkStart w:id="356" w:name="_Hlk120095522"/>
      <w:r w:rsidRPr="007D162C">
        <w:rPr>
          <w:rFonts w:ascii="Calibri" w:eastAsia="Calibri" w:hAnsi="Calibri" w:cs="Times New Roman"/>
          <w:color w:val="000000" w:themeColor="text1"/>
        </w:rPr>
        <w:t>standard referenced has no requirements for a means by which deaf, hard of hearing, speech impaired or non-verbal passengers in a lift car can communicate with staff in an emergency and receive a message confirming their call.</w:t>
      </w:r>
    </w:p>
    <w:bookmarkEnd w:id="356"/>
    <w:p w14:paraId="49A96579"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The absence of adequate emergency communication systems presents a barrier to independent travel. People with disability may find themselves in an emergency with no means to communicate or contact staff. Emergencies where passengers cannot communicate with staff can cause considerable anxiety for individuals who experience such a situation. The cohort of passengers that is affected is positively correlated with increasing age. Australia's ageing population means that the number of people affected will likely increase.</w:t>
      </w:r>
    </w:p>
    <w:p w14:paraId="4EBE859A" w14:textId="32C54014"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This issue is addressed in overseas jurisdictions by complying with more recent lift standards requirements. One submission supported the status quo and said lifts in transport areas should be no different to lifts in premises. </w:t>
      </w:r>
    </w:p>
    <w:p w14:paraId="7E1837F7"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Maintaining the status quo has no ongoing costs or additional regulatory burden for public transport operators and providers; however, the negative impacts on people with disability would remain.</w:t>
      </w:r>
    </w:p>
    <w:p w14:paraId="0227F978" w14:textId="77777777" w:rsidR="00675105" w:rsidRPr="007D162C" w:rsidRDefault="00675105" w:rsidP="00675105">
      <w:pPr>
        <w:pStyle w:val="Heading5"/>
      </w:pPr>
      <w:r w:rsidRPr="007D162C">
        <w:t>Non-regulatory</w:t>
      </w:r>
    </w:p>
    <w:p w14:paraId="529A1216"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Guidance proposed in the non-regulatory option is intended to reduce barriers for deaf, hard of hearing, speech impaired, or non-verbal people to communicate with staff in an emergency and receive a message confirming their call.</w:t>
      </w:r>
    </w:p>
    <w:p w14:paraId="7BB4B740" w14:textId="78A66C0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non-regulatory option may reduce the lack of alignment between the Transport and Premises </w:t>
      </w:r>
      <w:r w:rsidR="0079621E">
        <w:rPr>
          <w:rFonts w:ascii="Calibri" w:eastAsia="Calibri" w:hAnsi="Calibri" w:cs="Times New Roman"/>
          <w:color w:val="000000" w:themeColor="text1"/>
        </w:rPr>
        <w:t>S</w:t>
      </w:r>
      <w:r w:rsidRPr="007D162C">
        <w:rPr>
          <w:rFonts w:ascii="Calibri" w:eastAsia="Calibri" w:hAnsi="Calibri" w:cs="Times New Roman"/>
          <w:color w:val="000000" w:themeColor="text1"/>
        </w:rPr>
        <w:t xml:space="preserve">tandards. Feedback from the disability sector, governments, and public transport operators and providers indicates that requirements in the Premises Standards and National Construction Code reference more recent Australian Standards. </w:t>
      </w:r>
    </w:p>
    <w:p w14:paraId="5EE6FA40"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There were no submissions from people living with disability or disability advocates that supported the non-regulatory option.</w:t>
      </w:r>
    </w:p>
    <w:p w14:paraId="5E1B4795" w14:textId="238B4899"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Of the few public transport operators and providers who supported the non-regulatory option, the reason most often cited was their existing compliance with the requirements in the National Construction Code and the Australian Standards referenced in the Premises Standards.</w:t>
      </w:r>
    </w:p>
    <w:p w14:paraId="57961344"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Transport operators and providers who believed they exceeded the current requirements of the Transport Standards also raised concerns about the implementation costs of the regulatory option</w:t>
      </w:r>
    </w:p>
    <w:p w14:paraId="336E0660" w14:textId="77777777" w:rsidR="00675105" w:rsidRPr="007D162C" w:rsidRDefault="00675105" w:rsidP="00675105">
      <w:pPr>
        <w:pStyle w:val="Heading5"/>
      </w:pPr>
      <w:r w:rsidRPr="007D162C">
        <w:t>Regulatory</w:t>
      </w:r>
    </w:p>
    <w:p w14:paraId="1EF74F38" w14:textId="29D5A8D1"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requirements proposed in the regulatory option intend to provide certainty in emergency communications in lift cars. </w:t>
      </w:r>
    </w:p>
    <w:p w14:paraId="10A6CF9E"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Submissions from individuals, people with disability and disability organisations, outlined safety risks and discrimination in the provision of emergency communication systems in the Transport Standards.</w:t>
      </w:r>
    </w:p>
    <w:p w14:paraId="6A77A3AF"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Most submissions from individuals, people with disability and disability organisations expressed support for a regulatory approach to address this issue. These stakeholders preferred the regulatory option because it addressed the safety issues arising from the Transport Standard's reference to an outdated standard. Regulation would ensure alignment with other disability standards.</w:t>
      </w:r>
    </w:p>
    <w:p w14:paraId="0ACF4EC3" w14:textId="7560E362"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It is acknowledged that AS1428.5 (2021) signage requirements contained in clause 3.2.14 may not align with AS1428.1 (2009) signage requirements. However, the Transport and Premises Standard</w:t>
      </w:r>
      <w:r w:rsidR="0079621E">
        <w:rPr>
          <w:rFonts w:ascii="Calibri" w:eastAsia="Calibri" w:hAnsi="Calibri" w:cs="Times New Roman"/>
          <w:color w:val="000000" w:themeColor="text1"/>
        </w:rPr>
        <w:t>s</w:t>
      </w:r>
      <w:r w:rsidRPr="007D162C">
        <w:rPr>
          <w:rFonts w:ascii="Calibri" w:eastAsia="Calibri" w:hAnsi="Calibri" w:cs="Times New Roman"/>
          <w:color w:val="000000" w:themeColor="text1"/>
        </w:rPr>
        <w:t xml:space="preserve"> are reviewing </w:t>
      </w:r>
      <w:r w:rsidRPr="007D162C">
        <w:rPr>
          <w:rFonts w:ascii="Calibri" w:eastAsia="Calibri" w:hAnsi="Calibri" w:cs="Times New Roman"/>
          <w:color w:val="000000" w:themeColor="text1"/>
        </w:rPr>
        <w:lastRenderedPageBreak/>
        <w:t xml:space="preserve">references with a view to updating their references to the AS1428.1 (2021) standard, which would address these minor differences. </w:t>
      </w:r>
    </w:p>
    <w:p w14:paraId="4E0D4EAE"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Most submissions from public transport operators and providers recognised the need for improved emergency communication in lifts to promote inclusion and address safety issues at non-staffed stations. Transport operators and providers raised cost concerns about the costs associated with legacy and heritage assets. To address the issue of legacy and heritage assets a small number of submissions stated a preference for the regulation to apply to new or significantly renovated lifts.</w:t>
      </w:r>
    </w:p>
    <w:p w14:paraId="6F9039C2"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few stakeholders, supporting the regulatory option, called for further work to be undertaken on best practice for addressing people who may be unable to communicate verbally or in English. </w:t>
      </w:r>
    </w:p>
    <w:p w14:paraId="0B04AB6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cost-benefit analysis took the most conservative approach in estimating the regulatory option and included capital and operating costs associated with retrofitting or providing new facilities for emergency communication systems in lift cars. </w:t>
      </w:r>
    </w:p>
    <w:p w14:paraId="4D3180CA"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7F26997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regulatory option.</w:t>
      </w:r>
    </w:p>
    <w:p w14:paraId="06D9C957"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The preferred regulatory option, supported by most disability, government and industry stakeholders, ensures that people who are deaf, hard of hearing, speech impaired or non-verbal can contact employees from lift cars in an emergency and receive a message confirming their call.</w:t>
      </w:r>
    </w:p>
    <w:p w14:paraId="6C0DCC1F" w14:textId="2A401572"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The preferred option ensures that transport operators and providers have greater certainty that they meet their responsibilities under t</w:t>
      </w:r>
      <w:r w:rsidR="0079621E">
        <w:rPr>
          <w:rFonts w:ascii="Calibri" w:eastAsia="Calibri" w:hAnsi="Calibri" w:cs="Times New Roman"/>
          <w:color w:val="000000" w:themeColor="text1"/>
        </w:rPr>
        <w:t>he DDA</w:t>
      </w:r>
      <w:r w:rsidRPr="007D162C">
        <w:rPr>
          <w:rFonts w:ascii="Calibri" w:eastAsia="Calibri" w:hAnsi="Calibri" w:cs="Times New Roman"/>
          <w:color w:val="000000" w:themeColor="text1"/>
        </w:rPr>
        <w:t xml:space="preserve">. Harmonising the Transport Standards with current requirements in the lift industry and aligning with the Premises Standards and National Construction Code provides certainty for public transport operators and providers. </w:t>
      </w:r>
    </w:p>
    <w:p w14:paraId="685C9FF8" w14:textId="77777777" w:rsidR="00675105" w:rsidRPr="007D162C" w:rsidRDefault="00675105" w:rsidP="00675105">
      <w:pPr>
        <w:spacing w:before="240" w:after="240"/>
        <w:rPr>
          <w:rFonts w:ascii="Calibri" w:eastAsia="Calibri" w:hAnsi="Calibri" w:cs="Times New Roman"/>
          <w:color w:val="000000" w:themeColor="text1"/>
        </w:rPr>
      </w:pPr>
      <w:r w:rsidRPr="007D162C">
        <w:rPr>
          <w:rFonts w:ascii="Calibri" w:eastAsia="Calibri" w:hAnsi="Calibri" w:cs="Times New Roman"/>
          <w:color w:val="000000" w:themeColor="text1"/>
        </w:rPr>
        <w:t>Australia's ageing population means that the number of people affected by issue will increase over time and the regulatory option ensures that Transport Standards addresses the issue and remain fit for purpose into the foreseeable future.</w:t>
      </w:r>
    </w:p>
    <w:p w14:paraId="4471DDB6" w14:textId="0842B8D7" w:rsidR="00675105" w:rsidRPr="007D162C" w:rsidRDefault="00675105" w:rsidP="00675105">
      <w:pPr>
        <w:tabs>
          <w:tab w:val="left" w:pos="284"/>
        </w:tabs>
      </w:pPr>
      <w:r w:rsidRPr="007D162C">
        <w:rPr>
          <w:rFonts w:ascii="Calibri" w:eastAsia="Calibri" w:hAnsi="Calibri" w:cs="Times New Roman"/>
          <w:color w:val="000000" w:themeColor="text1"/>
        </w:rPr>
        <w:t xml:space="preserve">The regulatory option would be supported by updated guidance in both the Transport Standards Guidelines and </w:t>
      </w:r>
      <w:r w:rsidR="0079621E">
        <w:rPr>
          <w:rFonts w:ascii="Calibri" w:eastAsia="Calibri" w:hAnsi="Calibri" w:cs="Times New Roman"/>
          <w:color w:val="000000" w:themeColor="text1"/>
        </w:rPr>
        <w:t>t</w:t>
      </w:r>
      <w:r w:rsidRPr="007D162C">
        <w:rPr>
          <w:rFonts w:ascii="Calibri" w:eastAsia="Calibri" w:hAnsi="Calibri" w:cs="Times New Roman"/>
          <w:color w:val="000000" w:themeColor="text1"/>
        </w:rPr>
        <w:t xml:space="preserve">he Whole Journey Guide. </w:t>
      </w:r>
      <w:r w:rsidRPr="007D162C">
        <w:t>Updated guidance in the Transport Standards Guidelines will provide additional information to operators and providers on how new requirements in the Transport Standards can be met, and be supported by further guidance in The Whole Journey Guide where suggested guidance extends beyond what will be required in the amended Transport Standards.</w:t>
      </w:r>
    </w:p>
    <w:p w14:paraId="64A1A0FE" w14:textId="6ACAA91C" w:rsidR="00675105" w:rsidRPr="007D162C" w:rsidRDefault="00675105" w:rsidP="00675105">
      <w:pPr>
        <w:rPr>
          <w:rFonts w:ascii="Calibri" w:eastAsia="Calibri" w:hAnsi="Calibri" w:cs="Calibri"/>
          <w:color w:val="081E3E"/>
          <w:kern w:val="12"/>
          <w:sz w:val="36"/>
          <w:szCs w:val="36"/>
        </w:rPr>
      </w:pPr>
      <w:r w:rsidRPr="007D162C">
        <w:t>The preferred option will be implemented through amendments to the Transport Standards and Guidelines. Operators and providers will be required to meet the new Transport Standards requirements prospectively with a trigger mechanism.</w:t>
      </w:r>
      <w:r w:rsidRPr="007D162C">
        <w:rPr>
          <w:rFonts w:ascii="Calibri" w:eastAsia="Calibri" w:hAnsi="Calibri" w:cs="Calibri"/>
          <w:color w:val="081E3E"/>
          <w:kern w:val="12"/>
          <w:sz w:val="36"/>
          <w:szCs w:val="36"/>
        </w:rPr>
        <w:br w:type="page"/>
      </w:r>
    </w:p>
    <w:p w14:paraId="27AA17D3" w14:textId="09E8223F" w:rsidR="00675105" w:rsidRPr="007D162C" w:rsidRDefault="00675105" w:rsidP="001B7B6E">
      <w:pPr>
        <w:pStyle w:val="Heading2"/>
        <w:numPr>
          <w:ilvl w:val="0"/>
          <w:numId w:val="26"/>
        </w:numPr>
        <w:ind w:hanging="720"/>
      </w:pPr>
      <w:bookmarkStart w:id="357" w:name="_Toc127351769"/>
      <w:bookmarkStart w:id="358" w:name="_Toc140239727"/>
      <w:r w:rsidRPr="007D162C">
        <w:lastRenderedPageBreak/>
        <w:t>Lifts - Reference for lift car communication and information system</w:t>
      </w:r>
      <w:bookmarkEnd w:id="357"/>
      <w:bookmarkEnd w:id="358"/>
    </w:p>
    <w:p w14:paraId="4360D48A" w14:textId="77777777" w:rsidR="00675105" w:rsidRPr="007D162C" w:rsidRDefault="00675105" w:rsidP="00675105">
      <w:pPr>
        <w:pStyle w:val="Heading4"/>
      </w:pPr>
      <w:r w:rsidRPr="007D162C">
        <w:t>Issue</w:t>
      </w:r>
    </w:p>
    <w:p w14:paraId="74C698A2"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People who are hard of hearing, and particularly those who also have vision impairments, only sometimes receive equal access to information while travelling in lift cars compared to other passengers.</w:t>
      </w:r>
    </w:p>
    <w:p w14:paraId="01DA6B47" w14:textId="0E94C3E4"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Transport Standards reference AS1735.12 (1999) Lifts, escalators and moving walks</w:t>
      </w:r>
      <w:r w:rsidR="0079621E">
        <w:rPr>
          <w:rFonts w:ascii="Calibri" w:eastAsia="Calibri" w:hAnsi="Calibri" w:cs="Times New Roman"/>
          <w:color w:val="000000" w:themeColor="text1"/>
        </w:rPr>
        <w:t>, which has</w:t>
      </w:r>
      <w:r w:rsidRPr="007D162C">
        <w:rPr>
          <w:rFonts w:ascii="Calibri" w:eastAsia="Calibri" w:hAnsi="Calibri" w:cs="Times New Roman"/>
          <w:color w:val="000000" w:themeColor="text1"/>
        </w:rPr>
        <w:t xml:space="preserve"> no requirement for assistive listening systems in lifts. </w:t>
      </w:r>
    </w:p>
    <w:p w14:paraId="33522FFA" w14:textId="77777777" w:rsidR="00675105" w:rsidRPr="007D162C" w:rsidRDefault="08D050C4" w:rsidP="00675105">
      <w:pPr>
        <w:tabs>
          <w:tab w:val="left" w:pos="284"/>
        </w:tabs>
      </w:pPr>
      <w:r w:rsidRPr="007D162C">
        <w:t xml:space="preserve">Collective government action would ensure standardisation of references for lift communication and information systems and address stakeholder issues raised through the Transport Standards review process. </w:t>
      </w:r>
    </w:p>
    <w:p w14:paraId="7307519A" w14:textId="77777777" w:rsidR="00675105" w:rsidRPr="007D162C" w:rsidRDefault="00675105" w:rsidP="00675105">
      <w:pPr>
        <w:pStyle w:val="Heading4"/>
        <w:tabs>
          <w:tab w:val="left" w:pos="284"/>
        </w:tabs>
      </w:pPr>
      <w:r w:rsidRPr="007D162C">
        <w:t>Reform options</w:t>
      </w:r>
    </w:p>
    <w:p w14:paraId="7AD2723C" w14:textId="77777777" w:rsidR="00675105" w:rsidRPr="007D162C" w:rsidRDefault="00675105" w:rsidP="00675105">
      <w:pPr>
        <w:tabs>
          <w:tab w:val="left" w:pos="284"/>
        </w:tabs>
      </w:pPr>
      <w:bookmarkStart w:id="359" w:name="_Toc122446371"/>
      <w:r w:rsidRPr="007D162C">
        <w:t>Following is a summary of the proposed options for this reform. Full details of each reform option is provided at Appendix A.</w:t>
      </w:r>
    </w:p>
    <w:p w14:paraId="76755A36" w14:textId="70BE0A56" w:rsidR="00675105" w:rsidRPr="007D162C" w:rsidRDefault="00675105" w:rsidP="00736E40">
      <w:pPr>
        <w:pStyle w:val="Tablefigureheading"/>
      </w:pPr>
      <w:bookmarkStart w:id="360" w:name="_Toc139969217"/>
      <w:r w:rsidRPr="007D162C">
        <w:t xml:space="preserve">Table </w:t>
      </w:r>
      <w:fldSimple w:instr=" SEQ Table \* ARABIC ">
        <w:r w:rsidR="00DC26AC">
          <w:rPr>
            <w:noProof/>
          </w:rPr>
          <w:t>59</w:t>
        </w:r>
      </w:fldSimple>
      <w:r w:rsidRPr="007D162C">
        <w:rPr>
          <w:noProof/>
        </w:rPr>
        <w:t>:</w:t>
      </w:r>
      <w:r w:rsidRPr="007D162C">
        <w:t xml:space="preserve"> Reform options for Lifts - </w:t>
      </w:r>
      <w:r w:rsidR="001075A6" w:rsidRPr="007D162C">
        <w:t>R</w:t>
      </w:r>
      <w:r w:rsidRPr="007D162C">
        <w:t>eference for lift car communication and information systems</w:t>
      </w:r>
      <w:bookmarkEnd w:id="359"/>
      <w:bookmarkEnd w:id="360"/>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675105" w:rsidRPr="007D162C" w14:paraId="2727E80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0F12B18C" w14:textId="77777777" w:rsidR="00675105" w:rsidRPr="007D162C" w:rsidRDefault="00675105" w:rsidP="00675105">
            <w:bookmarkStart w:id="361" w:name="_Hlk128056478"/>
            <w:r w:rsidRPr="007D162C">
              <w:t>Option</w:t>
            </w:r>
          </w:p>
        </w:tc>
        <w:tc>
          <w:tcPr>
            <w:tcW w:w="6840" w:type="dxa"/>
          </w:tcPr>
          <w:p w14:paraId="5B31F8F0" w14:textId="77777777" w:rsidR="00675105" w:rsidRPr="007D162C" w:rsidRDefault="00675105" w:rsidP="00675105">
            <w:pPr>
              <w:cnfStyle w:val="100000000000" w:firstRow="1" w:lastRow="0" w:firstColumn="0" w:lastColumn="0" w:oddVBand="0" w:evenVBand="0" w:oddHBand="0" w:evenHBand="0" w:firstRowFirstColumn="0" w:firstRowLastColumn="0" w:lastRowFirstColumn="0" w:lastRowLastColumn="0"/>
            </w:pPr>
            <w:r w:rsidRPr="007D162C">
              <w:t>Description</w:t>
            </w:r>
          </w:p>
        </w:tc>
      </w:tr>
      <w:tr w:rsidR="00675105" w:rsidRPr="007D162C" w14:paraId="1CE06EB1"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40FE24E5" w14:textId="77777777" w:rsidR="00675105" w:rsidRPr="007D162C" w:rsidRDefault="00675105" w:rsidP="00675105">
            <w:r w:rsidRPr="007D162C">
              <w:t>Status Quo</w:t>
            </w:r>
          </w:p>
        </w:tc>
        <w:tc>
          <w:tcPr>
            <w:tcW w:w="6840" w:type="dxa"/>
          </w:tcPr>
          <w:p w14:paraId="70DA4DCA"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continue not to include provision for assistive listening systems in lifts.</w:t>
            </w:r>
          </w:p>
          <w:p w14:paraId="01E72E1B"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675105" w:rsidRPr="007D162C" w14:paraId="3A92747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69034E92" w14:textId="77777777" w:rsidR="00675105" w:rsidRPr="007D162C" w:rsidRDefault="00675105" w:rsidP="00675105">
            <w:r w:rsidRPr="007D162C">
              <w:t xml:space="preserve">Non-regulatory </w:t>
            </w:r>
          </w:p>
        </w:tc>
        <w:tc>
          <w:tcPr>
            <w:tcW w:w="6840" w:type="dxa"/>
          </w:tcPr>
          <w:p w14:paraId="3EEA38D1"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Guidance would be updated to include best practice guidance on accessible lift car communication and information systems, and recommend that deaf or hard of hearing passengers should receive the same audible information in a lift car as other passengers.</w:t>
            </w:r>
          </w:p>
        </w:tc>
      </w:tr>
      <w:tr w:rsidR="00675105" w:rsidRPr="007D162C" w14:paraId="574A1E70"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1F8B6242" w14:textId="77777777" w:rsidR="00675105" w:rsidRPr="007D162C" w:rsidRDefault="00675105" w:rsidP="00675105">
            <w:r w:rsidRPr="007D162C">
              <w:t>Regulatory</w:t>
            </w:r>
          </w:p>
        </w:tc>
        <w:tc>
          <w:tcPr>
            <w:tcW w:w="6840" w:type="dxa"/>
          </w:tcPr>
          <w:p w14:paraId="41455412"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the provision of hearing loop systems in lift cars and service-related information broadcast on an external public address system within a lift car. The hearing loop system would require the international symbol for deafness.</w:t>
            </w:r>
          </w:p>
          <w:p w14:paraId="1BB70511"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bookmarkEnd w:id="361"/>
    </w:tbl>
    <w:p w14:paraId="517E908B" w14:textId="77777777" w:rsidR="00A47401" w:rsidRPr="007D162C" w:rsidRDefault="00A47401" w:rsidP="00A47401"/>
    <w:p w14:paraId="7F7C06E0" w14:textId="77777777" w:rsidR="00675105" w:rsidRPr="007D162C" w:rsidRDefault="00675105" w:rsidP="00675105">
      <w:pPr>
        <w:pStyle w:val="Heading4"/>
        <w:tabs>
          <w:tab w:val="left" w:pos="284"/>
        </w:tabs>
      </w:pPr>
      <w:r w:rsidRPr="007D162C">
        <w:t>Cost benefit analysis</w:t>
      </w:r>
    </w:p>
    <w:p w14:paraId="5420AC2C" w14:textId="77777777" w:rsidR="00675105" w:rsidRPr="007D162C" w:rsidRDefault="00675105" w:rsidP="00736E40">
      <w:pPr>
        <w:pStyle w:val="Heading6"/>
      </w:pPr>
      <w:r w:rsidRPr="007D162C">
        <w:t xml:space="preserve">Quantitative assessment </w:t>
      </w:r>
    </w:p>
    <w:p w14:paraId="0479E3F0" w14:textId="29EFE881" w:rsidR="0079621E" w:rsidRDefault="00675105" w:rsidP="00675105">
      <w:r w:rsidRPr="007D162C">
        <w:t xml:space="preserve">The following categories of quantitative costs and benefits were identified in the CBA as pertaining to the reform options. </w:t>
      </w:r>
    </w:p>
    <w:p w14:paraId="73B762FE" w14:textId="77777777" w:rsidR="0079621E" w:rsidRDefault="0079621E">
      <w:pPr>
        <w:spacing w:line="259" w:lineRule="auto"/>
      </w:pPr>
      <w:r>
        <w:br w:type="page"/>
      </w:r>
    </w:p>
    <w:p w14:paraId="1D24DAF0" w14:textId="77777777" w:rsidR="00675105" w:rsidRPr="007D162C" w:rsidRDefault="00675105" w:rsidP="00675105"/>
    <w:p w14:paraId="532A1A65" w14:textId="5D9B5DD9" w:rsidR="00675105" w:rsidRPr="007D162C" w:rsidRDefault="00675105" w:rsidP="00736E40">
      <w:pPr>
        <w:pStyle w:val="Tablefigureheading"/>
      </w:pPr>
      <w:bookmarkStart w:id="362" w:name="_Toc122446372"/>
      <w:bookmarkStart w:id="363" w:name="_Toc139969218"/>
      <w:r w:rsidRPr="007D162C">
        <w:t xml:space="preserve">Table </w:t>
      </w:r>
      <w:fldSimple w:instr=" SEQ Table \* ARABIC ">
        <w:r w:rsidR="00DC26AC">
          <w:rPr>
            <w:noProof/>
          </w:rPr>
          <w:t>60</w:t>
        </w:r>
      </w:fldSimple>
      <w:r w:rsidRPr="007D162C">
        <w:t xml:space="preserve">: Benefit-cost ratios for Lifts - </w:t>
      </w:r>
      <w:r w:rsidR="001075A6" w:rsidRPr="007D162C">
        <w:t>R</w:t>
      </w:r>
      <w:r w:rsidRPr="007D162C">
        <w:t>eference for lift car communication and information systems</w:t>
      </w:r>
      <w:bookmarkEnd w:id="362"/>
      <w:bookmarkEnd w:id="363"/>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287"/>
        <w:gridCol w:w="1648"/>
        <w:gridCol w:w="1679"/>
        <w:gridCol w:w="1661"/>
        <w:gridCol w:w="1037"/>
      </w:tblGrid>
      <w:tr w:rsidR="00675105" w:rsidRPr="007D162C" w14:paraId="4ADAC0A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114374FA" w14:textId="77777777" w:rsidR="00675105" w:rsidRPr="007D162C" w:rsidRDefault="08D050C4" w:rsidP="00675105">
            <w:r w:rsidRPr="007D162C">
              <w:t>Reform Option</w:t>
            </w:r>
          </w:p>
        </w:tc>
        <w:tc>
          <w:tcPr>
            <w:tcW w:w="1287" w:type="dxa"/>
          </w:tcPr>
          <w:p w14:paraId="63EB5DF4"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5780504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79" w:type="dxa"/>
          </w:tcPr>
          <w:p w14:paraId="709395B1"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61" w:type="dxa"/>
          </w:tcPr>
          <w:p w14:paraId="68E29D7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37" w:type="dxa"/>
          </w:tcPr>
          <w:p w14:paraId="58BFA2F0"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BCR</w:t>
            </w:r>
          </w:p>
        </w:tc>
      </w:tr>
      <w:tr w:rsidR="00675105" w:rsidRPr="007D162C" w14:paraId="57D994C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51EB7D7" w14:textId="77777777" w:rsidR="00675105" w:rsidRPr="007D162C" w:rsidRDefault="00675105" w:rsidP="00675105">
            <w:r w:rsidRPr="007D162C">
              <w:t>Status Quo</w:t>
            </w:r>
          </w:p>
        </w:tc>
        <w:tc>
          <w:tcPr>
            <w:tcW w:w="1287" w:type="dxa"/>
          </w:tcPr>
          <w:p w14:paraId="467F8AC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48" w:type="dxa"/>
          </w:tcPr>
          <w:p w14:paraId="25FB9557"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79" w:type="dxa"/>
          </w:tcPr>
          <w:p w14:paraId="3F9CE20E"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61" w:type="dxa"/>
          </w:tcPr>
          <w:p w14:paraId="0098F673"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037" w:type="dxa"/>
          </w:tcPr>
          <w:p w14:paraId="07335892"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r>
      <w:tr w:rsidR="00675105" w:rsidRPr="007D162C" w14:paraId="00A2B3E8"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512CB2E6" w14:textId="77777777" w:rsidR="00675105" w:rsidRPr="007D162C" w:rsidRDefault="00675105" w:rsidP="00675105">
            <w:r w:rsidRPr="007D162C">
              <w:t xml:space="preserve">Non-regulatory </w:t>
            </w:r>
          </w:p>
        </w:tc>
        <w:tc>
          <w:tcPr>
            <w:tcW w:w="1287" w:type="dxa"/>
            <w:vAlign w:val="center"/>
          </w:tcPr>
          <w:p w14:paraId="3AD81099"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0.0</w:t>
            </w:r>
            <w:r w:rsidR="00A47401" w:rsidRPr="007D162C">
              <w:rPr>
                <w:rFonts w:cs="Arial"/>
                <w:vertAlign w:val="superscript"/>
              </w:rPr>
              <w:t>ii</w:t>
            </w:r>
          </w:p>
        </w:tc>
        <w:tc>
          <w:tcPr>
            <w:tcW w:w="1648" w:type="dxa"/>
          </w:tcPr>
          <w:p w14:paraId="0E019EC4"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t>-</w:t>
            </w:r>
          </w:p>
        </w:tc>
        <w:tc>
          <w:tcPr>
            <w:tcW w:w="1679" w:type="dxa"/>
            <w:vAlign w:val="center"/>
          </w:tcPr>
          <w:p w14:paraId="6F348F3B"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rPr>
                <w:rFonts w:cs="Arial"/>
              </w:rPr>
              <w:t>0.6</w:t>
            </w:r>
          </w:p>
        </w:tc>
        <w:tc>
          <w:tcPr>
            <w:tcW w:w="1661" w:type="dxa"/>
            <w:vAlign w:val="center"/>
          </w:tcPr>
          <w:p w14:paraId="4E67B5F5"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rPr>
                <w:vertAlign w:val="superscript"/>
              </w:rPr>
            </w:pPr>
            <w:r w:rsidRPr="007D162C">
              <w:rPr>
                <w:rFonts w:cs="Arial"/>
              </w:rPr>
              <w:t>0.6</w:t>
            </w:r>
            <w:r w:rsidR="00331394" w:rsidRPr="007D162C">
              <w:rPr>
                <w:rFonts w:cs="Arial"/>
                <w:vertAlign w:val="superscript"/>
              </w:rPr>
              <w:t>i</w:t>
            </w:r>
          </w:p>
        </w:tc>
        <w:tc>
          <w:tcPr>
            <w:tcW w:w="1037" w:type="dxa"/>
            <w:vAlign w:val="center"/>
          </w:tcPr>
          <w:p w14:paraId="7BBC44A7" w14:textId="77777777" w:rsidR="00675105" w:rsidRPr="007D162C" w:rsidRDefault="08D050C4" w:rsidP="00675105">
            <w:pPr>
              <w:cnfStyle w:val="000000000000" w:firstRow="0" w:lastRow="0" w:firstColumn="0" w:lastColumn="0" w:oddVBand="0" w:evenVBand="0" w:oddHBand="0" w:evenHBand="0" w:firstRowFirstColumn="0" w:firstRowLastColumn="0" w:lastRowFirstColumn="0" w:lastRowLastColumn="0"/>
            </w:pPr>
            <w:r w:rsidRPr="007D162C">
              <w:rPr>
                <w:rFonts w:cs="Arial"/>
              </w:rPr>
              <w:t>0.07</w:t>
            </w:r>
          </w:p>
        </w:tc>
      </w:tr>
      <w:tr w:rsidR="00675105" w:rsidRPr="007D162C" w14:paraId="73B06F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CDC7ADB" w14:textId="77777777" w:rsidR="00675105" w:rsidRPr="007D162C" w:rsidRDefault="00675105" w:rsidP="00675105">
            <w:r w:rsidRPr="007D162C">
              <w:t>Regulatory</w:t>
            </w:r>
          </w:p>
        </w:tc>
        <w:tc>
          <w:tcPr>
            <w:tcW w:w="1287" w:type="dxa"/>
            <w:vAlign w:val="center"/>
          </w:tcPr>
          <w:p w14:paraId="316230E0"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10.6</w:t>
            </w:r>
          </w:p>
        </w:tc>
        <w:tc>
          <w:tcPr>
            <w:tcW w:w="1648" w:type="dxa"/>
          </w:tcPr>
          <w:p w14:paraId="1EF9D66C"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t>-</w:t>
            </w:r>
          </w:p>
        </w:tc>
        <w:tc>
          <w:tcPr>
            <w:tcW w:w="1679" w:type="dxa"/>
            <w:vAlign w:val="center"/>
          </w:tcPr>
          <w:p w14:paraId="71A3A6ED"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5.7</w:t>
            </w:r>
          </w:p>
        </w:tc>
        <w:tc>
          <w:tcPr>
            <w:tcW w:w="1661" w:type="dxa"/>
            <w:vAlign w:val="center"/>
          </w:tcPr>
          <w:p w14:paraId="2E47CD0E"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5.7</w:t>
            </w:r>
          </w:p>
        </w:tc>
        <w:tc>
          <w:tcPr>
            <w:tcW w:w="1037" w:type="dxa"/>
            <w:vAlign w:val="center"/>
          </w:tcPr>
          <w:p w14:paraId="13926EC6" w14:textId="77777777" w:rsidR="00675105" w:rsidRPr="007D162C" w:rsidRDefault="08D050C4" w:rsidP="00675105">
            <w:pPr>
              <w:cnfStyle w:val="000000100000" w:firstRow="0" w:lastRow="0" w:firstColumn="0" w:lastColumn="0" w:oddVBand="0" w:evenVBand="0" w:oddHBand="1" w:evenHBand="0" w:firstRowFirstColumn="0" w:firstRowLastColumn="0" w:lastRowFirstColumn="0" w:lastRowLastColumn="0"/>
            </w:pPr>
            <w:r w:rsidRPr="007D162C">
              <w:rPr>
                <w:rFonts w:cs="Arial"/>
              </w:rPr>
              <w:t>1.86</w:t>
            </w:r>
          </w:p>
        </w:tc>
      </w:tr>
    </w:tbl>
    <w:p w14:paraId="52BFFACD" w14:textId="77777777" w:rsidR="00675105" w:rsidRPr="007D162C" w:rsidRDefault="00675105" w:rsidP="00675105">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2A056703" w14:textId="77777777" w:rsidR="00675105"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2C4D9E15" w14:textId="77777777" w:rsidR="00675105" w:rsidRPr="007D162C" w:rsidRDefault="00675105" w:rsidP="00675105">
      <w:pPr>
        <w:spacing w:before="120" w:after="0"/>
        <w:rPr>
          <w:sz w:val="18"/>
          <w:szCs w:val="18"/>
        </w:rPr>
      </w:pPr>
      <w:r w:rsidRPr="007D162C">
        <w:rPr>
          <w:sz w:val="18"/>
          <w:szCs w:val="18"/>
          <w:vertAlign w:val="superscript"/>
        </w:rPr>
        <w:t>(ii)</w:t>
      </w:r>
      <w:r w:rsidRPr="007D162C">
        <w:rPr>
          <w:sz w:val="18"/>
          <w:szCs w:val="18"/>
        </w:rPr>
        <w:t>The benefits and costs presented in the table above are rounded to two decimal places and calculated to four decimal places in the CBA</w:t>
      </w:r>
      <w:r w:rsidR="00A47401" w:rsidRPr="007D162C">
        <w:rPr>
          <w:sz w:val="18"/>
          <w:szCs w:val="18"/>
        </w:rPr>
        <w:t xml:space="preserve">, </w:t>
      </w:r>
      <w:r w:rsidRPr="007D162C">
        <w:rPr>
          <w:sz w:val="18"/>
          <w:szCs w:val="18"/>
        </w:rPr>
        <w:t>which may result in zero values in the table.</w:t>
      </w:r>
    </w:p>
    <w:p w14:paraId="38B643C0" w14:textId="77777777" w:rsidR="00736E40" w:rsidRPr="007D162C" w:rsidRDefault="00736E40" w:rsidP="00736E40"/>
    <w:p w14:paraId="4351F876" w14:textId="77777777" w:rsidR="00675105" w:rsidRPr="007D162C" w:rsidRDefault="00675105" w:rsidP="00675105">
      <w:pPr>
        <w:pStyle w:val="Heading6"/>
      </w:pPr>
      <w:r w:rsidRPr="007D162C">
        <w:t>Considerations to note in interpreting analysis</w:t>
      </w:r>
    </w:p>
    <w:p w14:paraId="3AB5AD4B" w14:textId="77777777" w:rsidR="00675105" w:rsidRPr="007D162C" w:rsidRDefault="00675105" w:rsidP="00736E40">
      <w:pPr>
        <w:pStyle w:val="Heading7"/>
      </w:pPr>
      <w:r w:rsidRPr="007D162C">
        <w:t>Limitations</w:t>
      </w:r>
    </w:p>
    <w:p w14:paraId="66C5FBB2" w14:textId="77777777" w:rsidR="00675105" w:rsidRPr="007D162C" w:rsidRDefault="00675105" w:rsidP="00736E40">
      <w:pPr>
        <w:pStyle w:val="Heading8"/>
      </w:pPr>
      <w:r w:rsidRPr="007D162C">
        <w:t>Non-regulatory</w:t>
      </w:r>
    </w:p>
    <w:p w14:paraId="5455D99E" w14:textId="6C178102" w:rsidR="00675105" w:rsidRPr="007D162C" w:rsidRDefault="00675105" w:rsidP="00736E40">
      <w:r w:rsidRPr="007D162C">
        <w:t>The costs and benefits associated with the non-regulatory reform are lower than its regulatory counterpart reflecting an assumed lower rate of compliance with the reform. An estimated rate of uptake of 15</w:t>
      </w:r>
      <w:r w:rsidR="0079621E">
        <w:t xml:space="preserve"> per cent</w:t>
      </w:r>
      <w:r w:rsidRPr="007D162C">
        <w:t xml:space="preserve"> was applied to the non-regulatory option based on the complexity to implement and maintain the hearing loop systems and connecting them to external PA systems in lifts where they are not currently installed or operational. This implies that the benefits and costs quantified for this non-regulatory reform may not reflect future take-up of the reform.</w:t>
      </w:r>
    </w:p>
    <w:p w14:paraId="7C8A6932" w14:textId="77777777" w:rsidR="00675105" w:rsidRPr="007D162C" w:rsidRDefault="00675105" w:rsidP="00736E40">
      <w:pPr>
        <w:pStyle w:val="Heading8"/>
      </w:pPr>
      <w:r w:rsidRPr="007D162C">
        <w:t>Regulatory</w:t>
      </w:r>
    </w:p>
    <w:p w14:paraId="64F2AB75" w14:textId="77777777" w:rsidR="00675105" w:rsidRPr="007D162C" w:rsidRDefault="00675105" w:rsidP="00736E40">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4CA890ED" w14:textId="77777777" w:rsidR="00675105" w:rsidRPr="007D162C" w:rsidRDefault="00675105" w:rsidP="00736E40">
      <w:r w:rsidRPr="007D162C">
        <w:t>Lifts covered by the Premises Standards were compliant, implying cost implications for remaining lifts and with benefits impacting all public transport users, specifically those with hearing impairments.</w:t>
      </w:r>
    </w:p>
    <w:p w14:paraId="79CCC3BD" w14:textId="77777777" w:rsidR="00675105" w:rsidRPr="007D162C" w:rsidRDefault="00675105" w:rsidP="00736E40">
      <w:pPr>
        <w:pStyle w:val="Heading8"/>
      </w:pPr>
      <w:r w:rsidRPr="007D162C">
        <w:t>Interdependencies</w:t>
      </w:r>
    </w:p>
    <w:p w14:paraId="3F7E1C3A" w14:textId="63E63898" w:rsidR="00675105" w:rsidRPr="007D162C" w:rsidRDefault="08D050C4" w:rsidP="00736E40">
      <w:r w:rsidRPr="007D162C">
        <w:t>The accessibility benefits of this reform will only be realised if there</w:t>
      </w:r>
      <w:r w:rsidR="0064181B">
        <w:t xml:space="preserve"> is</w:t>
      </w:r>
      <w:r w:rsidRPr="007D162C">
        <w:t xml:space="preserve"> equitable access across the whole public transport journey, with benefits reliant on implementation of other reforms related to other lift infrastructure.</w:t>
      </w:r>
    </w:p>
    <w:p w14:paraId="640DAC91" w14:textId="77777777" w:rsidR="00675105" w:rsidRPr="007D162C" w:rsidRDefault="00675105" w:rsidP="00736E40">
      <w:pPr>
        <w:pStyle w:val="Heading6"/>
      </w:pPr>
      <w:r w:rsidRPr="007D162C">
        <w:t xml:space="preserve">Qualitative assessment </w:t>
      </w:r>
    </w:p>
    <w:p w14:paraId="2D11676B" w14:textId="4C9E6255" w:rsidR="00F26EC2" w:rsidRDefault="00675105" w:rsidP="0079588B">
      <w:r w:rsidRPr="007D162C">
        <w:t>The following categories of qualitative benefits were identified in the CBA as pertaining to the reform options.</w:t>
      </w:r>
      <w:r w:rsidR="00F26EC2">
        <w:br w:type="page"/>
      </w:r>
    </w:p>
    <w:p w14:paraId="3D92DDA4" w14:textId="77777777" w:rsidR="00675105" w:rsidRPr="007D162C" w:rsidRDefault="00675105" w:rsidP="00675105"/>
    <w:p w14:paraId="178519E8" w14:textId="5E756F1F" w:rsidR="00675105" w:rsidRPr="007D162C" w:rsidRDefault="00675105" w:rsidP="00736E40">
      <w:pPr>
        <w:pStyle w:val="Tablefigureheading"/>
      </w:pPr>
      <w:bookmarkStart w:id="364" w:name="_Toc122446373"/>
      <w:bookmarkStart w:id="365" w:name="_Toc139969219"/>
      <w:r w:rsidRPr="007D162C">
        <w:t xml:space="preserve">Table </w:t>
      </w:r>
      <w:fldSimple w:instr=" SEQ Table \* ARABIC ">
        <w:r w:rsidR="00DC26AC">
          <w:rPr>
            <w:noProof/>
          </w:rPr>
          <w:t>61</w:t>
        </w:r>
      </w:fldSimple>
      <w:r w:rsidRPr="007D162C">
        <w:rPr>
          <w:noProof/>
        </w:rPr>
        <w:t xml:space="preserve">: </w:t>
      </w:r>
      <w:r w:rsidRPr="007D162C">
        <w:t xml:space="preserve">Qualitative benefits for Lifts - </w:t>
      </w:r>
      <w:r w:rsidR="001075A6" w:rsidRPr="007D162C">
        <w:t>R</w:t>
      </w:r>
      <w:r w:rsidRPr="007D162C">
        <w:t>eference for lift car communication and information systems</w:t>
      </w:r>
      <w:bookmarkEnd w:id="364"/>
      <w:bookmarkEnd w:id="365"/>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675105" w:rsidRPr="007D162C" w14:paraId="35CFBEF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83F9A3E" w14:textId="77777777" w:rsidR="00675105" w:rsidRPr="007D162C" w:rsidRDefault="08D050C4" w:rsidP="00675105">
            <w:bookmarkStart w:id="366" w:name="_Hlk128061176"/>
            <w:r w:rsidRPr="007D162C">
              <w:t>Reform Option</w:t>
            </w:r>
          </w:p>
        </w:tc>
        <w:tc>
          <w:tcPr>
            <w:tcW w:w="1343" w:type="dxa"/>
          </w:tcPr>
          <w:p w14:paraId="6B0D28DE"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72E5BF8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2F0EFF6"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0329573"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F9C119A"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15C1CF5" w14:textId="77777777" w:rsidR="00675105" w:rsidRPr="007D162C" w:rsidRDefault="08D050C4" w:rsidP="00675105">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75105" w:rsidRPr="007D162C" w14:paraId="4EAE2D9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DCF884" w14:textId="77777777" w:rsidR="00675105" w:rsidRPr="007D162C" w:rsidRDefault="00675105" w:rsidP="00675105">
            <w:r w:rsidRPr="007D162C">
              <w:t>Status Quo</w:t>
            </w:r>
          </w:p>
        </w:tc>
        <w:tc>
          <w:tcPr>
            <w:tcW w:w="1343" w:type="dxa"/>
          </w:tcPr>
          <w:p w14:paraId="2136DF69"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51257192"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2482D13F"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49A2243E"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C554DDD"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1F991458"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75105" w:rsidRPr="007D162C" w14:paraId="2D3D5E8B"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B17C77C" w14:textId="77777777" w:rsidR="00675105" w:rsidRPr="007D162C" w:rsidRDefault="00675105" w:rsidP="00675105">
            <w:r w:rsidRPr="007D162C">
              <w:t xml:space="preserve">Non-regulatory </w:t>
            </w:r>
          </w:p>
        </w:tc>
        <w:tc>
          <w:tcPr>
            <w:tcW w:w="1343" w:type="dxa"/>
          </w:tcPr>
          <w:p w14:paraId="2A4C9A6B"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7CCC174"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 xml:space="preserve">Yes </w:t>
            </w:r>
          </w:p>
        </w:tc>
        <w:tc>
          <w:tcPr>
            <w:tcW w:w="1300" w:type="dxa"/>
          </w:tcPr>
          <w:p w14:paraId="65265D06"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0BCB9FE0" w14:textId="77777777" w:rsidR="00675105" w:rsidRPr="007D162C" w:rsidRDefault="00675105" w:rsidP="00675105">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DC10F0C"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126AFB74" w14:textId="77777777" w:rsidR="00675105"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675105" w:rsidRPr="007D162C" w14:paraId="660A1B1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660C653" w14:textId="77777777" w:rsidR="00675105" w:rsidRPr="007D162C" w:rsidRDefault="00675105" w:rsidP="00675105">
            <w:r w:rsidRPr="007D162C">
              <w:t>Regulatory</w:t>
            </w:r>
          </w:p>
        </w:tc>
        <w:tc>
          <w:tcPr>
            <w:tcW w:w="1343" w:type="dxa"/>
          </w:tcPr>
          <w:p w14:paraId="69A53119"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15968D9"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 xml:space="preserve">Yes </w:t>
            </w:r>
          </w:p>
        </w:tc>
        <w:tc>
          <w:tcPr>
            <w:tcW w:w="1300" w:type="dxa"/>
          </w:tcPr>
          <w:p w14:paraId="5E17FB5C"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912F0E8" w14:textId="77777777" w:rsidR="00675105" w:rsidRPr="007D162C" w:rsidRDefault="00675105" w:rsidP="00675105">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6B0DC95"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A0B13FA" w14:textId="77777777" w:rsidR="00675105"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bookmarkEnd w:id="366"/>
    </w:tbl>
    <w:p w14:paraId="2CBEF157" w14:textId="77777777" w:rsidR="00736E40" w:rsidRPr="007D162C" w:rsidRDefault="00736E40" w:rsidP="00736E40"/>
    <w:p w14:paraId="343D6D39" w14:textId="77777777" w:rsidR="00675105" w:rsidRPr="007D162C" w:rsidRDefault="00675105" w:rsidP="00675105">
      <w:pPr>
        <w:pStyle w:val="Heading4"/>
        <w:tabs>
          <w:tab w:val="left" w:pos="284"/>
        </w:tabs>
      </w:pPr>
      <w:r w:rsidRPr="007D162C">
        <w:t xml:space="preserve">Analysis of submissions </w:t>
      </w:r>
    </w:p>
    <w:p w14:paraId="3393FCA6" w14:textId="77777777" w:rsidR="00675105" w:rsidRPr="007D162C" w:rsidRDefault="00675105" w:rsidP="00675105">
      <w:pPr>
        <w:pStyle w:val="Heading5"/>
      </w:pPr>
      <w:r w:rsidRPr="007D162C">
        <w:t>Status quo</w:t>
      </w:r>
    </w:p>
    <w:p w14:paraId="4F503715" w14:textId="18D72C11" w:rsidR="00675105" w:rsidRPr="007D162C" w:rsidRDefault="00675105" w:rsidP="00675105">
      <w:r w:rsidRPr="007D162C">
        <w:t>The Transport Standards reference AS1735.12 (1999) Lifts, escalators and moving walks</w:t>
      </w:r>
      <w:r w:rsidR="00B559BD">
        <w:t>, which has</w:t>
      </w:r>
      <w:r w:rsidRPr="007D162C">
        <w:t xml:space="preserve"> no requirement for assistive listening systems in lifts. </w:t>
      </w:r>
    </w:p>
    <w:p w14:paraId="535E051B" w14:textId="77777777" w:rsidR="00675105" w:rsidRPr="007D162C" w:rsidRDefault="00675105" w:rsidP="00675105">
      <w:r w:rsidRPr="007D162C">
        <w:t>People who are hard of hearing, particularly those who also have vision impairments, do not always receive equal access to information while travelling in lift cars compared to other passengers.</w:t>
      </w:r>
    </w:p>
    <w:p w14:paraId="58F6CCE6" w14:textId="77777777" w:rsidR="00675105" w:rsidRPr="007D162C" w:rsidRDefault="00675105" w:rsidP="00675105">
      <w:r w:rsidRPr="007D162C">
        <w:t>Many lift cars can verbally announce landing locations and may even relay public address system announcements to the occupants of the lift car. For people with vision or cognitive impairments, this is a valuable service. Unfortunately, if they are hard of hearing and using hearing aids, the information or message being announced through the car's speakers may be unclear.</w:t>
      </w:r>
    </w:p>
    <w:p w14:paraId="0F1F8992" w14:textId="77777777" w:rsidR="00675105" w:rsidRPr="007D162C" w:rsidRDefault="00675105" w:rsidP="00675105">
      <w:r w:rsidRPr="007D162C">
        <w:t xml:space="preserve">Consultation findings have indicated that disability stakeholders believe the current situation is discriminatory and is addressed in overseas jurisdictions by complying with more recent lift standards requirements. </w:t>
      </w:r>
    </w:p>
    <w:p w14:paraId="47ED5CBD" w14:textId="77777777" w:rsidR="00675105" w:rsidRPr="007D162C" w:rsidRDefault="00675105" w:rsidP="00675105">
      <w:r w:rsidRPr="007D162C">
        <w:t>Only one submission from a government stakeholder supported the status quo. They stated that advances in technology had made existing standards redundant and neither guidance or regulation was required to address lift car communication and information systems.</w:t>
      </w:r>
    </w:p>
    <w:p w14:paraId="780B8910" w14:textId="77777777" w:rsidR="00675105" w:rsidRPr="007D162C" w:rsidRDefault="00675105" w:rsidP="00675105">
      <w:r w:rsidRPr="007D162C">
        <w:t xml:space="preserve">Maintaining the status quo does not meet the varying needs of people with disability or meet the objectives of the Transport Standards to remove discrimination against people with disability concerning public transport services. </w:t>
      </w:r>
    </w:p>
    <w:p w14:paraId="6D9612CF" w14:textId="77777777" w:rsidR="00675105" w:rsidRPr="007D162C" w:rsidRDefault="00675105" w:rsidP="00675105">
      <w:pPr>
        <w:rPr>
          <w:rFonts w:ascii="Calibri" w:eastAsia="Calibri" w:hAnsi="Calibri" w:cs="Times New Roman"/>
          <w:color w:val="000000" w:themeColor="text1"/>
        </w:rPr>
      </w:pPr>
      <w:r w:rsidRPr="007D162C">
        <w:t>The status quo has no ongoing costs or additional regulatory burden for public transport operators and providers. For people who are hard of hearing, particularly those who have vision impairments, the lack of equal access to information would remain.</w:t>
      </w:r>
    </w:p>
    <w:p w14:paraId="315C93E6" w14:textId="77777777" w:rsidR="00675105" w:rsidRPr="007D162C" w:rsidRDefault="00675105" w:rsidP="00675105">
      <w:pPr>
        <w:pStyle w:val="Heading5"/>
      </w:pPr>
      <w:r w:rsidRPr="007D162C">
        <w:t>Non-regulatory</w:t>
      </w:r>
    </w:p>
    <w:p w14:paraId="47A2AC68" w14:textId="60EE5D92" w:rsidR="00675105" w:rsidRPr="007D162C" w:rsidRDefault="00675105" w:rsidP="00675105">
      <w:pPr>
        <w:rPr>
          <w:rFonts w:ascii="Calibri" w:hAnsi="Calibri"/>
          <w:lang w:eastAsia="zh-TW"/>
        </w:rPr>
      </w:pPr>
      <w:r w:rsidRPr="007D162C">
        <w:rPr>
          <w:rFonts w:ascii="Calibri" w:hAnsi="Calibri"/>
          <w:lang w:eastAsia="zh-TW"/>
        </w:rPr>
        <w:t>AS1735.12</w:t>
      </w:r>
      <w:r w:rsidR="0064181B">
        <w:rPr>
          <w:rFonts w:ascii="Calibri" w:hAnsi="Calibri"/>
          <w:lang w:eastAsia="zh-TW"/>
        </w:rPr>
        <w:t xml:space="preserve"> (</w:t>
      </w:r>
      <w:r w:rsidRPr="007D162C">
        <w:rPr>
          <w:rFonts w:ascii="Calibri" w:hAnsi="Calibri"/>
          <w:lang w:eastAsia="zh-TW"/>
        </w:rPr>
        <w:t>1999</w:t>
      </w:r>
      <w:r w:rsidR="0064181B">
        <w:rPr>
          <w:rFonts w:ascii="Calibri" w:hAnsi="Calibri"/>
          <w:lang w:eastAsia="zh-TW"/>
        </w:rPr>
        <w:t>)</w:t>
      </w:r>
      <w:r w:rsidRPr="007D162C">
        <w:rPr>
          <w:rFonts w:ascii="Calibri" w:hAnsi="Calibri"/>
          <w:lang w:eastAsia="zh-TW"/>
        </w:rPr>
        <w:t xml:space="preserve"> Lifts, escalators and moving walks ha</w:t>
      </w:r>
      <w:r w:rsidR="00B559BD">
        <w:rPr>
          <w:rFonts w:ascii="Calibri" w:hAnsi="Calibri"/>
          <w:lang w:eastAsia="zh-TW"/>
        </w:rPr>
        <w:t>s</w:t>
      </w:r>
      <w:r w:rsidRPr="007D162C">
        <w:rPr>
          <w:rFonts w:ascii="Calibri" w:hAnsi="Calibri"/>
          <w:lang w:eastAsia="zh-TW"/>
        </w:rPr>
        <w:t xml:space="preserve"> no requirement for assistive listening systems in lifts. While the updated standard AS1735.12 (2020) Lifts, escalators and moving walks has enhanced accessibility requirements for assistive listening systems, it does not capture the in-car announcement of service-related information broadcast over </w:t>
      </w:r>
      <w:r w:rsidR="0064181B">
        <w:rPr>
          <w:rFonts w:ascii="Calibri" w:hAnsi="Calibri"/>
          <w:lang w:eastAsia="zh-TW"/>
        </w:rPr>
        <w:t>PA</w:t>
      </w:r>
      <w:r w:rsidRPr="007D162C">
        <w:rPr>
          <w:rFonts w:ascii="Calibri" w:hAnsi="Calibri"/>
          <w:lang w:eastAsia="zh-TW"/>
        </w:rPr>
        <w:t xml:space="preserve"> systems, such as platform changes or late-running services. This is partly due to lift standards addressing requirements in public lifts and not necessarily addressing the needs of people living with disability using lifts in public transport locations.</w:t>
      </w:r>
    </w:p>
    <w:p w14:paraId="46BCE10E" w14:textId="77777777" w:rsidR="00675105" w:rsidRPr="007D162C" w:rsidRDefault="00675105" w:rsidP="00675105">
      <w:pPr>
        <w:rPr>
          <w:rFonts w:ascii="Calibri" w:hAnsi="Calibri"/>
          <w:lang w:eastAsia="zh-TW"/>
        </w:rPr>
      </w:pPr>
      <w:r w:rsidRPr="007D162C">
        <w:rPr>
          <w:rFonts w:ascii="Calibri" w:hAnsi="Calibri"/>
          <w:lang w:eastAsia="zh-TW"/>
        </w:rPr>
        <w:t>The guidance provides the opportunity to include additional information on best practices for:</w:t>
      </w:r>
    </w:p>
    <w:p w14:paraId="5712B6AB" w14:textId="77777777" w:rsidR="00675105" w:rsidRPr="007D162C" w:rsidRDefault="00675105" w:rsidP="00736E40">
      <w:pPr>
        <w:pStyle w:val="Listparagraphbullets"/>
        <w:spacing w:after="0"/>
      </w:pPr>
      <w:r w:rsidRPr="007D162C">
        <w:rPr>
          <w:lang w:val="en-US"/>
        </w:rPr>
        <w:t xml:space="preserve">aligning </w:t>
      </w:r>
      <w:r w:rsidRPr="007D162C">
        <w:t xml:space="preserve">announcements broadcast via the lift car speakers also be captured by the assistive listening (hearing loop) systems. </w:t>
      </w:r>
    </w:p>
    <w:p w14:paraId="03F69D22" w14:textId="77777777" w:rsidR="00736E40" w:rsidRPr="007D162C" w:rsidRDefault="00675105" w:rsidP="00675105">
      <w:pPr>
        <w:pStyle w:val="Listparagraphbullets"/>
        <w:spacing w:after="0"/>
        <w:rPr>
          <w:lang w:val="en-US"/>
        </w:rPr>
      </w:pPr>
      <w:r w:rsidRPr="007D162C">
        <w:lastRenderedPageBreak/>
        <w:t>additional service</w:t>
      </w:r>
      <w:r w:rsidRPr="007D162C">
        <w:rPr>
          <w:lang w:val="en-US"/>
        </w:rPr>
        <w:t>-related information (such as platform changes or late-running services) which considers the bespoke nature of lifts in public transport infrastructure.</w:t>
      </w:r>
    </w:p>
    <w:p w14:paraId="26F6E11E" w14:textId="77777777" w:rsidR="00736E40" w:rsidRPr="007D162C" w:rsidRDefault="00736E40" w:rsidP="00736E40">
      <w:pPr>
        <w:pStyle w:val="Listparagraphbullets"/>
        <w:numPr>
          <w:ilvl w:val="0"/>
          <w:numId w:val="0"/>
        </w:numPr>
        <w:spacing w:after="0"/>
        <w:ind w:left="360"/>
        <w:rPr>
          <w:lang w:val="en-US"/>
        </w:rPr>
      </w:pPr>
    </w:p>
    <w:p w14:paraId="6827057A" w14:textId="77777777" w:rsidR="00675105" w:rsidRPr="007D162C" w:rsidRDefault="00675105" w:rsidP="00675105">
      <w:pPr>
        <w:rPr>
          <w:rFonts w:ascii="Calibri" w:hAnsi="Calibri"/>
          <w:lang w:eastAsia="zh-TW"/>
        </w:rPr>
      </w:pPr>
      <w:r w:rsidRPr="007D162C">
        <w:rPr>
          <w:rFonts w:ascii="Calibri" w:hAnsi="Calibri"/>
          <w:lang w:eastAsia="zh-TW"/>
        </w:rPr>
        <w:t>There were no submissions supporting the non-regulatory option from people with disability or their advocates.</w:t>
      </w:r>
    </w:p>
    <w:p w14:paraId="3C0A0165" w14:textId="77777777" w:rsidR="00675105" w:rsidRPr="007D162C" w:rsidRDefault="00675105" w:rsidP="00675105">
      <w:pPr>
        <w:rPr>
          <w:rFonts w:ascii="Calibri" w:hAnsi="Calibri"/>
          <w:lang w:eastAsia="zh-TW"/>
        </w:rPr>
      </w:pPr>
      <w:r w:rsidRPr="007D162C">
        <w:rPr>
          <w:rFonts w:ascii="Calibri" w:hAnsi="Calibri"/>
          <w:lang w:eastAsia="zh-TW"/>
        </w:rPr>
        <w:t>A few transport operators and providers argued that announcements about service changes are not made in lifts as they are not critical areas of the journey and that standard operations rely on something other than a public announcement system.</w:t>
      </w:r>
    </w:p>
    <w:p w14:paraId="66E464FE" w14:textId="77777777" w:rsidR="00675105" w:rsidRPr="007D162C" w:rsidRDefault="00675105" w:rsidP="00675105">
      <w:r w:rsidRPr="007D162C">
        <w:t>For government and industry stakeholders who supported the non-regulatory option, the majority of their submissions acknowledged hearing augmentation and assistive listening devices at key customer touchpoints are essential for facilitating seamless independent travel. However, these stakeholders raised concerns about:</w:t>
      </w:r>
    </w:p>
    <w:p w14:paraId="6303544A" w14:textId="77777777" w:rsidR="00675105" w:rsidRPr="007D162C" w:rsidRDefault="00675105" w:rsidP="00736E40">
      <w:pPr>
        <w:pStyle w:val="Listparagraphbullets"/>
        <w:spacing w:after="0"/>
      </w:pPr>
      <w:r w:rsidRPr="007D162C">
        <w:rPr>
          <w:lang w:val="en-US"/>
        </w:rPr>
        <w:t xml:space="preserve">the implementation of magnetic induction loops may not result in an optimal outcome due to their unreliability in </w:t>
      </w:r>
      <w:r w:rsidRPr="007D162C">
        <w:t>lifts and proneness to interference.</w:t>
      </w:r>
    </w:p>
    <w:p w14:paraId="11C589EE" w14:textId="77777777" w:rsidR="00736E40" w:rsidRPr="007D162C" w:rsidRDefault="00675105" w:rsidP="00736E40">
      <w:pPr>
        <w:pStyle w:val="Listparagraphbullets"/>
        <w:spacing w:after="0"/>
        <w:rPr>
          <w:lang w:val="en-US"/>
        </w:rPr>
      </w:pPr>
      <w:r w:rsidRPr="007D162C">
        <w:t>the advancement of</w:t>
      </w:r>
      <w:r w:rsidRPr="007D162C">
        <w:rPr>
          <w:lang w:val="en-US"/>
        </w:rPr>
        <w:t xml:space="preserve"> technology (e.g. Bluetooth capable t-coil) may make the additional requirements redundant and increase costs.</w:t>
      </w:r>
    </w:p>
    <w:p w14:paraId="62492A47" w14:textId="77777777" w:rsidR="00736E40" w:rsidRPr="007D162C" w:rsidRDefault="00736E40" w:rsidP="00736E40">
      <w:pPr>
        <w:pStyle w:val="Listparagraphbullets"/>
        <w:numPr>
          <w:ilvl w:val="0"/>
          <w:numId w:val="0"/>
        </w:numPr>
        <w:spacing w:after="0"/>
        <w:ind w:left="360"/>
        <w:rPr>
          <w:lang w:val="en-US"/>
        </w:rPr>
      </w:pPr>
    </w:p>
    <w:p w14:paraId="2BE7D630" w14:textId="77777777" w:rsidR="00675105" w:rsidRPr="007D162C" w:rsidRDefault="00675105" w:rsidP="00675105">
      <w:r w:rsidRPr="007D162C">
        <w:t xml:space="preserve">To address these technical opportunities and barriers, government and industry stakeholders said guidance would help them to implement solutions using newer technologies, such as Bluetooth t-coils, in older lifts. </w:t>
      </w:r>
    </w:p>
    <w:p w14:paraId="7810B498" w14:textId="77777777" w:rsidR="00675105" w:rsidRPr="007D162C" w:rsidRDefault="00675105" w:rsidP="00675105">
      <w:pPr>
        <w:pStyle w:val="Quote"/>
      </w:pPr>
      <w:r w:rsidRPr="007D162C">
        <w:t>TMR supports the non-regulatory option to allow for uncertainty around emerging technologies and applications in heavy rail environments, while also enabling enhanced accessibility of general facility PA announcements for people who use hearing aids, if external audible PA announcements are currently also provided within lifts.</w:t>
      </w:r>
    </w:p>
    <w:p w14:paraId="33ED1E29" w14:textId="77777777" w:rsidR="00675105" w:rsidRPr="007D162C" w:rsidRDefault="00675105" w:rsidP="00675105">
      <w:pPr>
        <w:pStyle w:val="Quote"/>
        <w:rPr>
          <w:rFonts w:ascii="Calibri" w:hAnsi="Calibri"/>
          <w:lang w:val="en-US" w:eastAsia="zh-TW"/>
        </w:rPr>
      </w:pPr>
      <w:r w:rsidRPr="007D162C">
        <w:t>Queensland Government Department of Transport and Main Road</w:t>
      </w:r>
      <w:r w:rsidRPr="007D162C">
        <w:rPr>
          <w:rFonts w:ascii="Calibri" w:hAnsi="Calibri"/>
          <w:lang w:val="en-US" w:eastAsia="zh-TW"/>
        </w:rPr>
        <w:t>s</w:t>
      </w:r>
    </w:p>
    <w:p w14:paraId="2AAAD6F3" w14:textId="6D249B15" w:rsidR="00675105" w:rsidRPr="007D162C" w:rsidRDefault="00675105" w:rsidP="00675105">
      <w:pPr>
        <w:rPr>
          <w:rFonts w:ascii="Calibri" w:hAnsi="Calibri"/>
          <w:lang w:eastAsia="zh-TW"/>
        </w:rPr>
      </w:pPr>
      <w:r w:rsidRPr="007D162C">
        <w:rPr>
          <w:rFonts w:ascii="Calibri" w:hAnsi="Calibri"/>
          <w:lang w:eastAsia="zh-TW"/>
        </w:rPr>
        <w:t xml:space="preserve">Government and industry stakeholders told us that newer lifts, which comply with the 2020 lift standards, include assistive listening systems and technology. The additional requirement in the regulatory option, for in-car announcements mirroring those broadcasts over PA systems, would be a new requirement beyond compliance with the AS 1735.12 (2020). </w:t>
      </w:r>
    </w:p>
    <w:p w14:paraId="7704E9C3" w14:textId="77777777" w:rsidR="00675105" w:rsidRPr="007D162C" w:rsidRDefault="00675105" w:rsidP="00675105">
      <w:pPr>
        <w:rPr>
          <w:rFonts w:ascii="Calibri" w:hAnsi="Calibri"/>
          <w:lang w:eastAsia="zh-TW"/>
        </w:rPr>
      </w:pPr>
      <w:r w:rsidRPr="007D162C">
        <w:rPr>
          <w:rFonts w:ascii="Calibri" w:hAnsi="Calibri"/>
          <w:lang w:eastAsia="zh-TW"/>
        </w:rPr>
        <w:t>Most government and industry stakeholder said guidance would allow them to implement custom solutions for in-car announcements of service-related information, depending on the age of the lift infrastructure and the broadcast systems used in their public transport infrastructure.</w:t>
      </w:r>
    </w:p>
    <w:p w14:paraId="1288D49B" w14:textId="77777777" w:rsidR="00675105" w:rsidRPr="007D162C" w:rsidRDefault="00675105" w:rsidP="00675105">
      <w:pPr>
        <w:rPr>
          <w:rFonts w:ascii="Calibri" w:hAnsi="Calibri"/>
          <w:lang w:eastAsia="zh-TW"/>
        </w:rPr>
      </w:pPr>
      <w:r w:rsidRPr="007D162C">
        <w:rPr>
          <w:rFonts w:ascii="Calibri" w:hAnsi="Calibri"/>
          <w:lang w:eastAsia="zh-TW"/>
        </w:rPr>
        <w:t>To the extent that guidance is followed, hearing aid passengers, particularly those with vision impairments, will benefit through receiving the same quality of service-related, audible information as other passengers when travelling in lifts.</w:t>
      </w:r>
    </w:p>
    <w:p w14:paraId="2650EE0A" w14:textId="77777777" w:rsidR="00675105" w:rsidRPr="007D162C" w:rsidRDefault="00675105" w:rsidP="00675105">
      <w:pPr>
        <w:pStyle w:val="Heading5"/>
        <w:rPr>
          <w:b w:val="0"/>
          <w:color w:val="000000" w:themeColor="text1"/>
        </w:rPr>
      </w:pPr>
      <w:r w:rsidRPr="007D162C">
        <w:t>Regulatory</w:t>
      </w:r>
    </w:p>
    <w:p w14:paraId="09C8C429"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requirements proposed in the regulatory option are intended to provide certainty in the provision of lift car communication and information systems.</w:t>
      </w:r>
    </w:p>
    <w:p w14:paraId="761A1A27"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All submissions from people with disability and disability organisations supported the proposed regulatory option. Most of those submissions raised the issue of discrimination. Disability stakeholder submission said the status quo dissuades affected people from using public transport and hinders their independence in the community. </w:t>
      </w:r>
    </w:p>
    <w:p w14:paraId="626A5263"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A few disability stakeholders said that new technology was very useful, but not all people with disability had access to or could use newer technology. </w:t>
      </w:r>
    </w:p>
    <w:p w14:paraId="23E7827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Government and public transport operators who supported the regulatory option identified the benefits of consistency and certainty in implementing requirements and auditing compliance with the Transport Standards. </w:t>
      </w:r>
    </w:p>
    <w:p w14:paraId="03861683" w14:textId="30AF7868"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lastRenderedPageBreak/>
        <w:t xml:space="preserve">A few government submissions raised the importance of updating the lift Standards referenced within the Transport Standards to align with industry best practice. The submissions which supported referencing AS1735.12 (2020) did not comment on the additional requirement, beyond the scope of the newer lift standard, for </w:t>
      </w:r>
      <w:r w:rsidRPr="007D162C">
        <w:rPr>
          <w:rFonts w:ascii="Calibri" w:hAnsi="Calibri"/>
          <w:lang w:eastAsia="zh-TW"/>
        </w:rPr>
        <w:t>in-car announcements to mirror those broadcasts over PA systems.</w:t>
      </w:r>
    </w:p>
    <w:p w14:paraId="4A1A40EF" w14:textId="77777777" w:rsidR="00675105" w:rsidRPr="007D162C" w:rsidRDefault="00675105" w:rsidP="00675105">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6C39E424" w14:textId="77777777" w:rsidR="00675105" w:rsidRPr="007D162C" w:rsidRDefault="00675105" w:rsidP="00675105">
      <w:pPr>
        <w:rPr>
          <w:rFonts w:ascii="Calibri" w:eastAsia="Calibri" w:hAnsi="Calibri" w:cs="Times New Roman"/>
          <w:b/>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non-regulatory option.</w:t>
      </w:r>
    </w:p>
    <w:p w14:paraId="03F238AF"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non-regulatory option for lifts differs to the preferred status quo option for hearing augmentation in infrastructure and premises. Many lifts at transport sites already contain assistive listening systems whereas hearing augmentation in infrastructure and premises options had more technical and scope issues, which informed the choice of the status quo option.</w:t>
      </w:r>
    </w:p>
    <w:p w14:paraId="7E7551EF" w14:textId="77777777" w:rsidR="00675105" w:rsidRPr="007D162C" w:rsidRDefault="08D050C4"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non-regulatory approach will provide guidance on best practices to align announcements broadcast via the lift car speakers to also be captured by the assistive listening (hearing loop) systems. The non-regulatory approach would help transport operators and providers to ensure additional service-related information (such as platform changes or late-running services) would also be provided in the lift car. The non-regulatory option recognises the need for flexibility in implementing bespoke solutions for lift car communication and information systems.  </w:t>
      </w:r>
    </w:p>
    <w:p w14:paraId="75D53F26" w14:textId="75C8455F" w:rsidR="00675105" w:rsidRPr="007D162C" w:rsidRDefault="00675105" w:rsidP="00675105">
      <w:pPr>
        <w:rPr>
          <w:rFonts w:ascii="Calibri" w:hAnsi="Calibri"/>
          <w:lang w:eastAsia="zh-TW"/>
        </w:rPr>
      </w:pPr>
      <w:r w:rsidRPr="007D162C">
        <w:rPr>
          <w:rFonts w:ascii="Calibri" w:eastAsia="Calibri" w:hAnsi="Calibri" w:cs="Times New Roman"/>
          <w:color w:val="000000" w:themeColor="text1"/>
        </w:rPr>
        <w:t xml:space="preserve">The non-regulatory option acknowledges that most new lifts supplied and installed in Australia, especially those manufactured in Europe, already meet the requirements of AS17:35.12 (2020), especially those supplied since 2014. These lift installations have </w:t>
      </w:r>
      <w:r w:rsidRPr="007D162C">
        <w:rPr>
          <w:rFonts w:ascii="Calibri" w:hAnsi="Calibri"/>
          <w:lang w:eastAsia="zh-TW"/>
        </w:rPr>
        <w:t xml:space="preserve">enhanced accessibility requirements for assistive listening systems, and additional guidance will assist transport owners and operators to use their existing assistive listening systems to provide in-car announcement of service-related information broadcast over </w:t>
      </w:r>
      <w:r w:rsidR="0064181B">
        <w:rPr>
          <w:rFonts w:ascii="Calibri" w:hAnsi="Calibri"/>
          <w:lang w:eastAsia="zh-TW"/>
        </w:rPr>
        <w:t>PA</w:t>
      </w:r>
      <w:r w:rsidRPr="007D162C">
        <w:rPr>
          <w:rFonts w:ascii="Calibri" w:hAnsi="Calibri"/>
          <w:lang w:eastAsia="zh-TW"/>
        </w:rPr>
        <w:t xml:space="preserve"> systems. </w:t>
      </w:r>
    </w:p>
    <w:p w14:paraId="10E4826E"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For older lift installations, especially those that do not have assistive listening systems, additional guidance on the use of more recent technology (e.g. Bluetooth capable t-coil) may provide cost-effective solutions to address the limitations of older lift installations.</w:t>
      </w:r>
    </w:p>
    <w:p w14:paraId="296C5F8C" w14:textId="77777777" w:rsidR="00675105" w:rsidRPr="007D162C" w:rsidRDefault="00675105" w:rsidP="00675105">
      <w:pPr>
        <w:rPr>
          <w:rFonts w:ascii="Calibri" w:eastAsia="Calibri" w:hAnsi="Calibri" w:cs="Times New Roman"/>
          <w:color w:val="000000" w:themeColor="text1"/>
        </w:rPr>
      </w:pPr>
      <w:r w:rsidRPr="007D162C">
        <w:rPr>
          <w:rFonts w:ascii="Calibri" w:eastAsia="Calibri" w:hAnsi="Calibri" w:cs="Times New Roman"/>
          <w:color w:val="000000" w:themeColor="text1"/>
        </w:rPr>
        <w:t>The provision of updated guidance will provide the transport operators and providers with the necessary information to update their existing lifts and exceed minimum requirements should they choose to do so.</w:t>
      </w:r>
    </w:p>
    <w:p w14:paraId="3D9A506E" w14:textId="77777777" w:rsidR="00F36DD9" w:rsidRPr="007D162C" w:rsidRDefault="00675105" w:rsidP="00675105">
      <w:bookmarkStart w:id="367" w:name="_Hlk121929220"/>
      <w:r w:rsidRPr="007D162C">
        <w:t xml:space="preserve">The preferred option will be implemented through inclusion in a revised Whole Journey Guide. </w:t>
      </w:r>
      <w:bookmarkEnd w:id="367"/>
    </w:p>
    <w:p w14:paraId="640C6C3E" w14:textId="77777777" w:rsidR="00F36DD9" w:rsidRPr="007D162C" w:rsidRDefault="00F36DD9" w:rsidP="00F36DD9">
      <w:r w:rsidRPr="007D162C">
        <w:br w:type="page"/>
      </w:r>
    </w:p>
    <w:p w14:paraId="4BA17006" w14:textId="5FC74886" w:rsidR="00F36DD9" w:rsidRPr="007D162C" w:rsidRDefault="00F36DD9" w:rsidP="001B7B6E">
      <w:pPr>
        <w:pStyle w:val="Heading2"/>
        <w:numPr>
          <w:ilvl w:val="0"/>
          <w:numId w:val="26"/>
        </w:numPr>
        <w:ind w:hanging="720"/>
      </w:pPr>
      <w:bookmarkStart w:id="368" w:name="_Toc127351770"/>
      <w:bookmarkStart w:id="369" w:name="_Toc140239728"/>
      <w:r w:rsidRPr="007D162C">
        <w:lastRenderedPageBreak/>
        <w:t>Information and communication technologies (ICT) procurement</w:t>
      </w:r>
      <w:bookmarkEnd w:id="368"/>
      <w:bookmarkEnd w:id="369"/>
    </w:p>
    <w:p w14:paraId="0B53666E" w14:textId="77777777" w:rsidR="00F36DD9" w:rsidRPr="007D162C" w:rsidRDefault="00F36DD9" w:rsidP="00F36DD9">
      <w:pPr>
        <w:pStyle w:val="Heading4"/>
        <w:rPr>
          <w:iCs/>
        </w:rPr>
      </w:pPr>
      <w:r w:rsidRPr="007D162C">
        <w:t>Issue</w:t>
      </w:r>
    </w:p>
    <w:p w14:paraId="198D520B" w14:textId="00DB7276" w:rsidR="00F36DD9" w:rsidRPr="007D162C" w:rsidRDefault="00F36DD9" w:rsidP="00913F5F">
      <w:pPr>
        <w:tabs>
          <w:tab w:val="left" w:pos="284"/>
        </w:tabs>
      </w:pPr>
      <w:r w:rsidRPr="007D162C">
        <w:t xml:space="preserve">The Transport Standards do not provide technical requirements for Information Communication Technology (ICT) procurement and do not support best practice for ensuring ICT procurement </w:t>
      </w:r>
      <w:r w:rsidR="00B559BD">
        <w:t xml:space="preserve">will </w:t>
      </w:r>
      <w:r w:rsidRPr="007D162C">
        <w:t>result in accessible products or services.</w:t>
      </w:r>
    </w:p>
    <w:p w14:paraId="5D913FCB" w14:textId="77777777" w:rsidR="00F36DD9" w:rsidRPr="007D162C" w:rsidRDefault="00F36DD9" w:rsidP="00913F5F">
      <w:pPr>
        <w:tabs>
          <w:tab w:val="left" w:pos="284"/>
        </w:tabs>
      </w:pPr>
      <w:r w:rsidRPr="007D162C">
        <w:t xml:space="preserve">In the absence of national minimum accessibility requirements, there are inconsistencies in the level of accessibility for ICT applications, products and services across different states and territories. </w:t>
      </w:r>
    </w:p>
    <w:p w14:paraId="284939BF"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The practical implications are that people with disabilities may not be able to fully access aspects of operator’s and provider’s ICT products and services. For example:</w:t>
      </w:r>
    </w:p>
    <w:p w14:paraId="1C39168D" w14:textId="77777777" w:rsidR="00F36DD9" w:rsidRPr="007D162C" w:rsidRDefault="00F36DD9" w:rsidP="00F36DD9">
      <w:pPr>
        <w:pStyle w:val="Listparagraphbullets"/>
        <w:spacing w:after="0"/>
        <w:rPr>
          <w:rFonts w:eastAsia="Calibri" w:cs="Times New Roman"/>
        </w:rPr>
      </w:pPr>
      <w:r w:rsidRPr="007D162C">
        <w:rPr>
          <w:rFonts w:eastAsia="Calibri" w:cs="Times New Roman"/>
        </w:rPr>
        <w:t>people who are visually impaired may have difficulty or be or unable to read / view content on a website, mobile screen, or use a screen reader.</w:t>
      </w:r>
    </w:p>
    <w:p w14:paraId="5522E19C" w14:textId="77777777" w:rsidR="00F36DD9" w:rsidRPr="007D162C" w:rsidRDefault="00F36DD9" w:rsidP="00F36DD9">
      <w:pPr>
        <w:pStyle w:val="Listparagraphbullets"/>
        <w:spacing w:after="0"/>
        <w:rPr>
          <w:rFonts w:eastAsia="Calibri" w:cs="Times New Roman"/>
        </w:rPr>
      </w:pPr>
      <w:r w:rsidRPr="007D162C">
        <w:rPr>
          <w:rFonts w:eastAsia="Calibri" w:cs="Times New Roman"/>
        </w:rPr>
        <w:t>people living with disability may have difficulty or unable to use digital fare systems.</w:t>
      </w:r>
    </w:p>
    <w:p w14:paraId="3635F4F7" w14:textId="77777777" w:rsidR="00F36DD9" w:rsidRPr="007D162C" w:rsidRDefault="00F36DD9" w:rsidP="00FC6346">
      <w:pPr>
        <w:spacing w:before="240"/>
        <w:rPr>
          <w:rFonts w:ascii="Calibri" w:eastAsia="Calibri" w:hAnsi="Calibri" w:cs="Times New Roman"/>
          <w:color w:val="000000" w:themeColor="text1"/>
        </w:rPr>
      </w:pPr>
      <w:r w:rsidRPr="007D162C">
        <w:rPr>
          <w:rFonts w:ascii="Calibri" w:eastAsia="Calibri" w:hAnsi="Calibri" w:cs="Times New Roman"/>
          <w:color w:val="000000" w:themeColor="text1"/>
        </w:rPr>
        <w:t>Collective government action would set consistent requirements for all ICT procurement and would address key stakeholder issues raised through the Transport Standards review process.</w:t>
      </w:r>
    </w:p>
    <w:p w14:paraId="16950974" w14:textId="77777777" w:rsidR="00F36DD9" w:rsidRPr="007D162C" w:rsidRDefault="00F36DD9" w:rsidP="00F36DD9">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Reform options</w:t>
      </w:r>
    </w:p>
    <w:p w14:paraId="6E98684A"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Following is a summary of the proposed options for this reform. Full details of each reform option is provided at Appendix A.</w:t>
      </w:r>
    </w:p>
    <w:p w14:paraId="67E5C977" w14:textId="53FBD790" w:rsidR="00FC6346" w:rsidRPr="007D162C" w:rsidRDefault="00FC6346" w:rsidP="00FC6346">
      <w:pPr>
        <w:keepNext/>
        <w:spacing w:after="0"/>
        <w:rPr>
          <w:rFonts w:ascii="Calibri" w:eastAsia="Calibri" w:hAnsi="Calibri" w:cs="Times New Roman"/>
          <w:b/>
          <w:color w:val="002D72"/>
        </w:rPr>
      </w:pPr>
      <w:bookmarkStart w:id="370" w:name="_Toc139969220"/>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62</w:t>
      </w:r>
      <w:r w:rsidRPr="007D162C">
        <w:fldChar w:fldCharType="end"/>
      </w:r>
      <w:r w:rsidRPr="007D162C">
        <w:rPr>
          <w:rFonts w:ascii="Calibri" w:eastAsia="Calibri" w:hAnsi="Calibri" w:cs="Times New Roman"/>
          <w:b/>
          <w:color w:val="002D72"/>
        </w:rPr>
        <w:t>: Reform options for ICT procurement</w:t>
      </w:r>
      <w:bookmarkEnd w:id="370"/>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FC6346" w:rsidRPr="007D162C" w14:paraId="08FF035F" w14:textId="77777777" w:rsidTr="0079588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56ED616" w14:textId="77777777" w:rsidR="00FC6346" w:rsidRPr="007D162C" w:rsidRDefault="00FC6346" w:rsidP="00754992">
            <w:bookmarkStart w:id="371" w:name="_Hlk128400868"/>
            <w:r w:rsidRPr="007D162C">
              <w:t>Option</w:t>
            </w:r>
          </w:p>
        </w:tc>
        <w:tc>
          <w:tcPr>
            <w:tcW w:w="6840" w:type="dxa"/>
          </w:tcPr>
          <w:p w14:paraId="3817ED7F" w14:textId="77777777" w:rsidR="00FC6346" w:rsidRPr="007D162C" w:rsidRDefault="00FC6346" w:rsidP="00754992">
            <w:pPr>
              <w:cnfStyle w:val="100000000000" w:firstRow="1" w:lastRow="0" w:firstColumn="0" w:lastColumn="0" w:oddVBand="0" w:evenVBand="0" w:oddHBand="0" w:evenHBand="0" w:firstRowFirstColumn="0" w:firstRowLastColumn="0" w:lastRowFirstColumn="0" w:lastRowLastColumn="0"/>
            </w:pPr>
            <w:r w:rsidRPr="007D162C">
              <w:t>Description</w:t>
            </w:r>
          </w:p>
        </w:tc>
      </w:tr>
      <w:tr w:rsidR="00FC6346" w:rsidRPr="007D162C" w14:paraId="42180421" w14:textId="77777777" w:rsidTr="0079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A310C02" w14:textId="77777777" w:rsidR="00FC6346" w:rsidRPr="007D162C" w:rsidRDefault="00FC6346" w:rsidP="00FC6346">
            <w:pPr>
              <w:rPr>
                <w:rFonts w:ascii="Calibri" w:eastAsia="Calibri" w:hAnsi="Calibri" w:cs="Times New Roman"/>
                <w:color w:val="000000" w:themeColor="text1"/>
              </w:rPr>
            </w:pPr>
            <w:r w:rsidRPr="007D162C">
              <w:rPr>
                <w:rFonts w:ascii="Calibri" w:eastAsia="Calibri" w:hAnsi="Calibri" w:cs="Times New Roman"/>
              </w:rPr>
              <w:t>Status Quo</w:t>
            </w:r>
          </w:p>
        </w:tc>
        <w:tc>
          <w:tcPr>
            <w:tcW w:w="6840" w:type="dxa"/>
          </w:tcPr>
          <w:p w14:paraId="06A680EC"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be silent on requirements for ICT hardware, services and software procurement.</w:t>
            </w:r>
          </w:p>
          <w:p w14:paraId="3CAC8931"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t>The Transport Standards would remain unchanged and no additional guidance would be issued.</w:t>
            </w:r>
          </w:p>
        </w:tc>
      </w:tr>
      <w:tr w:rsidR="00FC6346" w:rsidRPr="007D162C" w14:paraId="2429914E" w14:textId="77777777" w:rsidTr="0079588B">
        <w:tc>
          <w:tcPr>
            <w:cnfStyle w:val="001000000000" w:firstRow="0" w:lastRow="0" w:firstColumn="1" w:lastColumn="0" w:oddVBand="0" w:evenVBand="0" w:oddHBand="0" w:evenHBand="0" w:firstRowFirstColumn="0" w:firstRowLastColumn="0" w:lastRowFirstColumn="0" w:lastRowLastColumn="0"/>
            <w:tcW w:w="2232" w:type="dxa"/>
          </w:tcPr>
          <w:p w14:paraId="2E632BF9" w14:textId="77777777" w:rsidR="00FC6346" w:rsidRPr="007D162C" w:rsidRDefault="00FC6346" w:rsidP="00FC6346">
            <w:pPr>
              <w:rPr>
                <w:rFonts w:ascii="Calibri" w:eastAsia="Calibri" w:hAnsi="Calibri" w:cs="Times New Roman"/>
              </w:rPr>
            </w:pPr>
            <w:r w:rsidRPr="007D162C">
              <w:rPr>
                <w:rFonts w:ascii="Calibri" w:eastAsia="Calibri" w:hAnsi="Calibri" w:cs="Times New Roman"/>
                <w:color w:val="auto"/>
              </w:rPr>
              <w:t>Non-regulatory</w:t>
            </w:r>
            <w:r w:rsidRPr="007D162C">
              <w:rPr>
                <w:rFonts w:ascii="Calibri" w:eastAsia="Calibri" w:hAnsi="Calibri" w:cs="Times New Roman"/>
              </w:rPr>
              <w:t xml:space="preserve"> </w:t>
            </w:r>
          </w:p>
        </w:tc>
        <w:tc>
          <w:tcPr>
            <w:tcW w:w="6840" w:type="dxa"/>
          </w:tcPr>
          <w:p w14:paraId="2D9ABBF6" w14:textId="5EC2B563" w:rsidR="00FC6346" w:rsidRPr="007D162C" w:rsidRDefault="00FC6346" w:rsidP="00FC6346">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color w:val="auto"/>
              </w:rPr>
              <w:t xml:space="preserve">Guidance would be developed for ICT hardware, services and software procurement to provide advice that ICT accessibility requirements should be considered at procurement and suggest technical standards to adhere to. There are three non-regulatory options that were consulted on, including performance-based requirements, varied levels of Web Content Accessibility Guidelines (WCAG) compliance, and updated Australian </w:t>
            </w:r>
            <w:r w:rsidR="00FF698B" w:rsidRPr="007D162C">
              <w:rPr>
                <w:color w:val="auto"/>
              </w:rPr>
              <w:t xml:space="preserve">Standards. </w:t>
            </w:r>
          </w:p>
        </w:tc>
      </w:tr>
      <w:tr w:rsidR="00FC6346" w:rsidRPr="007D162C" w14:paraId="33C51D18" w14:textId="77777777" w:rsidTr="007958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9B81501" w14:textId="77777777" w:rsidR="00FC6346" w:rsidRPr="007D162C" w:rsidRDefault="00FC6346" w:rsidP="00FC6346">
            <w:pPr>
              <w:rPr>
                <w:rFonts w:ascii="Calibri" w:eastAsia="Calibri" w:hAnsi="Calibri" w:cs="Times New Roman"/>
                <w:color w:val="000000" w:themeColor="text1"/>
              </w:rPr>
            </w:pPr>
            <w:r w:rsidRPr="007D162C">
              <w:rPr>
                <w:rFonts w:ascii="Calibri" w:eastAsia="Calibri" w:hAnsi="Calibri" w:cs="Times New Roman"/>
              </w:rPr>
              <w:t>Regulatory</w:t>
            </w:r>
          </w:p>
        </w:tc>
        <w:tc>
          <w:tcPr>
            <w:tcW w:w="6840" w:type="dxa"/>
          </w:tcPr>
          <w:p w14:paraId="560AC5FE"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requirements for ICT hardware, services and software procurement. </w:t>
            </w:r>
          </w:p>
          <w:p w14:paraId="765A7A0F" w14:textId="6451808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pPr>
            <w:r w:rsidRPr="007D162C">
              <w:t xml:space="preserve">There are five regulatory options that were consulted </w:t>
            </w:r>
            <w:r w:rsidR="00FF698B" w:rsidRPr="007D162C">
              <w:t xml:space="preserve">on: </w:t>
            </w:r>
          </w:p>
          <w:p w14:paraId="08099B05"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738CD52C"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set performance requirements for ICT procurement.</w:t>
            </w:r>
          </w:p>
          <w:p w14:paraId="7CDAE853"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750FB55B"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require compliance with AS/EN301549 (2016)</w:t>
            </w:r>
            <w:r w:rsidRPr="007D162C">
              <w:rPr>
                <w:i/>
              </w:rPr>
              <w:t xml:space="preserve"> Accessibility requirements suitable for public procurement of ICT products and services</w:t>
            </w:r>
            <w:r w:rsidRPr="007D162C">
              <w:rPr>
                <w:lang w:val="en-AU"/>
              </w:rPr>
              <w:t>.</w:t>
            </w:r>
          </w:p>
          <w:p w14:paraId="76AD51FA"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722ECFA4"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require compliance with AS/EN301549 (2016)</w:t>
            </w:r>
            <w:r w:rsidRPr="007D162C">
              <w:rPr>
                <w:i/>
              </w:rPr>
              <w:t xml:space="preserve"> Accessibility requirements suitable for public procurement </w:t>
            </w:r>
            <w:r w:rsidRPr="007D162C">
              <w:rPr>
                <w:i/>
              </w:rPr>
              <w:lastRenderedPageBreak/>
              <w:t>of ICT products and services</w:t>
            </w:r>
            <w:r w:rsidRPr="007D162C">
              <w:rPr>
                <w:lang w:val="en-AU"/>
              </w:rPr>
              <w:t>. and prescribe additional minimum Web Content Accessibility Guidelines (WCAG) 2.0 AAA requirements.</w:t>
            </w:r>
          </w:p>
          <w:p w14:paraId="08E0AF1B"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4</w:t>
            </w:r>
          </w:p>
          <w:p w14:paraId="2EAA6145"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 xml:space="preserve">The Transport Standards would be amended to require compliance with AS/EN301549 (2020) </w:t>
            </w:r>
            <w:r w:rsidRPr="007D162C">
              <w:rPr>
                <w:i/>
              </w:rPr>
              <w:t>Accessibility requirements suitable for public procurement of ICT products and services</w:t>
            </w:r>
            <w:r w:rsidRPr="007D162C">
              <w:rPr>
                <w:lang w:val="en-AU"/>
              </w:rPr>
              <w:t>.</w:t>
            </w:r>
          </w:p>
          <w:p w14:paraId="59627253" w14:textId="77777777" w:rsidR="004C0D5D" w:rsidRPr="007D162C" w:rsidRDefault="004C0D5D" w:rsidP="004C0D5D">
            <w:pPr>
              <w:cnfStyle w:val="000000100000" w:firstRow="0" w:lastRow="0" w:firstColumn="0" w:lastColumn="0" w:oddVBand="0" w:evenVBand="0" w:oddHBand="1" w:evenHBand="0" w:firstRowFirstColumn="0" w:firstRowLastColumn="0" w:lastRowFirstColumn="0" w:lastRowLastColumn="0"/>
              <w:rPr>
                <w:b/>
              </w:rPr>
            </w:pPr>
            <w:r w:rsidRPr="007D162C">
              <w:rPr>
                <w:b/>
              </w:rPr>
              <w:t>Option 5</w:t>
            </w:r>
          </w:p>
          <w:p w14:paraId="30C8C753" w14:textId="77777777" w:rsidR="00FC6346" w:rsidRPr="007D162C" w:rsidRDefault="004C0D5D" w:rsidP="004C0D5D">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 xml:space="preserve">The Transport Standards would be amended to require compliance with AS/EN301549 (2020) </w:t>
            </w:r>
            <w:r w:rsidRPr="007D162C">
              <w:rPr>
                <w:i/>
              </w:rPr>
              <w:t>Accessibility requirements suitable for public procurement of ICT products and services</w:t>
            </w:r>
            <w:r w:rsidRPr="007D162C">
              <w:rPr>
                <w:lang w:val="en-AU"/>
              </w:rPr>
              <w:t>. and prescribes additional minimum Web Content Accessibility Guidelines (WCAG) 2.1 AAA requirements.</w:t>
            </w:r>
          </w:p>
          <w:p w14:paraId="21938795" w14:textId="77777777" w:rsidR="00FC6346" w:rsidRPr="007D162C" w:rsidRDefault="00FC6346" w:rsidP="00FC6346">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Guidance would be provided to reflect any new requirements.</w:t>
            </w:r>
          </w:p>
        </w:tc>
      </w:tr>
      <w:bookmarkEnd w:id="371"/>
    </w:tbl>
    <w:p w14:paraId="603E8B27" w14:textId="77777777" w:rsidR="00B559BD" w:rsidRDefault="00B559BD" w:rsidP="00F36DD9">
      <w:pPr>
        <w:keepNext/>
        <w:tabs>
          <w:tab w:val="left" w:pos="284"/>
        </w:tabs>
        <w:outlineLvl w:val="3"/>
        <w:rPr>
          <w:rFonts w:ascii="Calibri" w:eastAsia="Calibri" w:hAnsi="Calibri" w:cs="Times New Roman"/>
          <w:color w:val="000000"/>
          <w:sz w:val="18"/>
          <w:szCs w:val="18"/>
        </w:rPr>
      </w:pPr>
    </w:p>
    <w:p w14:paraId="31738044" w14:textId="42AF7594" w:rsidR="00F36DD9" w:rsidRPr="007D162C" w:rsidRDefault="00F36DD9" w:rsidP="00F36DD9">
      <w:pPr>
        <w:keepNext/>
        <w:tabs>
          <w:tab w:val="left" w:pos="284"/>
        </w:tabs>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Cost benefit analysis</w:t>
      </w:r>
    </w:p>
    <w:p w14:paraId="370C8D04" w14:textId="77777777" w:rsidR="00F36DD9" w:rsidRPr="007D162C" w:rsidRDefault="00F36DD9" w:rsidP="00374B2C">
      <w:pPr>
        <w:pStyle w:val="Heading6"/>
      </w:pPr>
      <w:r w:rsidRPr="007D162C">
        <w:t xml:space="preserve">Quantitative assessment </w:t>
      </w:r>
    </w:p>
    <w:p w14:paraId="778AA3E6" w14:textId="77777777" w:rsidR="00F36DD9" w:rsidRPr="007D162C" w:rsidRDefault="00F36DD9" w:rsidP="00913F5F">
      <w:pPr>
        <w:tabs>
          <w:tab w:val="left" w:pos="284"/>
        </w:tabs>
      </w:pPr>
      <w:r w:rsidRPr="007D162C">
        <w:t>The following categories of quantitative costs and benefits were identified in the CBA as pertaining to the reform options. Regulatory options 2 and 4 were not included in the final CBA, due to their estimated minimal variations between the other similar options.</w:t>
      </w:r>
    </w:p>
    <w:p w14:paraId="1CBE9968" w14:textId="542BC12A" w:rsidR="00F36DD9" w:rsidRPr="007D162C" w:rsidRDefault="00F36DD9" w:rsidP="00F36DD9">
      <w:pPr>
        <w:keepNext/>
        <w:spacing w:after="0"/>
        <w:rPr>
          <w:rFonts w:ascii="Calibri" w:eastAsia="Calibri" w:hAnsi="Calibri" w:cs="Times New Roman"/>
          <w:b/>
          <w:color w:val="002D72"/>
        </w:rPr>
      </w:pPr>
      <w:bookmarkStart w:id="372" w:name="_Toc139969221"/>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63</w:t>
      </w:r>
      <w:r w:rsidRPr="007D162C">
        <w:fldChar w:fldCharType="end"/>
      </w:r>
      <w:r w:rsidRPr="007D162C">
        <w:rPr>
          <w:rFonts w:ascii="Calibri" w:eastAsia="Calibri" w:hAnsi="Calibri" w:cs="Times New Roman"/>
          <w:b/>
          <w:color w:val="002D72"/>
        </w:rPr>
        <w:t>: Benefit-cost ratios for ICT procurement</w:t>
      </w:r>
      <w:bookmarkEnd w:id="372"/>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341"/>
        <w:gridCol w:w="1648"/>
        <w:gridCol w:w="1667"/>
        <w:gridCol w:w="1639"/>
        <w:gridCol w:w="1017"/>
      </w:tblGrid>
      <w:tr w:rsidR="008439E1" w:rsidRPr="007D162C" w14:paraId="66385EB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570FDF28" w14:textId="77777777" w:rsidR="008439E1" w:rsidRPr="007D162C" w:rsidRDefault="08D050C4" w:rsidP="00754992">
            <w:bookmarkStart w:id="373" w:name="_Hlk128400889"/>
            <w:r w:rsidRPr="007D162C">
              <w:t>Reform Option</w:t>
            </w:r>
          </w:p>
        </w:tc>
        <w:tc>
          <w:tcPr>
            <w:tcW w:w="1341" w:type="dxa"/>
          </w:tcPr>
          <w:p w14:paraId="16F0DA19"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30EBBF62"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67" w:type="dxa"/>
          </w:tcPr>
          <w:p w14:paraId="5F19E552"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39" w:type="dxa"/>
          </w:tcPr>
          <w:p w14:paraId="7F7F6901"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17" w:type="dxa"/>
          </w:tcPr>
          <w:p w14:paraId="55EC52FC" w14:textId="77777777" w:rsidR="008439E1"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BCR</w:t>
            </w:r>
          </w:p>
        </w:tc>
      </w:tr>
      <w:tr w:rsidR="002B620F" w:rsidRPr="007D162C" w14:paraId="2DDDDA7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B95A1A4"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Status Quo</w:t>
            </w:r>
          </w:p>
        </w:tc>
        <w:tc>
          <w:tcPr>
            <w:tcW w:w="1341" w:type="dxa"/>
          </w:tcPr>
          <w:p w14:paraId="5666D54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8" w:type="dxa"/>
          </w:tcPr>
          <w:p w14:paraId="42114103"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tcPr>
          <w:p w14:paraId="2AF7F4B8"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39" w:type="dxa"/>
          </w:tcPr>
          <w:p w14:paraId="05740E84"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017" w:type="dxa"/>
          </w:tcPr>
          <w:p w14:paraId="505D7EFF"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2B620F" w:rsidRPr="007D162C" w14:paraId="6391387C"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33123124"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Non-regulatory option 1</w:t>
            </w:r>
            <w:r w:rsidRPr="007D162C">
              <w:rPr>
                <w:rFonts w:ascii="Calibri" w:eastAsia="Calibri" w:hAnsi="Calibri" w:cs="Times New Roman"/>
              </w:rPr>
              <w:t xml:space="preserve"> </w:t>
            </w:r>
          </w:p>
        </w:tc>
        <w:tc>
          <w:tcPr>
            <w:tcW w:w="1341" w:type="dxa"/>
            <w:vAlign w:val="center"/>
          </w:tcPr>
          <w:p w14:paraId="5BF3F0DE"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230.5</w:t>
            </w:r>
          </w:p>
        </w:tc>
        <w:tc>
          <w:tcPr>
            <w:tcW w:w="1648" w:type="dxa"/>
          </w:tcPr>
          <w:p w14:paraId="386C56BB"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2F4814DC"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442.0</w:t>
            </w:r>
          </w:p>
        </w:tc>
        <w:tc>
          <w:tcPr>
            <w:tcW w:w="1639" w:type="dxa"/>
            <w:vAlign w:val="center"/>
          </w:tcPr>
          <w:p w14:paraId="7B54F5FD"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442.0</w:t>
            </w:r>
          </w:p>
        </w:tc>
        <w:tc>
          <w:tcPr>
            <w:tcW w:w="1017" w:type="dxa"/>
            <w:vAlign w:val="center"/>
          </w:tcPr>
          <w:p w14:paraId="056DE25A"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0.52</w:t>
            </w:r>
          </w:p>
        </w:tc>
      </w:tr>
      <w:tr w:rsidR="002B620F" w:rsidRPr="007D162C" w14:paraId="3891D70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30EA2D"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Non-regulatory option 2</w:t>
            </w:r>
          </w:p>
        </w:tc>
        <w:tc>
          <w:tcPr>
            <w:tcW w:w="1341" w:type="dxa"/>
            <w:vAlign w:val="center"/>
          </w:tcPr>
          <w:p w14:paraId="5094A73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115.3</w:t>
            </w:r>
          </w:p>
        </w:tc>
        <w:tc>
          <w:tcPr>
            <w:tcW w:w="1648" w:type="dxa"/>
          </w:tcPr>
          <w:p w14:paraId="71E01E9B"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3E03058A"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397.8</w:t>
            </w:r>
          </w:p>
        </w:tc>
        <w:tc>
          <w:tcPr>
            <w:tcW w:w="1639" w:type="dxa"/>
            <w:vAlign w:val="center"/>
          </w:tcPr>
          <w:p w14:paraId="14F841E6"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397.8</w:t>
            </w:r>
          </w:p>
        </w:tc>
        <w:tc>
          <w:tcPr>
            <w:tcW w:w="1017" w:type="dxa"/>
            <w:vAlign w:val="center"/>
          </w:tcPr>
          <w:p w14:paraId="1304C1F7"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0.29</w:t>
            </w:r>
          </w:p>
        </w:tc>
      </w:tr>
      <w:tr w:rsidR="002B620F" w:rsidRPr="007D162C" w14:paraId="3A369BD5"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4DF40203"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Non-regulatory option 3</w:t>
            </w:r>
          </w:p>
        </w:tc>
        <w:tc>
          <w:tcPr>
            <w:tcW w:w="1341" w:type="dxa"/>
            <w:vAlign w:val="center"/>
          </w:tcPr>
          <w:p w14:paraId="24FE0356"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146.0</w:t>
            </w:r>
          </w:p>
        </w:tc>
        <w:tc>
          <w:tcPr>
            <w:tcW w:w="1648" w:type="dxa"/>
          </w:tcPr>
          <w:p w14:paraId="3FD2B057"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10C3D8FE"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530.4</w:t>
            </w:r>
          </w:p>
        </w:tc>
        <w:tc>
          <w:tcPr>
            <w:tcW w:w="1639" w:type="dxa"/>
            <w:vAlign w:val="center"/>
          </w:tcPr>
          <w:p w14:paraId="44684484"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530.4</w:t>
            </w:r>
          </w:p>
        </w:tc>
        <w:tc>
          <w:tcPr>
            <w:tcW w:w="1017" w:type="dxa"/>
            <w:vAlign w:val="center"/>
          </w:tcPr>
          <w:p w14:paraId="6F19574A"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0.28</w:t>
            </w:r>
          </w:p>
        </w:tc>
      </w:tr>
      <w:tr w:rsidR="002B620F" w:rsidRPr="007D162C" w14:paraId="735B75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C050E39"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Regulatory option 1</w:t>
            </w:r>
          </w:p>
        </w:tc>
        <w:tc>
          <w:tcPr>
            <w:tcW w:w="1341" w:type="dxa"/>
            <w:vAlign w:val="center"/>
          </w:tcPr>
          <w:p w14:paraId="48FF845D"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951.4</w:t>
            </w:r>
          </w:p>
        </w:tc>
        <w:tc>
          <w:tcPr>
            <w:tcW w:w="1648" w:type="dxa"/>
          </w:tcPr>
          <w:p w14:paraId="0D85AD98"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5C615079"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916.5</w:t>
            </w:r>
          </w:p>
        </w:tc>
        <w:tc>
          <w:tcPr>
            <w:tcW w:w="1639" w:type="dxa"/>
            <w:vAlign w:val="center"/>
          </w:tcPr>
          <w:p w14:paraId="1C590AE6" w14:textId="77777777" w:rsidR="002B620F" w:rsidRPr="007D162C" w:rsidRDefault="002B620F" w:rsidP="002B620F">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916.5</w:t>
            </w:r>
            <w:r w:rsidRPr="007D162C">
              <w:rPr>
                <w:rFonts w:eastAsia="Calibri"/>
                <w:color w:val="000000" w:themeColor="text1"/>
                <w:vertAlign w:val="superscript"/>
              </w:rPr>
              <w:t>i</w:t>
            </w:r>
          </w:p>
        </w:tc>
        <w:tc>
          <w:tcPr>
            <w:tcW w:w="1017" w:type="dxa"/>
            <w:vAlign w:val="center"/>
          </w:tcPr>
          <w:p w14:paraId="1F03E456"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1.04</w:t>
            </w:r>
          </w:p>
        </w:tc>
      </w:tr>
      <w:tr w:rsidR="002B620F" w:rsidRPr="007D162C" w14:paraId="6B570B78"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16B21427" w14:textId="77777777" w:rsidR="002B620F" w:rsidRPr="007D162C" w:rsidRDefault="002B620F" w:rsidP="002B620F">
            <w:pPr>
              <w:rPr>
                <w:rFonts w:ascii="Calibri" w:eastAsia="Calibri" w:hAnsi="Calibri" w:cs="Times New Roman"/>
              </w:rPr>
            </w:pPr>
            <w:r w:rsidRPr="007D162C">
              <w:rPr>
                <w:rFonts w:ascii="Calibri" w:eastAsia="Calibri" w:hAnsi="Calibri" w:cs="Times New Roman"/>
                <w:color w:val="auto"/>
              </w:rPr>
              <w:t>Regulatory option 3</w:t>
            </w:r>
          </w:p>
        </w:tc>
        <w:tc>
          <w:tcPr>
            <w:tcW w:w="1341" w:type="dxa"/>
            <w:vAlign w:val="center"/>
          </w:tcPr>
          <w:p w14:paraId="48BBEBD1"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1585.6</w:t>
            </w:r>
          </w:p>
        </w:tc>
        <w:tc>
          <w:tcPr>
            <w:tcW w:w="1648" w:type="dxa"/>
          </w:tcPr>
          <w:p w14:paraId="6C528DFC"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361DED51"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2651.8</w:t>
            </w:r>
          </w:p>
        </w:tc>
        <w:tc>
          <w:tcPr>
            <w:tcW w:w="1639" w:type="dxa"/>
            <w:vAlign w:val="center"/>
          </w:tcPr>
          <w:p w14:paraId="3525FE24" w14:textId="77777777" w:rsidR="002B620F" w:rsidRPr="007D162C" w:rsidRDefault="002B620F" w:rsidP="002B620F">
            <w:pPr>
              <w:cnfStyle w:val="000000000000" w:firstRow="0" w:lastRow="0" w:firstColumn="0" w:lastColumn="0" w:oddVBand="0" w:evenVBand="0" w:oddHBand="0" w:evenHBand="0" w:firstRowFirstColumn="0" w:firstRowLastColumn="0" w:lastRowFirstColumn="0" w:lastRowLastColumn="0"/>
              <w:rPr>
                <w:rFonts w:eastAsia="Calibri"/>
                <w:vertAlign w:val="superscript"/>
              </w:rPr>
            </w:pPr>
            <w:r w:rsidRPr="007D162C">
              <w:rPr>
                <w:rFonts w:eastAsia="Calibri"/>
              </w:rPr>
              <w:t>2651.8</w:t>
            </w:r>
            <w:r w:rsidRPr="007D162C">
              <w:rPr>
                <w:rFonts w:eastAsia="Calibri"/>
                <w:vertAlign w:val="superscript"/>
              </w:rPr>
              <w:t>i</w:t>
            </w:r>
          </w:p>
        </w:tc>
        <w:tc>
          <w:tcPr>
            <w:tcW w:w="1017" w:type="dxa"/>
            <w:vAlign w:val="center"/>
          </w:tcPr>
          <w:p w14:paraId="0D936A05" w14:textId="77777777" w:rsidR="002B620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0.60</w:t>
            </w:r>
          </w:p>
        </w:tc>
      </w:tr>
      <w:tr w:rsidR="002B620F" w:rsidRPr="007D162C" w14:paraId="0130E89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55FE9A4" w14:textId="77777777" w:rsidR="002B620F" w:rsidRPr="007D162C" w:rsidRDefault="002B620F" w:rsidP="002B620F">
            <w:pPr>
              <w:rPr>
                <w:rFonts w:ascii="Calibri" w:eastAsia="Calibri" w:hAnsi="Calibri" w:cs="Times New Roman"/>
                <w:color w:val="000000" w:themeColor="text1"/>
              </w:rPr>
            </w:pPr>
            <w:r w:rsidRPr="007D162C">
              <w:rPr>
                <w:rFonts w:ascii="Calibri" w:eastAsia="Calibri" w:hAnsi="Calibri" w:cs="Times New Roman"/>
              </w:rPr>
              <w:t>Regulatory option 5</w:t>
            </w:r>
          </w:p>
        </w:tc>
        <w:tc>
          <w:tcPr>
            <w:tcW w:w="1341" w:type="dxa"/>
            <w:vAlign w:val="center"/>
          </w:tcPr>
          <w:p w14:paraId="4B92F38C"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2008.5</w:t>
            </w:r>
          </w:p>
        </w:tc>
        <w:tc>
          <w:tcPr>
            <w:tcW w:w="1648" w:type="dxa"/>
          </w:tcPr>
          <w:p w14:paraId="5F9619D3"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1C6996EF"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3535.7</w:t>
            </w:r>
          </w:p>
        </w:tc>
        <w:tc>
          <w:tcPr>
            <w:tcW w:w="1639" w:type="dxa"/>
            <w:vAlign w:val="center"/>
          </w:tcPr>
          <w:p w14:paraId="19D01C27" w14:textId="77777777" w:rsidR="002B620F" w:rsidRPr="007D162C" w:rsidRDefault="002B620F" w:rsidP="002B620F">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3535.7</w:t>
            </w:r>
            <w:r w:rsidRPr="007D162C">
              <w:rPr>
                <w:rFonts w:eastAsia="Calibri"/>
                <w:color w:val="000000" w:themeColor="text1"/>
                <w:vertAlign w:val="superscript"/>
              </w:rPr>
              <w:t>i</w:t>
            </w:r>
          </w:p>
        </w:tc>
        <w:tc>
          <w:tcPr>
            <w:tcW w:w="1017" w:type="dxa"/>
            <w:vAlign w:val="center"/>
          </w:tcPr>
          <w:p w14:paraId="5FD4C907" w14:textId="77777777" w:rsidR="002B620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0.57</w:t>
            </w:r>
          </w:p>
        </w:tc>
      </w:tr>
    </w:tbl>
    <w:bookmarkEnd w:id="373"/>
    <w:p w14:paraId="4C58850F" w14:textId="77777777" w:rsidR="00F36DD9" w:rsidRPr="007D162C" w:rsidRDefault="00F36DD9" w:rsidP="00F36DD9">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w:t>
      </w:r>
      <w:r w:rsidRPr="007D162C">
        <w:rPr>
          <w:rFonts w:ascii="Calibri" w:eastAsia="Calibri" w:hAnsi="Calibri" w:cs="Times New Roman"/>
          <w:color w:val="000000" w:themeColor="text1"/>
          <w:sz w:val="18"/>
          <w:szCs w:val="18"/>
        </w:rPr>
        <w:t>$M, 2022/23, real, discounted at 7% over a 15-year appraisal period after implementation of all reforms, assessed incrementally</w:t>
      </w:r>
    </w:p>
    <w:p w14:paraId="7AF568DD" w14:textId="77777777" w:rsidR="00F36DD9" w:rsidRPr="007D162C" w:rsidRDefault="08D050C4" w:rsidP="08D050C4">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(i)</w:t>
      </w:r>
      <w:r w:rsidRPr="007D162C">
        <w:rPr>
          <w:rFonts w:ascii="Calibri" w:eastAsia="Calibri" w:hAnsi="Calibri" w:cs="Times New Roman"/>
          <w:color w:val="000000" w:themeColor="text1"/>
          <w:sz w:val="18"/>
          <w:szCs w:val="18"/>
        </w:rPr>
        <w:t>Non-regulatory compliance rates are calculated using assumptions about retrospective and prospective take-up rates, and are not a percentage of the regulatory costs.</w:t>
      </w:r>
    </w:p>
    <w:p w14:paraId="33C4D87A" w14:textId="77777777" w:rsidR="00F36DD9" w:rsidRPr="007D162C" w:rsidRDefault="00F36DD9" w:rsidP="00F36DD9">
      <w:pPr>
        <w:spacing w:before="120" w:after="0"/>
        <w:rPr>
          <w:rFonts w:ascii="Calibri" w:eastAsia="Calibri" w:hAnsi="Calibri" w:cs="Times New Roman"/>
          <w:color w:val="000000"/>
          <w:sz w:val="20"/>
          <w:szCs w:val="20"/>
        </w:rPr>
      </w:pPr>
    </w:p>
    <w:p w14:paraId="21B19345" w14:textId="77777777" w:rsidR="00F36DD9" w:rsidRPr="007D162C" w:rsidRDefault="00F36DD9" w:rsidP="00F36DD9">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346B7477" w14:textId="77777777" w:rsidR="00F36DD9" w:rsidRPr="007D162C" w:rsidRDefault="00F36DD9" w:rsidP="00F36DD9">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195FCE20"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0B7373C0" w14:textId="0F8DE590" w:rsidR="00F36DD9" w:rsidRPr="007D162C" w:rsidRDefault="00F36DD9" w:rsidP="00F36DD9">
      <w:pPr>
        <w:rPr>
          <w:rFonts w:ascii="Calibri" w:eastAsia="Calibri" w:hAnsi="Calibri" w:cs="Times New Roman"/>
        </w:rPr>
      </w:pPr>
      <w:r w:rsidRPr="007D162C">
        <w:rPr>
          <w:rFonts w:ascii="Calibri" w:eastAsia="Calibri" w:hAnsi="Calibri" w:cs="Times New Roman"/>
        </w:rPr>
        <w:t>The costs and benefits associated with the non-regulatory reform are lower than its regulatory counterpart, regulatory option 3, reflecting an assumed lower rate of compliance with the reform. An estimated rate of uptake of 50</w:t>
      </w:r>
      <w:r w:rsidR="004F0D17">
        <w:rPr>
          <w:rFonts w:ascii="Calibri" w:eastAsia="Calibri" w:hAnsi="Calibri" w:cs="Times New Roman"/>
        </w:rPr>
        <w:t xml:space="preserve"> per cent</w:t>
      </w:r>
      <w:r w:rsidRPr="007D162C">
        <w:rPr>
          <w:rFonts w:ascii="Calibri" w:eastAsia="Calibri" w:hAnsi="Calibri" w:cs="Times New Roman"/>
        </w:rPr>
        <w:t xml:space="preserve"> was applied to non-regulatory option 1 based on submissions from public transport operators and providers, and state governments, which indicated many of these stakeholders are currently, or are working towards implementing this guidance. An estimated rate of uptake of 15</w:t>
      </w:r>
      <w:r w:rsidR="004F0D17">
        <w:rPr>
          <w:rFonts w:ascii="Calibri" w:eastAsia="Calibri" w:hAnsi="Calibri" w:cs="Times New Roman"/>
        </w:rPr>
        <w:t xml:space="preserve"> per cent</w:t>
      </w:r>
      <w:r w:rsidRPr="007D162C">
        <w:rPr>
          <w:rFonts w:ascii="Calibri" w:eastAsia="Calibri" w:hAnsi="Calibri" w:cs="Times New Roman"/>
        </w:rPr>
        <w:t xml:space="preserve"> was applied to the non-regulatory option 2 and 3 based on the increased cost and complexity of implementing the additional guidance beyond option 1. Submissions indicated these requirements are beyond the current practice for </w:t>
      </w:r>
      <w:r w:rsidRPr="007D162C">
        <w:rPr>
          <w:rFonts w:ascii="Calibri" w:eastAsia="Calibri" w:hAnsi="Calibri" w:cs="Times New Roman"/>
        </w:rPr>
        <w:lastRenderedPageBreak/>
        <w:t>most operators and providers. This implies that the benefits and costs quantified for this non-regulatory reform may not reflect future take-up of the reform.</w:t>
      </w:r>
    </w:p>
    <w:p w14:paraId="672C4339"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281BBD92" w14:textId="422190D1" w:rsidR="00F36DD9" w:rsidRPr="007D162C" w:rsidRDefault="008439E1" w:rsidP="00F36DD9">
      <w:pPr>
        <w:rPr>
          <w:rFonts w:ascii="Calibri" w:eastAsia="Calibri" w:hAnsi="Calibri" w:cs="Times New Roman"/>
        </w:rPr>
      </w:pPr>
      <w:r w:rsidRPr="007D162C">
        <w:rPr>
          <w:rFonts w:ascii="Calibri" w:eastAsia="Calibri" w:hAnsi="Calibri" w:cs="Times New Roman"/>
        </w:rPr>
        <w:t>The regulatory</w:t>
      </w:r>
      <w:r w:rsidR="00F36DD9" w:rsidRPr="007D162C">
        <w:rPr>
          <w:rFonts w:ascii="Calibri" w:eastAsia="Calibri" w:hAnsi="Calibri" w:cs="Times New Roman"/>
        </w:rPr>
        <w:t xml:space="preserve"> reform</w:t>
      </w:r>
      <w:r w:rsidRPr="007D162C">
        <w:rPr>
          <w:rFonts w:ascii="Calibri" w:eastAsia="Calibri" w:hAnsi="Calibri" w:cs="Times New Roman"/>
        </w:rPr>
        <w:t xml:space="preserve">s </w:t>
      </w:r>
      <w:r w:rsidR="004F0D17">
        <w:rPr>
          <w:rFonts w:ascii="Calibri" w:eastAsia="Calibri" w:hAnsi="Calibri" w:cs="Times New Roman"/>
        </w:rPr>
        <w:t>aim to provide</w:t>
      </w:r>
      <w:r w:rsidR="00F36DD9" w:rsidRPr="007D162C">
        <w:rPr>
          <w:rFonts w:ascii="Calibri" w:eastAsia="Calibri" w:hAnsi="Calibri" w:cs="Times New Roman"/>
        </w:rPr>
        <w:t xml:space="preserve"> information to the public on accessible infrastructure across a potential public transport journey. The </w:t>
      </w:r>
      <w:r w:rsidRPr="007D162C">
        <w:rPr>
          <w:rFonts w:ascii="Calibri" w:eastAsia="Calibri" w:hAnsi="Calibri" w:cs="Times New Roman"/>
        </w:rPr>
        <w:t xml:space="preserve">common benefit and cost </w:t>
      </w:r>
      <w:r w:rsidR="00F36DD9" w:rsidRPr="007D162C">
        <w:rPr>
          <w:rFonts w:ascii="Calibri" w:eastAsia="Calibri" w:hAnsi="Calibri" w:cs="Times New Roman"/>
        </w:rPr>
        <w:t>drivers</w:t>
      </w:r>
      <w:r w:rsidRPr="007D162C">
        <w:rPr>
          <w:rFonts w:ascii="Calibri" w:eastAsia="Calibri" w:hAnsi="Calibri" w:cs="Times New Roman"/>
        </w:rPr>
        <w:t xml:space="preserve"> for the regulatory options</w:t>
      </w:r>
      <w:r w:rsidR="00F36DD9" w:rsidRPr="007D162C">
        <w:rPr>
          <w:rFonts w:ascii="Calibri" w:eastAsia="Calibri" w:hAnsi="Calibri" w:cs="Times New Roman"/>
        </w:rPr>
        <w:t xml:space="preserve"> come from improving amenity and accessibility for all public transport users. It is assumed that th</w:t>
      </w:r>
      <w:r w:rsidRPr="007D162C">
        <w:rPr>
          <w:rFonts w:ascii="Calibri" w:eastAsia="Calibri" w:hAnsi="Calibri" w:cs="Times New Roman"/>
        </w:rPr>
        <w:t>ese</w:t>
      </w:r>
      <w:r w:rsidR="00F36DD9" w:rsidRPr="007D162C">
        <w:rPr>
          <w:rFonts w:ascii="Calibri" w:eastAsia="Calibri" w:hAnsi="Calibri" w:cs="Times New Roman"/>
        </w:rPr>
        <w:t xml:space="preserve"> reform</w:t>
      </w:r>
      <w:r w:rsidRPr="007D162C">
        <w:rPr>
          <w:rFonts w:ascii="Calibri" w:eastAsia="Calibri" w:hAnsi="Calibri" w:cs="Times New Roman"/>
        </w:rPr>
        <w:t>s</w:t>
      </w:r>
      <w:r w:rsidR="00F36DD9" w:rsidRPr="007D162C">
        <w:rPr>
          <w:rFonts w:ascii="Calibri" w:eastAsia="Calibri" w:hAnsi="Calibri" w:cs="Times New Roman"/>
        </w:rPr>
        <w:t xml:space="preserve"> would apply to most transport operators and providers.</w:t>
      </w:r>
    </w:p>
    <w:p w14:paraId="4B44580A"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 xml:space="preserve">The benefits and costs for </w:t>
      </w:r>
      <w:r w:rsidR="008439E1" w:rsidRPr="007D162C">
        <w:rPr>
          <w:rFonts w:ascii="Calibri" w:eastAsia="Calibri" w:hAnsi="Calibri" w:cs="Times New Roman"/>
        </w:rPr>
        <w:t>these reforms</w:t>
      </w:r>
      <w:r w:rsidRPr="007D162C">
        <w:rPr>
          <w:rFonts w:ascii="Calibri" w:eastAsia="Calibri" w:hAnsi="Calibri" w:cs="Times New Roman"/>
        </w:rPr>
        <w:t xml:space="preserve"> were estimated based on survey responses and insights from the Consultation RIS proxied to estimate compliance at a national level, implying that the benefits and costs may not reflect the full extent of national compliance.</w:t>
      </w:r>
    </w:p>
    <w:p w14:paraId="17F254D9"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bookmarkStart w:id="374" w:name="_Hlk128401180"/>
      <w:r w:rsidRPr="007D162C">
        <w:rPr>
          <w:rFonts w:ascii="Calibri Light" w:eastAsia="Times New Roman" w:hAnsi="Calibri Light" w:cs="Times New Roman"/>
          <w:color w:val="272727"/>
        </w:rPr>
        <w:t xml:space="preserve">Regulatory option 1 </w:t>
      </w:r>
    </w:p>
    <w:p w14:paraId="46ADBACF"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Provides performance-based standards to meet accessibility requirements. The option is less prescriptive and may impact a lower number of beneficiaries. Due to the performance-based requirements costs are also reduced.</w:t>
      </w:r>
    </w:p>
    <w:p w14:paraId="11E476F6"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 xml:space="preserve">Regulatory options 2 </w:t>
      </w:r>
    </w:p>
    <w:p w14:paraId="04B47418"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Options 2 would require compliance with AS/EN301549 (2016). This option was not costed in the CBA as preliminary estimates indicated the benefits and costs were higher than option 1 and lower than option 3. </w:t>
      </w:r>
    </w:p>
    <w:p w14:paraId="19D65D17"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options 3</w:t>
      </w:r>
    </w:p>
    <w:p w14:paraId="4FBE00D0"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Option 3 requires compliance with AS/EN301549 (2016) and WCAG 2.0 AAA to meet accessibility requirements. The prescriptive requirements coupled with WCAG 2.0 imply higher benefits and costs compared to regulatory option 1. However, more stakeholders are likely to comply with WCAG 2.0 AAA and this decreases the impact compared to option 5.</w:t>
      </w:r>
    </w:p>
    <w:p w14:paraId="47321403"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 4</w:t>
      </w:r>
    </w:p>
    <w:p w14:paraId="673698DF" w14:textId="77777777" w:rsidR="00F36DD9" w:rsidRPr="007D162C" w:rsidRDefault="00F36DD9" w:rsidP="00F36DD9">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Options 4 would require compliance with AS/EN301549 (2020). This option was not costed in the CBA as preliminary estimates indicated the benefits and costs were higher than option 3 and lower than option 5. </w:t>
      </w:r>
    </w:p>
    <w:p w14:paraId="34937E6D" w14:textId="77777777" w:rsidR="00F36DD9" w:rsidRPr="007D162C" w:rsidRDefault="00F36DD9" w:rsidP="00F36DD9">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 option 5</w:t>
      </w:r>
    </w:p>
    <w:p w14:paraId="1965E627" w14:textId="77777777" w:rsidR="00F36DD9" w:rsidRPr="007D162C" w:rsidRDefault="00F36DD9" w:rsidP="009F4F2E">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Option 5 provides the highest level of benefits as its requirements are the most comprehensive to meet the needs of people with disability. This option </w:t>
      </w:r>
      <w:r w:rsidR="008439E1" w:rsidRPr="007D162C">
        <w:rPr>
          <w:rFonts w:ascii="Calibri" w:eastAsia="Calibri" w:hAnsi="Calibri" w:cs="Times New Roman"/>
          <w:color w:val="000000" w:themeColor="text1"/>
        </w:rPr>
        <w:t>requires</w:t>
      </w:r>
      <w:r w:rsidRPr="007D162C">
        <w:rPr>
          <w:rFonts w:ascii="Calibri" w:eastAsia="Calibri" w:hAnsi="Calibri" w:cs="Times New Roman"/>
          <w:color w:val="000000" w:themeColor="text1"/>
        </w:rPr>
        <w:t xml:space="preserve"> compliance with AS/EN301549 (2020) and WCAG 2.1 AAA.</w:t>
      </w:r>
    </w:p>
    <w:bookmarkEnd w:id="374"/>
    <w:p w14:paraId="753B35BD" w14:textId="77777777" w:rsidR="00F36DD9" w:rsidRPr="007D162C" w:rsidRDefault="00F36DD9" w:rsidP="00F36DD9">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Interdependencies</w:t>
      </w:r>
    </w:p>
    <w:p w14:paraId="7B89901D" w14:textId="77777777" w:rsidR="00F36DD9" w:rsidRPr="007D162C" w:rsidRDefault="00F36DD9" w:rsidP="00F36DD9">
      <w:pPr>
        <w:rPr>
          <w:rFonts w:ascii="Calibri" w:eastAsia="Calibri" w:hAnsi="Calibri" w:cs="Times New Roman"/>
        </w:rPr>
      </w:pPr>
      <w:r w:rsidRPr="007D162C">
        <w:rPr>
          <w:rFonts w:ascii="Calibri" w:eastAsia="Calibri" w:hAnsi="Calibri" w:cs="Times New Roman"/>
        </w:rPr>
        <w:t>This is an enabling reform to provide consistent standards of ICT procurement to ensure current and future ICT assets will meet accessibility requirements for people with disability. This reform will assist passengers in making decisions about whether public transport is accessible for their needs, with benefits reliant on implementation of accessibility focused reforms such as better communication of accessibility features, and others.</w:t>
      </w:r>
    </w:p>
    <w:p w14:paraId="676A9D7F" w14:textId="77777777" w:rsidR="00F36DD9" w:rsidRPr="007D162C" w:rsidRDefault="00F36DD9" w:rsidP="008439E1">
      <w:pPr>
        <w:pStyle w:val="Heading6"/>
      </w:pPr>
      <w:r w:rsidRPr="007D162C">
        <w:t xml:space="preserve">Qualitative assessment </w:t>
      </w:r>
    </w:p>
    <w:p w14:paraId="0028FFCF" w14:textId="77777777" w:rsidR="00913F5F" w:rsidRPr="007D162C" w:rsidRDefault="00F36DD9" w:rsidP="00FF698B">
      <w:pPr>
        <w:rPr>
          <w:rFonts w:ascii="Calibri" w:eastAsia="Calibri" w:hAnsi="Calibri" w:cs="Times New Roman"/>
          <w:color w:val="000000" w:themeColor="text1"/>
        </w:rPr>
      </w:pPr>
      <w:r w:rsidRPr="007D162C">
        <w:rPr>
          <w:rFonts w:ascii="Calibri" w:eastAsia="Calibri" w:hAnsi="Calibri" w:cs="Times New Roman"/>
          <w:color w:val="000000" w:themeColor="text1"/>
        </w:rPr>
        <w:t>The following categories of qualitative benefits were identified in the CBA as pertaining to the reform options.</w:t>
      </w:r>
    </w:p>
    <w:p w14:paraId="477A493D" w14:textId="05846D44" w:rsidR="00913F5F" w:rsidRPr="007D162C" w:rsidRDefault="00913F5F" w:rsidP="00913F5F">
      <w:pPr>
        <w:keepNext/>
        <w:spacing w:after="0"/>
        <w:rPr>
          <w:rFonts w:ascii="Calibri" w:eastAsia="Calibri" w:hAnsi="Calibri" w:cs="Times New Roman"/>
          <w:b/>
          <w:color w:val="002D72"/>
        </w:rPr>
      </w:pPr>
      <w:bookmarkStart w:id="375" w:name="_Toc139969222"/>
      <w:r w:rsidRPr="007D162C">
        <w:rPr>
          <w:rFonts w:ascii="Calibri" w:eastAsia="Calibri" w:hAnsi="Calibri" w:cs="Times New Roman"/>
          <w:b/>
          <w:color w:val="002D72"/>
        </w:rPr>
        <w:t xml:space="preserve">Table </w:t>
      </w:r>
      <w:r w:rsidRPr="007D162C">
        <w:fldChar w:fldCharType="begin"/>
      </w:r>
      <w:r w:rsidRPr="007D162C">
        <w:rPr>
          <w:rFonts w:ascii="Calibri" w:eastAsia="Calibri" w:hAnsi="Calibri" w:cs="Times New Roman"/>
          <w:b/>
          <w:color w:val="002D72"/>
        </w:rPr>
        <w:instrText xml:space="preserve"> SEQ Table \* ARABIC </w:instrText>
      </w:r>
      <w:r w:rsidRPr="007D162C">
        <w:rPr>
          <w:rFonts w:ascii="Calibri" w:eastAsia="Calibri" w:hAnsi="Calibri" w:cs="Times New Roman"/>
          <w:b/>
          <w:color w:val="002D72"/>
        </w:rPr>
        <w:fldChar w:fldCharType="separate"/>
      </w:r>
      <w:r w:rsidR="00DC26AC">
        <w:rPr>
          <w:rFonts w:ascii="Calibri" w:eastAsia="Calibri" w:hAnsi="Calibri" w:cs="Times New Roman"/>
          <w:b/>
          <w:noProof/>
          <w:color w:val="002D72"/>
        </w:rPr>
        <w:t>64</w:t>
      </w:r>
      <w:r w:rsidRPr="007D162C">
        <w:fldChar w:fldCharType="end"/>
      </w:r>
      <w:r w:rsidRPr="007D162C">
        <w:rPr>
          <w:rFonts w:ascii="Calibri" w:eastAsia="Calibri" w:hAnsi="Calibri" w:cs="Times New Roman"/>
          <w:b/>
          <w:color w:val="002D72"/>
        </w:rPr>
        <w:t>: Qualitative benefits for ICT procurement</w:t>
      </w:r>
      <w:bookmarkEnd w:id="375"/>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972372" w:rsidRPr="007D162C" w14:paraId="1DF9AB1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958828D" w14:textId="77777777" w:rsidR="00972372" w:rsidRPr="007D162C" w:rsidRDefault="08D050C4" w:rsidP="00754992">
            <w:bookmarkStart w:id="376" w:name="_Hlk128400907"/>
            <w:r w:rsidRPr="007D162C">
              <w:t>Reform Option</w:t>
            </w:r>
          </w:p>
        </w:tc>
        <w:tc>
          <w:tcPr>
            <w:tcW w:w="1343" w:type="dxa"/>
          </w:tcPr>
          <w:p w14:paraId="13952973"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C63EC87"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075E963"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687357C"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4C1BAA91"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C6B5DC8" w14:textId="77777777" w:rsidR="00972372" w:rsidRPr="007D162C" w:rsidRDefault="08D050C4" w:rsidP="00754992">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913F5F" w:rsidRPr="007D162C" w14:paraId="2093A9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E250DEA"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t>Status Quo</w:t>
            </w:r>
          </w:p>
        </w:tc>
        <w:tc>
          <w:tcPr>
            <w:tcW w:w="1343" w:type="dxa"/>
          </w:tcPr>
          <w:p w14:paraId="3E936FD9"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26" w:type="dxa"/>
          </w:tcPr>
          <w:p w14:paraId="3936A742"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300" w:type="dxa"/>
          </w:tcPr>
          <w:p w14:paraId="00BB5723"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2E0A8A1F"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656187C6"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69A2AB54"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913F5F" w:rsidRPr="007D162C" w14:paraId="4D5B308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BD4DADA" w14:textId="77777777" w:rsidR="00913F5F" w:rsidRPr="007D162C" w:rsidRDefault="00913F5F" w:rsidP="00913F5F">
            <w:pPr>
              <w:rPr>
                <w:rFonts w:ascii="Calibri" w:eastAsia="Calibri" w:hAnsi="Calibri" w:cs="Times New Roman"/>
              </w:rPr>
            </w:pPr>
            <w:r w:rsidRPr="007D162C">
              <w:rPr>
                <w:rFonts w:ascii="Calibri" w:eastAsia="Calibri" w:hAnsi="Calibri" w:cs="Times New Roman"/>
                <w:color w:val="auto"/>
              </w:rPr>
              <w:t>Non-regulatory option 1</w:t>
            </w:r>
            <w:r w:rsidRPr="007D162C">
              <w:rPr>
                <w:rFonts w:ascii="Calibri" w:eastAsia="Calibri" w:hAnsi="Calibri" w:cs="Times New Roman"/>
              </w:rPr>
              <w:t xml:space="preserve"> </w:t>
            </w:r>
          </w:p>
        </w:tc>
        <w:tc>
          <w:tcPr>
            <w:tcW w:w="1343" w:type="dxa"/>
          </w:tcPr>
          <w:p w14:paraId="0FDCD263"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257FD6BD"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345DE209"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10B530CA"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41" w:type="dxa"/>
          </w:tcPr>
          <w:p w14:paraId="121D6DBB"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0E076931"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913F5F" w:rsidRPr="007D162C" w14:paraId="2FE5BA8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E608514"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lastRenderedPageBreak/>
              <w:t>Non-regulatory option 2</w:t>
            </w:r>
          </w:p>
        </w:tc>
        <w:tc>
          <w:tcPr>
            <w:tcW w:w="1343" w:type="dxa"/>
          </w:tcPr>
          <w:p w14:paraId="17DE1D4B"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3F169598"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6075CFC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22B0937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6B15AFA4"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3A001300"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913F5F" w:rsidRPr="007D162C" w14:paraId="7D820C9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B3254A5" w14:textId="77777777" w:rsidR="00913F5F" w:rsidRPr="007D162C" w:rsidRDefault="00913F5F" w:rsidP="00913F5F">
            <w:pPr>
              <w:rPr>
                <w:rFonts w:ascii="Calibri" w:eastAsia="Calibri" w:hAnsi="Calibri" w:cs="Times New Roman"/>
              </w:rPr>
            </w:pPr>
            <w:r w:rsidRPr="007D162C">
              <w:rPr>
                <w:rFonts w:ascii="Calibri" w:eastAsia="Calibri" w:hAnsi="Calibri" w:cs="Times New Roman"/>
                <w:color w:val="auto"/>
              </w:rPr>
              <w:t>Non-regulatory option 3</w:t>
            </w:r>
          </w:p>
        </w:tc>
        <w:tc>
          <w:tcPr>
            <w:tcW w:w="1343" w:type="dxa"/>
          </w:tcPr>
          <w:p w14:paraId="74E5F1DD"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347CA6C5" w14:textId="77777777" w:rsidR="00913F5F" w:rsidRPr="007D162C" w:rsidRDefault="00913F5F" w:rsidP="00913F5F">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2D16943B"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56416BE8"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41" w:type="dxa"/>
          </w:tcPr>
          <w:p w14:paraId="26D58045"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67A69A80" w14:textId="77777777" w:rsidR="00913F5F"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913F5F" w:rsidRPr="007D162C" w14:paraId="44B7B2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12B0DBA" w14:textId="77777777" w:rsidR="00913F5F" w:rsidRPr="007D162C" w:rsidRDefault="00913F5F" w:rsidP="00913F5F">
            <w:pPr>
              <w:rPr>
                <w:rFonts w:ascii="Calibri" w:eastAsia="Calibri" w:hAnsi="Calibri" w:cs="Times New Roman"/>
                <w:color w:val="000000" w:themeColor="text1"/>
              </w:rPr>
            </w:pPr>
            <w:r w:rsidRPr="007D162C">
              <w:rPr>
                <w:rFonts w:ascii="Calibri" w:eastAsia="Calibri" w:hAnsi="Calibri" w:cs="Times New Roman"/>
              </w:rPr>
              <w:t>Regulatory</w:t>
            </w:r>
          </w:p>
        </w:tc>
        <w:tc>
          <w:tcPr>
            <w:tcW w:w="1343" w:type="dxa"/>
          </w:tcPr>
          <w:p w14:paraId="6BBA43A7"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63C24884" w14:textId="77777777" w:rsidR="00913F5F" w:rsidRPr="007D162C" w:rsidRDefault="00913F5F" w:rsidP="00913F5F">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2F64D61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4A75AD3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1F82B255"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740025D1" w14:textId="77777777" w:rsidR="00913F5F"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bookmarkEnd w:id="376"/>
    </w:tbl>
    <w:p w14:paraId="5658B6AB" w14:textId="77777777" w:rsidR="00F36DD9" w:rsidRPr="007D162C" w:rsidRDefault="00F36DD9" w:rsidP="00F36DD9">
      <w:pPr>
        <w:rPr>
          <w:rFonts w:ascii="Calibri" w:eastAsia="Calibri" w:hAnsi="Calibri" w:cs="Times New Roman"/>
          <w:color w:val="000000"/>
        </w:rPr>
      </w:pPr>
    </w:p>
    <w:p w14:paraId="2464A646" w14:textId="77777777" w:rsidR="00F36DD9" w:rsidRPr="007D162C" w:rsidRDefault="00F36DD9" w:rsidP="00F36DD9">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 xml:space="preserve">Analysis of submissions </w:t>
      </w:r>
    </w:p>
    <w:p w14:paraId="444B9156"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22137C24" w14:textId="77777777" w:rsidR="00F36DD9" w:rsidRPr="007D162C" w:rsidRDefault="00F36DD9" w:rsidP="00913F5F">
      <w:pPr>
        <w:tabs>
          <w:tab w:val="left" w:pos="284"/>
        </w:tabs>
      </w:pPr>
      <w:r w:rsidRPr="007D162C">
        <w:t>The Transport Standards do not provide technical requirements for Information Communication Technology (ICT) procurement and do not support best practices for ensuring ICT procurement results in accessible products or services.</w:t>
      </w:r>
    </w:p>
    <w:p w14:paraId="608E3A22" w14:textId="77777777" w:rsidR="00F36DD9" w:rsidRPr="007D162C" w:rsidRDefault="00F36DD9" w:rsidP="00913F5F">
      <w:pPr>
        <w:tabs>
          <w:tab w:val="left" w:pos="284"/>
        </w:tabs>
      </w:pPr>
      <w:r w:rsidRPr="007D162C">
        <w:t xml:space="preserve">In the absence of national minimum accessibility requirements, there are inconsistencies in the level of accessibility for ICT applications, products and services across different states and territories. </w:t>
      </w:r>
    </w:p>
    <w:p w14:paraId="4B590803" w14:textId="77777777" w:rsidR="00F36DD9" w:rsidRPr="007D162C" w:rsidRDefault="00F36DD9" w:rsidP="00913F5F">
      <w:pPr>
        <w:tabs>
          <w:tab w:val="left" w:pos="284"/>
        </w:tabs>
      </w:pPr>
      <w:r w:rsidRPr="007D162C">
        <w:t xml:space="preserve">There were no submissions from people with disability or their advocates that supported the status quo. </w:t>
      </w:r>
    </w:p>
    <w:p w14:paraId="319536E1" w14:textId="77777777" w:rsidR="00F36DD9" w:rsidRPr="007D162C" w:rsidRDefault="00F36DD9" w:rsidP="00913F5F">
      <w:pPr>
        <w:tabs>
          <w:tab w:val="left" w:pos="284"/>
        </w:tabs>
      </w:pPr>
      <w:r w:rsidRPr="007D162C">
        <w:t xml:space="preserve">Submissions supporting the status quo came from industry and a government stakeholder. Industry stakeholders cited flexibility as the main benefit of the status quo. The number and variety of electronic devices, complex ICT procurement environments and working in conjunction with other providers’ systems all required an ability to respond flexibly to these factors. </w:t>
      </w:r>
    </w:p>
    <w:p w14:paraId="44671CC5" w14:textId="77777777" w:rsidR="00F36DD9" w:rsidRPr="007D162C" w:rsidRDefault="00F36DD9" w:rsidP="00102671">
      <w:pPr>
        <w:pStyle w:val="Quote"/>
      </w:pPr>
      <w:r w:rsidRPr="007D162C">
        <w:t>The current system provides bus operators with the flexibility required to meet the travel needs of disabled passengers.</w:t>
      </w:r>
    </w:p>
    <w:p w14:paraId="42C792E6" w14:textId="77777777" w:rsidR="00F36DD9" w:rsidRPr="007D162C" w:rsidRDefault="00F36DD9" w:rsidP="00102671">
      <w:pPr>
        <w:pStyle w:val="Quote"/>
      </w:pPr>
      <w:r w:rsidRPr="007D162C">
        <w:t xml:space="preserve">Bus Association Victoria </w:t>
      </w:r>
    </w:p>
    <w:p w14:paraId="7D5B5984" w14:textId="77777777" w:rsidR="00F36DD9" w:rsidRPr="007D162C" w:rsidRDefault="00F36DD9" w:rsidP="00913F5F">
      <w:pPr>
        <w:tabs>
          <w:tab w:val="left" w:pos="284"/>
        </w:tabs>
      </w:pPr>
      <w:r w:rsidRPr="007D162C">
        <w:t xml:space="preserve">Maintaining the status quo has no ongoing costs or additional regulatory burden for public transport operators and providers.  Maintaining the status quo may not meet the varying needs of people with disability or meet the objectives of the Transport Standards to remove discrimination against people with disability concerning public transport services.  </w:t>
      </w:r>
    </w:p>
    <w:p w14:paraId="34862699"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1960F0D3" w14:textId="16CE504B" w:rsidR="00F36DD9" w:rsidRPr="007D162C" w:rsidRDefault="00F36DD9" w:rsidP="00913F5F">
      <w:pPr>
        <w:tabs>
          <w:tab w:val="left" w:pos="284"/>
        </w:tabs>
      </w:pPr>
      <w:r w:rsidRPr="007D162C">
        <w:t xml:space="preserve">There were no submissions from people with disability or their advocates that supported the status quo. Submissions supporting the non-regulatory option from industry and government stakeholders raised issues similar to supporters of the status quo, such as the variety and complexity new personal devices, coupled with complex ICT procurement environments. The main benefit of the non-regulatory option was the flexibility to respond to this complex environment and to access guidance that would assist them in making their purchasing decisions. </w:t>
      </w:r>
    </w:p>
    <w:p w14:paraId="3703850D" w14:textId="0B125881" w:rsidR="00F36DD9" w:rsidRPr="007D162C" w:rsidRDefault="08D050C4" w:rsidP="00913F5F">
      <w:pPr>
        <w:tabs>
          <w:tab w:val="left" w:pos="284"/>
        </w:tabs>
      </w:pPr>
      <w:r w:rsidRPr="007D162C">
        <w:t>An issue raised by the industry stakeholders was the potential cost of a regulatory option on small and medium-sized enterprises (SMEs). Many SMEs do not have dedicated ICT teams or must work with larger firms or governments, wh</w:t>
      </w:r>
      <w:r w:rsidR="00B559BD">
        <w:t>o</w:t>
      </w:r>
      <w:r w:rsidRPr="007D162C">
        <w:t xml:space="preserve"> have their own ICT systems. Guidance would assist them to address accessibility issues but would minimise the cost for those SMEs. </w:t>
      </w:r>
    </w:p>
    <w:p w14:paraId="1D14189E" w14:textId="77777777" w:rsidR="00F36DD9" w:rsidRPr="007D162C" w:rsidRDefault="00F36DD9" w:rsidP="00102671">
      <w:pPr>
        <w:pStyle w:val="Quote"/>
      </w:pPr>
      <w:r w:rsidRPr="007D162C">
        <w:t xml:space="preserve">The BIC supports progress in the Transport Standards for ICT procurement principles to ensure hardware and software support a more accessible digital world. However, due to the inherent costs </w:t>
      </w:r>
      <w:r w:rsidRPr="007D162C">
        <w:lastRenderedPageBreak/>
        <w:t>associated with ICT products and services, any introduced reform would need to take care not to create a solution that would see many small to medium-sized businesses decide not to implement this procurement reform.</w:t>
      </w:r>
    </w:p>
    <w:p w14:paraId="27013786" w14:textId="77777777" w:rsidR="00F36DD9" w:rsidRPr="007D162C" w:rsidRDefault="00F36DD9" w:rsidP="00102671">
      <w:pPr>
        <w:pStyle w:val="Quote"/>
      </w:pPr>
      <w:r w:rsidRPr="007D162C">
        <w:t>Bus Industry Confederation</w:t>
      </w:r>
    </w:p>
    <w:p w14:paraId="74BBC626" w14:textId="0BF216E1" w:rsidR="00F36DD9" w:rsidRPr="007D162C" w:rsidRDefault="00F36DD9" w:rsidP="00913F5F">
      <w:pPr>
        <w:tabs>
          <w:tab w:val="left" w:pos="284"/>
        </w:tabs>
      </w:pPr>
      <w:r w:rsidRPr="007D162C">
        <w:t>Other submissions from governments acknowledged that in the absence of national standards the result is inconsistent levels of accessibility across ICT applications</w:t>
      </w:r>
      <w:r w:rsidR="004F0D17">
        <w:t>. However,</w:t>
      </w:r>
      <w:r w:rsidRPr="007D162C">
        <w:t xml:space="preserve"> regulation may result in unintended consequences. </w:t>
      </w:r>
      <w:r w:rsidR="004F0D17">
        <w:t>R</w:t>
      </w:r>
      <w:r w:rsidRPr="007D162C">
        <w:t>egulation may limit innovation, or continued innovation in the provisions of information via personal devices may result in the Transport Standards referencing out-of-date requirements.</w:t>
      </w:r>
    </w:p>
    <w:p w14:paraId="62ADA207" w14:textId="77777777" w:rsidR="00F36DD9" w:rsidRPr="007D162C" w:rsidRDefault="00F36DD9" w:rsidP="00913F5F">
      <w:pPr>
        <w:tabs>
          <w:tab w:val="left" w:pos="284"/>
        </w:tabs>
      </w:pPr>
      <w:r w:rsidRPr="007D162C">
        <w:t>Some governments told us that they have adopted ICT procurement standard AS/EN301549 (2016) Accessibility requirements for ICT products and services, including:</w:t>
      </w:r>
    </w:p>
    <w:p w14:paraId="3A2DDB0F" w14:textId="77777777" w:rsidR="00F36DD9" w:rsidRPr="007D162C" w:rsidRDefault="08D050C4" w:rsidP="08D050C4">
      <w:pPr>
        <w:pStyle w:val="Listparagraphbullets"/>
        <w:spacing w:after="0"/>
        <w:rPr>
          <w:rFonts w:eastAsia="Calibri" w:cs="Times New Roman"/>
        </w:rPr>
      </w:pPr>
      <w:r w:rsidRPr="007D162C">
        <w:rPr>
          <w:rFonts w:eastAsia="Calibri" w:cs="Times New Roman"/>
        </w:rPr>
        <w:t xml:space="preserve">Australian Government—BuyICT </w:t>
      </w:r>
    </w:p>
    <w:p w14:paraId="0C39933D" w14:textId="77777777" w:rsidR="00F36DD9" w:rsidRPr="007D162C" w:rsidRDefault="08D050C4" w:rsidP="08D050C4">
      <w:pPr>
        <w:pStyle w:val="Listparagraphbullets"/>
        <w:spacing w:after="0"/>
        <w:rPr>
          <w:rFonts w:eastAsia="Calibri" w:cs="Times New Roman"/>
        </w:rPr>
      </w:pPr>
      <w:r w:rsidRPr="007D162C">
        <w:rPr>
          <w:rFonts w:eastAsia="Calibri" w:cs="Times New Roman"/>
        </w:rPr>
        <w:t xml:space="preserve">NSW government—digital.NSW </w:t>
      </w:r>
    </w:p>
    <w:p w14:paraId="17D234E6" w14:textId="77777777" w:rsidR="00913F5F" w:rsidRPr="007D162C" w:rsidRDefault="00F36DD9" w:rsidP="00913F5F">
      <w:pPr>
        <w:pStyle w:val="Listparagraphbullets"/>
        <w:spacing w:after="0"/>
        <w:rPr>
          <w:rFonts w:eastAsia="Calibri" w:cs="Times New Roman"/>
        </w:rPr>
      </w:pPr>
      <w:r w:rsidRPr="007D162C">
        <w:rPr>
          <w:rFonts w:eastAsia="Calibri" w:cs="Times New Roman"/>
        </w:rPr>
        <w:t>Government of South Australia—Online Accessibility Policy</w:t>
      </w:r>
    </w:p>
    <w:p w14:paraId="764415B2" w14:textId="77777777" w:rsidR="00F36DD9" w:rsidRPr="007D162C" w:rsidRDefault="00F36DD9" w:rsidP="00913F5F">
      <w:pPr>
        <w:tabs>
          <w:tab w:val="left" w:pos="284"/>
        </w:tabs>
        <w:spacing w:before="240"/>
      </w:pPr>
      <w:r w:rsidRPr="007D162C">
        <w:t xml:space="preserve">The 2020 version of AS/EN 301 549 has been released, which includes some different requirements from the 2016 version. The most notable change between these standards is the change in Web Content Accessibility Guidelines (WCAG) compliance. The 2020 version cites the updated WCAG 2.1 Level AA in line with international best practices.  </w:t>
      </w:r>
    </w:p>
    <w:p w14:paraId="2D014C12" w14:textId="77777777" w:rsidR="00F36DD9" w:rsidRPr="007D162C" w:rsidRDefault="00F36DD9" w:rsidP="00913F5F">
      <w:pPr>
        <w:tabs>
          <w:tab w:val="left" w:pos="284"/>
        </w:tabs>
      </w:pPr>
      <w:r w:rsidRPr="007D162C">
        <w:t>Where jurisdictions are progressing to a web presence which meets WCAG 2.0 AA, in line with the Web Accessibility National Transition Strategy, implementing the options which reference this WCAG standard will not impose additional costs. However, if jurisdictions voluntarily move to AS/EN 301 549 (2020) the change from WCAG 2.0 AA to WCAG 2.1 AA would impose additional costs.</w:t>
      </w:r>
    </w:p>
    <w:p w14:paraId="25D01280" w14:textId="77777777" w:rsidR="00F36DD9" w:rsidRPr="007D162C" w:rsidRDefault="00F36DD9" w:rsidP="00913F5F">
      <w:pPr>
        <w:tabs>
          <w:tab w:val="left" w:pos="284"/>
        </w:tabs>
      </w:pPr>
      <w:r w:rsidRPr="007D162C">
        <w:t>Most of the submissions supporting the non-regulatory option said that option 1, which was performance-based guidance, would be the most appropriate option to align with their operations.</w:t>
      </w:r>
    </w:p>
    <w:p w14:paraId="3C3766F2" w14:textId="634677D4" w:rsidR="00B559BD" w:rsidRDefault="00B559BD" w:rsidP="00913F5F">
      <w:pPr>
        <w:tabs>
          <w:tab w:val="left" w:pos="284"/>
        </w:tabs>
      </w:pPr>
      <w:r w:rsidRPr="007D162C">
        <w:t xml:space="preserve">To the extent that guidance is followed, there would be improved accessibility for people with disability using public transport ICT systems and provide owners and operators more certainty in meeting their obligations to remove discrimination. </w:t>
      </w:r>
    </w:p>
    <w:p w14:paraId="3A6288AD" w14:textId="55DDE217" w:rsidR="00F36DD9" w:rsidRPr="007D162C" w:rsidRDefault="00F36DD9" w:rsidP="00913F5F">
      <w:pPr>
        <w:tabs>
          <w:tab w:val="left" w:pos="284"/>
        </w:tabs>
      </w:pPr>
      <w:r w:rsidRPr="007D162C">
        <w:t>Due to the discretionary nature of this option, it does not provide certainty that operators and providers will adopt minimum accessibility procurement requirements, which may not lead to an increase in accessible ICT applications, products, and services for people with disability.</w:t>
      </w:r>
    </w:p>
    <w:p w14:paraId="712215F5"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04AEA525" w14:textId="1D9FB4AB" w:rsidR="00F36DD9" w:rsidRPr="007D162C" w:rsidRDefault="00F36DD9" w:rsidP="00913F5F">
      <w:pPr>
        <w:tabs>
          <w:tab w:val="left" w:pos="284"/>
        </w:tabs>
      </w:pPr>
      <w:r w:rsidRPr="007D162C">
        <w:t>The support for the regulatory options was slightly greater than for the non-regulatory options. All disability stakeholder submissions supported regulatory options. Most of the disability stakeholders supported option 5, which included the latest AS/EN 301 549 (2020) references and WCAG 2.0AAA standards.</w:t>
      </w:r>
    </w:p>
    <w:p w14:paraId="3B024220" w14:textId="77777777" w:rsidR="00F36DD9" w:rsidRPr="007D162C" w:rsidRDefault="00F36DD9" w:rsidP="00AD5D36">
      <w:pPr>
        <w:pStyle w:val="Quote"/>
      </w:pPr>
      <w:r w:rsidRPr="007D162C">
        <w:t>In the area of accessible public transport, it is our strong belief that a standards-based approach must be adopted to the accessibility of ICT, rather than the performance-based approach envisaged in regulatory sub-option 1 provided in the Consultation RIS. Not only will a standards-based approach lead to greater consistency, predictability, and usability, it will also mirror the approach that is being taken in other areas in Australia and in jurisdictions including Canada, the US and the EU.</w:t>
      </w:r>
    </w:p>
    <w:p w14:paraId="60AF9C9D" w14:textId="77777777" w:rsidR="00F36DD9" w:rsidRPr="007D162C" w:rsidRDefault="00F36DD9" w:rsidP="00AD5D36">
      <w:pPr>
        <w:pStyle w:val="Quote"/>
      </w:pPr>
      <w:r w:rsidRPr="007D162C">
        <w:t>Vision Australia</w:t>
      </w:r>
    </w:p>
    <w:p w14:paraId="4C182ED1" w14:textId="77777777" w:rsidR="00F36DD9" w:rsidRPr="007D162C" w:rsidRDefault="08D050C4" w:rsidP="00913F5F">
      <w:pPr>
        <w:tabs>
          <w:tab w:val="left" w:pos="284"/>
        </w:tabs>
      </w:pPr>
      <w:r w:rsidRPr="007D162C">
        <w:t xml:space="preserve">While government and industry submissions converged on the need to include ICT procurement in the Transport Standards, government submissions favoured option 4, while the industry submission favoured the performance-based solution, option 1. The one industry submission supporting regulatory option 1 stated that this was closely aligned with the performance-based non-regulatory option, but it provided greater certainty for industry and disability stakeholders by regulating the performance characteristics required to remove discrimination. </w:t>
      </w:r>
    </w:p>
    <w:p w14:paraId="56C8E476" w14:textId="77777777" w:rsidR="00F36DD9" w:rsidRPr="007D162C" w:rsidRDefault="00F36DD9" w:rsidP="00913F5F">
      <w:pPr>
        <w:tabs>
          <w:tab w:val="left" w:pos="284"/>
        </w:tabs>
      </w:pPr>
      <w:r w:rsidRPr="007D162C">
        <w:lastRenderedPageBreak/>
        <w:t>The industry submission cited the practical limitation with compliance to WCAG 2.1AAA and the inability to meet those requirements across all content types. The main benefit of option 1 was ensuring innovative solutions, which meet the needs of their passengers living with disability, could be tailored to the mode of transport, existing infrastructure, and ICT framework.</w:t>
      </w:r>
    </w:p>
    <w:p w14:paraId="73F16937" w14:textId="62C9644D" w:rsidR="00F36DD9" w:rsidRPr="007D162C" w:rsidRDefault="00F36DD9" w:rsidP="00913F5F">
      <w:pPr>
        <w:tabs>
          <w:tab w:val="left" w:pos="284"/>
        </w:tabs>
      </w:pPr>
      <w:r w:rsidRPr="007D162C">
        <w:t xml:space="preserve">Option 4 was supported by most government stakeholders. Government stakeholders cited the requirement for WCAG 2.1AA as being achievable for all content types. Like the industry submission, government stakeholders argued that WCAG 2.1AAA included in </w:t>
      </w:r>
      <w:r w:rsidR="004F0D17">
        <w:t>o</w:t>
      </w:r>
      <w:r w:rsidRPr="007D162C">
        <w:t xml:space="preserve">ption 5 was not achievable across all content types. </w:t>
      </w:r>
    </w:p>
    <w:p w14:paraId="0F5E67D5" w14:textId="77777777" w:rsidR="00F36DD9" w:rsidRPr="007D162C" w:rsidRDefault="00F36DD9" w:rsidP="00913F5F">
      <w:pPr>
        <w:tabs>
          <w:tab w:val="left" w:pos="284"/>
        </w:tabs>
      </w:pPr>
      <w:r w:rsidRPr="007D162C">
        <w:t>One government submission said that the prescriptive nature of the regulatory options would ensure that compliance was easier to assess and would assist with determining if discrimination against people with disability was being addressed.</w:t>
      </w:r>
    </w:p>
    <w:p w14:paraId="33C20BCE" w14:textId="77777777" w:rsidR="00F36DD9" w:rsidRPr="007D162C" w:rsidRDefault="00F36DD9" w:rsidP="00F36DD9">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Preferred option</w:t>
      </w:r>
    </w:p>
    <w:p w14:paraId="364BA4DE" w14:textId="61367930" w:rsidR="00F36DD9" w:rsidRPr="007D162C" w:rsidRDefault="00F36DD9" w:rsidP="08D050C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consultation outcomes, impacts, cost, and outcomes analysis above, the preferred option is </w:t>
      </w:r>
      <w:r w:rsidRPr="007D162C">
        <w:rPr>
          <w:rFonts w:ascii="Calibri" w:eastAsia="Calibri" w:hAnsi="Calibri" w:cs="Times New Roman"/>
          <w:b/>
          <w:color w:val="000000" w:themeColor="text1"/>
        </w:rPr>
        <w:t>regulatory option 1</w:t>
      </w:r>
      <w:r w:rsidR="004C3BE6" w:rsidRPr="007D162C">
        <w:rPr>
          <w:rFonts w:ascii="Calibri" w:eastAsia="Calibri" w:hAnsi="Calibri" w:cs="Times New Roman"/>
          <w:b/>
          <w:color w:val="000000" w:themeColor="text1"/>
        </w:rPr>
        <w:t xml:space="preserve">, </w:t>
      </w:r>
      <w:r w:rsidR="004C3BE6" w:rsidRPr="004F0D17">
        <w:rPr>
          <w:rFonts w:ascii="Calibri" w:eastAsia="Calibri" w:hAnsi="Calibri" w:cs="Times New Roman"/>
          <w:color w:val="000000" w:themeColor="text1"/>
        </w:rPr>
        <w:t xml:space="preserve">which is a </w:t>
      </w:r>
      <w:r w:rsidR="002B2028" w:rsidRPr="004F0D17">
        <w:rPr>
          <w:rFonts w:ascii="Calibri" w:eastAsia="Calibri" w:hAnsi="Calibri" w:cs="Times New Roman"/>
          <w:color w:val="000000" w:themeColor="text1"/>
        </w:rPr>
        <w:t>performance-based</w:t>
      </w:r>
      <w:r w:rsidR="004C3BE6" w:rsidRPr="004F0D17">
        <w:rPr>
          <w:rFonts w:ascii="Calibri" w:eastAsia="Calibri" w:hAnsi="Calibri" w:cs="Times New Roman"/>
          <w:color w:val="000000" w:themeColor="text1"/>
        </w:rPr>
        <w:t xml:space="preserve"> outcome</w:t>
      </w:r>
      <w:r w:rsidRPr="004F0D17">
        <w:rPr>
          <w:rFonts w:ascii="Calibri" w:eastAsia="Calibri" w:hAnsi="Calibri" w:cs="Times New Roman"/>
          <w:color w:val="000000" w:themeColor="text1"/>
        </w:rPr>
        <w:t>.</w:t>
      </w:r>
    </w:p>
    <w:p w14:paraId="0F00B9FC" w14:textId="77777777" w:rsidR="00F36DD9" w:rsidRPr="007D162C" w:rsidRDefault="00F36DD9" w:rsidP="00913F5F">
      <w:pPr>
        <w:tabs>
          <w:tab w:val="left" w:pos="284"/>
        </w:tabs>
      </w:pPr>
      <w:r w:rsidRPr="007D162C">
        <w:t>The Transport Standards would be amended to set performance requirements for ICT procurement. Further consideration was given to the consultation and submissions that detailed the barriers encountered by people living with disability, especially those with vision and hearing impairment, accessing information necessary for them to use public transport services.</w:t>
      </w:r>
    </w:p>
    <w:p w14:paraId="29EBAA27" w14:textId="7F3CE603" w:rsidR="00F36DD9" w:rsidRPr="007D162C" w:rsidRDefault="00DF64E2" w:rsidP="00913F5F">
      <w:pPr>
        <w:tabs>
          <w:tab w:val="left" w:pos="284"/>
        </w:tabs>
      </w:pPr>
      <w:r w:rsidRPr="007D162C">
        <w:t xml:space="preserve">All jurisdictions have included WCAG requirements in their contract agreements related to ICT contracts. However, WCAG implementation issues with existing ICT procurements meant there </w:t>
      </w:r>
      <w:r w:rsidR="00786DF1" w:rsidRPr="007D162C">
        <w:t>was support</w:t>
      </w:r>
      <w:r w:rsidR="00F36DD9" w:rsidRPr="007D162C">
        <w:t xml:space="preserve"> for the performance-based non-regulatory option by industry and government stakeholders. However, the discretionary nature of guidance would not address the needs of people living with disability to access information. For government and disability stakeholders supporting the regulatory option, a key consideration was the certainty a regulatory option would provide, where the Transport Standards are silent on ICT procurement. The</w:t>
      </w:r>
      <w:r w:rsidR="00F36DD9" w:rsidRPr="007D162C">
        <w:rPr>
          <w:rFonts w:ascii="Calibri" w:eastAsia="Calibri" w:hAnsi="Calibri" w:cs="Times New Roman"/>
          <w:color w:val="000000" w:themeColor="text1"/>
        </w:rPr>
        <w:t xml:space="preserve"> </w:t>
      </w:r>
      <w:r w:rsidR="00F36DD9" w:rsidRPr="007D162C">
        <w:t xml:space="preserve">performance-based regulatory option was identified as the most efficient way to ensure that the needs of people with disability were addressed and to ensure accessibility of ICT systems is included in the procurement and upgrading of ICT systems. </w:t>
      </w:r>
    </w:p>
    <w:p w14:paraId="669F004D" w14:textId="5AAE3C87" w:rsidR="004C3BE6" w:rsidRPr="007D162C" w:rsidRDefault="004C3BE6" w:rsidP="00913F5F">
      <w:pPr>
        <w:tabs>
          <w:tab w:val="left" w:pos="284"/>
        </w:tabs>
      </w:pPr>
      <w:r w:rsidRPr="007D162C">
        <w:t xml:space="preserve">It was noted that WCAG 2.0 was first published in 2008, and more recent WCAG requirements, such as WCAG 2.1 AA, were published in 2018 and would better address </w:t>
      </w:r>
      <w:r w:rsidR="00DF64E2" w:rsidRPr="007D162C">
        <w:t xml:space="preserve">ICT systems </w:t>
      </w:r>
      <w:r w:rsidRPr="007D162C">
        <w:t xml:space="preserve">than </w:t>
      </w:r>
      <w:r w:rsidR="00DF64E2" w:rsidRPr="007D162C">
        <w:t>guidance</w:t>
      </w:r>
      <w:r w:rsidRPr="007D162C">
        <w:t xml:space="preserve"> from 2008. However, submission</w:t>
      </w:r>
      <w:r w:rsidR="004C5E35" w:rsidRPr="007D162C">
        <w:t>s</w:t>
      </w:r>
      <w:r w:rsidRPr="007D162C">
        <w:t xml:space="preserve"> about the technical</w:t>
      </w:r>
      <w:r w:rsidR="00F36DD9" w:rsidRPr="007D162C">
        <w:t xml:space="preserve"> difficulties associated with WCAG 2.0</w:t>
      </w:r>
      <w:r w:rsidR="0067790F">
        <w:t xml:space="preserve"> </w:t>
      </w:r>
      <w:r w:rsidR="00F36DD9" w:rsidRPr="007D162C">
        <w:t>AAA compliance across all content types were noted</w:t>
      </w:r>
      <w:r w:rsidR="0040043B" w:rsidRPr="007D162C">
        <w:t>. P</w:t>
      </w:r>
      <w:r w:rsidR="00F36DD9" w:rsidRPr="007D162C">
        <w:t>otential impacts on SMEs in implementing more stringent regulatory options were also considered. The rapid technological advancement of devices and the ICT systems supporting, enabling, and delivering information to people with disability was assessed against the potential unintended consequences of implementing prescriptive requirements</w:t>
      </w:r>
      <w:r w:rsidR="0040043B" w:rsidRPr="007D162C">
        <w:t>,</w:t>
      </w:r>
      <w:r w:rsidR="00F36DD9" w:rsidRPr="007D162C">
        <w:t xml:space="preserve"> which may limit improved accessibility options in the near future. </w:t>
      </w:r>
      <w:r w:rsidR="002B2028" w:rsidRPr="007D162C">
        <w:t xml:space="preserve">Prospective implementation of the reform would assist transport owners and operators to </w:t>
      </w:r>
      <w:r w:rsidR="00DF64E2" w:rsidRPr="007D162C">
        <w:t>plan and design for accessibility requirements and minimise costs associated with auditing and redesigning existing ICT systems, especially for SMEs.</w:t>
      </w:r>
    </w:p>
    <w:p w14:paraId="1C8E1E63" w14:textId="08C0CEE2" w:rsidR="002B2028" w:rsidRPr="007D162C" w:rsidRDefault="00F36DD9" w:rsidP="00913F5F">
      <w:pPr>
        <w:tabs>
          <w:tab w:val="left" w:pos="284"/>
        </w:tabs>
      </w:pPr>
      <w:r w:rsidRPr="007D162C">
        <w:t xml:space="preserve">On balance, regulatory option 1 was considered the option which addressed the needs of people with disability, </w:t>
      </w:r>
      <w:r w:rsidR="00477902" w:rsidRPr="007D162C">
        <w:t>ensured</w:t>
      </w:r>
      <w:r w:rsidRPr="007D162C">
        <w:t xml:space="preserve"> consistency in the implementation of public transport related ICT procurement, and provides public transport owners and operators with the flexibility to implement solutions to improve accessibility and remove discrimination as far as possible.</w:t>
      </w:r>
    </w:p>
    <w:p w14:paraId="65A3000F" w14:textId="481AF70A" w:rsidR="08D050C4" w:rsidRPr="007D162C" w:rsidRDefault="08D050C4" w:rsidP="08D050C4">
      <w:pPr>
        <w:pStyle w:val="Heading4"/>
      </w:pPr>
      <w:r w:rsidRPr="007D162C">
        <w:t>Interaction with Stage 1 reform area</w:t>
      </w:r>
    </w:p>
    <w:p w14:paraId="0ABD3AF8" w14:textId="2AA655C7" w:rsidR="08D050C4" w:rsidRPr="007D162C" w:rsidRDefault="08D050C4" w:rsidP="08D050C4">
      <w:pPr>
        <w:pStyle w:val="Tablefigureheading"/>
      </w:pPr>
      <w:r w:rsidRPr="007D162C">
        <w:t xml:space="preserve">Table </w:t>
      </w:r>
      <w:r w:rsidRPr="007D162C">
        <w:rPr>
          <w:noProof/>
        </w:rPr>
        <w:t>64</w:t>
      </w:r>
      <w:r w:rsidRPr="007D162C">
        <w:t>: Interaction with stage 1 for ICT procurement</w:t>
      </w:r>
    </w:p>
    <w:tbl>
      <w:tblPr>
        <w:tblStyle w:val="DefaultTable1"/>
        <w:tblW w:w="0" w:type="auto"/>
        <w:tblLook w:val="04A0" w:firstRow="1" w:lastRow="0" w:firstColumn="1" w:lastColumn="0" w:noHBand="0" w:noVBand="1"/>
        <w:tblCaption w:val="Interaction with Stage 1 for braille and tactile lettering for signage"/>
      </w:tblPr>
      <w:tblGrid>
        <w:gridCol w:w="1638"/>
        <w:gridCol w:w="2190"/>
        <w:gridCol w:w="6036"/>
      </w:tblGrid>
      <w:tr w:rsidR="08D050C4" w:rsidRPr="007D162C" w14:paraId="04D0235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99A86A8" w14:textId="77777777" w:rsidR="08D050C4" w:rsidRPr="007D162C" w:rsidRDefault="08D050C4">
            <w:r w:rsidRPr="007D162C">
              <w:t>Stage 1 reform area</w:t>
            </w:r>
          </w:p>
        </w:tc>
        <w:tc>
          <w:tcPr>
            <w:tcW w:w="2190" w:type="dxa"/>
          </w:tcPr>
          <w:p w14:paraId="2A58BFEB"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52666724" w14:textId="77777777" w:rsidR="08D050C4" w:rsidRPr="007D162C" w:rsidRDefault="08D050C4">
            <w:pPr>
              <w:cnfStyle w:val="100000000000" w:firstRow="1" w:lastRow="0" w:firstColumn="0" w:lastColumn="0" w:oddVBand="0" w:evenVBand="0" w:oddHBand="0" w:evenHBand="0" w:firstRowFirstColumn="0" w:firstRowLastColumn="0" w:lastRowFirstColumn="0" w:lastRowLastColumn="0"/>
            </w:pPr>
            <w:r w:rsidRPr="007D162C">
              <w:t>Description</w:t>
            </w:r>
          </w:p>
        </w:tc>
      </w:tr>
      <w:tr w:rsidR="08D050C4" w:rsidRPr="007D162C" w14:paraId="3859F4F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4A98A28" w14:textId="77777777" w:rsidR="08D050C4" w:rsidRPr="007D162C" w:rsidRDefault="08D050C4">
            <w:r w:rsidRPr="007D162C">
              <w:t xml:space="preserve">Chapter 5.5: Digital </w:t>
            </w:r>
            <w:r w:rsidRPr="007D162C">
              <w:lastRenderedPageBreak/>
              <w:t>information screens</w:t>
            </w:r>
          </w:p>
        </w:tc>
        <w:tc>
          <w:tcPr>
            <w:tcW w:w="2190" w:type="dxa"/>
          </w:tcPr>
          <w:p w14:paraId="0E1004B1"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 xml:space="preserve">Reference different technical standards for </w:t>
            </w:r>
            <w:r w:rsidRPr="007D162C">
              <w:lastRenderedPageBreak/>
              <w:t>luminance calculation for digital screens.</w:t>
            </w:r>
          </w:p>
        </w:tc>
        <w:tc>
          <w:tcPr>
            <w:tcW w:w="6036" w:type="dxa"/>
          </w:tcPr>
          <w:p w14:paraId="0653079B"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Stage 1 cites ISO Standard 9241-303 for luminance calculation requirements for digital information screens.</w:t>
            </w:r>
          </w:p>
          <w:p w14:paraId="4BC36B90" w14:textId="77777777" w:rsidR="08D050C4" w:rsidRPr="007D162C" w:rsidRDefault="08D050C4">
            <w:pPr>
              <w:cnfStyle w:val="000000100000" w:firstRow="0" w:lastRow="0" w:firstColumn="0" w:lastColumn="0" w:oddVBand="0" w:evenVBand="0" w:oddHBand="1" w:evenHBand="0" w:firstRowFirstColumn="0" w:firstRowLastColumn="0" w:lastRowFirstColumn="0" w:lastRowLastColumn="0"/>
            </w:pPr>
            <w:r w:rsidRPr="007D162C">
              <w:lastRenderedPageBreak/>
              <w:t>Stage 2 cites AS EN 301 549 for hardware and software systems. The technical requirements of AS EN 301 549 may conflict with those of ISO Standard 9241-303.</w:t>
            </w:r>
          </w:p>
        </w:tc>
      </w:tr>
      <w:tr w:rsidR="08D050C4" w:rsidRPr="007D162C" w14:paraId="1F47D8D0" w14:textId="77777777" w:rsidTr="08D050C4">
        <w:tc>
          <w:tcPr>
            <w:cnfStyle w:val="001000000000" w:firstRow="0" w:lastRow="0" w:firstColumn="1" w:lastColumn="0" w:oddVBand="0" w:evenVBand="0" w:oddHBand="0" w:evenHBand="0" w:firstRowFirstColumn="0" w:firstRowLastColumn="0" w:lastRowFirstColumn="0" w:lastRowLastColumn="0"/>
            <w:tcW w:w="1638" w:type="dxa"/>
          </w:tcPr>
          <w:p w14:paraId="13ECC240" w14:textId="77777777" w:rsidR="08D050C4" w:rsidRPr="007D162C" w:rsidRDefault="08D050C4" w:rsidP="08D050C4">
            <w:pPr>
              <w:rPr>
                <w:color w:val="auto"/>
              </w:rPr>
            </w:pPr>
            <w:r w:rsidRPr="007D162C">
              <w:rPr>
                <w:color w:val="auto"/>
              </w:rPr>
              <w:lastRenderedPageBreak/>
              <w:t>Chapter 5.7: Website accessibility</w:t>
            </w:r>
          </w:p>
        </w:tc>
        <w:tc>
          <w:tcPr>
            <w:tcW w:w="2190" w:type="dxa"/>
          </w:tcPr>
          <w:p w14:paraId="6FC94353"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Reference different WCAG requirements for website accessibility.</w:t>
            </w:r>
          </w:p>
        </w:tc>
        <w:tc>
          <w:tcPr>
            <w:tcW w:w="6036" w:type="dxa"/>
          </w:tcPr>
          <w:p w14:paraId="004066B3"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 xml:space="preserve">Stage 1 proposes WCAG 2.1 AA as the standard for web accessibility. </w:t>
            </w:r>
          </w:p>
          <w:p w14:paraId="1C531F8F" w14:textId="77777777" w:rsidR="08D050C4" w:rsidRPr="007D162C"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t>Stage 2 includes procurement requirements relevant to ICT services and software, potentially including websites.</w:t>
            </w:r>
          </w:p>
        </w:tc>
      </w:tr>
    </w:tbl>
    <w:p w14:paraId="25FAD42A" w14:textId="77777777" w:rsidR="08D050C4" w:rsidRPr="007D162C" w:rsidRDefault="08D050C4" w:rsidP="08D050C4">
      <w:pPr>
        <w:spacing w:after="0"/>
        <w:rPr>
          <w:rFonts w:ascii="Calibri" w:eastAsia="Calibri" w:hAnsi="Calibri" w:cs="Times New Roman"/>
          <w:b/>
          <w:bCs/>
          <w:color w:val="002D72"/>
        </w:rPr>
      </w:pPr>
    </w:p>
    <w:p w14:paraId="0BAD848F" w14:textId="77777777" w:rsidR="08D050C4" w:rsidRPr="007D162C" w:rsidRDefault="08D050C4">
      <w:r w:rsidRPr="007D162C">
        <w:t xml:space="preserve">The Transport Standards states that Australian, Australian/New Zealand standards and Australian Design Rules are incorporated into the legislation. Where a conflict exists between an international (ISO) standard and an Australian standard, the preference would be to incorporate the Australian standard and technical requirements. </w:t>
      </w:r>
    </w:p>
    <w:p w14:paraId="0C7D2BB6" w14:textId="00FE2D90" w:rsidR="009865B5" w:rsidRPr="009865B5" w:rsidRDefault="009865B5" w:rsidP="00477902">
      <w:pPr>
        <w:spacing w:before="240"/>
        <w:rPr>
          <w:rFonts w:ascii="Calibri" w:eastAsia="Calibri" w:hAnsi="Calibri" w:cs="Times New Roman"/>
          <w:u w:val="single"/>
        </w:rPr>
      </w:pPr>
      <w:r w:rsidRPr="009865B5">
        <w:rPr>
          <w:rFonts w:ascii="Calibri" w:eastAsia="Calibri" w:hAnsi="Calibri" w:cs="Times New Roman"/>
          <w:u w:val="single"/>
        </w:rPr>
        <w:t>Interaction with Chapter 5.5 Digital information screens</w:t>
      </w:r>
    </w:p>
    <w:p w14:paraId="0DDE739A" w14:textId="77777777" w:rsidR="00477902" w:rsidRPr="007D162C" w:rsidRDefault="00477902" w:rsidP="00477902">
      <w:pPr>
        <w:spacing w:before="240"/>
      </w:pPr>
      <w:r w:rsidRPr="007D162C">
        <w:rPr>
          <w:rFonts w:ascii="Calibri" w:eastAsia="Calibri" w:hAnsi="Calibri" w:cs="Times New Roman"/>
        </w:rPr>
        <w:t>Australian governments adopted internationally aligned ICT procurement standards for accessibility, AS EN 301 549, in 2016. AS EN 301 549 was updated in November 2020. There are no substantive technical differences between the ISO and AS EN standards for luminance requirements. Therefore, the Stage 2 recommendation clarifies the stage 1 recommendation and aligns with the whole of government approach for accessible ICT procurement.</w:t>
      </w:r>
    </w:p>
    <w:p w14:paraId="3FB22ABF" w14:textId="441CCE62" w:rsidR="009865B5" w:rsidRPr="00736DF5" w:rsidRDefault="009865B5">
      <w:pPr>
        <w:rPr>
          <w:u w:val="single"/>
        </w:rPr>
      </w:pPr>
      <w:r w:rsidRPr="00736DF5">
        <w:rPr>
          <w:u w:val="single"/>
        </w:rPr>
        <w:t xml:space="preserve">Interaction with </w:t>
      </w:r>
      <w:r w:rsidR="00736DF5" w:rsidRPr="00736DF5">
        <w:rPr>
          <w:u w:val="single"/>
        </w:rPr>
        <w:t>Chapter 5.7 Website accessibility</w:t>
      </w:r>
    </w:p>
    <w:p w14:paraId="00EE9174" w14:textId="77777777" w:rsidR="08D050C4" w:rsidRPr="007D162C" w:rsidRDefault="08D050C4">
      <w:r w:rsidRPr="007D162C">
        <w:t xml:space="preserve">Stakeholder feedback in Stage 2 identified the need for WCAG 2.1 AA to be applied beyond website accessibility. Moving from website accessibility requirements and applying those to ticketing machines, digital displays and other ICT equipment was identified as a necessary scope change. </w:t>
      </w:r>
    </w:p>
    <w:p w14:paraId="469140D7" w14:textId="7BEB324A" w:rsidR="08D050C4" w:rsidRPr="002035C8" w:rsidRDefault="002035C8" w:rsidP="002035C8">
      <w:pPr>
        <w:tabs>
          <w:tab w:val="left" w:pos="284"/>
        </w:tabs>
        <w:rPr>
          <w:lang w:val="en-AU"/>
        </w:rPr>
      </w:pPr>
      <w:r>
        <w:rPr>
          <w:rFonts w:ascii="Calibri" w:eastAsia="Calibri" w:hAnsi="Calibri" w:cs="Times New Roman"/>
          <w:color w:val="000000" w:themeColor="text1"/>
        </w:rPr>
        <w:t>S</w:t>
      </w:r>
      <w:r w:rsidR="08D050C4" w:rsidRPr="007D162C">
        <w:rPr>
          <w:rFonts w:ascii="Calibri" w:eastAsia="Calibri" w:hAnsi="Calibri" w:cs="Times New Roman"/>
          <w:color w:val="000000" w:themeColor="text1"/>
        </w:rPr>
        <w:t xml:space="preserve">tage 2 requirements </w:t>
      </w:r>
      <w:r w:rsidR="00736DF5">
        <w:rPr>
          <w:rFonts w:ascii="Calibri" w:eastAsia="Calibri" w:hAnsi="Calibri" w:cs="Times New Roman"/>
          <w:color w:val="000000" w:themeColor="text1"/>
        </w:rPr>
        <w:t>align with</w:t>
      </w:r>
      <w:r w:rsidR="08D050C4" w:rsidRPr="007D162C">
        <w:rPr>
          <w:rFonts w:ascii="Calibri" w:eastAsia="Calibri" w:hAnsi="Calibri" w:cs="Times New Roman"/>
          <w:color w:val="000000" w:themeColor="text1"/>
        </w:rPr>
        <w:t xml:space="preserve"> the Stage 1 requirement</w:t>
      </w:r>
      <w:r w:rsidR="00736DF5">
        <w:rPr>
          <w:rFonts w:ascii="Calibri" w:eastAsia="Calibri" w:hAnsi="Calibri" w:cs="Times New Roman"/>
          <w:color w:val="000000" w:themeColor="text1"/>
        </w:rPr>
        <w:t>s.</w:t>
      </w:r>
      <w:r>
        <w:rPr>
          <w:rFonts w:ascii="Calibri" w:eastAsia="Calibri" w:hAnsi="Calibri" w:cs="Times New Roman"/>
          <w:color w:val="000000" w:themeColor="text1"/>
        </w:rPr>
        <w:t xml:space="preserve"> </w:t>
      </w:r>
      <w:r w:rsidRPr="007D162C">
        <w:rPr>
          <w:lang w:val="en-AU"/>
        </w:rPr>
        <w:t>Most governments require compliance with WCAG 2.1 AA in their contracts and guidelines.</w:t>
      </w:r>
      <w:r w:rsidR="00736DF5">
        <w:rPr>
          <w:rFonts w:ascii="Calibri" w:eastAsia="Calibri" w:hAnsi="Calibri" w:cs="Times New Roman"/>
          <w:color w:val="000000" w:themeColor="text1"/>
        </w:rPr>
        <w:t xml:space="preserve"> </w:t>
      </w:r>
      <w:r>
        <w:rPr>
          <w:rFonts w:ascii="Calibri" w:eastAsia="Calibri" w:hAnsi="Calibri" w:cs="Times New Roman"/>
          <w:color w:val="000000" w:themeColor="text1"/>
        </w:rPr>
        <w:t>However, due to</w:t>
      </w:r>
      <w:r w:rsidR="00736DF5">
        <w:rPr>
          <w:rFonts w:ascii="Calibri" w:eastAsia="Calibri" w:hAnsi="Calibri" w:cs="Times New Roman"/>
          <w:color w:val="000000" w:themeColor="text1"/>
        </w:rPr>
        <w:t xml:space="preserve"> the breadth of ICT procurement and interactions amongst ICT systems and hardware</w:t>
      </w:r>
      <w:r>
        <w:rPr>
          <w:rFonts w:ascii="Calibri" w:eastAsia="Calibri" w:hAnsi="Calibri" w:cs="Times New Roman"/>
          <w:color w:val="000000" w:themeColor="text1"/>
        </w:rPr>
        <w:t>,</w:t>
      </w:r>
      <w:r w:rsidR="00736DF5">
        <w:rPr>
          <w:rFonts w:ascii="Calibri" w:eastAsia="Calibri" w:hAnsi="Calibri" w:cs="Times New Roman"/>
          <w:color w:val="000000" w:themeColor="text1"/>
        </w:rPr>
        <w:t xml:space="preserve"> performance</w:t>
      </w:r>
      <w:r w:rsidR="00B559BD">
        <w:rPr>
          <w:rFonts w:ascii="Calibri" w:eastAsia="Calibri" w:hAnsi="Calibri" w:cs="Times New Roman"/>
          <w:color w:val="000000" w:themeColor="text1"/>
        </w:rPr>
        <w:t>-</w:t>
      </w:r>
      <w:r w:rsidR="00736DF5">
        <w:rPr>
          <w:rFonts w:ascii="Calibri" w:eastAsia="Calibri" w:hAnsi="Calibri" w:cs="Times New Roman"/>
          <w:color w:val="000000" w:themeColor="text1"/>
        </w:rPr>
        <w:t xml:space="preserve">based procurement </w:t>
      </w:r>
      <w:r>
        <w:rPr>
          <w:rFonts w:ascii="Calibri" w:eastAsia="Calibri" w:hAnsi="Calibri" w:cs="Times New Roman"/>
          <w:color w:val="000000" w:themeColor="text1"/>
        </w:rPr>
        <w:t xml:space="preserve">reflects the needs of complex procurements and </w:t>
      </w:r>
      <w:r w:rsidR="00736DF5">
        <w:rPr>
          <w:rFonts w:ascii="Calibri" w:eastAsia="Calibri" w:hAnsi="Calibri" w:cs="Times New Roman"/>
          <w:color w:val="000000" w:themeColor="text1"/>
        </w:rPr>
        <w:t>accommodate</w:t>
      </w:r>
      <w:r>
        <w:rPr>
          <w:rFonts w:ascii="Calibri" w:eastAsia="Calibri" w:hAnsi="Calibri" w:cs="Times New Roman"/>
          <w:color w:val="000000" w:themeColor="text1"/>
        </w:rPr>
        <w:t>s</w:t>
      </w:r>
      <w:r w:rsidR="00736DF5">
        <w:rPr>
          <w:rFonts w:ascii="Calibri" w:eastAsia="Calibri" w:hAnsi="Calibri" w:cs="Times New Roman"/>
          <w:color w:val="000000" w:themeColor="text1"/>
        </w:rPr>
        <w:t xml:space="preserve"> innovation</w:t>
      </w:r>
      <w:r w:rsidR="00F25C4A">
        <w:rPr>
          <w:rFonts w:ascii="Calibri" w:eastAsia="Calibri" w:hAnsi="Calibri" w:cs="Times New Roman"/>
          <w:color w:val="000000" w:themeColor="text1"/>
        </w:rPr>
        <w:t>s</w:t>
      </w:r>
      <w:r>
        <w:rPr>
          <w:rFonts w:ascii="Calibri" w:eastAsia="Calibri" w:hAnsi="Calibri" w:cs="Times New Roman"/>
          <w:color w:val="000000" w:themeColor="text1"/>
        </w:rPr>
        <w:t xml:space="preserve">. </w:t>
      </w:r>
      <w:r w:rsidR="00F25C4A">
        <w:rPr>
          <w:rFonts w:ascii="Calibri" w:eastAsia="Calibri" w:hAnsi="Calibri" w:cs="Times New Roman"/>
          <w:color w:val="000000" w:themeColor="text1"/>
        </w:rPr>
        <w:t>Reforms, such as mobile web systems</w:t>
      </w:r>
      <w:r w:rsidR="00161AA2">
        <w:rPr>
          <w:rFonts w:ascii="Calibri" w:eastAsia="Calibri" w:hAnsi="Calibri" w:cs="Times New Roman"/>
          <w:color w:val="000000" w:themeColor="text1"/>
        </w:rPr>
        <w:t>,</w:t>
      </w:r>
      <w:r w:rsidR="00F25C4A">
        <w:rPr>
          <w:rFonts w:ascii="Calibri" w:eastAsia="Calibri" w:hAnsi="Calibri" w:cs="Times New Roman"/>
          <w:color w:val="000000" w:themeColor="text1"/>
        </w:rPr>
        <w:t xml:space="preserve"> reflect existing contract and guidelines to use</w:t>
      </w:r>
      <w:r>
        <w:rPr>
          <w:rFonts w:ascii="Calibri" w:eastAsia="Calibri" w:hAnsi="Calibri" w:cs="Times New Roman"/>
          <w:color w:val="000000" w:themeColor="text1"/>
        </w:rPr>
        <w:t xml:space="preserve"> WCAG 2.1 AA</w:t>
      </w:r>
      <w:r w:rsidR="00F25C4A">
        <w:rPr>
          <w:rFonts w:ascii="Calibri" w:eastAsia="Calibri" w:hAnsi="Calibri" w:cs="Times New Roman"/>
          <w:color w:val="000000" w:themeColor="text1"/>
        </w:rPr>
        <w:t>, especially for customer facing systems.</w:t>
      </w:r>
    </w:p>
    <w:p w14:paraId="7871A380" w14:textId="01101E47" w:rsidR="0067790F" w:rsidRPr="007D162C" w:rsidRDefault="0067790F" w:rsidP="0067790F">
      <w:pPr>
        <w:spacing w:line="259" w:lineRule="auto"/>
        <w:rPr>
          <w:rFonts w:ascii="Calibri" w:eastAsia="Calibri" w:hAnsi="Calibri" w:cs="Times New Roman"/>
          <w:color w:val="000000" w:themeColor="text1"/>
        </w:rPr>
      </w:pPr>
      <w:r>
        <w:rPr>
          <w:rFonts w:ascii="Calibri" w:eastAsia="Calibri" w:hAnsi="Calibri" w:cs="Times New Roman"/>
          <w:color w:val="000000" w:themeColor="text1"/>
        </w:rPr>
        <w:br w:type="page"/>
      </w:r>
    </w:p>
    <w:p w14:paraId="19FD2173" w14:textId="0B418158" w:rsidR="001106EA" w:rsidRPr="007D162C" w:rsidRDefault="001106EA" w:rsidP="0079588B">
      <w:pPr>
        <w:pStyle w:val="Heading2"/>
        <w:numPr>
          <w:ilvl w:val="0"/>
          <w:numId w:val="26"/>
        </w:numPr>
        <w:ind w:hanging="720"/>
      </w:pPr>
      <w:bookmarkStart w:id="377" w:name="_Toc140239729"/>
      <w:r w:rsidRPr="007D162C">
        <w:lastRenderedPageBreak/>
        <w:t>Mobile web systems</w:t>
      </w:r>
      <w:bookmarkEnd w:id="377"/>
    </w:p>
    <w:p w14:paraId="1EF8F5C5" w14:textId="77777777" w:rsidR="001106EA" w:rsidRPr="007D162C" w:rsidRDefault="001106EA" w:rsidP="001106EA">
      <w:pPr>
        <w:pStyle w:val="Heading4"/>
      </w:pPr>
      <w:r w:rsidRPr="007D162C">
        <w:t>Issue</w:t>
      </w:r>
    </w:p>
    <w:p w14:paraId="4FF95ADC" w14:textId="5FD97868" w:rsidR="001106EA" w:rsidRPr="007D162C" w:rsidRDefault="001106EA" w:rsidP="001106EA">
      <w:pPr>
        <w:tabs>
          <w:tab w:val="left" w:pos="284"/>
        </w:tabs>
      </w:pPr>
      <w:r w:rsidRPr="007D162C">
        <w:t xml:space="preserve">Public transport operators and providers are increasingly reliant on mobile information technology, including applications and websites, to communicate service related information to passengers. This may include static information such as information text or dynamic information </w:t>
      </w:r>
      <w:r w:rsidR="004F0D17">
        <w:t>such as</w:t>
      </w:r>
      <w:r w:rsidRPr="007D162C">
        <w:t xml:space="preserve"> trip planning tools. </w:t>
      </w:r>
    </w:p>
    <w:p w14:paraId="2C1F9106" w14:textId="77777777" w:rsidR="001106EA" w:rsidRPr="007D162C" w:rsidRDefault="001106EA" w:rsidP="001106EA">
      <w:pPr>
        <w:tabs>
          <w:tab w:val="left" w:pos="284"/>
        </w:tabs>
      </w:pPr>
      <w:r w:rsidRPr="007D162C">
        <w:t>The Transport Standards do not include minimum accessibility requirements for mobile web systems, and are therefore misaligned with industry best-practice. This may lead to circumstances where mobile web systems are inaccessible and present barriers to using public transport.</w:t>
      </w:r>
    </w:p>
    <w:p w14:paraId="520B6A9F" w14:textId="77777777" w:rsidR="001106EA" w:rsidRPr="007D162C" w:rsidRDefault="001106EA" w:rsidP="001106EA">
      <w:pPr>
        <w:tabs>
          <w:tab w:val="left" w:pos="284"/>
        </w:tabs>
      </w:pPr>
      <w:r w:rsidRPr="007D162C">
        <w:t>Collective government action would introduce accessibility requirement for mobile web systems and address key stakeholder issues raised through the Transport Standards review process.</w:t>
      </w:r>
    </w:p>
    <w:p w14:paraId="1B062EA1" w14:textId="77777777" w:rsidR="001106EA" w:rsidRPr="007D162C" w:rsidRDefault="001106EA" w:rsidP="001106EA">
      <w:pPr>
        <w:pStyle w:val="Heading4"/>
      </w:pPr>
      <w:r w:rsidRPr="007D162C">
        <w:t>Reform options</w:t>
      </w:r>
    </w:p>
    <w:p w14:paraId="57379A4C" w14:textId="77777777" w:rsidR="001106EA" w:rsidRPr="007D162C" w:rsidRDefault="001106EA" w:rsidP="001106EA">
      <w:pPr>
        <w:tabs>
          <w:tab w:val="left" w:pos="284"/>
        </w:tabs>
        <w:rPr>
          <w:lang w:val="en-AU"/>
        </w:rPr>
      </w:pPr>
      <w:r w:rsidRPr="007D162C">
        <w:rPr>
          <w:lang w:val="en-AU"/>
        </w:rPr>
        <w:t>Following is a summary of the proposed options for this reform. Full details of each reform option is provided at Appendix A.</w:t>
      </w:r>
    </w:p>
    <w:p w14:paraId="0B273E36" w14:textId="77777777" w:rsidR="001106EA" w:rsidRPr="007D162C" w:rsidRDefault="001106EA" w:rsidP="009F4F2E">
      <w:pPr>
        <w:pStyle w:val="Tablefigureheading"/>
      </w:pPr>
      <w:r w:rsidRPr="007D162C">
        <w:t>Table 72: Reform options for mobile web systems</w:t>
      </w:r>
    </w:p>
    <w:tbl>
      <w:tblPr>
        <w:tblStyle w:val="DefaultTable1"/>
        <w:tblW w:w="9072" w:type="dxa"/>
        <w:tblLook w:val="04A0" w:firstRow="1" w:lastRow="0" w:firstColumn="1" w:lastColumn="0" w:noHBand="0" w:noVBand="1"/>
        <w:tblCaption w:val="Reform options for Lifts - reference for lift car communication and information systems"/>
        <w:tblDescription w:val="This table provides a description of each of the options for this reform area. Status quo, non-regulatory and regulatory."/>
      </w:tblPr>
      <w:tblGrid>
        <w:gridCol w:w="2232"/>
        <w:gridCol w:w="6840"/>
      </w:tblGrid>
      <w:tr w:rsidR="00712560" w:rsidRPr="007D162C" w14:paraId="3485B8F1"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7B8A66F8" w14:textId="77777777" w:rsidR="00712560" w:rsidRPr="007D162C" w:rsidRDefault="00712560" w:rsidP="00BE429A">
            <w:r w:rsidRPr="007D162C">
              <w:t>Option</w:t>
            </w:r>
          </w:p>
        </w:tc>
        <w:tc>
          <w:tcPr>
            <w:tcW w:w="6840" w:type="dxa"/>
          </w:tcPr>
          <w:p w14:paraId="079D31A2" w14:textId="77777777" w:rsidR="00712560" w:rsidRPr="007D162C" w:rsidRDefault="00712560" w:rsidP="00BE429A">
            <w:pPr>
              <w:cnfStyle w:val="100000000000" w:firstRow="1" w:lastRow="0" w:firstColumn="0" w:lastColumn="0" w:oddVBand="0" w:evenVBand="0" w:oddHBand="0" w:evenHBand="0" w:firstRowFirstColumn="0" w:firstRowLastColumn="0" w:lastRowFirstColumn="0" w:lastRowLastColumn="0"/>
            </w:pPr>
            <w:r w:rsidRPr="007D162C">
              <w:t>Description</w:t>
            </w:r>
          </w:p>
        </w:tc>
      </w:tr>
      <w:tr w:rsidR="00712560" w:rsidRPr="007D162C" w14:paraId="509D4F6E"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914CC06" w14:textId="77777777" w:rsidR="00712560" w:rsidRPr="007D162C" w:rsidRDefault="00712560"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6840" w:type="dxa"/>
          </w:tcPr>
          <w:p w14:paraId="7DE3A6D1"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continue not to include requirements for mobile web systems and mobile information technology to ensure accessibility of information for people with disability.</w:t>
            </w:r>
          </w:p>
          <w:p w14:paraId="21839950"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lang w:val="en-AU"/>
              </w:rPr>
              <w:t>The Transport Standards would remain unchanged and no additional guidance would be issued.</w:t>
            </w:r>
          </w:p>
        </w:tc>
      </w:tr>
      <w:tr w:rsidR="00712560" w:rsidRPr="007D162C" w14:paraId="43AAC210"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3DFCFFBC" w14:textId="77777777" w:rsidR="00712560" w:rsidRPr="007D162C" w:rsidRDefault="00712560" w:rsidP="00BE429A">
            <w:pPr>
              <w:rPr>
                <w:rFonts w:ascii="Calibri" w:eastAsia="Calibri" w:hAnsi="Calibri" w:cs="Times New Roman"/>
              </w:rPr>
            </w:pPr>
            <w:r w:rsidRPr="007D162C">
              <w:rPr>
                <w:rFonts w:ascii="Calibri" w:eastAsia="Calibri" w:hAnsi="Calibri" w:cs="Times New Roman"/>
                <w:color w:val="auto"/>
              </w:rPr>
              <w:t>Non-regulatory</w:t>
            </w:r>
            <w:r w:rsidRPr="007D162C">
              <w:rPr>
                <w:rFonts w:ascii="Calibri" w:eastAsia="Calibri" w:hAnsi="Calibri" w:cs="Times New Roman"/>
              </w:rPr>
              <w:t xml:space="preserve"> </w:t>
            </w:r>
          </w:p>
        </w:tc>
        <w:tc>
          <w:tcPr>
            <w:tcW w:w="6840" w:type="dxa"/>
          </w:tcPr>
          <w:p w14:paraId="2DEBA1CB" w14:textId="77777777" w:rsidR="00712560" w:rsidRPr="007D162C" w:rsidRDefault="00712560"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lang w:val="en-AU"/>
              </w:rPr>
              <w:t>Guidance would be developed to provide best practice advice on web Content Accessibility Guidelines (WCAG) requirements, and the benefits of user testing when developing applications and tools through mobile web systems, applications and information provided by third parties.</w:t>
            </w:r>
          </w:p>
        </w:tc>
      </w:tr>
      <w:tr w:rsidR="00712560" w:rsidRPr="007D162C" w14:paraId="36396C2D"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08E3A713" w14:textId="77777777" w:rsidR="00712560" w:rsidRPr="007D162C" w:rsidRDefault="00712560" w:rsidP="00BE429A">
            <w:pPr>
              <w:rPr>
                <w:rFonts w:ascii="Calibri" w:eastAsia="Calibri" w:hAnsi="Calibri" w:cs="Times New Roman"/>
                <w:color w:val="000000" w:themeColor="text1"/>
              </w:rPr>
            </w:pPr>
            <w:r w:rsidRPr="007D162C">
              <w:rPr>
                <w:rFonts w:ascii="Calibri" w:eastAsia="Calibri" w:hAnsi="Calibri" w:cs="Times New Roman"/>
              </w:rPr>
              <w:t>Regulatory</w:t>
            </w:r>
          </w:p>
        </w:tc>
        <w:tc>
          <w:tcPr>
            <w:tcW w:w="6840" w:type="dxa"/>
          </w:tcPr>
          <w:p w14:paraId="208D2D6A"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be amended to include new requirements for mobile web system provisions. There are 2 regulatory options that were consulted on.</w:t>
            </w:r>
          </w:p>
          <w:p w14:paraId="6314071C" w14:textId="77777777" w:rsidR="00712560" w:rsidRPr="007D162C" w:rsidRDefault="00712560" w:rsidP="00BE429A">
            <w:pPr>
              <w:tabs>
                <w:tab w:val="left" w:pos="284"/>
              </w:tabs>
              <w:spacing w:after="160"/>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Guidance would be provided to reflect any new requirements.</w:t>
            </w:r>
          </w:p>
          <w:p w14:paraId="1261A194"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6806D87"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lang w:val="en-AU"/>
              </w:rPr>
            </w:pPr>
            <w:r w:rsidRPr="007D162C">
              <w:rPr>
                <w:bCs/>
                <w:lang w:val="en-AU"/>
              </w:rPr>
              <w:t>All information</w:t>
            </w:r>
            <w:r w:rsidRPr="007D162C">
              <w:rPr>
                <w:lang w:val="en-AU"/>
              </w:rPr>
              <w:t xml:space="preserve"> provided by an operator or provider must meet WCAG 2.1 AA requirements as a minimum.</w:t>
            </w:r>
          </w:p>
          <w:p w14:paraId="47F6A7D0"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C90B33F" w14:textId="77777777" w:rsidR="00712560" w:rsidRPr="007D162C" w:rsidRDefault="00712560" w:rsidP="00BE429A">
            <w:pPr>
              <w:cnfStyle w:val="000000100000" w:firstRow="0" w:lastRow="0" w:firstColumn="0" w:lastColumn="0" w:oddVBand="0" w:evenVBand="0" w:oddHBand="1" w:evenHBand="0" w:firstRowFirstColumn="0" w:firstRowLastColumn="0" w:lastRowFirstColumn="0" w:lastRowLastColumn="0"/>
              <w:rPr>
                <w:lang w:val="en-AU"/>
              </w:rPr>
            </w:pPr>
            <w:r w:rsidRPr="007D162C">
              <w:rPr>
                <w:bCs/>
                <w:lang w:val="en-AU"/>
              </w:rPr>
              <w:t>Only information related to transport services</w:t>
            </w:r>
            <w:r w:rsidRPr="007D162C">
              <w:rPr>
                <w:lang w:val="en-AU"/>
              </w:rPr>
              <w:t xml:space="preserve"> must meet WCAG 2.1 AA requirements as a minimum.</w:t>
            </w:r>
          </w:p>
        </w:tc>
      </w:tr>
    </w:tbl>
    <w:p w14:paraId="53F7D097" w14:textId="77777777" w:rsidR="00712560" w:rsidRPr="007D162C" w:rsidRDefault="00712560" w:rsidP="00712560"/>
    <w:p w14:paraId="650A0D51" w14:textId="77777777" w:rsidR="001106EA" w:rsidRPr="007D162C" w:rsidRDefault="001106EA" w:rsidP="001106EA">
      <w:pPr>
        <w:keepNext/>
        <w:tabs>
          <w:tab w:val="left" w:pos="284"/>
        </w:tabs>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t>Cost benefit analysis</w:t>
      </w:r>
    </w:p>
    <w:p w14:paraId="4DADBBCF" w14:textId="77777777" w:rsidR="001106EA" w:rsidRPr="007D162C" w:rsidRDefault="001106EA" w:rsidP="009F4F2E">
      <w:pPr>
        <w:pStyle w:val="Heading6"/>
      </w:pPr>
      <w:r w:rsidRPr="007D162C">
        <w:t xml:space="preserve">Quantitative assessment </w:t>
      </w:r>
    </w:p>
    <w:p w14:paraId="1D0AD6CF" w14:textId="77777777" w:rsidR="001106EA" w:rsidRPr="007D162C" w:rsidRDefault="001106EA" w:rsidP="001106EA">
      <w:pPr>
        <w:tabs>
          <w:tab w:val="left" w:pos="284"/>
        </w:tabs>
        <w:rPr>
          <w:lang w:val="en-AU"/>
        </w:rPr>
      </w:pPr>
      <w:r w:rsidRPr="007D162C">
        <w:rPr>
          <w:lang w:val="en-AU"/>
        </w:rPr>
        <w:t xml:space="preserve">The following categories of quantitative costs and benefits were identified in the CBA as pertaining to the reform options. </w:t>
      </w:r>
    </w:p>
    <w:p w14:paraId="43DF782C" w14:textId="77777777" w:rsidR="001106EA" w:rsidRPr="007D162C" w:rsidRDefault="001106EA" w:rsidP="009F4F2E">
      <w:pPr>
        <w:pStyle w:val="Tablefigureheading"/>
      </w:pPr>
      <w:r w:rsidRPr="007D162C">
        <w:lastRenderedPageBreak/>
        <w:t>Table 73: Benefit-cost ratios for mobile web systems</w:t>
      </w:r>
    </w:p>
    <w:tbl>
      <w:tblPr>
        <w:tblStyle w:val="DefaultTable1"/>
        <w:tblW w:w="9864" w:type="dxa"/>
        <w:tblLook w:val="04A0" w:firstRow="1" w:lastRow="0" w:firstColumn="1" w:lastColumn="0" w:noHBand="0" w:noVBand="1"/>
        <w:tblCaption w:val="Benefit-cost ratios for Lifts - reference for lift car communication and information systems"/>
        <w:tblDescription w:val="This table provides the monetised benefits and costs for each of the options for this reform area."/>
      </w:tblPr>
      <w:tblGrid>
        <w:gridCol w:w="2552"/>
        <w:gridCol w:w="1341"/>
        <w:gridCol w:w="1648"/>
        <w:gridCol w:w="1667"/>
        <w:gridCol w:w="1639"/>
        <w:gridCol w:w="1017"/>
      </w:tblGrid>
      <w:tr w:rsidR="006A30C5" w:rsidRPr="007D162C" w14:paraId="503EA69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F1219EE" w14:textId="77777777" w:rsidR="006A30C5" w:rsidRPr="007D162C" w:rsidRDefault="08D050C4" w:rsidP="00BE429A">
            <w:r w:rsidRPr="007D162C">
              <w:t>Reform Option</w:t>
            </w:r>
          </w:p>
        </w:tc>
        <w:tc>
          <w:tcPr>
            <w:tcW w:w="1341" w:type="dxa"/>
          </w:tcPr>
          <w:p w14:paraId="2479B985"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6CCEF91B"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67" w:type="dxa"/>
          </w:tcPr>
          <w:p w14:paraId="5B37802F"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39" w:type="dxa"/>
          </w:tcPr>
          <w:p w14:paraId="7B3D832E"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17" w:type="dxa"/>
          </w:tcPr>
          <w:p w14:paraId="01DE8270" w14:textId="77777777" w:rsidR="006A30C5"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BCR</w:t>
            </w:r>
          </w:p>
        </w:tc>
      </w:tr>
      <w:tr w:rsidR="006A30C5" w:rsidRPr="007D162C" w14:paraId="6E31D1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E8955D6" w14:textId="77777777" w:rsidR="006A30C5" w:rsidRPr="007D162C" w:rsidRDefault="006A30C5"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1341" w:type="dxa"/>
          </w:tcPr>
          <w:p w14:paraId="45AEA398"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8" w:type="dxa"/>
          </w:tcPr>
          <w:p w14:paraId="57C6E88A"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tcPr>
          <w:p w14:paraId="04D3ECAC"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39" w:type="dxa"/>
          </w:tcPr>
          <w:p w14:paraId="512B4399"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017" w:type="dxa"/>
          </w:tcPr>
          <w:p w14:paraId="03CD1881"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6A30C5" w:rsidRPr="007D162C" w14:paraId="1763A222"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08307E50" w14:textId="77777777" w:rsidR="006A30C5" w:rsidRPr="007D162C" w:rsidRDefault="006A30C5" w:rsidP="00BE429A">
            <w:pPr>
              <w:rPr>
                <w:rFonts w:ascii="Calibri" w:eastAsia="Calibri" w:hAnsi="Calibri" w:cs="Times New Roman"/>
              </w:rPr>
            </w:pPr>
            <w:r w:rsidRPr="007D162C">
              <w:rPr>
                <w:rFonts w:ascii="Calibri" w:eastAsia="Calibri" w:hAnsi="Calibri" w:cs="Times New Roman"/>
                <w:color w:val="auto"/>
              </w:rPr>
              <w:t>Non-regulatory</w:t>
            </w:r>
          </w:p>
        </w:tc>
        <w:tc>
          <w:tcPr>
            <w:tcW w:w="1341" w:type="dxa"/>
            <w:vAlign w:val="center"/>
          </w:tcPr>
          <w:p w14:paraId="476A73D7"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24.9</w:t>
            </w:r>
          </w:p>
        </w:tc>
        <w:tc>
          <w:tcPr>
            <w:tcW w:w="1648" w:type="dxa"/>
          </w:tcPr>
          <w:p w14:paraId="59EAE276"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667" w:type="dxa"/>
            <w:vAlign w:val="center"/>
          </w:tcPr>
          <w:p w14:paraId="22FE9D2A"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4.5</w:t>
            </w:r>
          </w:p>
        </w:tc>
        <w:tc>
          <w:tcPr>
            <w:tcW w:w="1639" w:type="dxa"/>
            <w:vAlign w:val="center"/>
          </w:tcPr>
          <w:p w14:paraId="1CE01500" w14:textId="77777777" w:rsidR="006A30C5" w:rsidRPr="007D162C" w:rsidRDefault="006A30C5" w:rsidP="00BE429A">
            <w:pPr>
              <w:cnfStyle w:val="000000000000" w:firstRow="0" w:lastRow="0" w:firstColumn="0" w:lastColumn="0" w:oddVBand="0" w:evenVBand="0" w:oddHBand="0" w:evenHBand="0" w:firstRowFirstColumn="0" w:firstRowLastColumn="0" w:lastRowFirstColumn="0" w:lastRowLastColumn="0"/>
              <w:rPr>
                <w:rFonts w:eastAsia="Calibri"/>
                <w:vertAlign w:val="superscript"/>
              </w:rPr>
            </w:pPr>
            <w:r w:rsidRPr="007D162C">
              <w:rPr>
                <w:rFonts w:eastAsia="Calibri"/>
              </w:rPr>
              <w:t>4.5</w:t>
            </w:r>
            <w:r w:rsidRPr="007D162C">
              <w:rPr>
                <w:rFonts w:eastAsia="Calibri"/>
                <w:vertAlign w:val="superscript"/>
              </w:rPr>
              <w:t>i</w:t>
            </w:r>
          </w:p>
        </w:tc>
        <w:tc>
          <w:tcPr>
            <w:tcW w:w="1017" w:type="dxa"/>
            <w:vAlign w:val="center"/>
          </w:tcPr>
          <w:p w14:paraId="5B925214" w14:textId="77777777" w:rsidR="006A30C5" w:rsidRPr="007D162C" w:rsidRDefault="08D050C4" w:rsidP="08D050C4">
            <w:pPr>
              <w:cnfStyle w:val="000000000000" w:firstRow="0" w:lastRow="0" w:firstColumn="0" w:lastColumn="0" w:oddVBand="0" w:evenVBand="0" w:oddHBand="0" w:evenHBand="0" w:firstRowFirstColumn="0" w:firstRowLastColumn="0" w:lastRowFirstColumn="0" w:lastRowLastColumn="0"/>
              <w:rPr>
                <w:rFonts w:eastAsia="Calibri"/>
              </w:rPr>
            </w:pPr>
            <w:r w:rsidRPr="007D162C">
              <w:rPr>
                <w:rFonts w:eastAsia="Calibri"/>
              </w:rPr>
              <w:t>5.52</w:t>
            </w:r>
          </w:p>
        </w:tc>
      </w:tr>
      <w:tr w:rsidR="006A30C5" w:rsidRPr="007D162C" w14:paraId="1528FB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44FB629" w14:textId="77777777" w:rsidR="006A30C5" w:rsidRPr="007D162C" w:rsidRDefault="006A30C5" w:rsidP="00BE429A">
            <w:pPr>
              <w:rPr>
                <w:rFonts w:ascii="Calibri" w:eastAsia="Calibri" w:hAnsi="Calibri" w:cs="Times New Roman"/>
                <w:color w:val="000000" w:themeColor="text1"/>
              </w:rPr>
            </w:pPr>
            <w:r w:rsidRPr="007D162C">
              <w:rPr>
                <w:rFonts w:ascii="Calibri" w:eastAsia="Calibri" w:hAnsi="Calibri" w:cs="Times New Roman"/>
              </w:rPr>
              <w:t>Regulatory option</w:t>
            </w:r>
          </w:p>
        </w:tc>
        <w:tc>
          <w:tcPr>
            <w:tcW w:w="1341" w:type="dxa"/>
            <w:vAlign w:val="center"/>
          </w:tcPr>
          <w:p w14:paraId="610C2B7E"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74.4</w:t>
            </w:r>
          </w:p>
        </w:tc>
        <w:tc>
          <w:tcPr>
            <w:tcW w:w="1648" w:type="dxa"/>
          </w:tcPr>
          <w:p w14:paraId="2AED707E"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67" w:type="dxa"/>
            <w:vAlign w:val="center"/>
          </w:tcPr>
          <w:p w14:paraId="720164F1"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6.2</w:t>
            </w:r>
          </w:p>
        </w:tc>
        <w:tc>
          <w:tcPr>
            <w:tcW w:w="1639" w:type="dxa"/>
            <w:vAlign w:val="center"/>
          </w:tcPr>
          <w:p w14:paraId="3A8A6338" w14:textId="34ED20B9" w:rsidR="006A30C5" w:rsidRPr="007D162C" w:rsidRDefault="006A30C5" w:rsidP="00BE429A">
            <w:pPr>
              <w:cnfStyle w:val="000000100000" w:firstRow="0" w:lastRow="0" w:firstColumn="0" w:lastColumn="0" w:oddVBand="0" w:evenVBand="0" w:oddHBand="1" w:evenHBand="0" w:firstRowFirstColumn="0" w:firstRowLastColumn="0" w:lastRowFirstColumn="0" w:lastRowLastColumn="0"/>
              <w:rPr>
                <w:rFonts w:eastAsia="Calibri"/>
                <w:color w:val="000000" w:themeColor="text1"/>
                <w:vertAlign w:val="superscript"/>
              </w:rPr>
            </w:pPr>
            <w:r w:rsidRPr="007D162C">
              <w:rPr>
                <w:rFonts w:eastAsia="Calibri"/>
                <w:color w:val="000000" w:themeColor="text1"/>
              </w:rPr>
              <w:t>6.2</w:t>
            </w:r>
          </w:p>
        </w:tc>
        <w:tc>
          <w:tcPr>
            <w:tcW w:w="1017" w:type="dxa"/>
            <w:vAlign w:val="center"/>
          </w:tcPr>
          <w:p w14:paraId="6A0D23F2" w14:textId="77777777" w:rsidR="006A30C5" w:rsidRPr="007D162C" w:rsidRDefault="08D050C4" w:rsidP="08D050C4">
            <w:pPr>
              <w:cnfStyle w:val="000000100000" w:firstRow="0" w:lastRow="0" w:firstColumn="0" w:lastColumn="0" w:oddVBand="0" w:evenVBand="0" w:oddHBand="1" w:evenHBand="0" w:firstRowFirstColumn="0" w:firstRowLastColumn="0" w:lastRowFirstColumn="0" w:lastRowLastColumn="0"/>
              <w:rPr>
                <w:rFonts w:eastAsia="Calibri"/>
                <w:color w:val="000000" w:themeColor="text1"/>
              </w:rPr>
            </w:pPr>
            <w:r w:rsidRPr="007D162C">
              <w:rPr>
                <w:rFonts w:eastAsia="Calibri"/>
                <w:color w:val="000000" w:themeColor="text1"/>
              </w:rPr>
              <w:t>11.92</w:t>
            </w:r>
          </w:p>
        </w:tc>
      </w:tr>
    </w:tbl>
    <w:p w14:paraId="6044DEEC" w14:textId="77777777" w:rsidR="001106EA" w:rsidRPr="007D162C" w:rsidRDefault="001106EA" w:rsidP="006A30C5">
      <w:pPr>
        <w:spacing w:before="120" w:after="0"/>
        <w:rPr>
          <w:rFonts w:ascii="Calibri" w:eastAsia="Calibri" w:hAnsi="Calibri" w:cs="Times New Roman"/>
          <w:color w:val="000000" w:themeColor="text1"/>
          <w:sz w:val="18"/>
          <w:szCs w:val="18"/>
        </w:rPr>
      </w:pPr>
      <w:r w:rsidRPr="007D162C">
        <w:rPr>
          <w:rFonts w:ascii="Calibri" w:eastAsia="Calibri" w:hAnsi="Calibri" w:cs="Times New Roman"/>
          <w:color w:val="000000" w:themeColor="text1"/>
          <w:sz w:val="20"/>
          <w:szCs w:val="20"/>
          <w:vertAlign w:val="superscript"/>
        </w:rPr>
        <w:t>*</w:t>
      </w:r>
      <w:r w:rsidRPr="007D162C">
        <w:rPr>
          <w:rFonts w:ascii="Calibri" w:eastAsia="Calibri" w:hAnsi="Calibri" w:cs="Times New Roman"/>
          <w:color w:val="000000" w:themeColor="text1"/>
          <w:sz w:val="18"/>
          <w:szCs w:val="18"/>
        </w:rPr>
        <w:t>$M, 2022/23, real, discounted at 7% over a 15-year appraisal period after implementation of all reforms, assessed incrementally</w:t>
      </w:r>
    </w:p>
    <w:p w14:paraId="4D28EEE2" w14:textId="77777777" w:rsidR="001106EA" w:rsidRPr="007D162C" w:rsidRDefault="08D050C4" w:rsidP="08D050C4">
      <w:pPr>
        <w:spacing w:before="120" w:after="0"/>
        <w:rPr>
          <w:rFonts w:ascii="Calibri" w:eastAsia="Calibri" w:hAnsi="Calibri" w:cs="Times New Roman"/>
          <w:color w:val="000000" w:themeColor="text1"/>
          <w:sz w:val="20"/>
          <w:szCs w:val="20"/>
          <w:vertAlign w:val="superscript"/>
        </w:rPr>
      </w:pPr>
      <w:r w:rsidRPr="007D162C">
        <w:rPr>
          <w:rFonts w:ascii="Calibri" w:eastAsia="Calibri" w:hAnsi="Calibri" w:cs="Times New Roman"/>
          <w:color w:val="000000" w:themeColor="text1"/>
          <w:sz w:val="20"/>
          <w:szCs w:val="20"/>
          <w:vertAlign w:val="superscript"/>
        </w:rPr>
        <w:t>(i)</w:t>
      </w:r>
      <w:r w:rsidRPr="007D162C">
        <w:rPr>
          <w:rFonts w:ascii="Calibri" w:eastAsia="Calibri" w:hAnsi="Calibri" w:cs="Times New Roman"/>
          <w:color w:val="000000" w:themeColor="text1"/>
          <w:sz w:val="18"/>
          <w:szCs w:val="18"/>
        </w:rPr>
        <w:t>Non-regulatory compliance rates are calculated using assumptions about retrospective and prospective take-up rates, and are not a percentage of the regulatory costs.</w:t>
      </w:r>
    </w:p>
    <w:p w14:paraId="36612433" w14:textId="77777777" w:rsidR="006A30C5" w:rsidRPr="007D162C" w:rsidRDefault="006A30C5" w:rsidP="001106EA">
      <w:pPr>
        <w:tabs>
          <w:tab w:val="left" w:pos="284"/>
        </w:tabs>
        <w:rPr>
          <w:i/>
          <w:iCs/>
          <w:lang w:val="en-AU"/>
        </w:rPr>
      </w:pPr>
    </w:p>
    <w:p w14:paraId="47B69909" w14:textId="77777777" w:rsidR="001106EA" w:rsidRPr="007D162C" w:rsidRDefault="001106EA" w:rsidP="006A30C5">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4319C64F" w14:textId="77777777" w:rsidR="001106EA" w:rsidRPr="007D162C" w:rsidRDefault="001106EA" w:rsidP="006A30C5">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4ED9AEF2" w14:textId="77777777" w:rsidR="001106EA" w:rsidRPr="007D162C" w:rsidRDefault="001106EA" w:rsidP="006A30C5">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1019697C" w14:textId="06C59144" w:rsidR="001106EA" w:rsidRPr="007D162C" w:rsidRDefault="001106EA" w:rsidP="001106EA">
      <w:pPr>
        <w:tabs>
          <w:tab w:val="left" w:pos="284"/>
        </w:tabs>
      </w:pPr>
      <w:r w:rsidRPr="007D162C">
        <w:t>The costs and benefits associated with the non-regulatory reform are lower than its regulatory counterpart reflecting an assumed lower rate of compliance with the reform. An estimated rate of uptake of 75</w:t>
      </w:r>
      <w:r w:rsidR="004F0D17">
        <w:t xml:space="preserve"> per cent</w:t>
      </w:r>
      <w:r w:rsidRPr="007D162C">
        <w:t xml:space="preserve"> was applied to the non-regulatory option based on submissions, which indicated many operators and providers are implementing accessibility standards for mobile web systems. This implies that the benefits and costs quantified for this non-regulatory reform may not reflect future take-up of the reform.</w:t>
      </w:r>
    </w:p>
    <w:p w14:paraId="39F07F48" w14:textId="77777777" w:rsidR="001106EA" w:rsidRPr="007D162C" w:rsidRDefault="001106EA" w:rsidP="006A30C5">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5A4FC0B3" w14:textId="77777777" w:rsidR="001106EA" w:rsidRPr="007D162C" w:rsidRDefault="001106EA" w:rsidP="001106EA">
      <w:pPr>
        <w:tabs>
          <w:tab w:val="left" w:pos="284"/>
        </w:tabs>
      </w:pPr>
      <w:r w:rsidRPr="007D162C">
        <w:t>The benefits and costs for this reform were developed from the survey responses and the number of public transport premises, proxied at a national level. This implies the benefits and costs may not reflect the full extent of existing and future compliance.</w:t>
      </w:r>
    </w:p>
    <w:p w14:paraId="40A0812C" w14:textId="77777777" w:rsidR="001106EA" w:rsidRPr="007D162C" w:rsidRDefault="001106EA" w:rsidP="001106EA">
      <w:pPr>
        <w:tabs>
          <w:tab w:val="left" w:pos="284"/>
        </w:tabs>
      </w:pPr>
      <w:r w:rsidRPr="007D162C">
        <w:t>Provision of mobile web systems can provide various benefits to users with different types of disability and the costs in providing accessible mobile web systems are lower compared to benefits delivered.</w:t>
      </w:r>
    </w:p>
    <w:p w14:paraId="68884F45" w14:textId="77777777" w:rsidR="001106EA" w:rsidRPr="007D162C" w:rsidRDefault="001106EA" w:rsidP="004E78C7">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Interdependencies</w:t>
      </w:r>
    </w:p>
    <w:p w14:paraId="5056058C" w14:textId="77777777" w:rsidR="001106EA" w:rsidRPr="007D162C" w:rsidRDefault="001106EA" w:rsidP="001106EA">
      <w:pPr>
        <w:tabs>
          <w:tab w:val="left" w:pos="284"/>
        </w:tabs>
        <w:rPr>
          <w:lang w:val="en-AU"/>
        </w:rPr>
      </w:pPr>
      <w:r w:rsidRPr="007D162C">
        <w:rPr>
          <w:lang w:val="en-AU"/>
        </w:rPr>
        <w:t>This is an enabling reform improving the accessibility of mobile web platforms would to improve accessibility for people with disability while on mobile devices. The accessibility benefits of this reform will only be realised if there was equitable access across the whole public transport journey, with benefits reliant on implementation of other reforms such as better communication of accessibility features and infrastructure related reforms.</w:t>
      </w:r>
    </w:p>
    <w:p w14:paraId="0F1FB2E4" w14:textId="77777777" w:rsidR="001106EA" w:rsidRPr="007D162C" w:rsidRDefault="001106EA" w:rsidP="009F4F2E">
      <w:pPr>
        <w:pStyle w:val="Heading6"/>
      </w:pPr>
      <w:r w:rsidRPr="007D162C">
        <w:t xml:space="preserve">Qualitative assessment </w:t>
      </w:r>
    </w:p>
    <w:p w14:paraId="4E1E7EF0" w14:textId="77777777" w:rsidR="00FB03A7" w:rsidRPr="007D162C" w:rsidRDefault="001106EA" w:rsidP="001106EA">
      <w:pPr>
        <w:tabs>
          <w:tab w:val="left" w:pos="284"/>
        </w:tabs>
        <w:rPr>
          <w:lang w:val="en-AU"/>
        </w:rPr>
      </w:pPr>
      <w:r w:rsidRPr="007D162C">
        <w:rPr>
          <w:lang w:val="en-AU"/>
        </w:rPr>
        <w:t>The following categories of qualitative benefits were identified in the CBA as pertaining to the reform options.</w:t>
      </w:r>
    </w:p>
    <w:p w14:paraId="163F73C9" w14:textId="77777777" w:rsidR="001106EA" w:rsidRPr="007D162C" w:rsidRDefault="001106EA" w:rsidP="009F4F2E">
      <w:pPr>
        <w:pStyle w:val="Tablefigureheading"/>
      </w:pPr>
      <w:r w:rsidRPr="007D162C">
        <w:t>Table 74: Qualitative benefits for mobile web systems</w:t>
      </w:r>
    </w:p>
    <w:tbl>
      <w:tblPr>
        <w:tblStyle w:val="DefaultTable1"/>
        <w:tblW w:w="9864" w:type="dxa"/>
        <w:tblLook w:val="04A0" w:firstRow="1" w:lastRow="0" w:firstColumn="1" w:lastColumn="0" w:noHBand="0" w:noVBand="1"/>
        <w:tblCaption w:val="Lifts - reference for lift car communication and information systems"/>
      </w:tblPr>
      <w:tblGrid>
        <w:gridCol w:w="1213"/>
        <w:gridCol w:w="1343"/>
        <w:gridCol w:w="1626"/>
        <w:gridCol w:w="1300"/>
        <w:gridCol w:w="1278"/>
        <w:gridCol w:w="1641"/>
        <w:gridCol w:w="1463"/>
      </w:tblGrid>
      <w:tr w:rsidR="00FB03A7" w:rsidRPr="007D162C" w14:paraId="08AB367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B49ABC8" w14:textId="77777777" w:rsidR="00FB03A7" w:rsidRPr="007D162C" w:rsidRDefault="08D050C4" w:rsidP="00BE429A">
            <w:r w:rsidRPr="007D162C">
              <w:t>Reform Option</w:t>
            </w:r>
          </w:p>
        </w:tc>
        <w:tc>
          <w:tcPr>
            <w:tcW w:w="1343" w:type="dxa"/>
          </w:tcPr>
          <w:p w14:paraId="744FE641"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8413A35"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962E0FD"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15E2CAB"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4E45F08"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81E979D" w14:textId="77777777" w:rsidR="00FB03A7"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FB03A7" w:rsidRPr="007D162C" w14:paraId="72FFCA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B55DB5C" w14:textId="77777777" w:rsidR="00FB03A7" w:rsidRPr="007D162C" w:rsidRDefault="00FB03A7" w:rsidP="00BE429A">
            <w:pPr>
              <w:rPr>
                <w:rFonts w:ascii="Calibri" w:eastAsia="Calibri" w:hAnsi="Calibri" w:cs="Times New Roman"/>
                <w:color w:val="000000" w:themeColor="text1"/>
              </w:rPr>
            </w:pPr>
            <w:r w:rsidRPr="007D162C">
              <w:rPr>
                <w:rFonts w:ascii="Calibri" w:eastAsia="Calibri" w:hAnsi="Calibri" w:cs="Times New Roman"/>
              </w:rPr>
              <w:t>Status Quo</w:t>
            </w:r>
          </w:p>
        </w:tc>
        <w:tc>
          <w:tcPr>
            <w:tcW w:w="1343" w:type="dxa"/>
          </w:tcPr>
          <w:p w14:paraId="17CD27A0"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26" w:type="dxa"/>
          </w:tcPr>
          <w:p w14:paraId="3475D861"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300" w:type="dxa"/>
          </w:tcPr>
          <w:p w14:paraId="27FABE02"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5958121D"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641" w:type="dxa"/>
          </w:tcPr>
          <w:p w14:paraId="22BBD600"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1B0D9452"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r w:rsidR="00FB03A7" w:rsidRPr="007D162C" w14:paraId="1D35247C"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A160ED2" w14:textId="77777777" w:rsidR="00FB03A7" w:rsidRPr="007D162C" w:rsidRDefault="00FB03A7" w:rsidP="00BE429A">
            <w:pPr>
              <w:rPr>
                <w:rFonts w:ascii="Calibri" w:eastAsia="Calibri" w:hAnsi="Calibri" w:cs="Times New Roman"/>
              </w:rPr>
            </w:pPr>
            <w:r w:rsidRPr="007D162C">
              <w:rPr>
                <w:rFonts w:ascii="Calibri" w:eastAsia="Calibri" w:hAnsi="Calibri" w:cs="Times New Roman"/>
                <w:color w:val="auto"/>
              </w:rPr>
              <w:t>Non-regulatory</w:t>
            </w:r>
          </w:p>
        </w:tc>
        <w:tc>
          <w:tcPr>
            <w:tcW w:w="1343" w:type="dxa"/>
          </w:tcPr>
          <w:p w14:paraId="1B43716C"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626" w:type="dxa"/>
          </w:tcPr>
          <w:p w14:paraId="0562FBA1"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Yes</w:t>
            </w:r>
          </w:p>
        </w:tc>
        <w:tc>
          <w:tcPr>
            <w:tcW w:w="1300" w:type="dxa"/>
          </w:tcPr>
          <w:p w14:paraId="415BF63A"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278" w:type="dxa"/>
          </w:tcPr>
          <w:p w14:paraId="0001E564" w14:textId="77777777" w:rsidR="00FB03A7" w:rsidRPr="007D162C" w:rsidRDefault="00FB03A7" w:rsidP="00BE429A">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Times New Roman"/>
              </w:rPr>
              <w:t>Yes</w:t>
            </w:r>
          </w:p>
        </w:tc>
        <w:tc>
          <w:tcPr>
            <w:tcW w:w="1641" w:type="dxa"/>
          </w:tcPr>
          <w:p w14:paraId="63C9EA65"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c>
          <w:tcPr>
            <w:tcW w:w="1463" w:type="dxa"/>
          </w:tcPr>
          <w:p w14:paraId="5431FFF4" w14:textId="77777777" w:rsidR="00FB03A7" w:rsidRPr="007D162C" w:rsidRDefault="08D050C4" w:rsidP="08D050C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rPr>
            </w:pPr>
            <w:r w:rsidRPr="007D162C">
              <w:rPr>
                <w:rFonts w:ascii="Calibri" w:eastAsia="Calibri" w:hAnsi="Calibri" w:cs="Calibri"/>
                <w:sz w:val="21"/>
                <w:szCs w:val="21"/>
              </w:rPr>
              <w:t>-</w:t>
            </w:r>
          </w:p>
        </w:tc>
      </w:tr>
      <w:tr w:rsidR="00FB03A7" w:rsidRPr="007D162C" w14:paraId="5BF29A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AC571A8" w14:textId="77777777" w:rsidR="00FB03A7" w:rsidRPr="007D162C" w:rsidRDefault="00FB03A7" w:rsidP="00BE429A">
            <w:pPr>
              <w:rPr>
                <w:rFonts w:ascii="Calibri" w:eastAsia="Calibri" w:hAnsi="Calibri" w:cs="Times New Roman"/>
                <w:color w:val="000000" w:themeColor="text1"/>
              </w:rPr>
            </w:pPr>
            <w:r w:rsidRPr="007D162C">
              <w:rPr>
                <w:rFonts w:ascii="Calibri" w:eastAsia="Calibri" w:hAnsi="Calibri" w:cs="Times New Roman"/>
              </w:rPr>
              <w:t>Regulatory</w:t>
            </w:r>
          </w:p>
        </w:tc>
        <w:tc>
          <w:tcPr>
            <w:tcW w:w="1343" w:type="dxa"/>
          </w:tcPr>
          <w:p w14:paraId="23A5EDE2"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626" w:type="dxa"/>
          </w:tcPr>
          <w:p w14:paraId="2FA3C541"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themeColor="text1"/>
              </w:rPr>
            </w:pPr>
            <w:r w:rsidRPr="007D162C">
              <w:rPr>
                <w:rFonts w:ascii="Calibri" w:eastAsia="Calibri" w:hAnsi="Calibri" w:cs="Times New Roman"/>
                <w:color w:val="000000" w:themeColor="text1"/>
              </w:rPr>
              <w:t>Yes</w:t>
            </w:r>
          </w:p>
        </w:tc>
        <w:tc>
          <w:tcPr>
            <w:tcW w:w="1300" w:type="dxa"/>
          </w:tcPr>
          <w:p w14:paraId="38D31366"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278" w:type="dxa"/>
          </w:tcPr>
          <w:p w14:paraId="149C0028" w14:textId="77777777" w:rsidR="00FB03A7" w:rsidRPr="007D162C" w:rsidRDefault="00FB03A7" w:rsidP="00BE429A">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Times New Roman"/>
                <w:color w:val="000000" w:themeColor="text1"/>
              </w:rPr>
              <w:t>Yes</w:t>
            </w:r>
          </w:p>
        </w:tc>
        <w:tc>
          <w:tcPr>
            <w:tcW w:w="1641" w:type="dxa"/>
          </w:tcPr>
          <w:p w14:paraId="3FBEB8AD"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c>
          <w:tcPr>
            <w:tcW w:w="1463" w:type="dxa"/>
          </w:tcPr>
          <w:p w14:paraId="12BF9CE4" w14:textId="77777777" w:rsidR="00FB03A7" w:rsidRPr="007D162C"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1"/>
                <w:szCs w:val="21"/>
              </w:rPr>
            </w:pPr>
            <w:r w:rsidRPr="007D162C">
              <w:rPr>
                <w:rFonts w:ascii="Calibri" w:eastAsia="Calibri" w:hAnsi="Calibri" w:cs="Calibri"/>
                <w:color w:val="000000" w:themeColor="text1"/>
                <w:sz w:val="21"/>
                <w:szCs w:val="21"/>
              </w:rPr>
              <w:t>-</w:t>
            </w:r>
          </w:p>
        </w:tc>
      </w:tr>
    </w:tbl>
    <w:p w14:paraId="052627B0" w14:textId="77777777" w:rsidR="00FB03A7" w:rsidRPr="007D162C" w:rsidRDefault="00FB03A7" w:rsidP="001106EA">
      <w:pPr>
        <w:tabs>
          <w:tab w:val="left" w:pos="284"/>
        </w:tabs>
        <w:rPr>
          <w:b/>
          <w:bCs/>
          <w:lang w:val="en-AU"/>
        </w:rPr>
      </w:pPr>
    </w:p>
    <w:p w14:paraId="23CD502C" w14:textId="77777777" w:rsidR="001106EA" w:rsidRPr="007D162C" w:rsidRDefault="001106EA" w:rsidP="003E7E85">
      <w:pPr>
        <w:keepNext/>
        <w:outlineLvl w:val="3"/>
        <w:rPr>
          <w:rFonts w:ascii="Calibri" w:eastAsia="Calibri" w:hAnsi="Calibri" w:cs="Calibri"/>
          <w:b/>
          <w:color w:val="595959" w:themeColor="text1" w:themeTint="A6"/>
          <w:sz w:val="32"/>
          <w:szCs w:val="32"/>
        </w:rPr>
      </w:pPr>
      <w:r w:rsidRPr="007D162C">
        <w:rPr>
          <w:rFonts w:ascii="Calibri" w:eastAsia="Calibri" w:hAnsi="Calibri" w:cs="Calibri"/>
          <w:b/>
          <w:color w:val="595959"/>
          <w:kern w:val="12"/>
          <w:sz w:val="32"/>
          <w:szCs w:val="32"/>
        </w:rPr>
        <w:lastRenderedPageBreak/>
        <w:t xml:space="preserve">Analysis of submissions </w:t>
      </w:r>
    </w:p>
    <w:p w14:paraId="16897B88"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3354D830" w14:textId="7C95BAF1" w:rsidR="001106EA" w:rsidRPr="007D162C" w:rsidRDefault="001106EA" w:rsidP="001106EA">
      <w:pPr>
        <w:tabs>
          <w:tab w:val="left" w:pos="284"/>
        </w:tabs>
      </w:pPr>
      <w:r w:rsidRPr="007D162C">
        <w:t>The use of mobile phones and applications has changed since the inception of the Transport Standards in 2002.</w:t>
      </w:r>
      <w:r w:rsidR="004F0D17">
        <w:t xml:space="preserve"> As such, t</w:t>
      </w:r>
      <w:r w:rsidRPr="007D162C">
        <w:t xml:space="preserve">he use of these technologies to provide public transport information is not captured in the Transport Standards. Under the status quo, there will continue to be no requirements for information provided in a mobile format. </w:t>
      </w:r>
    </w:p>
    <w:p w14:paraId="58F683BA" w14:textId="77777777" w:rsidR="001106EA" w:rsidRPr="007D162C" w:rsidRDefault="001106EA" w:rsidP="001106EA">
      <w:pPr>
        <w:tabs>
          <w:tab w:val="left" w:pos="284"/>
        </w:tabs>
        <w:rPr>
          <w:lang w:val="en-AU"/>
        </w:rPr>
      </w:pPr>
      <w:r w:rsidRPr="007D162C">
        <w:t xml:space="preserve">During consultation, there was broad agreement that people with disability are disadvantaged by the lack of accessibility provisions for mobile web systems. Submissions from all stakeholder groups noted that mobile web systems are now a mainstream part of the provision of information related to public transport services. These systems have proliferated across </w:t>
      </w:r>
      <w:r w:rsidR="009F4F2E" w:rsidRPr="007D162C">
        <w:t>most</w:t>
      </w:r>
      <w:r w:rsidRPr="007D162C">
        <w:t xml:space="preserve"> public transport services, but have not been accompanied by requirements to ensure they are usable by people with disability. There are a range of design and implementation factors that are required to ensure the diverse needs of passengers are met. Submissions noted the value of accessible mobile web systems in instilling a sense of confidence in passengers and the equitable provision of information, increasing independence.</w:t>
      </w:r>
    </w:p>
    <w:p w14:paraId="04284BB1" w14:textId="77777777" w:rsidR="001106EA" w:rsidRPr="007D162C" w:rsidRDefault="001106EA" w:rsidP="009F4F2E">
      <w:pPr>
        <w:pStyle w:val="Quote"/>
      </w:pPr>
      <w:r w:rsidRPr="007D162C">
        <w:t>It is important to understand mobile and personal technology devices are commonly used by members of the community for the gathering of information. This is especially relevant in the context of public transport use and trip planning. It is integral that people with disability receive this same level of access.</w:t>
      </w:r>
      <w:r w:rsidRPr="007D162C">
        <w:br/>
      </w:r>
      <w:r w:rsidRPr="007D162C">
        <w:br/>
        <w:t>Physical Disability Council of NSW</w:t>
      </w:r>
    </w:p>
    <w:p w14:paraId="18EC85F7" w14:textId="77777777" w:rsidR="001106EA" w:rsidRPr="007D162C" w:rsidRDefault="001106EA" w:rsidP="001106EA">
      <w:pPr>
        <w:tabs>
          <w:tab w:val="left" w:pos="284"/>
        </w:tabs>
        <w:rPr>
          <w:lang w:val="en-AU"/>
        </w:rPr>
      </w:pPr>
      <w:r w:rsidRPr="007D162C">
        <w:rPr>
          <w:lang w:val="en-AU"/>
        </w:rPr>
        <w:t xml:space="preserve">One submission from an operator and provider supported the status quo option. The submission highlighted that due to the complexities of mobile web system environments, the status quo provides valuable flexibility to manage challenges whilst providing tailored accessibility features for passengers. The submission noted that depending on the scope to which new requirements are applied, the cost to update web systems may be highly burdensome. </w:t>
      </w:r>
    </w:p>
    <w:p w14:paraId="44DC2534" w14:textId="77777777" w:rsidR="001106EA" w:rsidRPr="007D162C" w:rsidRDefault="001106EA" w:rsidP="001106EA">
      <w:pPr>
        <w:tabs>
          <w:tab w:val="left" w:pos="284"/>
        </w:tabs>
        <w:rPr>
          <w:lang w:val="en-AU"/>
        </w:rPr>
      </w:pPr>
      <w:r w:rsidRPr="007D162C">
        <w:rPr>
          <w:lang w:val="en-AU"/>
        </w:rPr>
        <w:t>Maintaining status quo would incur no additional costs to public transports operators and providers, but would not address barriers identified during consultation.</w:t>
      </w:r>
    </w:p>
    <w:p w14:paraId="4C8C18E0"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35A3332D" w14:textId="7FF23658" w:rsidR="001106EA" w:rsidRPr="007D162C" w:rsidRDefault="00792805" w:rsidP="08D050C4">
      <w:pPr>
        <w:tabs>
          <w:tab w:val="left" w:pos="284"/>
        </w:tabs>
        <w:rPr>
          <w:lang w:val="en-AU"/>
        </w:rPr>
      </w:pPr>
      <w:r w:rsidRPr="007D162C">
        <w:rPr>
          <w:lang w:val="en-AU"/>
        </w:rPr>
        <w:t>Industry and government</w:t>
      </w:r>
      <w:r w:rsidR="004F0D17">
        <w:rPr>
          <w:lang w:val="en-AU"/>
        </w:rPr>
        <w:t xml:space="preserve"> submissions</w:t>
      </w:r>
      <w:r w:rsidRPr="007D162C">
        <w:rPr>
          <w:lang w:val="en-AU"/>
        </w:rPr>
        <w:t xml:space="preserve"> which supported </w:t>
      </w:r>
      <w:r w:rsidR="001106EA" w:rsidRPr="007D162C">
        <w:rPr>
          <w:lang w:val="en-AU"/>
        </w:rPr>
        <w:t>the non-regulatory option</w:t>
      </w:r>
      <w:r w:rsidR="001106EA" w:rsidRPr="007D162C" w:rsidDel="00792805">
        <w:rPr>
          <w:lang w:val="en-AU"/>
        </w:rPr>
        <w:t xml:space="preserve"> </w:t>
      </w:r>
      <w:r w:rsidR="001106EA" w:rsidRPr="007D162C">
        <w:rPr>
          <w:lang w:val="en-AU"/>
        </w:rPr>
        <w:t xml:space="preserve">noted that mobile web system are increasingly an important information channel for passengers. There was agreement from all stakeholder groups that it is important that these systems are designed to be accessible to all customers and accommodate future technological developments to ensure public transport information can be accessed without discrimination. Conversely, poor design practices were identified as a barrier to accessing information. </w:t>
      </w:r>
    </w:p>
    <w:p w14:paraId="50EF0B1B" w14:textId="77777777" w:rsidR="001106EA" w:rsidRPr="007D162C" w:rsidRDefault="009F4F2E" w:rsidP="001106EA">
      <w:pPr>
        <w:tabs>
          <w:tab w:val="left" w:pos="284"/>
        </w:tabs>
        <w:rPr>
          <w:lang w:val="en-AU"/>
        </w:rPr>
      </w:pPr>
      <w:r w:rsidRPr="007D162C">
        <w:rPr>
          <w:lang w:val="en-AU"/>
        </w:rPr>
        <w:t>Most</w:t>
      </w:r>
      <w:r w:rsidR="001106EA" w:rsidRPr="007D162C">
        <w:rPr>
          <w:lang w:val="en-AU"/>
        </w:rPr>
        <w:t xml:space="preserve"> submissions from government and industry noted that work is already underway to meet compliance with WCAG accessibility requirements. Submissions supported the provision of guidance that includes best-practice design principles and examples of practical constraints. The non-regulatory option was identified as providing valuable flexibility to future proof the Transport Standards to accommodate technological innovation and the incorporation of new versions of standards as they are developed. One submission noted that similarly, the non-regulatory option accommodates known constraints with providing dynamic information at WCAG AAA level compliance in some circumstances. Similarly, some submissions noted concerns regarding public transport information that is provided on web systems operated by organisations that are not party to the Transport Standards, such as Google and Apple.</w:t>
      </w:r>
    </w:p>
    <w:p w14:paraId="7D89E8C4" w14:textId="77777777" w:rsidR="001106EA" w:rsidRPr="007D162C" w:rsidRDefault="001106EA" w:rsidP="001106EA">
      <w:pPr>
        <w:tabs>
          <w:tab w:val="left" w:pos="284"/>
        </w:tabs>
        <w:rPr>
          <w:lang w:val="en-AU"/>
        </w:rPr>
      </w:pPr>
      <w:r w:rsidRPr="007D162C">
        <w:rPr>
          <w:lang w:val="en-AU"/>
        </w:rPr>
        <w:t>One submission stated that specific versions of WCAG should not directly be referenced in the Transport Standards where they cannot easily be updated. The submission stated that the non-regulatory option supports the encouragement of implementing contemporary best practices as they arise, maximizing outcomes for customers.</w:t>
      </w:r>
    </w:p>
    <w:p w14:paraId="2EB39EDD" w14:textId="77777777" w:rsidR="001106EA" w:rsidRPr="007D162C" w:rsidRDefault="001106EA" w:rsidP="001106EA">
      <w:pPr>
        <w:tabs>
          <w:tab w:val="left" w:pos="284"/>
        </w:tabs>
        <w:rPr>
          <w:lang w:val="en-AU"/>
        </w:rPr>
      </w:pPr>
      <w:r w:rsidRPr="007D162C">
        <w:rPr>
          <w:lang w:val="en-AU"/>
        </w:rPr>
        <w:lastRenderedPageBreak/>
        <w:t>Submissions also noted the potential unintended consequences of the regulatory options, whereby innovation of mobile web systems may be hampered by prescriptive references to WCAG standards that become outdated. Submissions noted this may result in a perverse outcome where operators and providers are disincentivised to meet contemporary practices, reducing benefits to people with disability.</w:t>
      </w:r>
    </w:p>
    <w:p w14:paraId="3BE26146" w14:textId="77777777" w:rsidR="001106EA" w:rsidRPr="007D162C" w:rsidRDefault="001106EA" w:rsidP="003E7E85">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76BA7DDD" w14:textId="1728CAED" w:rsidR="001106EA" w:rsidRPr="007D162C" w:rsidRDefault="001106EA" w:rsidP="08D050C4">
      <w:pPr>
        <w:tabs>
          <w:tab w:val="left" w:pos="284"/>
        </w:tabs>
        <w:rPr>
          <w:lang w:val="en-AU"/>
        </w:rPr>
      </w:pPr>
      <w:r w:rsidRPr="007D162C">
        <w:rPr>
          <w:lang w:val="en-AU"/>
        </w:rPr>
        <w:t xml:space="preserve">All submissions from individuals, people with disability and disability organisations supported the regulatory option. </w:t>
      </w:r>
      <w:r w:rsidR="00792805" w:rsidRPr="007D162C">
        <w:rPr>
          <w:lang w:val="en-AU"/>
        </w:rPr>
        <w:t>S</w:t>
      </w:r>
      <w:r w:rsidRPr="007D162C">
        <w:rPr>
          <w:lang w:val="en-AU"/>
        </w:rPr>
        <w:t>ubmissions from industry and government</w:t>
      </w:r>
      <w:r w:rsidR="00792805" w:rsidRPr="007D162C">
        <w:rPr>
          <w:lang w:val="en-AU"/>
        </w:rPr>
        <w:t xml:space="preserve"> </w:t>
      </w:r>
      <w:r w:rsidRPr="007D162C">
        <w:rPr>
          <w:lang w:val="en-AU"/>
        </w:rPr>
        <w:t>support</w:t>
      </w:r>
      <w:r w:rsidR="00792805" w:rsidRPr="007D162C">
        <w:rPr>
          <w:lang w:val="en-AU"/>
        </w:rPr>
        <w:t xml:space="preserve">ing </w:t>
      </w:r>
      <w:r w:rsidRPr="007D162C">
        <w:rPr>
          <w:lang w:val="en-AU"/>
        </w:rPr>
        <w:t xml:space="preserve">the regulatory option </w:t>
      </w:r>
      <w:r w:rsidR="00792805" w:rsidRPr="007D162C">
        <w:rPr>
          <w:lang w:val="en-AU"/>
        </w:rPr>
        <w:t>agreed</w:t>
      </w:r>
      <w:r w:rsidRPr="007D162C" w:rsidDel="00792805">
        <w:rPr>
          <w:lang w:val="en-AU"/>
        </w:rPr>
        <w:t xml:space="preserve"> </w:t>
      </w:r>
      <w:r w:rsidRPr="007D162C">
        <w:rPr>
          <w:lang w:val="en-AU"/>
        </w:rPr>
        <w:t>that the Transport Standards do not adequately cover matters relating to mobile web systems, and the introduction of new requirements would be beneficial to people with disability. During consultation, feedback from industry, government and the disability sector emphasised that regulatory requirements are necessary to ensure that systems across consistently accessible.</w:t>
      </w:r>
    </w:p>
    <w:p w14:paraId="6B7B7368" w14:textId="77777777" w:rsidR="001106EA" w:rsidRPr="007D162C" w:rsidRDefault="001106EA" w:rsidP="009F4F2E">
      <w:pPr>
        <w:pStyle w:val="Quote"/>
      </w:pPr>
      <w:r w:rsidRPr="007D162C">
        <w:t>As transport standards do not currently include any requirements around digital accessibility systems, providing information in accessible formats should be considered a high priority.</w:t>
      </w:r>
    </w:p>
    <w:p w14:paraId="7A073AD0" w14:textId="77777777" w:rsidR="001106EA" w:rsidRPr="007D162C" w:rsidRDefault="001106EA" w:rsidP="009F4F2E">
      <w:pPr>
        <w:pStyle w:val="Quote"/>
      </w:pPr>
      <w:r w:rsidRPr="007D162C">
        <w:t>Centre for Inclusive Design</w:t>
      </w:r>
    </w:p>
    <w:p w14:paraId="02683C45" w14:textId="3D6B6686" w:rsidR="001106EA" w:rsidRPr="007D162C" w:rsidRDefault="001106EA" w:rsidP="001106EA">
      <w:pPr>
        <w:tabs>
          <w:tab w:val="left" w:pos="284"/>
        </w:tabs>
        <w:rPr>
          <w:lang w:val="en-AU"/>
        </w:rPr>
      </w:pPr>
      <w:r w:rsidRPr="007D162C">
        <w:rPr>
          <w:lang w:val="en-AU"/>
        </w:rPr>
        <w:t>Similarly, several submissions from industry and government noted</w:t>
      </w:r>
      <w:r w:rsidR="00FB4BDA">
        <w:rPr>
          <w:lang w:val="en-AU"/>
        </w:rPr>
        <w:t xml:space="preserve"> the</w:t>
      </w:r>
      <w:r w:rsidRPr="007D162C">
        <w:rPr>
          <w:lang w:val="en-AU"/>
        </w:rPr>
        <w:t xml:space="preserve"> benefit of prescriptive references to a WCAG standard to support mobile web system procurement and development as a part of the full product development lifecycle. These submissions agreed that new requirements would also support operators and providers by providing greater clarity on their requirements – some of which have already been adopted in internal policies, and align with requirements for website accessibility agreed in the first stage of reforms.</w:t>
      </w:r>
    </w:p>
    <w:p w14:paraId="73DCDC89" w14:textId="77777777" w:rsidR="001106EA" w:rsidRPr="007D162C" w:rsidRDefault="001106EA" w:rsidP="001106EA">
      <w:pPr>
        <w:tabs>
          <w:tab w:val="left" w:pos="284"/>
        </w:tabs>
        <w:rPr>
          <w:lang w:val="en-AU"/>
        </w:rPr>
      </w:pPr>
      <w:r w:rsidRPr="007D162C">
        <w:rPr>
          <w:lang w:val="en-AU"/>
        </w:rPr>
        <w:t xml:space="preserve">A number of submissions from the disability sector also highlighted the importance of ensuring information remains accessible in multiple formats, and not solely online. One submission also suggested including references to the Cognitive Accessibility Guidelines for websites in guidance material. The Cognitive Accessibility Guidelines better enables websites and information to be accessible for people with intellectual disability. </w:t>
      </w:r>
    </w:p>
    <w:p w14:paraId="7B0559D2" w14:textId="77777777" w:rsidR="001106EA" w:rsidRPr="007D162C" w:rsidRDefault="001106EA" w:rsidP="009F4F2E">
      <w:pPr>
        <w:pStyle w:val="Quote"/>
      </w:pPr>
      <w:r w:rsidRPr="007D162C">
        <w:t>Everyone is talking about apps. I think they've also got to realise that a lot of people, both elderly and those with disability, including my wife and I, we don't use apps on the old phones. We use phones for phone calls.</w:t>
      </w:r>
    </w:p>
    <w:p w14:paraId="1753CD58" w14:textId="77777777" w:rsidR="001106EA" w:rsidRPr="007D162C" w:rsidRDefault="001106EA" w:rsidP="009F4F2E">
      <w:pPr>
        <w:pStyle w:val="Quote"/>
      </w:pPr>
      <w:r w:rsidRPr="007D162C">
        <w:t>Focus group participant</w:t>
      </w:r>
    </w:p>
    <w:p w14:paraId="04F96CC8" w14:textId="77777777" w:rsidR="001106EA" w:rsidRPr="007D162C" w:rsidRDefault="001106EA" w:rsidP="001106EA">
      <w:pPr>
        <w:tabs>
          <w:tab w:val="left" w:pos="284"/>
        </w:tabs>
        <w:rPr>
          <w:lang w:val="en-AU"/>
        </w:rPr>
      </w:pPr>
      <w:r w:rsidRPr="007D162C">
        <w:rPr>
          <w:lang w:val="en-AU"/>
        </w:rPr>
        <w:t xml:space="preserve">There were divergent views shared on the preferred regulatory option. </w:t>
      </w:r>
      <w:r w:rsidR="00FB03A7" w:rsidRPr="007D162C">
        <w:rPr>
          <w:lang w:val="en-AU"/>
        </w:rPr>
        <w:t>Most</w:t>
      </w:r>
      <w:r w:rsidRPr="007D162C">
        <w:rPr>
          <w:lang w:val="en-AU"/>
        </w:rPr>
        <w:t xml:space="preserve"> submissions from the disability community supported option 1, noting its relative strength compared to option 2 in that it requires all information on public transport websites to meet accessibility requirements, not just information directly related to transport services. One submission suggested accompanying guidance could be strengthened by referencing the value of WCAG AAA compliance, where feasible.</w:t>
      </w:r>
    </w:p>
    <w:p w14:paraId="6FCEF6E4" w14:textId="77777777" w:rsidR="001106EA" w:rsidRPr="007D162C" w:rsidRDefault="001106EA" w:rsidP="009F4F2E">
      <w:pPr>
        <w:pStyle w:val="Quote"/>
      </w:pPr>
      <w:r w:rsidRPr="007D162C">
        <w:t>We strongly believe that all information provided on websites or in apps must be fully accessible. The option which specifies that discretionary information need not be accessible amounts to the legitimising of information censorship, and is completely incompatible with current policies and discourse around the inclusion and non-discriminatory treatment of people with a disability.</w:t>
      </w:r>
    </w:p>
    <w:p w14:paraId="71E2788B" w14:textId="77777777" w:rsidR="001106EA" w:rsidRPr="007D162C" w:rsidRDefault="001106EA" w:rsidP="009F4F2E">
      <w:pPr>
        <w:pStyle w:val="Quote"/>
      </w:pPr>
      <w:r w:rsidRPr="007D162C">
        <w:t>Vision Australia</w:t>
      </w:r>
    </w:p>
    <w:p w14:paraId="1837661C" w14:textId="77777777" w:rsidR="001106EA" w:rsidRPr="007D162C" w:rsidRDefault="001106EA" w:rsidP="001106EA">
      <w:pPr>
        <w:tabs>
          <w:tab w:val="left" w:pos="284"/>
        </w:tabs>
        <w:rPr>
          <w:lang w:val="en-AU"/>
        </w:rPr>
      </w:pPr>
      <w:r w:rsidRPr="007D162C">
        <w:rPr>
          <w:lang w:val="en-AU"/>
        </w:rPr>
        <w:t>Of those who supported the regulatory option, industry and government evenly supported option 1 and option 2. A number of submissions noted that it is important to consider the feasibility of providing all information to WCAG 2.1 AA level compliance – for example, interactive maps. In cases where full compliance is not possible, the submission highlighted the importance of providing equivalent information in text alternatives. Additionally, one submission suggested additional guidance be provided to define ‘service information’ and whether matters such as events and campaigns would be covered by the option.</w:t>
      </w:r>
    </w:p>
    <w:p w14:paraId="2054EC28" w14:textId="77777777" w:rsidR="001106EA" w:rsidRPr="007D162C" w:rsidRDefault="001106EA" w:rsidP="001106EA">
      <w:pPr>
        <w:tabs>
          <w:tab w:val="left" w:pos="284"/>
        </w:tabs>
        <w:rPr>
          <w:lang w:val="en-AU"/>
        </w:rPr>
      </w:pPr>
      <w:r w:rsidRPr="007D162C">
        <w:rPr>
          <w:lang w:val="en-AU"/>
        </w:rPr>
        <w:t>One submission noted that auditing, updating and maintaining the accessibility of mobile web systems requires ongoing maintenance and funding, and that the regulatory option would incur costs to operators and providers.</w:t>
      </w:r>
    </w:p>
    <w:p w14:paraId="74F485E8" w14:textId="77777777" w:rsidR="001106EA" w:rsidRPr="007D162C" w:rsidRDefault="001106EA" w:rsidP="001106EA">
      <w:pPr>
        <w:tabs>
          <w:tab w:val="left" w:pos="284"/>
        </w:tabs>
        <w:rPr>
          <w:lang w:val="en-AU"/>
        </w:rPr>
      </w:pPr>
      <w:r w:rsidRPr="007D162C">
        <w:rPr>
          <w:lang w:val="en-AU"/>
        </w:rPr>
        <w:lastRenderedPageBreak/>
        <w:t>One submission noted there is a significant cost to audit and update web systems, and the regulatory option would benefit from additional guidance around user-testing and verification methodologies. Submissions also noted the importance of staging the implementation of new requirements to support an effective roll-out of updated systems.</w:t>
      </w:r>
    </w:p>
    <w:p w14:paraId="63C20B24" w14:textId="77777777" w:rsidR="001106EA" w:rsidRPr="007D162C" w:rsidRDefault="001106EA" w:rsidP="001106EA">
      <w:pPr>
        <w:pStyle w:val="Heading4"/>
      </w:pPr>
      <w:r w:rsidRPr="007D162C">
        <w:t>Preferred option</w:t>
      </w:r>
    </w:p>
    <w:p w14:paraId="263259A4" w14:textId="77777777" w:rsidR="001106EA" w:rsidRPr="007D162C" w:rsidRDefault="001106EA" w:rsidP="001106EA">
      <w:pPr>
        <w:tabs>
          <w:tab w:val="left" w:pos="284"/>
        </w:tabs>
        <w:rPr>
          <w:lang w:val="en-AU"/>
        </w:rPr>
      </w:pPr>
      <w:r w:rsidRPr="007D162C">
        <w:rPr>
          <w:lang w:val="en-AU"/>
        </w:rPr>
        <w:t xml:space="preserve">Informed by the outcomes of consultation, impacts, cost and outcomes analysis above, the preferred option is </w:t>
      </w:r>
      <w:r w:rsidRPr="007D162C">
        <w:rPr>
          <w:b/>
          <w:bCs/>
          <w:lang w:val="en-AU"/>
        </w:rPr>
        <w:t>regulatory option 1</w:t>
      </w:r>
      <w:r w:rsidRPr="007D162C">
        <w:rPr>
          <w:lang w:val="en-AU"/>
        </w:rPr>
        <w:t xml:space="preserve">. </w:t>
      </w:r>
    </w:p>
    <w:p w14:paraId="74A5C231" w14:textId="77777777" w:rsidR="001106EA" w:rsidRPr="007D162C" w:rsidRDefault="001106EA" w:rsidP="001106EA">
      <w:pPr>
        <w:tabs>
          <w:tab w:val="left" w:pos="284"/>
        </w:tabs>
        <w:rPr>
          <w:lang w:val="en-AU"/>
        </w:rPr>
      </w:pPr>
      <w:r w:rsidRPr="007D162C">
        <w:rPr>
          <w:lang w:val="en-AU"/>
        </w:rPr>
        <w:t xml:space="preserve">Industry and government provided mixed support for the status quo, non-regulatory and regulatory options, while all submissions from the disability sector supported the regulatory option. </w:t>
      </w:r>
    </w:p>
    <w:p w14:paraId="1617B4EF" w14:textId="77777777" w:rsidR="001106EA" w:rsidRPr="007D162C" w:rsidRDefault="001106EA" w:rsidP="001106EA">
      <w:pPr>
        <w:tabs>
          <w:tab w:val="left" w:pos="284"/>
        </w:tabs>
        <w:rPr>
          <w:lang w:val="en-AU"/>
        </w:rPr>
      </w:pPr>
      <w:r w:rsidRPr="007D162C">
        <w:rPr>
          <w:lang w:val="en-AU"/>
        </w:rPr>
        <w:t xml:space="preserve">Across all stakeholders, there was broad recognition that mobile web systems are now a mainstream part of the provision of information related to public transport services, and people with disability are disadvantaged by the lack of accessibility provisions on these services. Several operators and providers noted internal policies to update their mobile web systems to WCAG compliance, but recognised that the auditing, updating and maintenance of mobile web systems to meet accessibility requirements would incur additional costs. </w:t>
      </w:r>
    </w:p>
    <w:p w14:paraId="2684F44A" w14:textId="0FDFEAC6" w:rsidR="001106EA" w:rsidRPr="007D162C" w:rsidRDefault="00FB03A7" w:rsidP="001106EA">
      <w:pPr>
        <w:tabs>
          <w:tab w:val="left" w:pos="284"/>
        </w:tabs>
        <w:rPr>
          <w:lang w:val="en-AU"/>
        </w:rPr>
      </w:pPr>
      <w:r w:rsidRPr="007D162C">
        <w:rPr>
          <w:lang w:val="en-AU"/>
        </w:rPr>
        <w:t>Most</w:t>
      </w:r>
      <w:r w:rsidR="001106EA" w:rsidRPr="007D162C">
        <w:rPr>
          <w:lang w:val="en-AU"/>
        </w:rPr>
        <w:t xml:space="preserve"> submissions from the disability sector supported option 1, while industry and government evenly supported option 1 and option 2. Option 1 was identified as feasible to implement and would provide a greater level of benefit to people with disability than option 2.</w:t>
      </w:r>
    </w:p>
    <w:p w14:paraId="1C3E6754" w14:textId="3E3B7FC2" w:rsidR="00DF64E2" w:rsidRPr="007D162C" w:rsidRDefault="00DF64E2" w:rsidP="08D050C4">
      <w:pPr>
        <w:tabs>
          <w:tab w:val="left" w:pos="284"/>
        </w:tabs>
        <w:rPr>
          <w:lang w:val="en-AU"/>
        </w:rPr>
      </w:pPr>
      <w:r w:rsidRPr="007D162C">
        <w:rPr>
          <w:lang w:val="en-AU"/>
        </w:rPr>
        <w:t xml:space="preserve">It is important to acknowledge the interaction of this reform with the broader ICT procurement (reform 21). </w:t>
      </w:r>
      <w:r w:rsidR="00E14044" w:rsidRPr="007D162C">
        <w:rPr>
          <w:lang w:val="en-AU"/>
        </w:rPr>
        <w:t xml:space="preserve">The ICT procurement reform </w:t>
      </w:r>
      <w:r w:rsidR="00477902" w:rsidRPr="007D162C">
        <w:rPr>
          <w:lang w:val="en-AU"/>
        </w:rPr>
        <w:t>includes</w:t>
      </w:r>
      <w:r w:rsidR="00E14044" w:rsidRPr="007D162C">
        <w:rPr>
          <w:lang w:val="en-AU"/>
        </w:rPr>
        <w:t xml:space="preserve"> hardware, software and services. The proposed ICT procurement performance-based </w:t>
      </w:r>
      <w:r w:rsidR="00477902" w:rsidRPr="007D162C">
        <w:rPr>
          <w:lang w:val="en-AU"/>
        </w:rPr>
        <w:t>option</w:t>
      </w:r>
      <w:r w:rsidR="00E14044" w:rsidRPr="007D162C">
        <w:rPr>
          <w:lang w:val="en-AU"/>
        </w:rPr>
        <w:t xml:space="preserve"> acknowledges the flexibility needed to manage complex ICT procurements. However, mobile web systems are increasingly the primary point for accessing information about public transport and accessibility features. Most governments require compliance with WCAG 2.1 AA in their contracts and guidelines. </w:t>
      </w:r>
    </w:p>
    <w:p w14:paraId="559C8EF4" w14:textId="77777777" w:rsidR="00BE429A" w:rsidRPr="007D162C" w:rsidRDefault="001106EA" w:rsidP="001106EA">
      <w:pPr>
        <w:tabs>
          <w:tab w:val="left" w:pos="284"/>
        </w:tabs>
        <w:rPr>
          <w:lang w:val="en-AU"/>
        </w:rPr>
      </w:pPr>
      <w:r w:rsidRPr="007D162C">
        <w:rPr>
          <w:lang w:val="en-AU"/>
        </w:rPr>
        <w:t>The preferred option will be implemented through amendments to the Transport Standards and Guidelines. Operators and providers will be required to meet the new Transport Standards requirements prospectively with a trigger mechanism.</w:t>
      </w:r>
    </w:p>
    <w:p w14:paraId="7224F8D6" w14:textId="77777777" w:rsidR="00BE429A" w:rsidRPr="007D162C" w:rsidRDefault="00BE429A" w:rsidP="00BE429A">
      <w:pPr>
        <w:rPr>
          <w:lang w:val="en-AU"/>
        </w:rPr>
      </w:pPr>
      <w:r w:rsidRPr="007D162C">
        <w:rPr>
          <w:lang w:val="en-AU"/>
        </w:rPr>
        <w:br w:type="page"/>
      </w:r>
    </w:p>
    <w:p w14:paraId="0F6B0D8D" w14:textId="193FF9BD" w:rsidR="00BE429A" w:rsidRPr="007D162C" w:rsidRDefault="00BE429A" w:rsidP="004D7504">
      <w:pPr>
        <w:pStyle w:val="Heading2"/>
        <w:numPr>
          <w:ilvl w:val="0"/>
          <w:numId w:val="26"/>
        </w:numPr>
        <w:ind w:hanging="720"/>
      </w:pPr>
      <w:bookmarkStart w:id="378" w:name="_Toc127351772"/>
      <w:bookmarkStart w:id="379" w:name="_Toc140239730"/>
      <w:r w:rsidRPr="007D162C">
        <w:lastRenderedPageBreak/>
        <w:t>Accessible fare system elements</w:t>
      </w:r>
      <w:bookmarkEnd w:id="378"/>
      <w:bookmarkEnd w:id="379"/>
    </w:p>
    <w:p w14:paraId="18F38B9A" w14:textId="77777777" w:rsidR="00BE429A" w:rsidRPr="007D162C" w:rsidRDefault="00BE429A" w:rsidP="00BE429A">
      <w:pPr>
        <w:pStyle w:val="Heading4"/>
      </w:pPr>
      <w:r w:rsidRPr="007D162C">
        <w:t>Issue</w:t>
      </w:r>
    </w:p>
    <w:p w14:paraId="523F6152"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The Transport Standards do not adequately cover or support existing or future technologies used in fare payment and validation. As a result, current fare system requirements are not fit-for-purpose, and customers with disabilities may be exposed to inaccessible or inconsistent fare systems.</w:t>
      </w:r>
    </w:p>
    <w:p w14:paraId="6485607A"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Fare system elements may include fare system vending machines, cashless reload devices, validation devices, and check-in kiosks. These elements are installed at public transport infrastructure, premises, and conveyances. Elements include respective fare payment methods, including tokens, paper and digital tickets, and other contactless tokens.</w:t>
      </w:r>
    </w:p>
    <w:p w14:paraId="6BD3126B"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A fare system consists of hardware (the physical infrastructure of the devices/machines) and the user interface (the accessibility of the digital information provided by the machine or online elements as defined by its software elements). </w:t>
      </w:r>
    </w:p>
    <w:p w14:paraId="1B767481"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Current requirements in the Transport Standards do not adequately address these fare system elements. For the system to be functionally accessible, the way users interact with the devices/machines and how they access electronic and digital information must be taken into consideration.</w:t>
      </w:r>
    </w:p>
    <w:p w14:paraId="2A60466A" w14:textId="77777777" w:rsidR="00BE429A" w:rsidRPr="007D162C" w:rsidRDefault="00BE429A" w:rsidP="00BE429A">
      <w:pPr>
        <w:tabs>
          <w:tab w:val="left" w:pos="284"/>
        </w:tabs>
      </w:pPr>
      <w:r w:rsidRPr="007D162C">
        <w:t>Collective government action would ensure fare systems are accessible and would address key stakeholder issues raised through the Transport Standards review process.</w:t>
      </w:r>
    </w:p>
    <w:p w14:paraId="10E2A758" w14:textId="77777777" w:rsidR="00BE429A" w:rsidRPr="007D162C" w:rsidRDefault="00BE429A" w:rsidP="00BE429A">
      <w:pPr>
        <w:tabs>
          <w:tab w:val="left" w:pos="284"/>
        </w:tabs>
      </w:pPr>
      <w:r w:rsidRPr="007D162C">
        <w:t>Following is a summary of the proposed options for this reform. Full details of each reform option is provided at Appendix A.</w:t>
      </w:r>
    </w:p>
    <w:p w14:paraId="623AA406" w14:textId="1BF607EE" w:rsidR="00BE429A" w:rsidRPr="007D162C" w:rsidRDefault="00BE429A" w:rsidP="00BE429A">
      <w:pPr>
        <w:pStyle w:val="Tablefigureheading"/>
      </w:pPr>
      <w:bookmarkStart w:id="380" w:name="_Toc122446382"/>
      <w:bookmarkStart w:id="381" w:name="_Toc139969223"/>
      <w:r w:rsidRPr="007D162C">
        <w:t xml:space="preserve">Table </w:t>
      </w:r>
      <w:fldSimple w:instr=" SEQ Table \* ARABIC ">
        <w:r w:rsidR="00DC26AC">
          <w:rPr>
            <w:noProof/>
          </w:rPr>
          <w:t>65</w:t>
        </w:r>
      </w:fldSimple>
      <w:r w:rsidRPr="007D162C">
        <w:rPr>
          <w:noProof/>
        </w:rPr>
        <w:t>:</w:t>
      </w:r>
      <w:r w:rsidRPr="007D162C">
        <w:t xml:space="preserve"> Reform options for accessible fare system elements</w:t>
      </w:r>
      <w:bookmarkEnd w:id="380"/>
      <w:bookmarkEnd w:id="381"/>
    </w:p>
    <w:tbl>
      <w:tblPr>
        <w:tblStyle w:val="DefaultTable1"/>
        <w:tblW w:w="9072" w:type="dxa"/>
        <w:tblLook w:val="04A0" w:firstRow="1" w:lastRow="0" w:firstColumn="1" w:lastColumn="0" w:noHBand="0" w:noVBand="1"/>
        <w:tblCaption w:val="Reform options for accessible fare system elements"/>
        <w:tblDescription w:val="This table provides a description of each of the options for this reform area. Status quo, non-regulatory and regulatory."/>
      </w:tblPr>
      <w:tblGrid>
        <w:gridCol w:w="2232"/>
        <w:gridCol w:w="6840"/>
      </w:tblGrid>
      <w:tr w:rsidR="00BE429A" w:rsidRPr="007D162C" w14:paraId="766B4E4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7EB357D6" w14:textId="77777777" w:rsidR="00BE429A" w:rsidRPr="007D162C" w:rsidRDefault="00BE429A" w:rsidP="00BE429A">
            <w:bookmarkStart w:id="382" w:name="_Hlk120702765"/>
            <w:r w:rsidRPr="007D162C">
              <w:t>Option</w:t>
            </w:r>
          </w:p>
        </w:tc>
        <w:tc>
          <w:tcPr>
            <w:tcW w:w="6840" w:type="dxa"/>
          </w:tcPr>
          <w:p w14:paraId="413DAEE5" w14:textId="77777777" w:rsidR="00BE429A" w:rsidRPr="007D162C" w:rsidRDefault="00BE429A" w:rsidP="00BE429A">
            <w:pPr>
              <w:cnfStyle w:val="100000000000" w:firstRow="1" w:lastRow="0" w:firstColumn="0" w:lastColumn="0" w:oddVBand="0" w:evenVBand="0" w:oddHBand="0" w:evenHBand="0" w:firstRowFirstColumn="0" w:firstRowLastColumn="0" w:lastRowFirstColumn="0" w:lastRowLastColumn="0"/>
            </w:pPr>
            <w:r w:rsidRPr="007D162C">
              <w:t>Description</w:t>
            </w:r>
          </w:p>
        </w:tc>
      </w:tr>
      <w:tr w:rsidR="00BE429A" w:rsidRPr="007D162C" w14:paraId="6DF66C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A7A1EA" w14:textId="77777777" w:rsidR="00BE429A" w:rsidRPr="007D162C" w:rsidRDefault="00BE429A" w:rsidP="00BE429A">
            <w:r w:rsidRPr="007D162C">
              <w:t>Status Quo</w:t>
            </w:r>
          </w:p>
        </w:tc>
        <w:tc>
          <w:tcPr>
            <w:tcW w:w="6840" w:type="dxa"/>
          </w:tcPr>
          <w:p w14:paraId="72FB3B7D"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include provisions for accessible fare payment options and other fare payment options to be equal in cost. </w:t>
            </w:r>
          </w:p>
          <w:p w14:paraId="2B260E11"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BE429A" w:rsidRPr="007D162C" w14:paraId="39001C6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19F128B" w14:textId="77777777" w:rsidR="00BE429A" w:rsidRPr="007D162C" w:rsidRDefault="00BE429A" w:rsidP="00BE429A">
            <w:r w:rsidRPr="007D162C">
              <w:t xml:space="preserve">Non-Regulatory </w:t>
            </w:r>
          </w:p>
        </w:tc>
        <w:tc>
          <w:tcPr>
            <w:tcW w:w="6840" w:type="dxa"/>
          </w:tcPr>
          <w:p w14:paraId="6E972F57"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Guidance would be developed to</w:t>
            </w:r>
            <w:r w:rsidRPr="007D162C">
              <w:rPr>
                <w:color w:val="auto"/>
              </w:rPr>
              <w:t xml:space="preserve"> encourage the uptake of accessible fare system elements or other ICT or WCAG guidelines to promote consistent accessibility attributes across other industries, and recommend accessible fare systems should not incur more expensive prices than other fare payment options. </w:t>
            </w:r>
          </w:p>
        </w:tc>
      </w:tr>
      <w:tr w:rsidR="00BE429A" w:rsidRPr="007D162C" w14:paraId="4A17F46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44FA3AB" w14:textId="77777777" w:rsidR="00BE429A" w:rsidRPr="007D162C" w:rsidRDefault="00BE429A" w:rsidP="00BE429A">
            <w:bookmarkStart w:id="383" w:name="_Hlk120702751"/>
            <w:r w:rsidRPr="007D162C">
              <w:t>Regulatory</w:t>
            </w:r>
          </w:p>
          <w:p w14:paraId="0E46ACB1" w14:textId="77777777" w:rsidR="00BE429A" w:rsidRPr="007D162C" w:rsidRDefault="00BE429A" w:rsidP="00BE429A"/>
        </w:tc>
        <w:tc>
          <w:tcPr>
            <w:tcW w:w="6840" w:type="dxa"/>
          </w:tcPr>
          <w:p w14:paraId="485BC669"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fare and ticketing systems.</w:t>
            </w:r>
          </w:p>
          <w:p w14:paraId="03D78842"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7E9304D8"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692DCD8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A new performance standard would be created for fare system hardware and software.</w:t>
            </w:r>
          </w:p>
          <w:p w14:paraId="1D318B3B"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10B72736"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New requirements would be created for fare and ticketing systems, including compliance with updated Australian Standards for fare system hardware and software.</w:t>
            </w:r>
          </w:p>
          <w:p w14:paraId="5D67EEC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773F1510"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New requirements would be created for fare and ticketing systems, including compliance with updated Australian Standards for fare system hardware and software, and compliance with WCAG requirements.</w:t>
            </w:r>
          </w:p>
        </w:tc>
      </w:tr>
      <w:bookmarkEnd w:id="382"/>
      <w:bookmarkEnd w:id="383"/>
    </w:tbl>
    <w:p w14:paraId="14091647" w14:textId="77777777" w:rsidR="005C7B03" w:rsidRPr="007D162C" w:rsidRDefault="005C7B03" w:rsidP="005C7B03"/>
    <w:p w14:paraId="3BA84E00" w14:textId="77777777" w:rsidR="00BE429A" w:rsidRPr="007D162C" w:rsidRDefault="00BE429A" w:rsidP="00BE429A">
      <w:pPr>
        <w:pStyle w:val="Heading4"/>
        <w:tabs>
          <w:tab w:val="left" w:pos="284"/>
        </w:tabs>
      </w:pPr>
      <w:r w:rsidRPr="007D162C">
        <w:lastRenderedPageBreak/>
        <w:t>Cost benefit analysis</w:t>
      </w:r>
    </w:p>
    <w:p w14:paraId="42C53648" w14:textId="77777777" w:rsidR="00BE429A" w:rsidRPr="007D162C" w:rsidRDefault="00BE429A" w:rsidP="00BE429A">
      <w:pPr>
        <w:pStyle w:val="Heading6"/>
      </w:pPr>
      <w:r w:rsidRPr="007D162C">
        <w:t xml:space="preserve">Quantitative assessment </w:t>
      </w:r>
    </w:p>
    <w:p w14:paraId="4F3F143D" w14:textId="07313055" w:rsidR="00BE429A" w:rsidRPr="007D162C" w:rsidRDefault="00BE429A" w:rsidP="00BE429A">
      <w:r w:rsidRPr="007D162C">
        <w:t xml:space="preserve">The following categories of quantitative costs and benefits were identified in the CBA as pertaining to the reform options. </w:t>
      </w:r>
    </w:p>
    <w:p w14:paraId="41F837F6" w14:textId="67F0BA82" w:rsidR="00BE429A" w:rsidRPr="007D162C" w:rsidRDefault="00BE429A" w:rsidP="001868C4">
      <w:pPr>
        <w:pStyle w:val="Tablefigureheading"/>
      </w:pPr>
      <w:bookmarkStart w:id="384" w:name="_Toc122446383"/>
      <w:bookmarkStart w:id="385" w:name="_Toc139969224"/>
      <w:r w:rsidRPr="007D162C">
        <w:t xml:space="preserve">Table </w:t>
      </w:r>
      <w:fldSimple w:instr=" SEQ Table \* ARABIC ">
        <w:r w:rsidR="00DC26AC">
          <w:rPr>
            <w:noProof/>
          </w:rPr>
          <w:t>66</w:t>
        </w:r>
      </w:fldSimple>
      <w:r w:rsidRPr="007D162C">
        <w:t>: Benefit-cost ratios for accessible fare system elements</w:t>
      </w:r>
      <w:bookmarkEnd w:id="384"/>
      <w:bookmarkEnd w:id="385"/>
    </w:p>
    <w:tbl>
      <w:tblPr>
        <w:tblStyle w:val="DefaultTable1"/>
        <w:tblW w:w="9864" w:type="dxa"/>
        <w:tblLook w:val="04A0" w:firstRow="1" w:lastRow="0" w:firstColumn="1" w:lastColumn="0" w:noHBand="0" w:noVBand="1"/>
        <w:tblCaption w:val="Benefit-cost ratios for accessible fare system elements"/>
        <w:tblDescription w:val="This table provides the monetised benefits and costs for each of the options for this reform area."/>
      </w:tblPr>
      <w:tblGrid>
        <w:gridCol w:w="2552"/>
        <w:gridCol w:w="1276"/>
        <w:gridCol w:w="1701"/>
        <w:gridCol w:w="1701"/>
        <w:gridCol w:w="1559"/>
        <w:gridCol w:w="1075"/>
      </w:tblGrid>
      <w:tr w:rsidR="00BE429A" w:rsidRPr="007D162C" w14:paraId="1C0FB41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tcPr>
          <w:p w14:paraId="6A879D00" w14:textId="77777777" w:rsidR="00BE429A" w:rsidRPr="007D162C" w:rsidRDefault="08D050C4" w:rsidP="00BE429A">
            <w:r w:rsidRPr="007D162C">
              <w:t>Reform Option</w:t>
            </w:r>
          </w:p>
        </w:tc>
        <w:tc>
          <w:tcPr>
            <w:tcW w:w="1276" w:type="dxa"/>
          </w:tcPr>
          <w:p w14:paraId="6F9EF186"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3FA48A6E"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265F7567"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3727C949"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075" w:type="dxa"/>
          </w:tcPr>
          <w:p w14:paraId="0C61B955"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BCR</w:t>
            </w:r>
          </w:p>
        </w:tc>
      </w:tr>
      <w:tr w:rsidR="00BE429A" w:rsidRPr="007D162C" w14:paraId="021C34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17DAC41" w14:textId="77777777" w:rsidR="00BE429A" w:rsidRPr="007D162C" w:rsidRDefault="00BE429A" w:rsidP="00BE429A">
            <w:r w:rsidRPr="007D162C">
              <w:t>Status Quo</w:t>
            </w:r>
          </w:p>
        </w:tc>
        <w:tc>
          <w:tcPr>
            <w:tcW w:w="1276" w:type="dxa"/>
          </w:tcPr>
          <w:p w14:paraId="6D460CC8"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3365465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4F47A6C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59" w:type="dxa"/>
          </w:tcPr>
          <w:p w14:paraId="0AD53AB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075" w:type="dxa"/>
          </w:tcPr>
          <w:p w14:paraId="3139667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06DCCB4B"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0F273833" w14:textId="77777777" w:rsidR="00BE429A" w:rsidRPr="007D162C" w:rsidRDefault="00BE429A" w:rsidP="00BE429A">
            <w:r w:rsidRPr="007D162C">
              <w:t xml:space="preserve">Non-regulatory </w:t>
            </w:r>
          </w:p>
        </w:tc>
        <w:tc>
          <w:tcPr>
            <w:tcW w:w="1276" w:type="dxa"/>
            <w:vAlign w:val="center"/>
          </w:tcPr>
          <w:p w14:paraId="6EA3B6AC"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1.6</w:t>
            </w:r>
          </w:p>
        </w:tc>
        <w:tc>
          <w:tcPr>
            <w:tcW w:w="1701" w:type="dxa"/>
          </w:tcPr>
          <w:p w14:paraId="19A3D388"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3CF6C360"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559" w:type="dxa"/>
            <w:vAlign w:val="center"/>
          </w:tcPr>
          <w:p w14:paraId="61B211D7"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w:t>
            </w:r>
          </w:p>
        </w:tc>
        <w:tc>
          <w:tcPr>
            <w:tcW w:w="1075" w:type="dxa"/>
            <w:vAlign w:val="center"/>
          </w:tcPr>
          <w:p w14:paraId="07634864"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0.14</w:t>
            </w:r>
          </w:p>
        </w:tc>
      </w:tr>
      <w:tr w:rsidR="00BE429A" w:rsidRPr="007D162C" w14:paraId="7E6F850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F6FC11B" w14:textId="77777777" w:rsidR="00BE429A" w:rsidRPr="007D162C" w:rsidRDefault="00BE429A" w:rsidP="00BE429A">
            <w:r w:rsidRPr="007D162C">
              <w:t>Regulatory option 1</w:t>
            </w:r>
          </w:p>
        </w:tc>
        <w:tc>
          <w:tcPr>
            <w:tcW w:w="1276" w:type="dxa"/>
            <w:vAlign w:val="center"/>
          </w:tcPr>
          <w:p w14:paraId="5D4FFFE0"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31.6</w:t>
            </w:r>
          </w:p>
        </w:tc>
        <w:tc>
          <w:tcPr>
            <w:tcW w:w="1701" w:type="dxa"/>
          </w:tcPr>
          <w:p w14:paraId="611810C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7347E141"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119.2</w:t>
            </w:r>
          </w:p>
        </w:tc>
        <w:tc>
          <w:tcPr>
            <w:tcW w:w="1559" w:type="dxa"/>
            <w:vAlign w:val="center"/>
          </w:tcPr>
          <w:p w14:paraId="27996157"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vertAlign w:val="superscript"/>
              </w:rPr>
            </w:pPr>
            <w:r w:rsidRPr="007D162C">
              <w:t>119.2</w:t>
            </w:r>
            <w:r w:rsidR="005C7B03" w:rsidRPr="007D162C">
              <w:rPr>
                <w:vertAlign w:val="superscript"/>
              </w:rPr>
              <w:t>i</w:t>
            </w:r>
          </w:p>
        </w:tc>
        <w:tc>
          <w:tcPr>
            <w:tcW w:w="1075" w:type="dxa"/>
            <w:vAlign w:val="center"/>
          </w:tcPr>
          <w:p w14:paraId="423821A5"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0.27</w:t>
            </w:r>
          </w:p>
        </w:tc>
      </w:tr>
      <w:tr w:rsidR="00BE429A" w:rsidRPr="007D162C" w14:paraId="528DFBCA" w14:textId="77777777" w:rsidTr="08D050C4">
        <w:tc>
          <w:tcPr>
            <w:cnfStyle w:val="001000000000" w:firstRow="0" w:lastRow="0" w:firstColumn="1" w:lastColumn="0" w:oddVBand="0" w:evenVBand="0" w:oddHBand="0" w:evenHBand="0" w:firstRowFirstColumn="0" w:firstRowLastColumn="0" w:lastRowFirstColumn="0" w:lastRowLastColumn="0"/>
            <w:tcW w:w="2552" w:type="dxa"/>
          </w:tcPr>
          <w:p w14:paraId="174ECEA3" w14:textId="77777777" w:rsidR="00BE429A" w:rsidRPr="007D162C" w:rsidRDefault="00BE429A" w:rsidP="00BE429A">
            <w:r w:rsidRPr="007D162C">
              <w:t>Regulatory Option 2</w:t>
            </w:r>
          </w:p>
        </w:tc>
        <w:tc>
          <w:tcPr>
            <w:tcW w:w="1276" w:type="dxa"/>
            <w:vAlign w:val="center"/>
          </w:tcPr>
          <w:p w14:paraId="4559F125"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35.8</w:t>
            </w:r>
          </w:p>
        </w:tc>
        <w:tc>
          <w:tcPr>
            <w:tcW w:w="1701" w:type="dxa"/>
          </w:tcPr>
          <w:p w14:paraId="2684FF8B"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574C4EF0"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139.1</w:t>
            </w:r>
          </w:p>
        </w:tc>
        <w:tc>
          <w:tcPr>
            <w:tcW w:w="1559" w:type="dxa"/>
            <w:vAlign w:val="center"/>
          </w:tcPr>
          <w:p w14:paraId="257D260E"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rPr>
                <w:vertAlign w:val="superscript"/>
              </w:rPr>
            </w:pPr>
            <w:r w:rsidRPr="007D162C">
              <w:t>139.1</w:t>
            </w:r>
            <w:r w:rsidR="005C7B03" w:rsidRPr="007D162C">
              <w:rPr>
                <w:vertAlign w:val="superscript"/>
              </w:rPr>
              <w:t>i</w:t>
            </w:r>
          </w:p>
        </w:tc>
        <w:tc>
          <w:tcPr>
            <w:tcW w:w="1075" w:type="dxa"/>
            <w:vAlign w:val="center"/>
          </w:tcPr>
          <w:p w14:paraId="4D29AAE5" w14:textId="77777777" w:rsidR="00BE429A"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0.26</w:t>
            </w:r>
          </w:p>
        </w:tc>
      </w:tr>
      <w:tr w:rsidR="00BE429A" w:rsidRPr="007D162C" w14:paraId="7ACA28E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01641A" w14:textId="77777777" w:rsidR="00BE429A" w:rsidRPr="007D162C" w:rsidRDefault="00BE429A" w:rsidP="00BE429A">
            <w:r w:rsidRPr="007D162C">
              <w:t>Regulatory Option 3</w:t>
            </w:r>
          </w:p>
        </w:tc>
        <w:tc>
          <w:tcPr>
            <w:tcW w:w="1276" w:type="dxa"/>
            <w:vAlign w:val="center"/>
          </w:tcPr>
          <w:p w14:paraId="4C6A0C9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40.0</w:t>
            </w:r>
          </w:p>
        </w:tc>
        <w:tc>
          <w:tcPr>
            <w:tcW w:w="1701" w:type="dxa"/>
          </w:tcPr>
          <w:p w14:paraId="1B72D4B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F56C5EC"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149.0</w:t>
            </w:r>
          </w:p>
        </w:tc>
        <w:tc>
          <w:tcPr>
            <w:tcW w:w="1559" w:type="dxa"/>
            <w:vAlign w:val="center"/>
          </w:tcPr>
          <w:p w14:paraId="5EF3C1F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rPr>
                <w:vertAlign w:val="superscript"/>
              </w:rPr>
            </w:pPr>
            <w:r w:rsidRPr="007D162C">
              <w:t>149.0</w:t>
            </w:r>
            <w:r w:rsidR="005C7B03" w:rsidRPr="007D162C">
              <w:rPr>
                <w:vertAlign w:val="superscript"/>
              </w:rPr>
              <w:t>i</w:t>
            </w:r>
          </w:p>
        </w:tc>
        <w:tc>
          <w:tcPr>
            <w:tcW w:w="1075" w:type="dxa"/>
            <w:vAlign w:val="center"/>
          </w:tcPr>
          <w:p w14:paraId="48658C7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0.27</w:t>
            </w:r>
          </w:p>
        </w:tc>
      </w:tr>
    </w:tbl>
    <w:p w14:paraId="38906CA1" w14:textId="77777777" w:rsidR="00BE429A" w:rsidRPr="007D162C" w:rsidRDefault="00BE429A" w:rsidP="00BE429A">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17A42B3E" w14:textId="77777777" w:rsidR="00BE429A" w:rsidRPr="007D162C" w:rsidRDefault="08D050C4" w:rsidP="08D050C4">
      <w:pPr>
        <w:spacing w:before="120" w:after="0"/>
        <w:rPr>
          <w:sz w:val="20"/>
          <w:szCs w:val="20"/>
        </w:rPr>
      </w:pPr>
      <w:r w:rsidRPr="007D162C">
        <w:rPr>
          <w:sz w:val="20"/>
          <w:szCs w:val="20"/>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101B9955" w14:textId="77777777" w:rsidR="00BE429A" w:rsidRPr="007D162C" w:rsidRDefault="00BE429A" w:rsidP="00BE429A"/>
    <w:p w14:paraId="0DD60103" w14:textId="77777777" w:rsidR="00BE429A" w:rsidRPr="007D162C" w:rsidRDefault="00BE429A" w:rsidP="00BE429A">
      <w:pPr>
        <w:keepNext/>
        <w:outlineLvl w:val="5"/>
        <w:rPr>
          <w:rFonts w:ascii="Calibri" w:eastAsia="Calibri" w:hAnsi="Calibri" w:cs="Times New Roman"/>
          <w:b/>
          <w:color w:val="081E3E"/>
        </w:rPr>
      </w:pPr>
      <w:r w:rsidRPr="007D162C">
        <w:rPr>
          <w:rFonts w:ascii="Calibri" w:eastAsia="Calibri" w:hAnsi="Calibri" w:cs="Times New Roman"/>
          <w:b/>
          <w:color w:val="081E3E"/>
          <w:kern w:val="12"/>
        </w:rPr>
        <w:t>Considerations to note in interpreting analysis</w:t>
      </w:r>
    </w:p>
    <w:p w14:paraId="65F18D3B" w14:textId="77777777" w:rsidR="00BE429A" w:rsidRPr="007D162C" w:rsidRDefault="00BE429A" w:rsidP="00BE429A">
      <w:pPr>
        <w:keepNext/>
        <w:keepLines/>
        <w:spacing w:before="40" w:after="0"/>
        <w:outlineLvl w:val="6"/>
        <w:rPr>
          <w:rFonts w:ascii="Calibri Light" w:eastAsia="Times New Roman" w:hAnsi="Calibri Light" w:cs="Times New Roman"/>
          <w:i/>
          <w:color w:val="1F3864" w:themeColor="accent5" w:themeShade="80"/>
        </w:rPr>
      </w:pPr>
      <w:r w:rsidRPr="007D162C">
        <w:rPr>
          <w:rFonts w:ascii="Calibri Light" w:eastAsia="Times New Roman" w:hAnsi="Calibri Light" w:cs="Times New Roman"/>
          <w:i/>
          <w:color w:val="1F3864" w:themeColor="accent5" w:themeShade="80"/>
        </w:rPr>
        <w:t>Limitations</w:t>
      </w:r>
    </w:p>
    <w:p w14:paraId="7EC3F2A9" w14:textId="77777777" w:rsidR="00BE429A" w:rsidRPr="007D162C" w:rsidRDefault="00BE429A" w:rsidP="00BE429A">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Non-regulatory:</w:t>
      </w:r>
    </w:p>
    <w:p w14:paraId="3E41429E" w14:textId="4DE89810" w:rsidR="00BE429A" w:rsidRPr="007D162C" w:rsidRDefault="00BE429A" w:rsidP="00BE429A">
      <w:pPr>
        <w:rPr>
          <w:rFonts w:ascii="Calibri" w:eastAsia="Calibri" w:hAnsi="Calibri" w:cs="Times New Roman"/>
        </w:rPr>
      </w:pPr>
      <w:r w:rsidRPr="007D162C">
        <w:rPr>
          <w:rFonts w:ascii="Calibri" w:eastAsia="Calibri" w:hAnsi="Calibri" w:cs="Times New Roman"/>
        </w:rPr>
        <w:t>The costs and benefits associated with the non-regulatory reform are lower than its regulatory counterpart, regulatory option 2 sub-option 2, reflecting an assumed lower rate of compliance with the reform. An estimated rate of uptake of 15</w:t>
      </w:r>
      <w:r w:rsidR="00FB4BDA">
        <w:rPr>
          <w:rFonts w:ascii="Calibri" w:eastAsia="Calibri" w:hAnsi="Calibri" w:cs="Times New Roman"/>
        </w:rPr>
        <w:t xml:space="preserve"> per cent</w:t>
      </w:r>
      <w:r w:rsidRPr="007D162C">
        <w:rPr>
          <w:rFonts w:ascii="Calibri" w:eastAsia="Calibri" w:hAnsi="Calibri" w:cs="Times New Roman"/>
        </w:rPr>
        <w:t xml:space="preserve"> was applied to the non-regulatory option based on the high cost and complexity to implement some of the proposed guidance. This implies that the benefits and costs quantified for this non-regulatory reform may not reflect future take-up of the reform.</w:t>
      </w:r>
    </w:p>
    <w:p w14:paraId="68A57FBD" w14:textId="77777777" w:rsidR="00BE429A" w:rsidRPr="007D162C" w:rsidRDefault="00BE429A" w:rsidP="00BE429A">
      <w:pPr>
        <w:keepNext/>
        <w:keepLines/>
        <w:spacing w:before="40" w:after="0"/>
        <w:outlineLvl w:val="7"/>
        <w:rPr>
          <w:rFonts w:ascii="Calibri Light" w:eastAsia="Times New Roman" w:hAnsi="Calibri Light" w:cs="Times New Roman"/>
          <w:color w:val="272727"/>
        </w:rPr>
      </w:pPr>
      <w:r w:rsidRPr="007D162C">
        <w:rPr>
          <w:rFonts w:ascii="Calibri Light" w:eastAsia="Times New Roman" w:hAnsi="Calibri Light" w:cs="Times New Roman"/>
          <w:color w:val="272727"/>
        </w:rPr>
        <w:t>Regulatory:</w:t>
      </w:r>
    </w:p>
    <w:p w14:paraId="3022556B"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The costs and benefits for the reforms were estimated based on limited data received from the survey proxied to estimate compliance at a national level, implying that the benefits and costs may not reflect the full extent of national compliance. </w:t>
      </w:r>
    </w:p>
    <w:p w14:paraId="3033C8F5"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Option 1 provides performance-based standards to meet accessibility requirements, implying the lowest benefits and costs compared to other regulatory options.</w:t>
      </w:r>
    </w:p>
    <w:p w14:paraId="2001891F" w14:textId="04CC41EB" w:rsidR="00BE429A" w:rsidRPr="007D162C" w:rsidRDefault="00BE429A" w:rsidP="00CF7427">
      <w:r w:rsidRPr="007D162C">
        <w:rPr>
          <w:rFonts w:ascii="Calibri" w:eastAsia="Calibri" w:hAnsi="Calibri" w:cs="Times New Roman"/>
        </w:rPr>
        <w:t>Option 2 requires compliance with prescriptive ES standards to meet accessibility requirements, implying the higher benefits and costs compared to option 1.</w:t>
      </w:r>
    </w:p>
    <w:p w14:paraId="75F62C58"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Option 3 requires compliance with prescriptive ES and WCAG standards to meet accessibility requirements, implying the highest benefits and costs compared to the other options, as this improves accessibility for the largest cohort of people with disability.</w:t>
      </w:r>
    </w:p>
    <w:p w14:paraId="0010341E" w14:textId="77777777" w:rsidR="00BE429A" w:rsidRPr="007D162C" w:rsidRDefault="00BE429A" w:rsidP="004E78C7">
      <w:pPr>
        <w:pStyle w:val="Heading7"/>
      </w:pPr>
      <w:r w:rsidRPr="007D162C">
        <w:t xml:space="preserve">Interdependencies </w:t>
      </w:r>
    </w:p>
    <w:p w14:paraId="08AC1807" w14:textId="77777777" w:rsidR="00BE429A" w:rsidRDefault="08D050C4" w:rsidP="08D050C4">
      <w:pPr>
        <w:rPr>
          <w:rFonts w:ascii="Calibri" w:eastAsia="Calibri" w:hAnsi="Calibri" w:cs="Times New Roman"/>
        </w:rPr>
      </w:pPr>
      <w:r w:rsidRPr="007D162C">
        <w:rPr>
          <w:rFonts w:ascii="Calibri" w:eastAsia="Calibri" w:hAnsi="Calibri" w:cs="Times New Roman"/>
        </w:rPr>
        <w:t>The accessibility benefits of this reform will only be realised if there was equitable access across the whole public transport journey, with benefits reliant on implementation of other reforms such as location of fare system elements.</w:t>
      </w:r>
    </w:p>
    <w:p w14:paraId="0B538456" w14:textId="77777777" w:rsidR="00F26EC2" w:rsidRPr="007D162C" w:rsidRDefault="00F26EC2" w:rsidP="08D050C4">
      <w:pPr>
        <w:rPr>
          <w:rFonts w:ascii="Calibri" w:eastAsia="Calibri" w:hAnsi="Calibri" w:cs="Times New Roman"/>
        </w:rPr>
      </w:pPr>
    </w:p>
    <w:p w14:paraId="4D226FB4" w14:textId="77777777" w:rsidR="00BE429A" w:rsidRPr="007D162C" w:rsidRDefault="00BE429A" w:rsidP="00BE429A">
      <w:pPr>
        <w:pStyle w:val="Heading6"/>
      </w:pPr>
      <w:r w:rsidRPr="007D162C">
        <w:lastRenderedPageBreak/>
        <w:t xml:space="preserve">Qualitative assessment </w:t>
      </w:r>
    </w:p>
    <w:p w14:paraId="3D242580" w14:textId="77777777" w:rsidR="00BE429A" w:rsidRPr="007D162C" w:rsidRDefault="00BE429A" w:rsidP="00BE429A">
      <w:r w:rsidRPr="007D162C">
        <w:t>The following categories of qualitative benefits were identified in the CBA as pertaining to the reform options.</w:t>
      </w:r>
    </w:p>
    <w:p w14:paraId="2EBF7059" w14:textId="6F5E3787" w:rsidR="00BE429A" w:rsidRPr="007D162C" w:rsidRDefault="00BE429A" w:rsidP="00BE429A">
      <w:pPr>
        <w:pStyle w:val="Tablefigureheading"/>
      </w:pPr>
      <w:bookmarkStart w:id="386" w:name="_Toc122446384"/>
      <w:bookmarkStart w:id="387" w:name="_Toc139969225"/>
      <w:r w:rsidRPr="007D162C">
        <w:t xml:space="preserve">Table </w:t>
      </w:r>
      <w:fldSimple w:instr=" SEQ Table \* ARABIC ">
        <w:r w:rsidR="00DC26AC">
          <w:rPr>
            <w:noProof/>
          </w:rPr>
          <w:t>67</w:t>
        </w:r>
      </w:fldSimple>
      <w:r w:rsidRPr="007D162C">
        <w:rPr>
          <w:noProof/>
        </w:rPr>
        <w:t xml:space="preserve">: </w:t>
      </w:r>
      <w:r w:rsidRPr="007D162C">
        <w:t>Qualitative benefits for accessible fare system elements</w:t>
      </w:r>
      <w:bookmarkEnd w:id="386"/>
      <w:bookmarkEnd w:id="387"/>
    </w:p>
    <w:tbl>
      <w:tblPr>
        <w:tblStyle w:val="DefaultTable1"/>
        <w:tblW w:w="9864" w:type="dxa"/>
        <w:tblLook w:val="04A0" w:firstRow="1" w:lastRow="0" w:firstColumn="1" w:lastColumn="0" w:noHBand="0" w:noVBand="1"/>
        <w:tblCaption w:val="Qualitative benefits for accessible fare system elements"/>
      </w:tblPr>
      <w:tblGrid>
        <w:gridCol w:w="1213"/>
        <w:gridCol w:w="1343"/>
        <w:gridCol w:w="1626"/>
        <w:gridCol w:w="1300"/>
        <w:gridCol w:w="1278"/>
        <w:gridCol w:w="1641"/>
        <w:gridCol w:w="1463"/>
      </w:tblGrid>
      <w:tr w:rsidR="00BE429A" w:rsidRPr="007D162C" w14:paraId="2C4C533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145DFCD" w14:textId="77777777" w:rsidR="00BE429A" w:rsidRPr="007D162C" w:rsidRDefault="08D050C4" w:rsidP="00BE429A">
            <w:r w:rsidRPr="007D162C">
              <w:t>Reform Option</w:t>
            </w:r>
          </w:p>
        </w:tc>
        <w:tc>
          <w:tcPr>
            <w:tcW w:w="1343" w:type="dxa"/>
          </w:tcPr>
          <w:p w14:paraId="70A76A4D"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1A5F9F8"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77376FC"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3A87DDB"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51F1325E"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D262AFF" w14:textId="77777777" w:rsidR="00BE429A" w:rsidRPr="007D162C" w:rsidRDefault="08D050C4" w:rsidP="00BE429A">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BE429A" w:rsidRPr="007D162C" w14:paraId="15AC8D2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721A2B4" w14:textId="77777777" w:rsidR="00BE429A" w:rsidRPr="007D162C" w:rsidRDefault="00BE429A" w:rsidP="00BE429A">
            <w:r w:rsidRPr="007D162C">
              <w:t>Status Quo</w:t>
            </w:r>
          </w:p>
        </w:tc>
        <w:tc>
          <w:tcPr>
            <w:tcW w:w="1343" w:type="dxa"/>
          </w:tcPr>
          <w:p w14:paraId="306B8392"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27A34A03"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3E5B23FD"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4980850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27BB7B4"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3F4358A5"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2C8F959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7AF0701" w14:textId="77777777" w:rsidR="00BE429A" w:rsidRPr="007D162C" w:rsidRDefault="00BE429A" w:rsidP="00BE429A">
            <w:r w:rsidRPr="007D162C">
              <w:t xml:space="preserve">Non-regulatory </w:t>
            </w:r>
          </w:p>
        </w:tc>
        <w:tc>
          <w:tcPr>
            <w:tcW w:w="1343" w:type="dxa"/>
          </w:tcPr>
          <w:p w14:paraId="30AC66F0"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0F5DA28"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2BF099F" w14:textId="77777777" w:rsidR="00BE429A" w:rsidRPr="007D162C" w:rsidRDefault="08D050C4" w:rsidP="00BE429A">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5E0F17B"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19CB18F"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354856E"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r>
      <w:tr w:rsidR="00BE429A" w:rsidRPr="007D162C" w14:paraId="15F10DB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B69B5E4" w14:textId="77777777" w:rsidR="00BE429A" w:rsidRPr="007D162C" w:rsidRDefault="00BE429A" w:rsidP="00BE429A">
            <w:r w:rsidRPr="007D162C">
              <w:t>Regulatory option 1</w:t>
            </w:r>
          </w:p>
        </w:tc>
        <w:tc>
          <w:tcPr>
            <w:tcW w:w="1343" w:type="dxa"/>
          </w:tcPr>
          <w:p w14:paraId="4173B9FB"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0FB296F9"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51567831"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7D4DD04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2D3D3EBE"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219CC2FC" w14:textId="77777777" w:rsidR="00BE429A"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BE429A" w:rsidRPr="007D162C" w14:paraId="7E0135C3"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BA83351" w14:textId="77777777" w:rsidR="00BE429A" w:rsidRPr="007D162C" w:rsidRDefault="00BE429A" w:rsidP="00BE429A">
            <w:r w:rsidRPr="007D162C">
              <w:t>Regulatory option 2</w:t>
            </w:r>
          </w:p>
        </w:tc>
        <w:tc>
          <w:tcPr>
            <w:tcW w:w="1343" w:type="dxa"/>
          </w:tcPr>
          <w:p w14:paraId="5EC5A4B5"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F4C9E60"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964B4ED" w14:textId="77777777" w:rsidR="00BE429A" w:rsidRPr="007D162C" w:rsidRDefault="08D050C4" w:rsidP="00BE429A">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477D98BA"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858ECFD"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46888272" w14:textId="77777777" w:rsidR="00BE429A" w:rsidRPr="007D162C" w:rsidRDefault="00BE429A" w:rsidP="00BE429A">
            <w:pPr>
              <w:cnfStyle w:val="000000000000" w:firstRow="0" w:lastRow="0" w:firstColumn="0" w:lastColumn="0" w:oddVBand="0" w:evenVBand="0" w:oddHBand="0" w:evenHBand="0" w:firstRowFirstColumn="0" w:firstRowLastColumn="0" w:lastRowFirstColumn="0" w:lastRowLastColumn="0"/>
            </w:pPr>
            <w:r w:rsidRPr="007D162C">
              <w:t>Yes</w:t>
            </w:r>
          </w:p>
        </w:tc>
      </w:tr>
      <w:tr w:rsidR="00BE429A" w:rsidRPr="007D162C" w14:paraId="3DDC36B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F787EB1" w14:textId="77777777" w:rsidR="00BE429A" w:rsidRPr="007D162C" w:rsidRDefault="00BE429A" w:rsidP="00BE429A">
            <w:r w:rsidRPr="007D162C">
              <w:t>Regulatory option 3</w:t>
            </w:r>
          </w:p>
        </w:tc>
        <w:tc>
          <w:tcPr>
            <w:tcW w:w="1343" w:type="dxa"/>
          </w:tcPr>
          <w:p w14:paraId="1CA101B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CC039A"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18B30C48" w14:textId="77777777" w:rsidR="00BE429A" w:rsidRPr="007D162C" w:rsidRDefault="08D050C4" w:rsidP="00BE429A">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7EAD7C3"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76410C1"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4E3AFCD" w14:textId="77777777" w:rsidR="00BE429A" w:rsidRPr="007D162C" w:rsidRDefault="00BE429A" w:rsidP="00BE429A">
            <w:pPr>
              <w:cnfStyle w:val="000000100000" w:firstRow="0" w:lastRow="0" w:firstColumn="0" w:lastColumn="0" w:oddVBand="0" w:evenVBand="0" w:oddHBand="1" w:evenHBand="0" w:firstRowFirstColumn="0" w:firstRowLastColumn="0" w:lastRowFirstColumn="0" w:lastRowLastColumn="0"/>
            </w:pPr>
            <w:r w:rsidRPr="007D162C">
              <w:t>Yes</w:t>
            </w:r>
          </w:p>
        </w:tc>
      </w:tr>
    </w:tbl>
    <w:p w14:paraId="442B21BB" w14:textId="77777777" w:rsidR="00BE429A" w:rsidRPr="007D162C" w:rsidRDefault="00BE429A" w:rsidP="00BE429A"/>
    <w:p w14:paraId="45B9DF52" w14:textId="77777777" w:rsidR="00BE429A" w:rsidRPr="007D162C" w:rsidRDefault="00BE429A" w:rsidP="00BE429A">
      <w:pPr>
        <w:pStyle w:val="Heading4"/>
        <w:tabs>
          <w:tab w:val="left" w:pos="284"/>
        </w:tabs>
      </w:pPr>
      <w:r w:rsidRPr="007D162C">
        <w:t xml:space="preserve">Analysis of submissions </w:t>
      </w:r>
    </w:p>
    <w:p w14:paraId="06B92535"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Status quo</w:t>
      </w:r>
    </w:p>
    <w:p w14:paraId="07D5229F"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Since the introduction of the Transport Standards in 2002, there have been advances in the accessible fare system elements. In 2002, the main access to fare systems was purchasing paper-based tickets.</w:t>
      </w:r>
    </w:p>
    <w:p w14:paraId="169DE25D"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There was one submission from a disability advocacy group supporting the status quo. The advocacy group stated that their members relied on staff at the train stations to resolve any access issues, and the provision of travel passes and concessions ensured that their costs of travelling were reduced.</w:t>
      </w:r>
    </w:p>
    <w:p w14:paraId="4201D0E4"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Governments and industry made the most submissions supporting the status quo. The submissions from government stakeholder indicated they were unaware of barriers or accessibility issues, and believed that equivalent access options were available for people with disability accessing fare system elements. </w:t>
      </w:r>
    </w:p>
    <w:p w14:paraId="5AB7A321"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Government and industry submissions argued that ICT and fare system procurement should continue as is. For these stakeholders the status quo allows for flexibility in implementing solutions to accessing fares on public transport, especially when there are multiple ICT systems involved.</w:t>
      </w:r>
    </w:p>
    <w:p w14:paraId="51F9FCD5"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The status quo option would not involve new costs to operators and providers, and would not introduce additional regulatory burdens or associated administrative costs. References to 2002 requirements would remain and the Transport Standards would not address the advances in accessible fare systems.</w:t>
      </w:r>
    </w:p>
    <w:p w14:paraId="7E655B08"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Maintaining the status quo may not meet the varying needs of people with disability or provide certainty to operators and providers to meet their objectives under the Transport Standards to remove discrimination against people with disability concerning public transport services. </w:t>
      </w:r>
    </w:p>
    <w:p w14:paraId="11623214"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Non-regulatory</w:t>
      </w:r>
    </w:p>
    <w:p w14:paraId="7F27D997"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During consultations, disability stakeholders told us about the importance of providing a variety of ticketing options, and ticketing should not be solely available electronically as not everyone has access to or can use technology. </w:t>
      </w:r>
    </w:p>
    <w:p w14:paraId="36D37C21" w14:textId="77777777" w:rsidR="00BE429A" w:rsidRPr="007D162C" w:rsidRDefault="00BE429A" w:rsidP="00BE429A">
      <w:pPr>
        <w:pStyle w:val="Quote"/>
      </w:pPr>
      <w:r w:rsidRPr="007D162C">
        <w:t>There should be other options and human incorporation not removed.</w:t>
      </w:r>
    </w:p>
    <w:p w14:paraId="6A4DC4A5" w14:textId="77777777" w:rsidR="00BE429A" w:rsidRPr="007D162C" w:rsidRDefault="00BE429A" w:rsidP="00BE429A">
      <w:pPr>
        <w:pStyle w:val="Quote"/>
      </w:pPr>
      <w:r w:rsidRPr="007D162C">
        <w:t>Community workshop participant</w:t>
      </w:r>
    </w:p>
    <w:p w14:paraId="447DD2CC" w14:textId="77777777" w:rsidR="00BE429A" w:rsidRPr="007D162C" w:rsidRDefault="00BE429A" w:rsidP="00BE429A">
      <w:pPr>
        <w:rPr>
          <w:rFonts w:ascii="Calibri" w:eastAsia="Calibri" w:hAnsi="Calibri" w:cs="Times New Roman"/>
          <w:color w:val="000000" w:themeColor="text1"/>
        </w:rPr>
      </w:pPr>
      <w:r w:rsidRPr="007D162C">
        <w:rPr>
          <w:rFonts w:ascii="Calibri" w:eastAsia="Calibri" w:hAnsi="Calibri" w:cs="Times New Roman"/>
          <w:color w:val="000000" w:themeColor="text1"/>
        </w:rPr>
        <w:lastRenderedPageBreak/>
        <w:t xml:space="preserve">Support for the non-regulatory option was mainly from industry and some government stakeholders. </w:t>
      </w:r>
    </w:p>
    <w:p w14:paraId="2A0CA252"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Private sector or contracted owners and operators raised concerns about the regulatory option because they were generally not responsible for the fare system(s) on their transport network. For those owners and operators, the non-regulatory option would help them to remove discrimination in their scope of operation. One industry submission stated that there were alternative options for fares, but it was unlikely those options would comply with WCAG 2.1AA requirements.</w:t>
      </w:r>
    </w:p>
    <w:p w14:paraId="41BBDED5" w14:textId="210CEBA8" w:rsidR="00BE429A" w:rsidRPr="007D162C" w:rsidRDefault="00BE429A" w:rsidP="00BE429A">
      <w:pPr>
        <w:rPr>
          <w:rFonts w:ascii="Calibri" w:eastAsia="Calibri" w:hAnsi="Calibri" w:cs="Times New Roman"/>
        </w:rPr>
      </w:pPr>
      <w:r w:rsidRPr="007D162C">
        <w:rPr>
          <w:rFonts w:ascii="Calibri" w:eastAsia="Calibri" w:hAnsi="Calibri" w:cs="Times New Roman"/>
        </w:rPr>
        <w:t>Government stakeholders supporting non-regulatory options identified the need for flexibility to address emerging technologies and their existing fare systems. Government stakeholders identified equivalent access solutions as being available for people with disability when accessing fare systems. If regulated, the costs associated with rectifying existing fare systems were considered too costly by some governments, and therefore, they supported the non-regulatory option.</w:t>
      </w:r>
    </w:p>
    <w:p w14:paraId="5F607050" w14:textId="77777777" w:rsidR="00BE429A" w:rsidRPr="007D162C" w:rsidRDefault="00BE429A" w:rsidP="00BE429A">
      <w:pPr>
        <w:keepNext/>
        <w:outlineLvl w:val="4"/>
        <w:rPr>
          <w:rFonts w:ascii="Calibri" w:eastAsia="Calibri" w:hAnsi="Calibri" w:cs="Times New Roman"/>
          <w:b/>
          <w:color w:val="595959" w:themeColor="text1" w:themeTint="A6"/>
          <w:sz w:val="26"/>
          <w:szCs w:val="26"/>
        </w:rPr>
      </w:pPr>
      <w:r w:rsidRPr="007D162C">
        <w:rPr>
          <w:rFonts w:ascii="Calibri" w:eastAsia="Calibri" w:hAnsi="Calibri" w:cs="Times New Roman"/>
          <w:b/>
          <w:color w:val="595959"/>
          <w:kern w:val="12"/>
          <w:sz w:val="26"/>
          <w:szCs w:val="26"/>
        </w:rPr>
        <w:t>Regulatory</w:t>
      </w:r>
    </w:p>
    <w:p w14:paraId="11C18C39" w14:textId="77777777" w:rsidR="00BE429A" w:rsidRPr="007D162C" w:rsidRDefault="00BE429A" w:rsidP="005C7B03">
      <w:pPr>
        <w:rPr>
          <w:rFonts w:ascii="Calibri" w:eastAsia="Calibri" w:hAnsi="Calibri" w:cs="Times New Roman"/>
        </w:rPr>
      </w:pPr>
      <w:r w:rsidRPr="007D162C">
        <w:rPr>
          <w:rFonts w:ascii="Calibri" w:eastAsia="Calibri" w:hAnsi="Calibri" w:cs="Times New Roman"/>
        </w:rPr>
        <w:t>Community consultations and submissions from disability advocates highlighted that equal access to fare system elements was not occurring, and this acted as a barrier to the use of public transport for some people living with disability.</w:t>
      </w:r>
    </w:p>
    <w:p w14:paraId="492D3468" w14:textId="77777777" w:rsidR="00BE429A" w:rsidRPr="007D162C" w:rsidRDefault="00BE429A" w:rsidP="00BE429A">
      <w:pPr>
        <w:pStyle w:val="Quote"/>
      </w:pPr>
      <w:r w:rsidRPr="007D162C">
        <w:t>Unable to access fare system, couldn’t reach or read the elements.</w:t>
      </w:r>
    </w:p>
    <w:p w14:paraId="6640617B" w14:textId="77777777" w:rsidR="00BE429A" w:rsidRPr="007D162C" w:rsidRDefault="00BE429A" w:rsidP="00BE429A">
      <w:pPr>
        <w:pStyle w:val="Quote"/>
      </w:pPr>
      <w:r w:rsidRPr="007D162C">
        <w:t>Survey respondent</w:t>
      </w:r>
    </w:p>
    <w:p w14:paraId="4EE89482" w14:textId="77777777" w:rsidR="00BE429A" w:rsidRPr="007D162C" w:rsidRDefault="00BE429A" w:rsidP="005C7B03">
      <w:pPr>
        <w:rPr>
          <w:rFonts w:ascii="Calibri" w:eastAsia="Calibri" w:hAnsi="Calibri" w:cs="Times New Roman"/>
        </w:rPr>
      </w:pPr>
      <w:r w:rsidRPr="007D162C">
        <w:rPr>
          <w:rFonts w:ascii="Calibri" w:eastAsia="Calibri" w:hAnsi="Calibri" w:cs="Times New Roman"/>
        </w:rPr>
        <w:t xml:space="preserve">The requirements proposed in the regulatory options are intended to provide certainty in the provision of fare system elements, which would enable improved access and reduce discrimination against people with disability. </w:t>
      </w:r>
    </w:p>
    <w:p w14:paraId="4B961D7C" w14:textId="77777777" w:rsidR="00BE429A" w:rsidRPr="007D162C" w:rsidRDefault="08D050C4" w:rsidP="08D050C4">
      <w:pPr>
        <w:rPr>
          <w:rFonts w:ascii="Calibri" w:eastAsia="Calibri" w:hAnsi="Calibri" w:cs="Times New Roman"/>
        </w:rPr>
      </w:pPr>
      <w:r w:rsidRPr="007D162C">
        <w:rPr>
          <w:rFonts w:ascii="Calibri" w:eastAsia="Calibri" w:hAnsi="Calibri" w:cs="Times New Roman"/>
        </w:rPr>
        <w:t>Submissions from individuals, people with disability and disability organisations, governments and transport operators outlined their need for consistency and clarity to promote inclusion and reduce barriers to accessing public transport. Consistent requirements would ensure that relevant requirements could be included in procurement documents, and standardisation of the requirements would enable people with disability to plan and undertake their journeys with greater confidence.</w:t>
      </w:r>
    </w:p>
    <w:p w14:paraId="58F60B37"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Submissions supporting the regulatory option indicated the existing Transport Standards references were outdated and focused on paper-based ticketing systems.</w:t>
      </w:r>
    </w:p>
    <w:p w14:paraId="72192FC5" w14:textId="77777777" w:rsidR="00BE429A" w:rsidRPr="007D162C" w:rsidRDefault="00BE429A" w:rsidP="00BE429A">
      <w:pPr>
        <w:pStyle w:val="Quote"/>
      </w:pPr>
      <w:r w:rsidRPr="007D162C">
        <w:t xml:space="preserve">Accessible fare systems are fundamental in the independent use of public transport for people with disability. When systems become outdated, and standards do not keep up to date with changes in the technology and how systems are rolled out, it becomes an issue as accessibility is not considered. </w:t>
      </w:r>
    </w:p>
    <w:p w14:paraId="4B4A7CE5" w14:textId="77777777" w:rsidR="00BE429A" w:rsidRPr="007D162C" w:rsidRDefault="00BE429A" w:rsidP="005C7B03">
      <w:pPr>
        <w:pStyle w:val="Quote"/>
        <w:rPr>
          <w:color w:val="404040" w:themeColor="text1" w:themeTint="BF"/>
        </w:rPr>
      </w:pPr>
      <w:r w:rsidRPr="007D162C">
        <w:t>Physical Disability Council of NSW</w:t>
      </w:r>
    </w:p>
    <w:p w14:paraId="03A63F6D"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Government and disability stakeholders differed on their preferred options. Most government stakeholders identified regulatory option 2, which contained prescriptive requirements. However, government stakeholders were divided between sub-options 1 and 2, which specifies compliance with AS/EN 301 549 (2016) and AS/EN 301 549 (2020) respectively. The main difference between these two options is the level of WCAG compliance. </w:t>
      </w:r>
    </w:p>
    <w:p w14:paraId="1BDBF119" w14:textId="77777777" w:rsidR="00BE429A" w:rsidRPr="007D162C" w:rsidRDefault="08D050C4" w:rsidP="08D050C4">
      <w:pPr>
        <w:rPr>
          <w:rFonts w:ascii="Calibri" w:eastAsia="Calibri" w:hAnsi="Calibri" w:cs="Times New Roman"/>
        </w:rPr>
      </w:pPr>
      <w:r w:rsidRPr="007D162C">
        <w:rPr>
          <w:rFonts w:ascii="Calibri" w:eastAsia="Calibri" w:hAnsi="Calibri" w:cs="Times New Roman"/>
        </w:rPr>
        <w:t>Government stakeholders argued that sub-option 1, which references AS/EN 301 549 (2016) and</w:t>
      </w:r>
      <w:r w:rsidR="00BE429A" w:rsidRPr="007D162C">
        <w:br/>
      </w:r>
      <w:r w:rsidRPr="007D162C">
        <w:rPr>
          <w:rFonts w:ascii="Calibri" w:eastAsia="Calibri" w:hAnsi="Calibri" w:cs="Times New Roman"/>
        </w:rPr>
        <w:t>WCAG 2.0 AA was aligned with the Web Accessibility National Transition Strategy. An equal number of government stakeholders thought it best to select sub-option 2, which requires compliance to the more stringent WCAG 2.1 AA, because this would ensure a better outcome for people with disability and minimise amendments to the Transport Standards to ‘catch up’ to WCAG standards.</w:t>
      </w:r>
    </w:p>
    <w:p w14:paraId="5FBCFDE8"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All but one disability submission identified regulatory option 3. Where a sub-option was selected, sub-options 2 and 3 were preferred. Again, the focus was on which level of WCAG compliance was necessary to remove discrimination against people with disability using public transport. </w:t>
      </w:r>
    </w:p>
    <w:p w14:paraId="7065A577" w14:textId="77777777" w:rsidR="00BE429A" w:rsidRPr="007D162C" w:rsidRDefault="00BE429A" w:rsidP="00BE429A">
      <w:pPr>
        <w:keepNext/>
        <w:keepLine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lastRenderedPageBreak/>
        <w:t>Preferred option</w:t>
      </w:r>
    </w:p>
    <w:p w14:paraId="0689AD8F" w14:textId="77777777" w:rsidR="00BE429A" w:rsidRPr="007D162C" w:rsidRDefault="00BE429A" w:rsidP="00BE429A">
      <w:pPr>
        <w:rPr>
          <w:rFonts w:ascii="Calibri" w:eastAsia="Calibri" w:hAnsi="Calibri" w:cs="Times New Roman"/>
          <w:b/>
          <w:color w:val="000000" w:themeColor="text1"/>
        </w:rPr>
      </w:pPr>
      <w:r w:rsidRPr="007D162C">
        <w:rPr>
          <w:rFonts w:ascii="Calibri" w:eastAsia="Calibri" w:hAnsi="Calibri" w:cs="Times New Roman"/>
          <w:color w:val="000000" w:themeColor="text1"/>
        </w:rPr>
        <w:t xml:space="preserve">Informed by the outcomes of consultation, impacts, cost and outcomes analysis above, the preferred option is the </w:t>
      </w:r>
      <w:r w:rsidRPr="007D162C">
        <w:rPr>
          <w:rFonts w:ascii="Calibri" w:eastAsia="Calibri" w:hAnsi="Calibri" w:cs="Times New Roman"/>
          <w:b/>
          <w:color w:val="000000" w:themeColor="text1"/>
        </w:rPr>
        <w:t>regulatory option 2, sub-option 2.</w:t>
      </w:r>
    </w:p>
    <w:p w14:paraId="6403D932" w14:textId="32663393" w:rsidR="00BE429A" w:rsidRPr="007D162C" w:rsidRDefault="00BE429A" w:rsidP="08D050C4">
      <w:pPr>
        <w:rPr>
          <w:rFonts w:ascii="Calibri" w:eastAsia="Calibri" w:hAnsi="Calibri" w:cs="Times New Roman"/>
        </w:rPr>
      </w:pPr>
      <w:r w:rsidRPr="007D162C">
        <w:rPr>
          <w:rFonts w:ascii="Calibri" w:eastAsia="Calibri" w:hAnsi="Calibri" w:cs="Times New Roman"/>
        </w:rPr>
        <w:t xml:space="preserve">Consultations and most submissions acknowledged the Transport Standards need to ensure accessible fare system elements. </w:t>
      </w:r>
      <w:r w:rsidR="08D050C4" w:rsidRPr="007D162C">
        <w:rPr>
          <w:rFonts w:ascii="Calibri" w:eastAsia="Calibri" w:hAnsi="Calibri" w:cs="Times New Roman"/>
        </w:rPr>
        <w:t xml:space="preserve">Most submissions preferred the regulatory option, which would minimise incidents where people living with disability may be exposed to inaccessible or inconsistent fare systems. </w:t>
      </w:r>
    </w:p>
    <w:p w14:paraId="1BC3EBD5" w14:textId="77777777" w:rsidR="005924D7" w:rsidRPr="007D162C" w:rsidRDefault="00CA3894" w:rsidP="00CF7427">
      <w:pPr>
        <w:tabs>
          <w:tab w:val="left" w:pos="284"/>
        </w:tabs>
        <w:rPr>
          <w:lang w:val="en-AU"/>
        </w:rPr>
      </w:pPr>
      <w:r w:rsidRPr="007D162C">
        <w:rPr>
          <w:lang w:val="en-AU"/>
        </w:rPr>
        <w:t xml:space="preserve">It is important to acknowledge the interaction of this reform with the broader ICT procurement (reform 21) and mobile web systems (reform 22). The ICT procurement reform covers hardware, software and services. The proposed ICT procurement performance-based reform acknowledges the flexibility needed to manage complex ICT procurements. However, accessible fare system elements and mobile web systems are increasingly the primary points for accessing information about public transport and accessibility features. </w:t>
      </w:r>
    </w:p>
    <w:p w14:paraId="7413B916" w14:textId="39F4D087" w:rsidR="00CA3894" w:rsidRPr="007D162C" w:rsidRDefault="00CA3894" w:rsidP="00CF7427">
      <w:pPr>
        <w:tabs>
          <w:tab w:val="left" w:pos="284"/>
        </w:tabs>
        <w:rPr>
          <w:lang w:val="en-AU"/>
        </w:rPr>
      </w:pPr>
      <w:r w:rsidRPr="007D162C">
        <w:rPr>
          <w:lang w:val="en-AU"/>
        </w:rPr>
        <w:t xml:space="preserve">The regulatory option was considered necessary to address a gap in the Transport Standards and to ensure a minimum level of compliance was established and aligned with current practise in government and industry transport operators and providers. </w:t>
      </w:r>
    </w:p>
    <w:p w14:paraId="02B03A7F" w14:textId="77777777" w:rsidR="00BE429A" w:rsidRPr="007D162C" w:rsidRDefault="00BE429A" w:rsidP="00BE429A">
      <w:pPr>
        <w:rPr>
          <w:rFonts w:ascii="Calibri" w:eastAsia="Calibri" w:hAnsi="Calibri" w:cs="Times New Roman"/>
        </w:rPr>
      </w:pPr>
      <w:r w:rsidRPr="007D162C">
        <w:rPr>
          <w:rFonts w:ascii="Calibri" w:eastAsia="Calibri" w:hAnsi="Calibri" w:cs="Times New Roman"/>
        </w:rPr>
        <w:t xml:space="preserve">The regulatory option would ensure consistency in the implementation of fare system elements, which was considered important by disability stakeholders to address their needs, ensure an uninterrupted whole of journey travel experience, and induce more people with disability to use public transport. </w:t>
      </w:r>
    </w:p>
    <w:p w14:paraId="3DC0B9C2" w14:textId="5BC04179" w:rsidR="00BE429A" w:rsidRPr="007D162C" w:rsidRDefault="00BE429A" w:rsidP="00BE429A">
      <w:pPr>
        <w:rPr>
          <w:rFonts w:ascii="Calibri" w:eastAsia="Calibri" w:hAnsi="Calibri" w:cs="Times New Roman"/>
        </w:rPr>
      </w:pPr>
      <w:r w:rsidRPr="007D162C">
        <w:rPr>
          <w:rFonts w:ascii="Calibri" w:eastAsia="Calibri" w:hAnsi="Calibri" w:cs="Times New Roman"/>
        </w:rPr>
        <w:t>Government stakeholder</w:t>
      </w:r>
      <w:r w:rsidR="00FB4BDA">
        <w:rPr>
          <w:rFonts w:ascii="Calibri" w:eastAsia="Calibri" w:hAnsi="Calibri" w:cs="Times New Roman"/>
        </w:rPr>
        <w:t>s</w:t>
      </w:r>
      <w:r w:rsidRPr="007D162C">
        <w:rPr>
          <w:rFonts w:ascii="Calibri" w:eastAsia="Calibri" w:hAnsi="Calibri" w:cs="Times New Roman"/>
        </w:rPr>
        <w:t xml:space="preserve"> saw prescriptive regulation as delivering consistency and would ensure compliance was easier to measure. The preferred option ensures </w:t>
      </w:r>
      <w:r w:rsidR="00FB4BDA">
        <w:rPr>
          <w:rFonts w:ascii="Calibri" w:eastAsia="Calibri" w:hAnsi="Calibri" w:cs="Times New Roman"/>
        </w:rPr>
        <w:t>t</w:t>
      </w:r>
      <w:r w:rsidRPr="007D162C">
        <w:rPr>
          <w:rFonts w:ascii="Calibri" w:eastAsia="Calibri" w:hAnsi="Calibri" w:cs="Times New Roman"/>
        </w:rPr>
        <w:t xml:space="preserve">ransport operators and providers have greater certainty they are meeting their responsibilities under the </w:t>
      </w:r>
      <w:r w:rsidR="00FB4BDA">
        <w:rPr>
          <w:rFonts w:ascii="Calibri" w:eastAsia="Calibri" w:hAnsi="Calibri" w:cs="Times New Roman"/>
        </w:rPr>
        <w:t>DDA</w:t>
      </w:r>
      <w:r w:rsidRPr="007D162C">
        <w:rPr>
          <w:rFonts w:ascii="Calibri" w:eastAsia="Calibri" w:hAnsi="Calibri" w:cs="Times New Roman"/>
        </w:rPr>
        <w:t xml:space="preserve">. </w:t>
      </w:r>
    </w:p>
    <w:p w14:paraId="196E5A3C" w14:textId="53CBA241" w:rsidR="00BE429A" w:rsidRPr="007D162C" w:rsidRDefault="00BE429A" w:rsidP="08D050C4">
      <w:pPr>
        <w:rPr>
          <w:rFonts w:ascii="Calibri" w:eastAsia="Calibri" w:hAnsi="Calibri" w:cs="Times New Roman"/>
        </w:rPr>
      </w:pPr>
      <w:r w:rsidRPr="007D162C">
        <w:rPr>
          <w:rFonts w:ascii="Calibri" w:eastAsia="Calibri" w:hAnsi="Calibri" w:cs="Times New Roman"/>
        </w:rPr>
        <w:t>Sub-option 2 was selected based on consultation feedback and for alignment with the reform process’ objective to modernise references and requirements, where it is relevant to do so.  Many jurisdictions are</w:t>
      </w:r>
      <w:r w:rsidRPr="007D162C" w:rsidDel="00CA3894">
        <w:rPr>
          <w:rFonts w:ascii="Calibri" w:eastAsia="Calibri" w:hAnsi="Calibri" w:cs="Times New Roman"/>
        </w:rPr>
        <w:t xml:space="preserve"> </w:t>
      </w:r>
      <w:r w:rsidRPr="007D162C">
        <w:rPr>
          <w:rFonts w:ascii="Calibri" w:eastAsia="Calibri" w:hAnsi="Calibri" w:cs="Times New Roman"/>
        </w:rPr>
        <w:t xml:space="preserve">WCAG 2.0 AA </w:t>
      </w:r>
      <w:r w:rsidR="00CA3894" w:rsidRPr="007D162C">
        <w:rPr>
          <w:rFonts w:ascii="Calibri" w:eastAsia="Calibri" w:hAnsi="Calibri" w:cs="Times New Roman"/>
        </w:rPr>
        <w:t xml:space="preserve">compliant </w:t>
      </w:r>
      <w:r w:rsidRPr="007D162C">
        <w:rPr>
          <w:rFonts w:ascii="Calibri" w:eastAsia="Calibri" w:hAnsi="Calibri" w:cs="Times New Roman"/>
        </w:rPr>
        <w:t>and</w:t>
      </w:r>
      <w:r w:rsidRPr="007D162C" w:rsidDel="00CA3894">
        <w:rPr>
          <w:rFonts w:ascii="Calibri" w:eastAsia="Calibri" w:hAnsi="Calibri" w:cs="Times New Roman"/>
        </w:rPr>
        <w:t xml:space="preserve"> </w:t>
      </w:r>
      <w:r w:rsidRPr="007D162C">
        <w:rPr>
          <w:rFonts w:ascii="Calibri" w:eastAsia="Calibri" w:hAnsi="Calibri" w:cs="Times New Roman"/>
        </w:rPr>
        <w:t>acknowledged the benefit of moving to WCAG 2.1 AA</w:t>
      </w:r>
      <w:r w:rsidRPr="007D162C" w:rsidDel="00CA3894">
        <w:rPr>
          <w:rFonts w:ascii="Calibri" w:eastAsia="Calibri" w:hAnsi="Calibri" w:cs="Times New Roman"/>
        </w:rPr>
        <w:t>.</w:t>
      </w:r>
      <w:r w:rsidRPr="007D162C">
        <w:rPr>
          <w:rFonts w:ascii="Calibri" w:eastAsia="Calibri" w:hAnsi="Calibri" w:cs="Times New Roman"/>
        </w:rPr>
        <w:t xml:space="preserve"> </w:t>
      </w:r>
      <w:r w:rsidR="08D050C4" w:rsidRPr="007D162C">
        <w:rPr>
          <w:rFonts w:ascii="Calibri" w:eastAsia="Calibri" w:hAnsi="Calibri" w:cs="Times New Roman"/>
        </w:rPr>
        <w:t xml:space="preserve">While disability stakeholder preferred option 3, which had some additional prescriptive features, there was acknowledgement in their submissions that a prescriptive standard and WCAG 2.1 AA was the core requirement to maximise outcome for people with disability in accessing fare system elements. </w:t>
      </w:r>
      <w:r w:rsidRPr="007D162C">
        <w:rPr>
          <w:rFonts w:ascii="Calibri" w:eastAsia="Calibri" w:hAnsi="Calibri" w:cs="Times New Roman"/>
        </w:rPr>
        <w:t>On balance it was considered the preferred option would meet those objectives</w:t>
      </w:r>
      <w:r w:rsidR="00792805" w:rsidRPr="007D162C">
        <w:rPr>
          <w:rFonts w:ascii="Calibri" w:eastAsia="Calibri" w:hAnsi="Calibri" w:cs="Times New Roman"/>
        </w:rPr>
        <w:t>, align with other proposed ICT based reform</w:t>
      </w:r>
      <w:r w:rsidRPr="007D162C">
        <w:rPr>
          <w:rFonts w:ascii="Calibri" w:eastAsia="Calibri" w:hAnsi="Calibri" w:cs="Times New Roman"/>
        </w:rPr>
        <w:t xml:space="preserve"> and not impose an unnecessary burden on transport owners and operators.</w:t>
      </w:r>
    </w:p>
    <w:p w14:paraId="6CF67AE4" w14:textId="411FF26A" w:rsidR="00F26EC2" w:rsidRDefault="00BE429A" w:rsidP="004329F7">
      <w:pPr>
        <w:rPr>
          <w:rFonts w:ascii="Calibri" w:eastAsia="Calibri" w:hAnsi="Calibri" w:cs="Times New Roman"/>
        </w:rPr>
      </w:pPr>
      <w:r w:rsidRPr="007D162C">
        <w:rPr>
          <w:rFonts w:ascii="Calibri" w:eastAsia="Calibri" w:hAnsi="Calibri" w:cs="Times New Roman"/>
        </w:rPr>
        <w:t>The preferred option will be implemented through amendments to the Transport Standards and Guidelines. Operators and providers will be required to meet the new Transport Standards requirements prospectively with a trigger mechanism.</w:t>
      </w:r>
    </w:p>
    <w:p w14:paraId="7DC9BBDA" w14:textId="77777777" w:rsidR="6647ED5F" w:rsidRPr="007D162C" w:rsidRDefault="6647ED5F" w:rsidP="6647ED5F">
      <w:pPr>
        <w:pStyle w:val="Heading4"/>
      </w:pPr>
      <w:r w:rsidRPr="007D162C">
        <w:t>Interaction with Stage 1 reform area</w:t>
      </w:r>
    </w:p>
    <w:p w14:paraId="0A9600B9" w14:textId="4706E301" w:rsidR="6647ED5F" w:rsidRPr="007D162C" w:rsidRDefault="6647ED5F" w:rsidP="6647ED5F">
      <w:pPr>
        <w:pStyle w:val="Tablefigureheading"/>
      </w:pPr>
      <w:r w:rsidRPr="007D162C">
        <w:t xml:space="preserve">Table </w:t>
      </w:r>
      <w:r w:rsidRPr="007D162C">
        <w:rPr>
          <w:noProof/>
        </w:rPr>
        <w:t xml:space="preserve">68: Interactions with Stage 1 </w:t>
      </w:r>
      <w:r w:rsidRPr="007D162C">
        <w:t>for accessible fare system elements</w:t>
      </w:r>
    </w:p>
    <w:tbl>
      <w:tblPr>
        <w:tblStyle w:val="DefaultTable1"/>
        <w:tblW w:w="0" w:type="auto"/>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6036"/>
      </w:tblGrid>
      <w:tr w:rsidR="6647ED5F" w:rsidRPr="007D162C" w14:paraId="21E193C1" w14:textId="77777777" w:rsidTr="6647ED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D41329A" w14:textId="77777777" w:rsidR="6647ED5F" w:rsidRPr="007D162C" w:rsidRDefault="6647ED5F">
            <w:r w:rsidRPr="007D162C">
              <w:t>Stage 1 reform area</w:t>
            </w:r>
          </w:p>
        </w:tc>
        <w:tc>
          <w:tcPr>
            <w:tcW w:w="2190" w:type="dxa"/>
          </w:tcPr>
          <w:p w14:paraId="357A58AD" w14:textId="77777777" w:rsidR="6647ED5F" w:rsidRPr="007D162C" w:rsidRDefault="6647ED5F">
            <w:pPr>
              <w:cnfStyle w:val="100000000000" w:firstRow="1" w:lastRow="0" w:firstColumn="0" w:lastColumn="0" w:oddVBand="0" w:evenVBand="0" w:oddHBand="0" w:evenHBand="0" w:firstRowFirstColumn="0" w:firstRowLastColumn="0" w:lastRowFirstColumn="0" w:lastRowLastColumn="0"/>
            </w:pPr>
            <w:r w:rsidRPr="007D162C">
              <w:t>Interaction</w:t>
            </w:r>
          </w:p>
        </w:tc>
        <w:tc>
          <w:tcPr>
            <w:tcW w:w="6036" w:type="dxa"/>
          </w:tcPr>
          <w:p w14:paraId="29BC8E6A" w14:textId="77777777" w:rsidR="6647ED5F" w:rsidRPr="007D162C" w:rsidRDefault="6647ED5F">
            <w:pPr>
              <w:cnfStyle w:val="100000000000" w:firstRow="1" w:lastRow="0" w:firstColumn="0" w:lastColumn="0" w:oddVBand="0" w:evenVBand="0" w:oddHBand="0" w:evenHBand="0" w:firstRowFirstColumn="0" w:firstRowLastColumn="0" w:lastRowFirstColumn="0" w:lastRowLastColumn="0"/>
            </w:pPr>
            <w:r w:rsidRPr="007D162C">
              <w:t>Description</w:t>
            </w:r>
          </w:p>
        </w:tc>
      </w:tr>
      <w:tr w:rsidR="6647ED5F" w:rsidRPr="007D162C" w14:paraId="2ADBD6BC" w14:textId="77777777" w:rsidTr="6647ED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tcPr>
          <w:p w14:paraId="25C3BC04" w14:textId="77777777" w:rsidR="6647ED5F" w:rsidRPr="007D162C" w:rsidRDefault="6647ED5F">
            <w:pPr>
              <w:rPr>
                <w:b w:val="0"/>
              </w:rPr>
            </w:pPr>
            <w:r w:rsidRPr="007D162C">
              <w:rPr>
                <w:b w:val="0"/>
              </w:rPr>
              <w:t>Chapter 5.5: Digital information screens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9320785"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Reference different technical standards for luminance calculation for digital screens.</w:t>
            </w:r>
          </w:p>
        </w:tc>
        <w:tc>
          <w:tcPr>
            <w:tcW w:w="6036" w:type="dxa"/>
            <w:tcBorders>
              <w:top w:val="single" w:sz="4" w:space="0" w:color="ED7D31" w:themeColor="accent2"/>
              <w:left w:val="single" w:sz="4" w:space="0" w:color="ED7D31" w:themeColor="accent2"/>
              <w:bottom w:val="single" w:sz="4" w:space="0" w:color="ED7D31" w:themeColor="accent2"/>
              <w:right w:val="nil"/>
            </w:tcBorders>
          </w:tcPr>
          <w:p w14:paraId="03DDD1B7"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Stage 1 cites ISO Standard 9241-303 for luminance calculation requirements for digital information screens.</w:t>
            </w:r>
          </w:p>
          <w:p w14:paraId="1931FF34" w14:textId="77777777" w:rsidR="6647ED5F" w:rsidRPr="007D162C" w:rsidRDefault="6647ED5F">
            <w:pPr>
              <w:cnfStyle w:val="000000100000" w:firstRow="0" w:lastRow="0" w:firstColumn="0" w:lastColumn="0" w:oddVBand="0" w:evenVBand="0" w:oddHBand="1" w:evenHBand="0" w:firstRowFirstColumn="0" w:firstRowLastColumn="0" w:lastRowFirstColumn="0" w:lastRowLastColumn="0"/>
            </w:pPr>
            <w:r w:rsidRPr="007D162C">
              <w:t>Stage 2 cites AS EN 301 549 for hardware and software systems. The technical requirements of AS EN 301 549 may conflict with those of ISO Standard 9241-303.</w:t>
            </w:r>
          </w:p>
        </w:tc>
      </w:tr>
    </w:tbl>
    <w:p w14:paraId="5329CC7F" w14:textId="77777777" w:rsidR="6647ED5F" w:rsidRPr="007D162C" w:rsidRDefault="6647ED5F" w:rsidP="6647ED5F">
      <w:pPr>
        <w:spacing w:before="240"/>
        <w:rPr>
          <w:rFonts w:ascii="Calibri" w:eastAsia="Calibri" w:hAnsi="Calibri" w:cs="Times New Roman"/>
        </w:rPr>
      </w:pPr>
      <w:r w:rsidRPr="007D162C">
        <w:rPr>
          <w:rFonts w:ascii="Calibri" w:eastAsia="Calibri" w:hAnsi="Calibri" w:cs="Times New Roman"/>
        </w:rPr>
        <w:t xml:space="preserve">The Transport Standards states that Australian, Australian/New Zealand standards and Australian Design Rules are incorporated into the legislation. Where a conflict exists between an international (ISO) standard and an Australian standard, the preference would be to incorporate the Australian standard and technical requirements. </w:t>
      </w:r>
    </w:p>
    <w:p w14:paraId="74E7922C" w14:textId="1973B291" w:rsidR="6647ED5F" w:rsidRPr="007D162C" w:rsidRDefault="6647ED5F" w:rsidP="00477902">
      <w:pPr>
        <w:spacing w:before="240"/>
      </w:pPr>
      <w:r w:rsidRPr="007D162C">
        <w:rPr>
          <w:rFonts w:ascii="Calibri" w:eastAsia="Calibri" w:hAnsi="Calibri" w:cs="Times New Roman"/>
        </w:rPr>
        <w:lastRenderedPageBreak/>
        <w:t>Australian governments adopted internationally aligned ICT procurement standards for accessibility, AS EN 301 549, in 2016. AS EN 301 549 was updated in November 2020. There are no substantive technical differences between the ISO and AS EN standards for luminance requirements. Therefore, the Stage 2 recommendation clarifies the stage 1 recommendation and aligns with the whole of government approach for accessible ICT procurement.</w:t>
      </w:r>
    </w:p>
    <w:p w14:paraId="0705AC66" w14:textId="77777777" w:rsidR="001157AA" w:rsidRPr="007D162C" w:rsidRDefault="001157AA">
      <w:pPr>
        <w:spacing w:line="259" w:lineRule="auto"/>
        <w:rPr>
          <w:rFonts w:ascii="Calibri" w:eastAsia="Calibri" w:hAnsi="Calibri" w:cs="Times New Roman"/>
        </w:rPr>
      </w:pPr>
      <w:r w:rsidRPr="007D162C">
        <w:rPr>
          <w:rFonts w:ascii="Calibri" w:eastAsia="Calibri" w:hAnsi="Calibri" w:cs="Times New Roman"/>
        </w:rPr>
        <w:br w:type="page"/>
      </w:r>
    </w:p>
    <w:p w14:paraId="5C56E0C5" w14:textId="77777777" w:rsidR="005C7B03" w:rsidRPr="007D162C" w:rsidRDefault="005C7B03" w:rsidP="004329F7">
      <w:pPr>
        <w:rPr>
          <w:lang w:val="en-AU"/>
        </w:rPr>
      </w:pPr>
    </w:p>
    <w:p w14:paraId="403E4723" w14:textId="77777777" w:rsidR="005C7B03" w:rsidRPr="007D162C" w:rsidRDefault="005C7B03" w:rsidP="005C7B03">
      <w:pPr>
        <w:pStyle w:val="Heading2"/>
      </w:pPr>
      <w:bookmarkStart w:id="388" w:name="_Toc127351773"/>
      <w:bookmarkStart w:id="389" w:name="_Toc140239731"/>
      <w:r w:rsidRPr="007D162C">
        <w:t xml:space="preserve">Part 3: </w:t>
      </w:r>
      <w:bookmarkStart w:id="390" w:name="_Hlk110431301"/>
      <w:r w:rsidRPr="007D162C">
        <w:t>Accessibility at stations, stops, wharves and access routes</w:t>
      </w:r>
      <w:bookmarkEnd w:id="388"/>
      <w:bookmarkEnd w:id="389"/>
    </w:p>
    <w:bookmarkEnd w:id="390"/>
    <w:p w14:paraId="303BDDB6" w14:textId="77777777" w:rsidR="005C7B03" w:rsidRPr="007D162C" w:rsidRDefault="005C7B03" w:rsidP="005C7B03">
      <w:pPr>
        <w:rPr>
          <w:color w:val="377B88"/>
          <w:sz w:val="26"/>
          <w:szCs w:val="26"/>
        </w:rPr>
      </w:pPr>
      <w:r w:rsidRPr="007D162C">
        <w:rPr>
          <w:color w:val="377B88"/>
          <w:sz w:val="26"/>
          <w:szCs w:val="26"/>
        </w:rPr>
        <w:t>This Part includes the following reform areas:</w:t>
      </w:r>
    </w:p>
    <w:p w14:paraId="03B55A5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Doors on access paths</w:t>
      </w:r>
    </w:p>
    <w:p w14:paraId="5F57C9E5"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Continuous access on access paths</w:t>
      </w:r>
    </w:p>
    <w:p w14:paraId="45E92D8F"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Flange gaps within access paths</w:t>
      </w:r>
    </w:p>
    <w:p w14:paraId="1D8598D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Resting points</w:t>
      </w:r>
    </w:p>
    <w:p w14:paraId="294584C4" w14:textId="77777777" w:rsidR="005C7B03" w:rsidRPr="007D162C" w:rsidRDefault="08D050C4" w:rsidP="006F65FB">
      <w:pPr>
        <w:numPr>
          <w:ilvl w:val="0"/>
          <w:numId w:val="26"/>
        </w:numPr>
        <w:spacing w:line="259" w:lineRule="auto"/>
        <w:contextualSpacing/>
        <w:rPr>
          <w:color w:val="377B88"/>
          <w:sz w:val="26"/>
          <w:szCs w:val="26"/>
        </w:rPr>
      </w:pPr>
      <w:r w:rsidRPr="007D162C">
        <w:rPr>
          <w:color w:val="377B88"/>
          <w:sz w:val="26"/>
          <w:szCs w:val="26"/>
        </w:rPr>
        <w:t>Requirement for handrails in overbridges and subways</w:t>
      </w:r>
    </w:p>
    <w:p w14:paraId="6B031510"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Location of fare system elements</w:t>
      </w:r>
    </w:p>
    <w:p w14:paraId="704BFA0D"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Allocated spaces and priority seating in waiting areas</w:t>
      </w:r>
    </w:p>
    <w:p w14:paraId="2DC4ACA6"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Accessible toilets with equal proportion of left- and right-hand configurations</w:t>
      </w:r>
    </w:p>
    <w:p w14:paraId="6D2033BE"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Emergency call buttons in accessible toilets</w:t>
      </w:r>
    </w:p>
    <w:p w14:paraId="076DFF41"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Ambulant toilets</w:t>
      </w:r>
    </w:p>
    <w:p w14:paraId="21E62493"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Lift specifications and enhancements</w:t>
      </w:r>
    </w:p>
    <w:p w14:paraId="1515EB94"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Specifications for escalators and inclined travellators</w:t>
      </w:r>
    </w:p>
    <w:p w14:paraId="04FB4DE2"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Poles, objects and luminous contrast</w:t>
      </w:r>
    </w:p>
    <w:p w14:paraId="37E784A9" w14:textId="77777777" w:rsidR="005C7B03" w:rsidRPr="007D162C" w:rsidRDefault="005C7B03" w:rsidP="006F65FB">
      <w:pPr>
        <w:numPr>
          <w:ilvl w:val="0"/>
          <w:numId w:val="26"/>
        </w:numPr>
        <w:spacing w:line="259" w:lineRule="auto"/>
        <w:contextualSpacing/>
        <w:rPr>
          <w:color w:val="377B88"/>
          <w:sz w:val="26"/>
          <w:szCs w:val="26"/>
        </w:rPr>
      </w:pPr>
      <w:r w:rsidRPr="007D162C">
        <w:rPr>
          <w:color w:val="377B88"/>
          <w:sz w:val="26"/>
          <w:szCs w:val="26"/>
        </w:rPr>
        <w:t>Lighting</w:t>
      </w:r>
    </w:p>
    <w:p w14:paraId="6CA0F1B6" w14:textId="27C47F3D" w:rsidR="004329F7" w:rsidRPr="007D162C" w:rsidRDefault="005C7B03" w:rsidP="004329F7">
      <w:pPr>
        <w:rPr>
          <w:lang w:val="en-AU"/>
        </w:rPr>
      </w:pPr>
      <w:r w:rsidRPr="007D162C">
        <w:rPr>
          <w:lang w:val="en-AU"/>
        </w:rPr>
        <w:br w:type="page"/>
      </w:r>
    </w:p>
    <w:p w14:paraId="7565D078" w14:textId="0AC06D58" w:rsidR="001941EE" w:rsidRPr="007D162C" w:rsidRDefault="001941EE" w:rsidP="00753948">
      <w:pPr>
        <w:pStyle w:val="Heading2"/>
        <w:numPr>
          <w:ilvl w:val="0"/>
          <w:numId w:val="27"/>
        </w:numPr>
        <w:ind w:hanging="720"/>
      </w:pPr>
      <w:bookmarkStart w:id="391" w:name="_Toc122515471"/>
      <w:bookmarkStart w:id="392" w:name="_Toc140239732"/>
      <w:r w:rsidRPr="007D162C">
        <w:lastRenderedPageBreak/>
        <w:t>Doors on access paths</w:t>
      </w:r>
      <w:bookmarkEnd w:id="391"/>
      <w:bookmarkEnd w:id="392"/>
    </w:p>
    <w:p w14:paraId="5DFB8773" w14:textId="77777777" w:rsidR="001941EE" w:rsidRPr="007D162C" w:rsidRDefault="001941EE" w:rsidP="001941EE">
      <w:pPr>
        <w:pStyle w:val="Heading4"/>
      </w:pPr>
      <w:r w:rsidRPr="007D162C">
        <w:t>Issue</w:t>
      </w:r>
    </w:p>
    <w:p w14:paraId="15882A5C" w14:textId="77777777" w:rsidR="001941EE" w:rsidRPr="007D162C" w:rsidRDefault="001941EE" w:rsidP="001941EE">
      <w:r w:rsidRPr="007D162C">
        <w:t xml:space="preserve">The Transport Standards stipulate that doors along access paths must not present a barrier to independent passenger travel. However, the Transport Standards do not indicate what ‘not presenting a barrier’ entails. </w:t>
      </w:r>
    </w:p>
    <w:p w14:paraId="23CDCE43" w14:textId="77777777" w:rsidR="001941EE" w:rsidRPr="007D162C" w:rsidRDefault="001941EE" w:rsidP="001941EE">
      <w:r w:rsidRPr="007D162C">
        <w:t xml:space="preserve">Manual doors on access paths can be challenging for people with disability and their companions to use, creating a barrier for independent access to public transport. While some doors along access paths are more accessible for people with disability, such as automatic and power-assisted doors, manual doors continue to be used along access paths. </w:t>
      </w:r>
    </w:p>
    <w:p w14:paraId="296E94B7" w14:textId="77777777" w:rsidR="001941EE" w:rsidRPr="007D162C" w:rsidRDefault="001941EE" w:rsidP="001941EE">
      <w:pPr>
        <w:tabs>
          <w:tab w:val="left" w:pos="284"/>
        </w:tabs>
      </w:pPr>
      <w:r w:rsidRPr="007D162C">
        <w:t>Collective government action would improve doors access for people with disability and address key stakeholder issues raised through the Transport Standards review process.</w:t>
      </w:r>
    </w:p>
    <w:p w14:paraId="124C090C" w14:textId="77777777" w:rsidR="001941EE" w:rsidRPr="007D162C" w:rsidRDefault="001941EE" w:rsidP="001941EE">
      <w:pPr>
        <w:pStyle w:val="Heading4"/>
      </w:pPr>
      <w:r w:rsidRPr="007D162C">
        <w:t>Reform options</w:t>
      </w:r>
    </w:p>
    <w:p w14:paraId="0A03DFAA" w14:textId="77777777" w:rsidR="001941EE" w:rsidRPr="007D162C" w:rsidRDefault="001941EE" w:rsidP="001941EE">
      <w:pPr>
        <w:tabs>
          <w:tab w:val="left" w:pos="284"/>
        </w:tabs>
      </w:pPr>
      <w:r w:rsidRPr="007D162C">
        <w:t xml:space="preserve">Following is a summary of the proposed options for this reform. Full details of each reform option </w:t>
      </w:r>
      <w:r w:rsidR="00E91CB1" w:rsidRPr="007D162C">
        <w:t>are</w:t>
      </w:r>
      <w:r w:rsidRPr="007D162C">
        <w:t xml:space="preserve"> provided at Appendix A.</w:t>
      </w:r>
    </w:p>
    <w:p w14:paraId="51A8291D" w14:textId="4A659C0F" w:rsidR="001941EE" w:rsidRPr="007D162C" w:rsidRDefault="001941EE" w:rsidP="004228D6">
      <w:pPr>
        <w:pStyle w:val="Tablefigureheading"/>
      </w:pPr>
      <w:bookmarkStart w:id="393" w:name="_Toc122446385"/>
      <w:bookmarkStart w:id="394" w:name="_Toc139969226"/>
      <w:r w:rsidRPr="007D162C">
        <w:t xml:space="preserve">Table </w:t>
      </w:r>
      <w:fldSimple w:instr=" SEQ Table \* ARABIC ">
        <w:r w:rsidR="00DC26AC">
          <w:rPr>
            <w:noProof/>
          </w:rPr>
          <w:t>68</w:t>
        </w:r>
      </w:fldSimple>
      <w:r w:rsidRPr="007D162C">
        <w:t xml:space="preserve">: Reform options for </w:t>
      </w:r>
      <w:r w:rsidR="001075A6" w:rsidRPr="007D162C">
        <w:t>D</w:t>
      </w:r>
      <w:r w:rsidRPr="007D162C">
        <w:t>oors on access paths</w:t>
      </w:r>
      <w:bookmarkEnd w:id="393"/>
      <w:bookmarkEnd w:id="394"/>
    </w:p>
    <w:tbl>
      <w:tblPr>
        <w:tblStyle w:val="DefaultTable1"/>
        <w:tblW w:w="9214" w:type="dxa"/>
        <w:tblLook w:val="04A0" w:firstRow="1" w:lastRow="0" w:firstColumn="1" w:lastColumn="0" w:noHBand="0" w:noVBand="1"/>
        <w:tblCaption w:val="Reform options for doors on access paths"/>
        <w:tblDescription w:val="This table provides a description of each of the options for this reform area. Status quo, non-regulatory and regulatory."/>
      </w:tblPr>
      <w:tblGrid>
        <w:gridCol w:w="1843"/>
        <w:gridCol w:w="7371"/>
      </w:tblGrid>
      <w:tr w:rsidR="001941EE" w:rsidRPr="007D162C" w14:paraId="2C474983" w14:textId="77777777" w:rsidTr="08D050C4">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3B3E2BC1" w14:textId="77777777" w:rsidR="001941EE" w:rsidRPr="007D162C" w:rsidRDefault="001941EE" w:rsidP="00163A8D">
            <w:r w:rsidRPr="007D162C">
              <w:t>Option</w:t>
            </w:r>
          </w:p>
        </w:tc>
        <w:tc>
          <w:tcPr>
            <w:tcW w:w="7371" w:type="dxa"/>
          </w:tcPr>
          <w:p w14:paraId="5B216C5E" w14:textId="77777777" w:rsidR="001941EE" w:rsidRPr="007D162C" w:rsidRDefault="001941EE" w:rsidP="00163A8D">
            <w:pPr>
              <w:cnfStyle w:val="100000000000" w:firstRow="1" w:lastRow="0" w:firstColumn="0" w:lastColumn="0" w:oddVBand="0" w:evenVBand="0" w:oddHBand="0" w:evenHBand="0" w:firstRowFirstColumn="0" w:firstRowLastColumn="0" w:lastRowFirstColumn="0" w:lastRowLastColumn="0"/>
            </w:pPr>
            <w:r w:rsidRPr="007D162C">
              <w:t>Description</w:t>
            </w:r>
          </w:p>
        </w:tc>
      </w:tr>
      <w:tr w:rsidR="001941EE" w:rsidRPr="007D162C" w14:paraId="52CD7AA2"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45DBE7A1" w14:textId="77777777" w:rsidR="001941EE" w:rsidRPr="007D162C" w:rsidRDefault="001941EE" w:rsidP="00163A8D">
            <w:r w:rsidRPr="007D162C">
              <w:t>Status Quo</w:t>
            </w:r>
          </w:p>
        </w:tc>
        <w:tc>
          <w:tcPr>
            <w:tcW w:w="7371" w:type="dxa"/>
          </w:tcPr>
          <w:p w14:paraId="2051D871" w14:textId="77777777" w:rsidR="001941EE" w:rsidRPr="007D162C" w:rsidRDefault="08D050C4" w:rsidP="00163A8D">
            <w:pPr>
              <w:cnfStyle w:val="000000100000" w:firstRow="0" w:lastRow="0" w:firstColumn="0" w:lastColumn="0" w:oddVBand="0" w:evenVBand="0" w:oddHBand="1" w:evenHBand="0" w:firstRowFirstColumn="0" w:firstRowLastColumn="0" w:lastRowFirstColumn="0" w:lastRowLastColumn="0"/>
            </w:pPr>
            <w:r w:rsidRPr="007D162C">
              <w:t>The Transport Standards will continue to remain silent on when automatic or powerassisted doors should be provided.</w:t>
            </w:r>
          </w:p>
          <w:p w14:paraId="7EE92F6E"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1941EE" w:rsidRPr="007D162C" w14:paraId="6A4069C0"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1843" w:type="dxa"/>
          </w:tcPr>
          <w:p w14:paraId="2FE67371" w14:textId="77777777" w:rsidR="001941EE" w:rsidRPr="007D162C" w:rsidRDefault="001941EE" w:rsidP="00163A8D">
            <w:r w:rsidRPr="007D162C">
              <w:t xml:space="preserve">Non-regulatory </w:t>
            </w:r>
          </w:p>
        </w:tc>
        <w:tc>
          <w:tcPr>
            <w:tcW w:w="7371" w:type="dxa"/>
          </w:tcPr>
          <w:p w14:paraId="36E780AE" w14:textId="77777777" w:rsidR="001941EE" w:rsidRPr="007D162C" w:rsidRDefault="001941EE" w:rsidP="00163A8D">
            <w:pPr>
              <w:cnfStyle w:val="000000000000" w:firstRow="0" w:lastRow="0" w:firstColumn="0" w:lastColumn="0" w:oddVBand="0" w:evenVBand="0" w:oddHBand="0" w:evenHBand="0" w:firstRowFirstColumn="0" w:firstRowLastColumn="0" w:lastRowFirstColumn="0" w:lastRowLastColumn="0"/>
            </w:pPr>
            <w:r w:rsidRPr="007D162C">
              <w:t>Guidance would be developed to encourage all doors on access paths to be automatic or power assisted, so that doors on access paths do not present a barrier to people with disability.</w:t>
            </w:r>
          </w:p>
        </w:tc>
      </w:tr>
      <w:tr w:rsidR="001941EE" w:rsidRPr="007D162C" w14:paraId="691FD27E"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43" w:type="dxa"/>
          </w:tcPr>
          <w:p w14:paraId="4425E316" w14:textId="77777777" w:rsidR="001941EE" w:rsidRPr="007D162C" w:rsidRDefault="001941EE" w:rsidP="00163A8D">
            <w:pPr>
              <w:rPr>
                <w:b w:val="0"/>
              </w:rPr>
            </w:pPr>
            <w:r w:rsidRPr="007D162C">
              <w:t xml:space="preserve">Regulatory </w:t>
            </w:r>
          </w:p>
          <w:p w14:paraId="7C8591E3" w14:textId="77777777" w:rsidR="001941EE" w:rsidRPr="007D162C" w:rsidRDefault="001941EE" w:rsidP="00163A8D"/>
        </w:tc>
        <w:tc>
          <w:tcPr>
            <w:tcW w:w="7371" w:type="dxa"/>
          </w:tcPr>
          <w:p w14:paraId="2B3ABBEF"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There were 2 regulatory options consulted on. Guidance would be provided to reflect any new requirements.</w:t>
            </w:r>
          </w:p>
          <w:p w14:paraId="07488D14"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0558F629"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pPr>
            <w:r w:rsidRPr="007D162C">
              <w:t>Transport Standards would be amended to require that all doors that are opened by passengers must be automatic or power assisted.</w:t>
            </w:r>
          </w:p>
          <w:p w14:paraId="40E837B8"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27AE69DC" w14:textId="77777777" w:rsidR="001941EE" w:rsidRPr="007D162C" w:rsidRDefault="001941EE" w:rsidP="00163A8D">
            <w:pPr>
              <w:cnfStyle w:val="000000100000" w:firstRow="0" w:lastRow="0" w:firstColumn="0" w:lastColumn="0" w:oddVBand="0" w:evenVBand="0" w:oddHBand="1" w:evenHBand="0" w:firstRowFirstColumn="0" w:firstRowLastColumn="0" w:lastRowFirstColumn="0" w:lastRowLastColumn="0"/>
              <w:rPr>
                <w:b/>
              </w:rPr>
            </w:pPr>
            <w:r w:rsidRPr="007D162C">
              <w:t xml:space="preserve">The Transport Standards would be amended to include requirements for power assisted </w:t>
            </w:r>
            <w:bookmarkStart w:id="395" w:name="_Hlk119056125"/>
            <w:r w:rsidRPr="007D162C">
              <w:t xml:space="preserve">unisex accessible and ambulant toilet </w:t>
            </w:r>
            <w:bookmarkEnd w:id="395"/>
            <w:r w:rsidRPr="007D162C">
              <w:t xml:space="preserve">doors. </w:t>
            </w:r>
            <w:bookmarkStart w:id="396" w:name="_Hlk119056172"/>
            <w:r w:rsidRPr="007D162C">
              <w:t>All other doors could be automatic, staff operated, power assisted by passengers or manual.</w:t>
            </w:r>
            <w:bookmarkEnd w:id="396"/>
          </w:p>
        </w:tc>
      </w:tr>
    </w:tbl>
    <w:p w14:paraId="04DB271C" w14:textId="77777777" w:rsidR="001941EE" w:rsidRPr="007D162C" w:rsidRDefault="001941EE" w:rsidP="001941EE"/>
    <w:p w14:paraId="66780FE5" w14:textId="77777777" w:rsidR="001941EE" w:rsidRPr="007D162C" w:rsidRDefault="001941EE" w:rsidP="001941EE">
      <w:pPr>
        <w:pStyle w:val="Heading4"/>
        <w:tabs>
          <w:tab w:val="left" w:pos="284"/>
        </w:tabs>
      </w:pPr>
      <w:r w:rsidRPr="007D162C">
        <w:t>Cost benefit analysis</w:t>
      </w:r>
    </w:p>
    <w:p w14:paraId="2706C346" w14:textId="77777777" w:rsidR="001941EE" w:rsidRPr="007D162C" w:rsidRDefault="001941EE" w:rsidP="000C7A9B">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97E0A4E" w14:textId="77777777" w:rsidR="00F26EC2" w:rsidRDefault="001941EE" w:rsidP="001941EE">
      <w:r w:rsidRPr="007D162C">
        <w:t xml:space="preserve">The following categories of quantitative costs and benefits were identified in the CBA as pertaining to the reform options. </w:t>
      </w:r>
    </w:p>
    <w:p w14:paraId="00B36AB0" w14:textId="77777777" w:rsidR="00F26EC2" w:rsidRDefault="00F26EC2">
      <w:pPr>
        <w:spacing w:line="259" w:lineRule="auto"/>
      </w:pPr>
      <w:r>
        <w:br w:type="page"/>
      </w:r>
    </w:p>
    <w:p w14:paraId="241DE3F0" w14:textId="77777777" w:rsidR="001941EE" w:rsidRPr="007D162C" w:rsidRDefault="001941EE" w:rsidP="001941EE"/>
    <w:p w14:paraId="035E1CD2" w14:textId="00B78F2C" w:rsidR="001941EE" w:rsidRPr="007D162C" w:rsidRDefault="001941EE" w:rsidP="004228D6">
      <w:pPr>
        <w:pStyle w:val="Tablefigureheading"/>
      </w:pPr>
      <w:bookmarkStart w:id="397" w:name="_Toc122446386"/>
      <w:bookmarkStart w:id="398" w:name="_Toc139969227"/>
      <w:r w:rsidRPr="007D162C">
        <w:t xml:space="preserve">Table </w:t>
      </w:r>
      <w:fldSimple w:instr=" SEQ Table \* ARABIC ">
        <w:r w:rsidR="00DC26AC">
          <w:rPr>
            <w:noProof/>
          </w:rPr>
          <w:t>69</w:t>
        </w:r>
      </w:fldSimple>
      <w:r w:rsidRPr="007D162C">
        <w:t xml:space="preserve">: Benefit-cost ratios for </w:t>
      </w:r>
      <w:r w:rsidR="001075A6" w:rsidRPr="007D162C">
        <w:t>D</w:t>
      </w:r>
      <w:r w:rsidRPr="007D162C">
        <w:t>oors on access paths</w:t>
      </w:r>
      <w:bookmarkEnd w:id="397"/>
      <w:bookmarkEnd w:id="398"/>
    </w:p>
    <w:tbl>
      <w:tblPr>
        <w:tblStyle w:val="DefaultTable1"/>
        <w:tblW w:w="9498" w:type="dxa"/>
        <w:tblLook w:val="04A0" w:firstRow="1" w:lastRow="0" w:firstColumn="1" w:lastColumn="0" w:noHBand="0" w:noVBand="1"/>
        <w:tblCaption w:val="Benefit-cost ratios for doors on access paths"/>
        <w:tblDescription w:val="This table provides the monetised benefits and costs for each of the options for this reform area."/>
      </w:tblPr>
      <w:tblGrid>
        <w:gridCol w:w="1961"/>
        <w:gridCol w:w="1203"/>
        <w:gridCol w:w="1791"/>
        <w:gridCol w:w="1849"/>
        <w:gridCol w:w="1701"/>
        <w:gridCol w:w="993"/>
      </w:tblGrid>
      <w:tr w:rsidR="001941EE" w:rsidRPr="007D162C" w14:paraId="603E36D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4C844688" w14:textId="77777777" w:rsidR="001941EE" w:rsidRPr="007D162C" w:rsidRDefault="08D050C4" w:rsidP="00163A8D">
            <w:pPr>
              <w:rPr>
                <w:sz w:val="22"/>
                <w:szCs w:val="22"/>
              </w:rPr>
            </w:pPr>
            <w:r w:rsidRPr="007D162C">
              <w:rPr>
                <w:sz w:val="22"/>
                <w:szCs w:val="22"/>
              </w:rPr>
              <w:t>Reform Option</w:t>
            </w:r>
          </w:p>
        </w:tc>
        <w:tc>
          <w:tcPr>
            <w:tcW w:w="1203" w:type="dxa"/>
          </w:tcPr>
          <w:p w14:paraId="0992A9A0"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benefits*</w:t>
            </w:r>
          </w:p>
        </w:tc>
        <w:tc>
          <w:tcPr>
            <w:tcW w:w="1791" w:type="dxa"/>
          </w:tcPr>
          <w:p w14:paraId="5A8206E9"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(administrative)*</w:t>
            </w:r>
          </w:p>
        </w:tc>
        <w:tc>
          <w:tcPr>
            <w:tcW w:w="1849" w:type="dxa"/>
          </w:tcPr>
          <w:p w14:paraId="495003CB"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compliance costs (substantive)*</w:t>
            </w:r>
          </w:p>
        </w:tc>
        <w:tc>
          <w:tcPr>
            <w:tcW w:w="1701" w:type="dxa"/>
          </w:tcPr>
          <w:p w14:paraId="1DAE52D9" w14:textId="77777777" w:rsidR="001941EE" w:rsidRPr="007D162C" w:rsidRDefault="08D050C4" w:rsidP="08D050C4">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Monetised total compliance costs*</w:t>
            </w:r>
          </w:p>
        </w:tc>
        <w:tc>
          <w:tcPr>
            <w:tcW w:w="993" w:type="dxa"/>
          </w:tcPr>
          <w:p w14:paraId="43AD08FA"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2"/>
                <w:szCs w:val="22"/>
              </w:rPr>
            </w:pPr>
            <w:r w:rsidRPr="007D162C">
              <w:rPr>
                <w:sz w:val="22"/>
                <w:szCs w:val="22"/>
              </w:rPr>
              <w:t>BCR</w:t>
            </w:r>
          </w:p>
        </w:tc>
      </w:tr>
      <w:tr w:rsidR="001C3CED" w:rsidRPr="007D162C" w14:paraId="4E8EC4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4DCB802B" w14:textId="77777777" w:rsidR="001C3CED" w:rsidRPr="007D162C" w:rsidRDefault="001C3CED" w:rsidP="001C3CED">
            <w:r w:rsidRPr="007D162C">
              <w:t>Status Quo</w:t>
            </w:r>
          </w:p>
        </w:tc>
        <w:tc>
          <w:tcPr>
            <w:tcW w:w="1203" w:type="dxa"/>
          </w:tcPr>
          <w:p w14:paraId="1300E131"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91" w:type="dxa"/>
          </w:tcPr>
          <w:p w14:paraId="23CBDA0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9" w:type="dxa"/>
          </w:tcPr>
          <w:p w14:paraId="5E785ED0"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701" w:type="dxa"/>
          </w:tcPr>
          <w:p w14:paraId="4ADA3FB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993" w:type="dxa"/>
          </w:tcPr>
          <w:p w14:paraId="31CADD0B"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13C522F5" w14:textId="77777777" w:rsidTr="08D050C4">
        <w:tc>
          <w:tcPr>
            <w:cnfStyle w:val="001000000000" w:firstRow="0" w:lastRow="0" w:firstColumn="1" w:lastColumn="0" w:oddVBand="0" w:evenVBand="0" w:oddHBand="0" w:evenHBand="0" w:firstRowFirstColumn="0" w:firstRowLastColumn="0" w:lastRowFirstColumn="0" w:lastRowLastColumn="0"/>
            <w:tcW w:w="1961" w:type="dxa"/>
          </w:tcPr>
          <w:p w14:paraId="5606738F" w14:textId="77777777" w:rsidR="001C3CED" w:rsidRPr="007D162C" w:rsidRDefault="001C3CED" w:rsidP="001C3CED">
            <w:r w:rsidRPr="007D162C">
              <w:t xml:space="preserve">Non-regulatory </w:t>
            </w:r>
          </w:p>
        </w:tc>
        <w:tc>
          <w:tcPr>
            <w:tcW w:w="1203" w:type="dxa"/>
          </w:tcPr>
          <w:p w14:paraId="508C2BC9"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791" w:type="dxa"/>
          </w:tcPr>
          <w:p w14:paraId="2C789B0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9" w:type="dxa"/>
          </w:tcPr>
          <w:p w14:paraId="29DF5F2A"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701" w:type="dxa"/>
          </w:tcPr>
          <w:p w14:paraId="7952940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993" w:type="dxa"/>
          </w:tcPr>
          <w:p w14:paraId="70053B69"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r w:rsidR="001C3CED" w:rsidRPr="007D162C" w14:paraId="63364B7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1" w:type="dxa"/>
          </w:tcPr>
          <w:p w14:paraId="0CDAD591" w14:textId="77777777" w:rsidR="001C3CED" w:rsidRPr="007D162C" w:rsidRDefault="001C3CED" w:rsidP="001C3CED">
            <w:r w:rsidRPr="007D162C">
              <w:t xml:space="preserve">Regulatory option 1 </w:t>
            </w:r>
          </w:p>
        </w:tc>
        <w:tc>
          <w:tcPr>
            <w:tcW w:w="1203" w:type="dxa"/>
            <w:vAlign w:val="center"/>
          </w:tcPr>
          <w:p w14:paraId="423FD6D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52.9</w:t>
            </w:r>
          </w:p>
        </w:tc>
        <w:tc>
          <w:tcPr>
            <w:tcW w:w="1791" w:type="dxa"/>
          </w:tcPr>
          <w:p w14:paraId="2622EF8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849" w:type="dxa"/>
            <w:vAlign w:val="center"/>
          </w:tcPr>
          <w:p w14:paraId="254B983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15.8</w:t>
            </w:r>
          </w:p>
        </w:tc>
        <w:tc>
          <w:tcPr>
            <w:tcW w:w="1701" w:type="dxa"/>
            <w:vAlign w:val="center"/>
          </w:tcPr>
          <w:p w14:paraId="601C043F"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15.8</w:t>
            </w:r>
          </w:p>
        </w:tc>
        <w:tc>
          <w:tcPr>
            <w:tcW w:w="993" w:type="dxa"/>
            <w:vAlign w:val="center"/>
          </w:tcPr>
          <w:p w14:paraId="2DDBC58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t>3.34</w:t>
            </w:r>
          </w:p>
        </w:tc>
      </w:tr>
      <w:tr w:rsidR="001C3CED" w:rsidRPr="007D162C" w14:paraId="20B9614D" w14:textId="77777777" w:rsidTr="08D050C4">
        <w:tc>
          <w:tcPr>
            <w:cnfStyle w:val="001000000000" w:firstRow="0" w:lastRow="0" w:firstColumn="1" w:lastColumn="0" w:oddVBand="0" w:evenVBand="0" w:oddHBand="0" w:evenHBand="0" w:firstRowFirstColumn="0" w:firstRowLastColumn="0" w:lastRowFirstColumn="0" w:lastRowLastColumn="0"/>
            <w:tcW w:w="1961" w:type="dxa"/>
          </w:tcPr>
          <w:p w14:paraId="34FA42F7" w14:textId="77777777" w:rsidR="001C3CED" w:rsidRPr="007D162C" w:rsidRDefault="001C3CED" w:rsidP="001C3CED">
            <w:r w:rsidRPr="007D162C">
              <w:t>Regulatory option 2</w:t>
            </w:r>
          </w:p>
        </w:tc>
        <w:tc>
          <w:tcPr>
            <w:tcW w:w="1203" w:type="dxa"/>
            <w:vAlign w:val="center"/>
          </w:tcPr>
          <w:p w14:paraId="7FE7C7A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53.0</w:t>
            </w:r>
          </w:p>
        </w:tc>
        <w:tc>
          <w:tcPr>
            <w:tcW w:w="1791" w:type="dxa"/>
          </w:tcPr>
          <w:p w14:paraId="79E46920"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849" w:type="dxa"/>
            <w:vAlign w:val="center"/>
          </w:tcPr>
          <w:p w14:paraId="4AA1E7D6"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4.8</w:t>
            </w:r>
          </w:p>
        </w:tc>
        <w:tc>
          <w:tcPr>
            <w:tcW w:w="1701" w:type="dxa"/>
            <w:vAlign w:val="center"/>
          </w:tcPr>
          <w:p w14:paraId="4047D648"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4.8</w:t>
            </w:r>
          </w:p>
        </w:tc>
        <w:tc>
          <w:tcPr>
            <w:tcW w:w="993" w:type="dxa"/>
            <w:vAlign w:val="center"/>
          </w:tcPr>
          <w:p w14:paraId="1EF4645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11.00</w:t>
            </w:r>
          </w:p>
        </w:tc>
      </w:tr>
    </w:tbl>
    <w:p w14:paraId="02D693B4" w14:textId="77777777" w:rsidR="001941EE" w:rsidRPr="007D162C" w:rsidRDefault="001941EE" w:rsidP="001941EE">
      <w:pPr>
        <w:spacing w:before="120" w:after="0"/>
        <w:rPr>
          <w:sz w:val="18"/>
          <w:szCs w:val="18"/>
        </w:rPr>
      </w:pPr>
      <w:r w:rsidRPr="007D162C">
        <w:rPr>
          <w:sz w:val="20"/>
          <w:szCs w:val="20"/>
          <w:vertAlign w:val="superscript"/>
        </w:rPr>
        <w:t>*</w:t>
      </w:r>
      <w:r w:rsidRPr="007D162C">
        <w:rPr>
          <w:sz w:val="18"/>
          <w:szCs w:val="18"/>
        </w:rPr>
        <w:t>$M, 2022/23, real, discounted at 7% over a 15-year appraisal period after implementation of all reforms, assessed incrementally</w:t>
      </w:r>
    </w:p>
    <w:p w14:paraId="7CED13DD" w14:textId="77777777" w:rsidR="00473BC3" w:rsidRPr="007D162C" w:rsidRDefault="00473BC3" w:rsidP="00BC2965"/>
    <w:p w14:paraId="2E1FFD53" w14:textId="77777777" w:rsidR="001941EE" w:rsidRPr="007D162C" w:rsidRDefault="001941EE" w:rsidP="00645CAB">
      <w:pPr>
        <w:pStyle w:val="Heading6"/>
      </w:pPr>
      <w:r w:rsidRPr="007D162C">
        <w:t>Considerations to note in interpreting analysis</w:t>
      </w:r>
    </w:p>
    <w:p w14:paraId="1C462342" w14:textId="77777777" w:rsidR="001941EE" w:rsidRPr="007D162C" w:rsidRDefault="001941EE" w:rsidP="00645CAB">
      <w:pPr>
        <w:pStyle w:val="Heading7"/>
      </w:pPr>
      <w:r w:rsidRPr="007D162C">
        <w:t>Limitations</w:t>
      </w:r>
    </w:p>
    <w:p w14:paraId="49C3671A" w14:textId="77777777" w:rsidR="001941EE" w:rsidRPr="007D162C" w:rsidRDefault="001941EE" w:rsidP="00105D34">
      <w:pPr>
        <w:pStyle w:val="Heading8"/>
      </w:pPr>
      <w:r w:rsidRPr="007D162C">
        <w:t>Non-regulatory</w:t>
      </w:r>
    </w:p>
    <w:p w14:paraId="68573F43" w14:textId="77777777" w:rsidR="001941EE" w:rsidRPr="007D162C" w:rsidRDefault="001941EE" w:rsidP="00645CAB">
      <w:r w:rsidRPr="007D162C">
        <w:t>There are no costs and benefits associated with this non-regulatory reform. No uptake of guidance is estimated for the cost benefit analysis based on the high cost and complexity of upgrading doors.</w:t>
      </w:r>
    </w:p>
    <w:p w14:paraId="7622DFFA" w14:textId="77777777" w:rsidR="001941EE" w:rsidRPr="007D162C" w:rsidRDefault="001941EE" w:rsidP="00105D34">
      <w:pPr>
        <w:pStyle w:val="Heading8"/>
      </w:pPr>
      <w:r w:rsidRPr="007D162C">
        <w:t>Regulatory option 1</w:t>
      </w:r>
    </w:p>
    <w:p w14:paraId="32F77694" w14:textId="77777777" w:rsidR="001941EE" w:rsidRPr="007D162C" w:rsidRDefault="001941EE" w:rsidP="00645CAB">
      <w:r w:rsidRPr="007D162C">
        <w:t>The benefits and costs were estimated based on limited data points provided through the survey and publicly available data to proxy compliance at a national level, implying benefits and costs may not capture the full extent of compliance.</w:t>
      </w:r>
    </w:p>
    <w:p w14:paraId="5A8CCFE0" w14:textId="77777777" w:rsidR="001941EE" w:rsidRPr="007D162C" w:rsidRDefault="001941EE" w:rsidP="00645CAB">
      <w:r w:rsidRPr="007D162C">
        <w:t>Compliance would only be required if doors weren't covered by the Premises Standard, potentially resulting in lower costs compared to amenity benefits for all public transport users from the provision of power-assisted or automatic doors.</w:t>
      </w:r>
    </w:p>
    <w:p w14:paraId="670FA27C" w14:textId="77777777" w:rsidR="001941EE" w:rsidRPr="007D162C" w:rsidRDefault="001941EE" w:rsidP="00105D34">
      <w:pPr>
        <w:pStyle w:val="Heading8"/>
      </w:pPr>
      <w:r w:rsidRPr="007D162C">
        <w:t>Regulatory option 2</w:t>
      </w:r>
    </w:p>
    <w:p w14:paraId="5DD94E47" w14:textId="77777777" w:rsidR="001941EE" w:rsidRPr="007D162C" w:rsidRDefault="001941EE" w:rsidP="00645CAB">
      <w:r w:rsidRPr="007D162C">
        <w:t xml:space="preserve">The benefits and costs were estimated based on limited data points provided through the survey, publicly available data to proxy compliance at a national level and costs of providing automatic doors for accessible toilets by RLB. </w:t>
      </w:r>
    </w:p>
    <w:p w14:paraId="749CF4D3" w14:textId="77777777" w:rsidR="001941EE" w:rsidRPr="007D162C" w:rsidRDefault="001941EE" w:rsidP="00645CAB">
      <w:r w:rsidRPr="007D162C">
        <w:t>This reform option only applies to access paths to accessible toilets, reducing the number of doors requiring upgrade in comparison to option 1.</w:t>
      </w:r>
    </w:p>
    <w:p w14:paraId="4469263B" w14:textId="77777777" w:rsidR="001941EE" w:rsidRPr="007D162C" w:rsidRDefault="001941EE" w:rsidP="00645CAB">
      <w:pPr>
        <w:pStyle w:val="Heading7"/>
      </w:pPr>
      <w:r w:rsidRPr="007D162C">
        <w:t>Interdependencies</w:t>
      </w:r>
    </w:p>
    <w:p w14:paraId="10EC8EB6" w14:textId="77777777" w:rsidR="001941EE" w:rsidRPr="007D162C" w:rsidRDefault="08D050C4" w:rsidP="00645CAB">
      <w:r w:rsidRPr="007D162C">
        <w:t>The accessibility benefits of this reform will only be realised if there was equitable access across the whole public transport journey, with benefits reliant on implementation of other reforms such as boarding point infrastructure and nominated assistance.</w:t>
      </w:r>
    </w:p>
    <w:p w14:paraId="5E2B9775" w14:textId="77777777" w:rsidR="001941EE" w:rsidRPr="007D162C" w:rsidRDefault="001941EE" w:rsidP="001941EE">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95E5E50" w14:textId="77777777" w:rsidR="001941EE" w:rsidRPr="007D162C" w:rsidRDefault="001941EE" w:rsidP="001941EE">
      <w:r w:rsidRPr="007D162C">
        <w:t>The following categories of qualitative benefits were identified in the CBA as pertaining to the reform options.</w:t>
      </w:r>
    </w:p>
    <w:p w14:paraId="4454F1BD" w14:textId="77777777" w:rsidR="00D35CB8" w:rsidRPr="007D162C" w:rsidRDefault="00D35CB8">
      <w:pPr>
        <w:spacing w:line="259" w:lineRule="auto"/>
        <w:rPr>
          <w:rFonts w:ascii="Calibri" w:hAnsi="Calibri"/>
          <w:b/>
          <w:color w:val="002D72"/>
          <w:lang w:val="en-AU"/>
        </w:rPr>
      </w:pPr>
      <w:bookmarkStart w:id="399" w:name="_Toc122446387"/>
      <w:r w:rsidRPr="007D162C">
        <w:br w:type="page"/>
      </w:r>
    </w:p>
    <w:p w14:paraId="09CAAEDD" w14:textId="581974A6" w:rsidR="001941EE" w:rsidRPr="007D162C" w:rsidRDefault="001941EE" w:rsidP="004228D6">
      <w:pPr>
        <w:pStyle w:val="Tablefigureheading"/>
      </w:pPr>
      <w:bookmarkStart w:id="400" w:name="_Toc139969228"/>
      <w:r w:rsidRPr="007D162C">
        <w:lastRenderedPageBreak/>
        <w:t xml:space="preserve">Table </w:t>
      </w:r>
      <w:fldSimple w:instr=" SEQ Table \* ARABIC ">
        <w:r w:rsidR="00DC26AC">
          <w:rPr>
            <w:noProof/>
          </w:rPr>
          <w:t>70</w:t>
        </w:r>
      </w:fldSimple>
      <w:r w:rsidRPr="007D162C">
        <w:t xml:space="preserve">: Qualitative benefits for </w:t>
      </w:r>
      <w:r w:rsidR="001075A6" w:rsidRPr="007D162C">
        <w:t>D</w:t>
      </w:r>
      <w:r w:rsidRPr="007D162C">
        <w:t>oors on access paths</w:t>
      </w:r>
      <w:bookmarkEnd w:id="399"/>
      <w:bookmarkEnd w:id="400"/>
    </w:p>
    <w:tbl>
      <w:tblPr>
        <w:tblStyle w:val="DefaultTable1"/>
        <w:tblW w:w="9825" w:type="dxa"/>
        <w:tblLook w:val="04A0" w:firstRow="1" w:lastRow="0" w:firstColumn="1" w:lastColumn="0" w:noHBand="0" w:noVBand="1"/>
        <w:tblCaption w:val="Qualitative benefits for doors on access paths"/>
      </w:tblPr>
      <w:tblGrid>
        <w:gridCol w:w="1948"/>
        <w:gridCol w:w="1171"/>
        <w:gridCol w:w="1455"/>
        <w:gridCol w:w="1096"/>
        <w:gridCol w:w="1134"/>
        <w:gridCol w:w="1560"/>
        <w:gridCol w:w="1461"/>
      </w:tblGrid>
      <w:tr w:rsidR="001941EE" w:rsidRPr="007D162C" w14:paraId="1BDA5F7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3FA30789" w14:textId="77777777" w:rsidR="001941EE" w:rsidRPr="007D162C" w:rsidRDefault="08D050C4" w:rsidP="00163A8D">
            <w:pPr>
              <w:rPr>
                <w:sz w:val="21"/>
                <w:szCs w:val="21"/>
              </w:rPr>
            </w:pPr>
            <w:r w:rsidRPr="007D162C">
              <w:rPr>
                <w:sz w:val="21"/>
                <w:szCs w:val="21"/>
              </w:rPr>
              <w:t>Reform Option</w:t>
            </w:r>
          </w:p>
        </w:tc>
        <w:tc>
          <w:tcPr>
            <w:tcW w:w="1171" w:type="dxa"/>
          </w:tcPr>
          <w:p w14:paraId="6C64F5E6"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Increased optionality </w:t>
            </w:r>
          </w:p>
        </w:tc>
        <w:tc>
          <w:tcPr>
            <w:tcW w:w="1455" w:type="dxa"/>
          </w:tcPr>
          <w:p w14:paraId="783A5E4E"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Enhanced independence and inclusion </w:t>
            </w:r>
          </w:p>
        </w:tc>
        <w:tc>
          <w:tcPr>
            <w:tcW w:w="1096" w:type="dxa"/>
          </w:tcPr>
          <w:p w14:paraId="7240C9F3"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health outcomes</w:t>
            </w:r>
          </w:p>
        </w:tc>
        <w:tc>
          <w:tcPr>
            <w:tcW w:w="1134" w:type="dxa"/>
          </w:tcPr>
          <w:p w14:paraId="3A90539B"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Improved access to services</w:t>
            </w:r>
          </w:p>
        </w:tc>
        <w:tc>
          <w:tcPr>
            <w:tcW w:w="1560" w:type="dxa"/>
          </w:tcPr>
          <w:p w14:paraId="4DE4438A"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 xml:space="preserve">Greater sense of connection to community and place </w:t>
            </w:r>
          </w:p>
        </w:tc>
        <w:tc>
          <w:tcPr>
            <w:tcW w:w="1461" w:type="dxa"/>
          </w:tcPr>
          <w:p w14:paraId="48FFE3FE" w14:textId="77777777" w:rsidR="001941EE" w:rsidRPr="007D162C" w:rsidRDefault="08D050C4" w:rsidP="00163A8D">
            <w:pPr>
              <w:cnfStyle w:val="100000000000" w:firstRow="1" w:lastRow="0" w:firstColumn="0" w:lastColumn="0" w:oddVBand="0" w:evenVBand="0" w:oddHBand="0" w:evenHBand="0" w:firstRowFirstColumn="0" w:firstRowLastColumn="0" w:lastRowFirstColumn="0" w:lastRowLastColumn="0"/>
              <w:rPr>
                <w:sz w:val="21"/>
                <w:szCs w:val="21"/>
              </w:rPr>
            </w:pPr>
            <w:r w:rsidRPr="007D162C">
              <w:rPr>
                <w:sz w:val="21"/>
                <w:szCs w:val="21"/>
              </w:rPr>
              <w:t>Increased opportunities for employment</w:t>
            </w:r>
          </w:p>
        </w:tc>
      </w:tr>
      <w:tr w:rsidR="001C3CED" w:rsidRPr="007D162C" w14:paraId="6FAD3E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238D2A0E" w14:textId="77777777" w:rsidR="001C3CED" w:rsidRPr="007D162C" w:rsidRDefault="001C3CED" w:rsidP="001C3CED">
            <w:r w:rsidRPr="007D162C">
              <w:t>Status Quo</w:t>
            </w:r>
          </w:p>
        </w:tc>
        <w:tc>
          <w:tcPr>
            <w:tcW w:w="1171" w:type="dxa"/>
          </w:tcPr>
          <w:p w14:paraId="79931C0C"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55" w:type="dxa"/>
          </w:tcPr>
          <w:p w14:paraId="1BA7E4B5"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096" w:type="dxa"/>
          </w:tcPr>
          <w:p w14:paraId="12FDC069"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2BCB28A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560" w:type="dxa"/>
          </w:tcPr>
          <w:p w14:paraId="2BE36476"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461" w:type="dxa"/>
          </w:tcPr>
          <w:p w14:paraId="4D91DBE2"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r>
      <w:tr w:rsidR="001C3CED" w:rsidRPr="007D162C" w14:paraId="65A14822" w14:textId="77777777" w:rsidTr="08D050C4">
        <w:tc>
          <w:tcPr>
            <w:cnfStyle w:val="001000000000" w:firstRow="0" w:lastRow="0" w:firstColumn="1" w:lastColumn="0" w:oddVBand="0" w:evenVBand="0" w:oddHBand="0" w:evenHBand="0" w:firstRowFirstColumn="0" w:firstRowLastColumn="0" w:lastRowFirstColumn="0" w:lastRowLastColumn="0"/>
            <w:tcW w:w="1948" w:type="dxa"/>
          </w:tcPr>
          <w:p w14:paraId="6450EB30" w14:textId="77777777" w:rsidR="001C3CED" w:rsidRPr="007D162C" w:rsidRDefault="001C3CED" w:rsidP="001C3CED">
            <w:r w:rsidRPr="007D162C">
              <w:t xml:space="preserve">Non-regulatory </w:t>
            </w:r>
          </w:p>
        </w:tc>
        <w:tc>
          <w:tcPr>
            <w:tcW w:w="1171" w:type="dxa"/>
          </w:tcPr>
          <w:p w14:paraId="0F5B810F"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55" w:type="dxa"/>
          </w:tcPr>
          <w:p w14:paraId="4472D026"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6" w:type="dxa"/>
          </w:tcPr>
          <w:p w14:paraId="03A8286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652204A0"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560" w:type="dxa"/>
          </w:tcPr>
          <w:p w14:paraId="651863D6"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461" w:type="dxa"/>
          </w:tcPr>
          <w:p w14:paraId="73BAF04A"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r>
      <w:tr w:rsidR="001C3CED" w:rsidRPr="007D162C" w14:paraId="6D3D47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8" w:type="dxa"/>
          </w:tcPr>
          <w:p w14:paraId="775926ED" w14:textId="77777777" w:rsidR="001C3CED" w:rsidRPr="007D162C" w:rsidRDefault="001C3CED" w:rsidP="001C3CED">
            <w:r w:rsidRPr="007D162C">
              <w:t>Regulatory option 1</w:t>
            </w:r>
          </w:p>
        </w:tc>
        <w:tc>
          <w:tcPr>
            <w:tcW w:w="1171" w:type="dxa"/>
          </w:tcPr>
          <w:p w14:paraId="3237457D"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55" w:type="dxa"/>
          </w:tcPr>
          <w:p w14:paraId="0D719BC3"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096" w:type="dxa"/>
          </w:tcPr>
          <w:p w14:paraId="5A714907" w14:textId="77777777" w:rsidR="001C3CED" w:rsidRPr="007D162C" w:rsidRDefault="08D050C4" w:rsidP="001C3CED">
            <w:pPr>
              <w:cnfStyle w:val="000000100000" w:firstRow="0" w:lastRow="0" w:firstColumn="0" w:lastColumn="0" w:oddVBand="0" w:evenVBand="0" w:oddHBand="1" w:evenHBand="0" w:firstRowFirstColumn="0" w:firstRowLastColumn="0" w:lastRowFirstColumn="0" w:lastRowLastColumn="0"/>
            </w:pPr>
            <w:r w:rsidRPr="007D162C">
              <w:rPr>
                <w:sz w:val="21"/>
                <w:szCs w:val="21"/>
              </w:rPr>
              <w:t>-</w:t>
            </w:r>
          </w:p>
        </w:tc>
        <w:tc>
          <w:tcPr>
            <w:tcW w:w="1134" w:type="dxa"/>
          </w:tcPr>
          <w:p w14:paraId="470B6C6E"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560" w:type="dxa"/>
          </w:tcPr>
          <w:p w14:paraId="1C4B9E77"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c>
          <w:tcPr>
            <w:tcW w:w="1461" w:type="dxa"/>
          </w:tcPr>
          <w:p w14:paraId="1C0B014A" w14:textId="77777777" w:rsidR="001C3CED" w:rsidRPr="007D162C" w:rsidRDefault="001C3CED" w:rsidP="001C3CED">
            <w:pPr>
              <w:cnfStyle w:val="000000100000" w:firstRow="0" w:lastRow="0" w:firstColumn="0" w:lastColumn="0" w:oddVBand="0" w:evenVBand="0" w:oddHBand="1" w:evenHBand="0" w:firstRowFirstColumn="0" w:firstRowLastColumn="0" w:lastRowFirstColumn="0" w:lastRowLastColumn="0"/>
            </w:pPr>
            <w:r w:rsidRPr="007D162C">
              <w:t>Yes</w:t>
            </w:r>
          </w:p>
        </w:tc>
      </w:tr>
      <w:tr w:rsidR="001C3CED" w:rsidRPr="007D162C" w14:paraId="60899C1E" w14:textId="77777777" w:rsidTr="08D050C4">
        <w:tc>
          <w:tcPr>
            <w:cnfStyle w:val="001000000000" w:firstRow="0" w:lastRow="0" w:firstColumn="1" w:lastColumn="0" w:oddVBand="0" w:evenVBand="0" w:oddHBand="0" w:evenHBand="0" w:firstRowFirstColumn="0" w:firstRowLastColumn="0" w:lastRowFirstColumn="0" w:lastRowLastColumn="0"/>
            <w:tcW w:w="1948" w:type="dxa"/>
          </w:tcPr>
          <w:p w14:paraId="62E72EDF" w14:textId="77777777" w:rsidR="001C3CED" w:rsidRPr="007D162C" w:rsidRDefault="001C3CED" w:rsidP="001C3CED">
            <w:r w:rsidRPr="007D162C">
              <w:t xml:space="preserve">Regulatory option 2 </w:t>
            </w:r>
          </w:p>
        </w:tc>
        <w:tc>
          <w:tcPr>
            <w:tcW w:w="1171" w:type="dxa"/>
          </w:tcPr>
          <w:p w14:paraId="59FDFF7F"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t>-</w:t>
            </w:r>
          </w:p>
        </w:tc>
        <w:tc>
          <w:tcPr>
            <w:tcW w:w="1455" w:type="dxa"/>
          </w:tcPr>
          <w:p w14:paraId="003F86DA" w14:textId="77777777" w:rsidR="001C3CED" w:rsidRPr="007D162C" w:rsidRDefault="001C3CED" w:rsidP="001C3CED">
            <w:pPr>
              <w:cnfStyle w:val="000000000000" w:firstRow="0" w:lastRow="0" w:firstColumn="0" w:lastColumn="0" w:oddVBand="0" w:evenVBand="0" w:oddHBand="0" w:evenHBand="0" w:firstRowFirstColumn="0" w:firstRowLastColumn="0" w:lastRowFirstColumn="0" w:lastRowLastColumn="0"/>
            </w:pPr>
            <w:r w:rsidRPr="007D162C">
              <w:t>Yes</w:t>
            </w:r>
          </w:p>
        </w:tc>
        <w:tc>
          <w:tcPr>
            <w:tcW w:w="1096" w:type="dxa"/>
          </w:tcPr>
          <w:p w14:paraId="20251943"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134" w:type="dxa"/>
          </w:tcPr>
          <w:p w14:paraId="4A46DE6E"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560" w:type="dxa"/>
          </w:tcPr>
          <w:p w14:paraId="1BD007F1"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c>
          <w:tcPr>
            <w:tcW w:w="1461" w:type="dxa"/>
          </w:tcPr>
          <w:p w14:paraId="16CD6432" w14:textId="77777777" w:rsidR="001C3CED" w:rsidRPr="007D162C" w:rsidRDefault="08D050C4" w:rsidP="001C3CED">
            <w:pPr>
              <w:cnfStyle w:val="000000000000" w:firstRow="0" w:lastRow="0" w:firstColumn="0" w:lastColumn="0" w:oddVBand="0" w:evenVBand="0" w:oddHBand="0" w:evenHBand="0" w:firstRowFirstColumn="0" w:firstRowLastColumn="0" w:lastRowFirstColumn="0" w:lastRowLastColumn="0"/>
            </w:pPr>
            <w:r w:rsidRPr="007D162C">
              <w:rPr>
                <w:sz w:val="21"/>
                <w:szCs w:val="21"/>
              </w:rPr>
              <w:t>-</w:t>
            </w:r>
          </w:p>
        </w:tc>
      </w:tr>
    </w:tbl>
    <w:p w14:paraId="1A370F74" w14:textId="77777777" w:rsidR="001941EE" w:rsidRPr="007D162C" w:rsidRDefault="001941EE" w:rsidP="001941EE"/>
    <w:p w14:paraId="4D58A5D7" w14:textId="77777777" w:rsidR="001941EE" w:rsidRPr="007D162C" w:rsidRDefault="001941EE" w:rsidP="001941EE">
      <w:pPr>
        <w:pStyle w:val="Heading4"/>
      </w:pPr>
      <w:r w:rsidRPr="007D162C">
        <w:t xml:space="preserve">Analysis of submissions </w:t>
      </w:r>
    </w:p>
    <w:p w14:paraId="5CDEF4A2" w14:textId="77777777" w:rsidR="001941EE" w:rsidRPr="007D162C" w:rsidRDefault="001941EE" w:rsidP="00645CAB">
      <w:pPr>
        <w:pStyle w:val="Heading5"/>
      </w:pPr>
      <w:r w:rsidRPr="007D162C">
        <w:t>Status quo</w:t>
      </w:r>
    </w:p>
    <w:p w14:paraId="705BC849" w14:textId="77777777" w:rsidR="001941EE" w:rsidRPr="007D162C" w:rsidRDefault="001941EE" w:rsidP="001941EE">
      <w:pPr>
        <w:pStyle w:val="Normaldisclaimerpage"/>
      </w:pPr>
      <w:r w:rsidRPr="007D162C">
        <w:t xml:space="preserve">Consultation findings indicate that under the status quo, manual doors are still used along access paths, particularly in premises and infrastructure. This poses a barrier for people with disability to travel. Feedback from all stakeholder groups has acknowledged the importance of power-assisted and automatic doors in removing barriers for people with disability. Only one submission expressed support for maintaining the status quo. </w:t>
      </w:r>
    </w:p>
    <w:p w14:paraId="3EEE467C" w14:textId="58146C09" w:rsidR="00881B9E" w:rsidRDefault="00881B9E" w:rsidP="001941EE">
      <w:r w:rsidRPr="007D162C">
        <w:t xml:space="preserve">Over a third of submissions across stakeholder groups indicated this problem is more apparent in infrastructure and premises, with a number of submissions noting that automatic or power-assisted doors are already in use for the majority of conveyances, where possible. </w:t>
      </w:r>
    </w:p>
    <w:p w14:paraId="0C1F85C5" w14:textId="30CCE15C" w:rsidR="001941EE" w:rsidRPr="007D162C" w:rsidRDefault="001941EE" w:rsidP="001941EE">
      <w:r w:rsidRPr="007D162C">
        <w:t xml:space="preserve">Maintaining the status quo does not meet the varying needs of people with disability or meet the objectives of the Transport Standards to remove discrimination for people with disability in relation to public transport services. </w:t>
      </w:r>
    </w:p>
    <w:p w14:paraId="305B83C0" w14:textId="77777777" w:rsidR="001941EE" w:rsidRPr="007D162C" w:rsidRDefault="001941EE" w:rsidP="00BE72A4">
      <w:pPr>
        <w:pStyle w:val="Quote"/>
      </w:pPr>
      <w:r w:rsidRPr="007D162C">
        <w:t>Not all people are able to use manual doors, I have been unable to open doors.</w:t>
      </w:r>
    </w:p>
    <w:p w14:paraId="41DA2488" w14:textId="77777777" w:rsidR="001941EE" w:rsidRPr="007D162C" w:rsidRDefault="001941EE" w:rsidP="00BE72A4">
      <w:pPr>
        <w:pStyle w:val="Quote"/>
      </w:pPr>
      <w:r w:rsidRPr="007D162C">
        <w:t>Survey respondent</w:t>
      </w:r>
    </w:p>
    <w:p w14:paraId="68B84FB1" w14:textId="77777777" w:rsidR="001941EE" w:rsidRPr="007D162C" w:rsidRDefault="001941EE" w:rsidP="001941EE">
      <w:r w:rsidRPr="007D162C">
        <w:t>Maintaining the status quo has no ongoing costs or additional regulatory burden for public transport operators and providers. However, negative impacts on community accessibility, safety and amenity would remain with doors on access paths, and accessible or ambulant toilets continuing to impose a barrier for people with disability and their companions.</w:t>
      </w:r>
    </w:p>
    <w:p w14:paraId="01D634C9" w14:textId="77777777" w:rsidR="001941EE" w:rsidRPr="007D162C" w:rsidRDefault="001941EE" w:rsidP="00645CAB">
      <w:pPr>
        <w:pStyle w:val="Heading5"/>
      </w:pPr>
      <w:r w:rsidRPr="007D162C">
        <w:t>Non-regulatory</w:t>
      </w:r>
    </w:p>
    <w:p w14:paraId="3866E10D" w14:textId="5CB514D7" w:rsidR="001941EE" w:rsidRPr="007D162C" w:rsidRDefault="001941EE" w:rsidP="001941EE">
      <w:r w:rsidRPr="007D162C">
        <w:rPr>
          <w:rFonts w:ascii="Calibri" w:eastAsia="Times New Roman" w:hAnsi="Calibri" w:cs="Calibri"/>
          <w:color w:val="000000" w:themeColor="text1"/>
          <w:lang w:eastAsia="en-AU"/>
        </w:rPr>
        <w:t xml:space="preserve">Industry and government stakeholders were largely divided on their preferred option, however half of the submissions from this stakeholder group expressed support for the </w:t>
      </w:r>
      <w:r w:rsidRPr="007D162C">
        <w:t xml:space="preserve">non-regulatory option. Where the non-regulatory option has been supported, the rationale provided is that best practice design and the requirements outlined in the regulatory option are already applied in practice where feasible, and therefore additional regulatory burden is unnecessary. The non-regulatory option was also </w:t>
      </w:r>
      <w:r w:rsidR="000C358A">
        <w:t>identified</w:t>
      </w:r>
      <w:r w:rsidRPr="007D162C">
        <w:t xml:space="preserve"> as the option which provided greater flexibility to address cost concerns; unintended consequences identified with the regulatory option, such as vandalism and mechanical failure which may render these facilities inoperable; or where design constraints mean it is not possible to retrofit spaces to adopt the regulatory option.</w:t>
      </w:r>
    </w:p>
    <w:p w14:paraId="5DD47D59" w14:textId="1F3D703A" w:rsidR="001941EE" w:rsidRPr="007D162C" w:rsidRDefault="001941EE" w:rsidP="001941EE">
      <w:r w:rsidRPr="007D162C">
        <w:t xml:space="preserve">Consultation suggests that manual doors are still used in public transport sites and that use of manual doors can be a threshold barrier for some people using public transport. </w:t>
      </w:r>
    </w:p>
    <w:p w14:paraId="13071A78" w14:textId="77777777" w:rsidR="000C358A" w:rsidRDefault="000C358A">
      <w:pPr>
        <w:spacing w:line="259" w:lineRule="auto"/>
      </w:pPr>
      <w:r>
        <w:br w:type="page"/>
      </w:r>
    </w:p>
    <w:p w14:paraId="3BD9A011" w14:textId="77777777" w:rsidR="001941EE" w:rsidRPr="007D162C" w:rsidRDefault="001941EE" w:rsidP="00BE72A4">
      <w:pPr>
        <w:pStyle w:val="Quote"/>
      </w:pPr>
      <w:r w:rsidRPr="007D162C">
        <w:lastRenderedPageBreak/>
        <w:t>Many of our members use mobility aids and experience difficulties in opening and closing doors manually. People who have limited hand function can likewise struggle with manual door handles and the process of turning or pulling doorknobs or handles. This can be highly inconvenient when trying to use public transport and reduces the capacity for people with disability to travel independently.</w:t>
      </w:r>
    </w:p>
    <w:p w14:paraId="26DE72C3" w14:textId="77777777" w:rsidR="001941EE" w:rsidRPr="007D162C" w:rsidRDefault="001941EE" w:rsidP="00BE72A4">
      <w:pPr>
        <w:pStyle w:val="Quote"/>
        <w:rPr>
          <w:i/>
        </w:rPr>
      </w:pPr>
      <w:r w:rsidRPr="007D162C">
        <w:t>Physical Disability Council of NSW</w:t>
      </w:r>
    </w:p>
    <w:p w14:paraId="3EE55A5D" w14:textId="77777777" w:rsidR="001941EE" w:rsidRPr="007D162C" w:rsidRDefault="001941EE" w:rsidP="001941EE">
      <w:r w:rsidRPr="007D162C">
        <w:t>To the extent that guidance is followed, costs would be incurred to install and maintain automatic or power-assisted doors where they are not already in operation. Costs may be incurred to audit and upgrade or replace existing doors. However, the non-regulatory option will enable operators and providers to manage implementation (and related costs) to suit their operational requirements, including through staged implementation. The non-regulatory option would also provide operators and providers with greater guidance and clarity regarding the use and accessibility of doors on access paths. The use of automatic or power-assisted doors on access paths and well-placed controls will also improve accessibility for passengers with limited mobility.</w:t>
      </w:r>
    </w:p>
    <w:p w14:paraId="7FC86C1C" w14:textId="77777777" w:rsidR="001941EE" w:rsidRPr="007D162C" w:rsidRDefault="001941EE" w:rsidP="001941EE">
      <w:r w:rsidRPr="007D162C">
        <w:t>Given this option is discretionary, it does not provide certainty that guidance will be implemented. Outcomes from consultation suggest that additional guidance to support current practice may not be sufficient in addressing barriers that people with disability continue to face, and uncertainty about the accessibility of premises and infrastructure may remain. Where guidance is not adopted, doors along access paths will continue to present a barrier which may deter some passengers from using public transport services or travelling independently. This option is unlikely to meet the intended outcome of this reform or the objectives of the Transport Standards.</w:t>
      </w:r>
    </w:p>
    <w:p w14:paraId="46E87591" w14:textId="77777777" w:rsidR="001941EE" w:rsidRPr="007D162C" w:rsidRDefault="001941EE" w:rsidP="00645CAB">
      <w:pPr>
        <w:pStyle w:val="Heading5"/>
      </w:pPr>
      <w:r w:rsidRPr="007D162C">
        <w:t>Regulatory</w:t>
      </w:r>
    </w:p>
    <w:p w14:paraId="5EF31E34" w14:textId="77777777" w:rsidR="001941EE" w:rsidRPr="007D162C" w:rsidRDefault="001941EE" w:rsidP="001941EE">
      <w:r w:rsidRPr="007D162C">
        <w:t>Two regulatory options are presented for consideration. Regulatory option 1 would amend the Transport Standards to include requirements that all doors be automatic or power assisted. Regulatory option 2 would amend the Transport Standards to limit these requirements to unisex accessible and ambulant toilet doors.</w:t>
      </w:r>
    </w:p>
    <w:p w14:paraId="2FDAABA0" w14:textId="77777777" w:rsidR="001941EE" w:rsidRPr="007D162C" w:rsidRDefault="08D050C4" w:rsidP="001941EE">
      <w:r w:rsidRPr="007D162C">
        <w:t xml:space="preserve">All submissions from individuals, people with disability and disability organisations expressed support for a regulatory approach, noting the barriers faced in opening and closing manual doors. Amongst these stakeholders, regulatory option 1 (all doors must be power-assisted or automatic) was the preferred option, with submissions noting it provides the broadest improvements in safety and accessibility for people with disability. </w:t>
      </w:r>
    </w:p>
    <w:p w14:paraId="72F6E0D4" w14:textId="77777777" w:rsidR="001941EE" w:rsidRPr="007D162C" w:rsidRDefault="001941EE" w:rsidP="001941EE">
      <w:r w:rsidRPr="007D162C">
        <w:rPr>
          <w:rFonts w:ascii="Calibri" w:eastAsia="Times New Roman" w:hAnsi="Calibri" w:cs="Calibri"/>
          <w:color w:val="000000" w:themeColor="text1"/>
          <w:lang w:eastAsia="en-AU"/>
        </w:rPr>
        <w:t>Forty per cent of industry and government stakeholders expressed a preference for one of the regulatory options</w:t>
      </w:r>
      <w:r w:rsidRPr="007D162C">
        <w:t xml:space="preserve">, however submissions argued that it is not feasible to have all doors in public transport sites and conveyances automatic or power-assisted. Many submissions recommended revisions to the options presented to exclude certain conveyances or site elements. </w:t>
      </w:r>
    </w:p>
    <w:p w14:paraId="041C1EB4" w14:textId="77777777" w:rsidR="001941EE" w:rsidRPr="007D162C" w:rsidRDefault="001941EE" w:rsidP="001941EE">
      <w:r w:rsidRPr="007D162C">
        <w:t xml:space="preserve">Half of the submissions that supported a regulatory option recommended that the requirement should not apply to ambulant toilets. One submission from </w:t>
      </w:r>
      <w:r w:rsidRPr="007D162C">
        <w:rPr>
          <w:rFonts w:ascii="Calibri" w:eastAsia="Times New Roman" w:hAnsi="Calibri" w:cs="Calibri"/>
          <w:color w:val="000000" w:themeColor="text1"/>
          <w:lang w:eastAsia="en-AU"/>
        </w:rPr>
        <w:t xml:space="preserve">government that supported </w:t>
      </w:r>
      <w:r w:rsidRPr="007D162C">
        <w:t>regulatory option 2, noted that automatic doors for ambulant toilets is not practical where these toilets are not standalone features and are part of a cubicle. This submission saw</w:t>
      </w:r>
      <w:r w:rsidRPr="007D162C">
        <w:rPr>
          <w:rFonts w:ascii="Calibri" w:eastAsia="Times New Roman" w:hAnsi="Calibri" w:cs="Calibri"/>
          <w:color w:val="000000" w:themeColor="text1"/>
          <w:lang w:eastAsia="en-AU"/>
        </w:rPr>
        <w:t xml:space="preserve"> </w:t>
      </w:r>
      <w:r w:rsidRPr="007D162C">
        <w:t xml:space="preserve">regulatory option 2 as a more feasible and a technically viable solution, but recommended that requirements relating to ambulant toilets be moved to guidance. Another submission from industry that supported regulatory option 1 also recommended ambulant toilets be excluded from this option. This submission noted including ambulant toilets would impact the overall number of available facilities. </w:t>
      </w:r>
    </w:p>
    <w:p w14:paraId="45D29244" w14:textId="4A30DEE6" w:rsidR="001941EE" w:rsidRPr="007D162C" w:rsidRDefault="001941EE" w:rsidP="001941EE">
      <w:r w:rsidRPr="007D162C">
        <w:t>Three quarters of submissions from industry and government stakeholders in support of a regulatory approach also outlined conflicting design and safety requirements which may impact implementation of elements of the regulatory options. This was particularly relevant for conveyances. The regulatory options presented already exclude dedicated school buses, taxis and wide bodied and small aircraft</w:t>
      </w:r>
      <w:r w:rsidR="006F2F96">
        <w:t>;</w:t>
      </w:r>
      <w:r w:rsidRPr="007D162C">
        <w:t xml:space="preserve"> however</w:t>
      </w:r>
      <w:r w:rsidR="006F2F96">
        <w:t>,</w:t>
      </w:r>
      <w:r w:rsidRPr="007D162C">
        <w:t xml:space="preserve"> suggestions were made to exclude other conveyances. One submission noted that the requirements of the regulatory options are particularly difficult to implement for ferries and existing conveyances, and</w:t>
      </w:r>
      <w:r w:rsidRPr="007D162C">
        <w:rPr>
          <w:rFonts w:ascii="Calibri" w:hAnsi="Calibri" w:cs="Calibri"/>
          <w:color w:val="000000"/>
          <w:shd w:val="clear" w:color="auto" w:fill="FFFFFF"/>
        </w:rPr>
        <w:t xml:space="preserve"> i</w:t>
      </w:r>
      <w:r w:rsidRPr="007D162C">
        <w:t xml:space="preserve">n many instances, conveyances with passenger operated doors already use automatic or power-assisted doors where feasible. In conveyances such as buses and ferries, drivers, cabin crew or deckhands open doors or gates for </w:t>
      </w:r>
      <w:r w:rsidRPr="007D162C">
        <w:lastRenderedPageBreak/>
        <w:t xml:space="preserve">passengers. Most conveyances therefore already meet accessibility needs for people with disability by already implementing the proposed requirements or through direct assistance. </w:t>
      </w:r>
    </w:p>
    <w:p w14:paraId="3A42215B" w14:textId="77777777" w:rsidR="001941EE" w:rsidRPr="007D162C" w:rsidRDefault="001941EE" w:rsidP="001941EE">
      <w:r w:rsidRPr="007D162C">
        <w:t xml:space="preserve">Another submission outlined that cavity sliding doors cannot be used on a bus or coach because every door must be an emergency exit and open outwards. Further conflicting safety requirements were also outlined in one submission which noted that </w:t>
      </w:r>
      <w:r w:rsidRPr="007D162C">
        <w:rPr>
          <w:rFonts w:ascii="Calibri" w:hAnsi="Calibri" w:cs="Calibri"/>
          <w:color w:val="000000"/>
          <w:shd w:val="clear" w:color="auto" w:fill="FFFFFF"/>
        </w:rPr>
        <w:t>inter-car smoke doors within trains must close during emergencies and the force requirements for safety are in conflict with the proposed requirements for force to open doors</w:t>
      </w:r>
      <w:r w:rsidRPr="007D162C">
        <w:t xml:space="preserve">. Another submission noted that ferries have limitations in making all doors power operated due to environmental conditions making assets more susceptible to marine corrosion.  </w:t>
      </w:r>
    </w:p>
    <w:p w14:paraId="1606740E" w14:textId="77777777" w:rsidR="001941EE" w:rsidRPr="007D162C" w:rsidRDefault="001941EE" w:rsidP="001941EE">
      <w:r w:rsidRPr="007D162C">
        <w:t xml:space="preserve">Feedback from operators and providers indicated there would be a significant financial cost to retrofit existing conveyances and infrastructure, and there would be ongoing electrical inspection and maintenance costs. Technical constraints and operational impacts were raised as challenges that impede the ability to retrofit existing conveyances (i.e. taking conveyances out of service for major upgrades, design and space limitations in some conveyances and marine corrosion concerns in ferries). </w:t>
      </w:r>
    </w:p>
    <w:p w14:paraId="109F0851" w14:textId="77777777" w:rsidR="001941EE" w:rsidRPr="007D162C" w:rsidRDefault="001941EE" w:rsidP="001941EE">
      <w:r w:rsidRPr="007D162C">
        <w:t xml:space="preserve">Mandating the provision of automatic or power-assisted doors through a regulatory option may lead to a greater use of these doors on access paths relative to the non-regulatory option. Reducing the use of manual doors would achieve the outcomes of this reform and the objectives of the Transport Standards by removing barriers and discrimination for people with disability. Costs would be incurred to install and maintain automatic or power-assisted doors where they are not already in operation. However, 50 per cent of submissions from industry and government expressly indicated that best practice design means that the requirements are already applied in practice for conveyances, where feasible to do so. Many doors would also fall under the purview of the Premises Standards. </w:t>
      </w:r>
    </w:p>
    <w:p w14:paraId="400ECCFD" w14:textId="77777777" w:rsidR="001941EE" w:rsidRPr="007D162C" w:rsidRDefault="001941EE" w:rsidP="001941EE">
      <w:pPr>
        <w:pStyle w:val="Heading4"/>
      </w:pPr>
      <w:r w:rsidRPr="007D162C">
        <w:t>Preferred option</w:t>
      </w:r>
    </w:p>
    <w:p w14:paraId="747B4066" w14:textId="77777777" w:rsidR="001A5800" w:rsidRDefault="00912B06" w:rsidP="00912B06">
      <w:bookmarkStart w:id="401" w:name="_Hlk126680402"/>
      <w:r w:rsidRPr="007D162C">
        <w:t xml:space="preserve">Informed by the outcomes of consultation, stakeholder impacts, cost and outcomes analysis, the preferred option is </w:t>
      </w:r>
      <w:r w:rsidRPr="007D162C">
        <w:rPr>
          <w:b/>
        </w:rPr>
        <w:t xml:space="preserve">Regulatory </w:t>
      </w:r>
      <w:r w:rsidR="00E373EB" w:rsidRPr="007D162C">
        <w:rPr>
          <w:b/>
          <w:bCs/>
        </w:rPr>
        <w:t xml:space="preserve">with revisions </w:t>
      </w:r>
      <w:r w:rsidR="169A030C" w:rsidRPr="007D162C">
        <w:rPr>
          <w:b/>
          <w:bCs/>
        </w:rPr>
        <w:t>option 2</w:t>
      </w:r>
      <w:r w:rsidR="00E373EB" w:rsidRPr="007D162C">
        <w:t>.</w:t>
      </w:r>
      <w:r w:rsidRPr="007D162C">
        <w:t xml:space="preserve"> </w:t>
      </w:r>
    </w:p>
    <w:p w14:paraId="0ED13733" w14:textId="77777777" w:rsidR="001A5800" w:rsidRDefault="001A5800" w:rsidP="001A5800">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 w:rsidRPr="007D162C">
        <w:t xml:space="preserve">Feedback indicated that automatic doors for ambulant toilets are not practical as these toilets are generally not standalone features and are part of a cubicle. </w:t>
      </w:r>
      <w:r>
        <w:t>The requirement for automatic a</w:t>
      </w:r>
      <w:r w:rsidRPr="007D162C">
        <w:t xml:space="preserve">mbulant toilet doors have been removed from the preferred option. </w:t>
      </w:r>
    </w:p>
    <w:p w14:paraId="7167BEB0" w14:textId="3AA68D4B" w:rsidR="00912B06" w:rsidRPr="007D162C" w:rsidRDefault="00912B06" w:rsidP="001A5800">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 w:rsidRPr="007D162C">
        <w:t xml:space="preserve">Feedback from operators and providers </w:t>
      </w:r>
      <w:r w:rsidR="001A5800">
        <w:t xml:space="preserve">also </w:t>
      </w:r>
      <w:r w:rsidRPr="007D162C">
        <w:t>identified interactions with existing safety requirements</w:t>
      </w:r>
      <w:r w:rsidR="00FB4BDA">
        <w:t xml:space="preserve"> and</w:t>
      </w:r>
      <w:r w:rsidRPr="007D162C">
        <w:t xml:space="preserve"> environmental conditions</w:t>
      </w:r>
      <w:r w:rsidR="001A5800" w:rsidRPr="001A5800">
        <w:t xml:space="preserve"> </w:t>
      </w:r>
      <w:r w:rsidR="001A5800">
        <w:t>on</w:t>
      </w:r>
      <w:r w:rsidR="001A5800" w:rsidRPr="007D162C">
        <w:t xml:space="preserve"> conveyances</w:t>
      </w:r>
      <w:r w:rsidRPr="007D162C">
        <w:t xml:space="preserve">. For various types of conveyance, a number of technical and design barriers were identified. In response to these issues, the scope of the regulatory option was amended. </w:t>
      </w:r>
      <w:r w:rsidR="001A5800">
        <w:t>The r</w:t>
      </w:r>
      <w:r w:rsidR="001A5800" w:rsidRPr="007D162C">
        <w:t xml:space="preserve">equirements </w:t>
      </w:r>
      <w:r w:rsidR="001A5800" w:rsidRPr="007D162C">
        <w:rPr>
          <w:lang w:val="en-AU"/>
        </w:rPr>
        <w:t>for power assisted unisex accessible toilet doors</w:t>
      </w:r>
      <w:r w:rsidR="001A5800" w:rsidRPr="007D162C">
        <w:t xml:space="preserve"> would apply to premises (except premises to which the Premises Standards apply) and infrastructure (except airports that do not accept regular public transport services)</w:t>
      </w:r>
      <w:r w:rsidR="001A5800">
        <w:t>, but for conveyances, t</w:t>
      </w:r>
      <w:r w:rsidRPr="007D162C">
        <w:t xml:space="preserve">he amended option would only apply to unisex accessible toilet doors on trains. This means </w:t>
      </w:r>
      <w:r w:rsidR="001A5800">
        <w:t>that</w:t>
      </w:r>
      <w:r w:rsidRPr="007D162C">
        <w:t xml:space="preserve"> dedicated school buses, taxis, wide bodied and small aircraft, buses, coaches and ferries would be excluded from </w:t>
      </w:r>
      <w:r w:rsidR="001A5800">
        <w:t xml:space="preserve">the requirement that unisex accessible </w:t>
      </w:r>
      <w:r w:rsidRPr="007D162C">
        <w:t>toilet doors</w:t>
      </w:r>
      <w:r w:rsidR="001A5800" w:rsidRPr="001A5800">
        <w:t xml:space="preserve"> </w:t>
      </w:r>
      <w:r w:rsidR="001A5800">
        <w:t>must be</w:t>
      </w:r>
      <w:r w:rsidR="001A5800" w:rsidRPr="007D162C">
        <w:t xml:space="preserve"> power-assisted</w:t>
      </w:r>
      <w:r w:rsidRPr="007D162C">
        <w:t xml:space="preserve">. </w:t>
      </w:r>
    </w:p>
    <w:p w14:paraId="340B543C" w14:textId="3A91F777" w:rsidR="00912B06" w:rsidRPr="007D162C" w:rsidRDefault="00E373EB" w:rsidP="00912B06">
      <w:r w:rsidRPr="007D162C">
        <w:br/>
      </w:r>
      <w:r w:rsidR="00912B06" w:rsidRPr="007D162C">
        <w:t>Guidance will encourage the use of power-assisted and automatic doors for all doors in conveyances, public transport premises and infrastructure.</w:t>
      </w:r>
    </w:p>
    <w:p w14:paraId="31AB43A9" w14:textId="77777777" w:rsidR="00912B06" w:rsidRPr="007D162C" w:rsidRDefault="00912B06" w:rsidP="00912B06">
      <w:r w:rsidRPr="007D162C">
        <w:t xml:space="preserve">Submissions from industry and government indicate that best practice design means that automatic or power-assisted doors are already largely applied in practice </w:t>
      </w:r>
      <w:r w:rsidRPr="007D162C">
        <w:rPr>
          <w:rFonts w:ascii="Calibri" w:eastAsia="Calibri" w:hAnsi="Calibri" w:cs="Times New Roman"/>
          <w:color w:val="000000" w:themeColor="text1"/>
        </w:rPr>
        <w:t xml:space="preserve">and those that are not will be challenging to upgrade. </w:t>
      </w:r>
      <w:r w:rsidRPr="007D162C">
        <w:t xml:space="preserve">Updated guidance and mandating the use of power-assisted and automatic accessible toilet doors in infrastructure, premises and trains, will remove the ambiguity in the Transport Standards and address concerns about the feasibility of having all doors power-assisted or automatic by mandating these requirements at critical infrastructure points such as toilets.  </w:t>
      </w:r>
    </w:p>
    <w:p w14:paraId="124F7746" w14:textId="77777777" w:rsidR="00912B06" w:rsidRPr="007D162C" w:rsidRDefault="00912B06" w:rsidP="00912B06">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p>
    <w:p w14:paraId="0D9F79D8" w14:textId="77777777" w:rsidR="001868C4" w:rsidRPr="007D162C" w:rsidRDefault="00912B06" w:rsidP="00A20D48">
      <w:r w:rsidRPr="007D162C">
        <w:lastRenderedPageBreak/>
        <w:t>This option provides a balance of improved accessibility for people with disability, particularly at critical infrastructure points such as toilets, while not creating significant undue cost and technical burden for public transport operators and providers.</w:t>
      </w:r>
      <w:bookmarkEnd w:id="401"/>
    </w:p>
    <w:p w14:paraId="3A121CE6" w14:textId="71B3F653" w:rsidR="001868C4" w:rsidRPr="007D162C" w:rsidRDefault="001868C4" w:rsidP="001868C4"/>
    <w:p w14:paraId="15114EF9" w14:textId="77777777" w:rsidR="006F2F96" w:rsidRDefault="006F2F96">
      <w:pPr>
        <w:spacing w:line="259" w:lineRule="auto"/>
        <w:rPr>
          <w:rFonts w:ascii="Calibri" w:eastAsia="Calibri" w:hAnsi="Calibri" w:cs="Calibri"/>
          <w:color w:val="081E3E"/>
          <w:kern w:val="12"/>
          <w:sz w:val="40"/>
          <w:szCs w:val="44"/>
        </w:rPr>
      </w:pPr>
      <w:bookmarkStart w:id="402" w:name="_Toc127351775"/>
      <w:r>
        <w:br w:type="page"/>
      </w:r>
    </w:p>
    <w:p w14:paraId="63EB7DB1" w14:textId="685C201E" w:rsidR="007E455D" w:rsidRPr="007D162C" w:rsidRDefault="007E455D" w:rsidP="007858B0">
      <w:pPr>
        <w:pStyle w:val="Heading2"/>
        <w:numPr>
          <w:ilvl w:val="0"/>
          <w:numId w:val="27"/>
        </w:numPr>
        <w:ind w:hanging="720"/>
      </w:pPr>
      <w:bookmarkStart w:id="403" w:name="_Toc140239733"/>
      <w:r w:rsidRPr="007D162C">
        <w:lastRenderedPageBreak/>
        <w:t>Continuous access on access paths</w:t>
      </w:r>
      <w:bookmarkEnd w:id="402"/>
      <w:bookmarkEnd w:id="403"/>
    </w:p>
    <w:p w14:paraId="5C41DCD8" w14:textId="77777777" w:rsidR="007E455D" w:rsidRPr="007D162C" w:rsidRDefault="007E455D" w:rsidP="007E455D">
      <w:pPr>
        <w:pStyle w:val="Heading4"/>
      </w:pPr>
      <w:r w:rsidRPr="007D162C">
        <w:t>Issue</w:t>
      </w:r>
    </w:p>
    <w:p w14:paraId="65C239BC" w14:textId="7C3911B8" w:rsidR="007E455D" w:rsidRPr="007D162C" w:rsidRDefault="007E455D" w:rsidP="007E455D">
      <w:r w:rsidRPr="007D162C">
        <w:t>The Transport Standards ha</w:t>
      </w:r>
      <w:r w:rsidR="006F2F96">
        <w:t>s</w:t>
      </w:r>
      <w:r w:rsidRPr="007D162C">
        <w:t xml:space="preserve"> requirements for continuous accessibility on access paths</w:t>
      </w:r>
      <w:r w:rsidRPr="007D162C" w:rsidDel="00C10E20">
        <w:t>, which</w:t>
      </w:r>
      <w:r w:rsidRPr="007D162C">
        <w:t xml:space="preserve"> includes connecting public areas of a premise or infrastructure</w:t>
      </w:r>
      <w:r w:rsidR="00C10E20" w:rsidRPr="007D162C">
        <w:t>, such as a train platform and taxi rank</w:t>
      </w:r>
      <w:r w:rsidRPr="007D162C">
        <w:t>. The requirements in the Transport Standards reference a dated Australian Standard and are not aligned with the Premises Standards. As a result, operators and providers may face difficulty negotiating outcomes that satisfy both the Transport Standards and the Premises Standards and people with disability may not experience consistent standards or service across public transport conveyance, infrastructure and premises.</w:t>
      </w:r>
    </w:p>
    <w:p w14:paraId="672DD762" w14:textId="77777777" w:rsidR="007E455D" w:rsidRPr="007D162C" w:rsidRDefault="007E455D" w:rsidP="007E455D">
      <w:r w:rsidRPr="007D162C">
        <w:t xml:space="preserve">Collective government action would update requirements to align with contemporary Australian Standards and would address key stakeholder issues raised through the Transport Standards review process. </w:t>
      </w:r>
    </w:p>
    <w:p w14:paraId="64ACAEA1" w14:textId="77777777" w:rsidR="007E455D" w:rsidRPr="007D162C" w:rsidRDefault="007E455D" w:rsidP="007E455D">
      <w:pPr>
        <w:pStyle w:val="Heading4"/>
      </w:pPr>
      <w:r w:rsidRPr="007D162C">
        <w:t>Reform options</w:t>
      </w:r>
    </w:p>
    <w:p w14:paraId="4FB44322" w14:textId="77777777" w:rsidR="007E455D" w:rsidRPr="007D162C" w:rsidRDefault="007E455D" w:rsidP="007E455D">
      <w:pPr>
        <w:tabs>
          <w:tab w:val="left" w:pos="284"/>
        </w:tabs>
      </w:pPr>
      <w:r w:rsidRPr="007D162C">
        <w:t>Following is a summary of the proposed options for this reform. Full details of each reform option is provided at Appendix A.</w:t>
      </w:r>
    </w:p>
    <w:p w14:paraId="518057BA" w14:textId="5B8B5A90" w:rsidR="007E455D" w:rsidRPr="007D162C" w:rsidRDefault="007E455D" w:rsidP="007E455D">
      <w:pPr>
        <w:pStyle w:val="Tablefigureheading"/>
      </w:pPr>
      <w:bookmarkStart w:id="404" w:name="_Toc122446388"/>
      <w:bookmarkStart w:id="405" w:name="_Toc139969229"/>
      <w:r w:rsidRPr="007D162C">
        <w:t xml:space="preserve">Table </w:t>
      </w:r>
      <w:fldSimple w:instr=" SEQ Table \* ARABIC ">
        <w:r w:rsidR="00DC26AC">
          <w:rPr>
            <w:noProof/>
          </w:rPr>
          <w:t>71</w:t>
        </w:r>
      </w:fldSimple>
      <w:r w:rsidRPr="007D162C">
        <w:rPr>
          <w:noProof/>
        </w:rPr>
        <w:t>:</w:t>
      </w:r>
      <w:r w:rsidRPr="007D162C">
        <w:t xml:space="preserve"> Reform options for continuous accessibility on access paths</w:t>
      </w:r>
      <w:bookmarkEnd w:id="404"/>
      <w:bookmarkEnd w:id="405"/>
    </w:p>
    <w:tbl>
      <w:tblPr>
        <w:tblStyle w:val="DefaultTable1"/>
        <w:tblW w:w="9072" w:type="dxa"/>
        <w:tblLook w:val="04A0" w:firstRow="1" w:lastRow="0" w:firstColumn="1" w:lastColumn="0" w:noHBand="0" w:noVBand="1"/>
        <w:tblCaption w:val="Reform options for continuous accessibility on access paths"/>
        <w:tblDescription w:val="This table provides a description of each of the options for this reform area. Status quo, non-regulatory and regulatory."/>
      </w:tblPr>
      <w:tblGrid>
        <w:gridCol w:w="2232"/>
        <w:gridCol w:w="6840"/>
      </w:tblGrid>
      <w:tr w:rsidR="007E455D" w:rsidRPr="007D162C" w14:paraId="4614B8E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43B25562" w14:textId="77777777" w:rsidR="007E455D" w:rsidRPr="007D162C" w:rsidRDefault="007E455D" w:rsidP="00541F94">
            <w:r w:rsidRPr="007D162C">
              <w:t>Option</w:t>
            </w:r>
          </w:p>
        </w:tc>
        <w:tc>
          <w:tcPr>
            <w:tcW w:w="6840" w:type="dxa"/>
          </w:tcPr>
          <w:p w14:paraId="2B827023" w14:textId="77777777" w:rsidR="007E455D" w:rsidRPr="007D162C" w:rsidRDefault="007E455D" w:rsidP="00541F94">
            <w:pPr>
              <w:cnfStyle w:val="100000000000" w:firstRow="1" w:lastRow="0" w:firstColumn="0" w:lastColumn="0" w:oddVBand="0" w:evenVBand="0" w:oddHBand="0" w:evenHBand="0" w:firstRowFirstColumn="0" w:firstRowLastColumn="0" w:lastRowFirstColumn="0" w:lastRowLastColumn="0"/>
            </w:pPr>
            <w:r w:rsidRPr="007D162C">
              <w:t>Description</w:t>
            </w:r>
          </w:p>
        </w:tc>
      </w:tr>
      <w:tr w:rsidR="007E455D" w:rsidRPr="007D162C" w14:paraId="736D588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405FC4A" w14:textId="77777777" w:rsidR="007E455D" w:rsidRPr="007D162C" w:rsidRDefault="007E455D" w:rsidP="00541F94">
            <w:r w:rsidRPr="007D162C">
              <w:t>Status Quo</w:t>
            </w:r>
          </w:p>
        </w:tc>
        <w:tc>
          <w:tcPr>
            <w:tcW w:w="6840" w:type="dxa"/>
          </w:tcPr>
          <w:p w14:paraId="14AC6738"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will continue to reference an outdated Australian Standard for continuous accessibility on access paths.</w:t>
            </w:r>
          </w:p>
          <w:p w14:paraId="35009BFF"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additional guidance would be issued.</w:t>
            </w:r>
          </w:p>
        </w:tc>
      </w:tr>
      <w:tr w:rsidR="007E455D" w:rsidRPr="007D162C" w14:paraId="40BF25FF"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44E94905" w14:textId="77777777" w:rsidR="007E455D" w:rsidRPr="007D162C" w:rsidRDefault="007E455D" w:rsidP="00541F94">
            <w:r w:rsidRPr="007D162C">
              <w:t xml:space="preserve">Non-regulatory </w:t>
            </w:r>
          </w:p>
        </w:tc>
        <w:tc>
          <w:tcPr>
            <w:tcW w:w="6840" w:type="dxa"/>
          </w:tcPr>
          <w:p w14:paraId="44A31DE8" w14:textId="77777777" w:rsidR="007E455D" w:rsidRPr="007D162C" w:rsidRDefault="007E455D" w:rsidP="00541F94">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continuous accessibility to encourage the maintenance of continuous accessibility to and within public transport nodes.</w:t>
            </w:r>
          </w:p>
        </w:tc>
      </w:tr>
      <w:tr w:rsidR="007E455D" w:rsidRPr="007D162C" w14:paraId="5D1427D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02183E1" w14:textId="77777777" w:rsidR="007E455D" w:rsidRPr="007D162C" w:rsidRDefault="007E455D" w:rsidP="00541F94">
            <w:r w:rsidRPr="007D162C">
              <w:t>Regulatory</w:t>
            </w:r>
          </w:p>
        </w:tc>
        <w:tc>
          <w:tcPr>
            <w:tcW w:w="6840" w:type="dxa"/>
          </w:tcPr>
          <w:p w14:paraId="20CCF2DB"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be updated for continuous access on access paths to provide performance-based requirements to increase accessibility for people with disability in premises and infrastructure.</w:t>
            </w:r>
          </w:p>
          <w:p w14:paraId="718D842A" w14:textId="77777777" w:rsidR="007E455D" w:rsidRPr="007D162C" w:rsidRDefault="007E455D" w:rsidP="00541F9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949EC46" w14:textId="77777777" w:rsidR="007E455D" w:rsidRPr="007D162C" w:rsidRDefault="007E455D" w:rsidP="007E455D"/>
    <w:p w14:paraId="53FA32F6" w14:textId="77777777" w:rsidR="007E455D" w:rsidRPr="007D162C" w:rsidRDefault="007E455D" w:rsidP="007E455D">
      <w:pPr>
        <w:pStyle w:val="Heading4"/>
      </w:pPr>
      <w:r w:rsidRPr="007D162C">
        <w:t>Cost benefit Analysis</w:t>
      </w:r>
    </w:p>
    <w:p w14:paraId="4081F909" w14:textId="3F9F2E9A" w:rsidR="007E455D" w:rsidRPr="007D162C" w:rsidRDefault="007E455D" w:rsidP="007E455D">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473FA9"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553B96CD" w14:textId="26E969B9" w:rsidR="007E455D" w:rsidRPr="007D162C" w:rsidRDefault="007E455D" w:rsidP="007E455D">
      <w:r w:rsidRPr="007D162C">
        <w:t>This assessment included a high-level summary of the definitional reform and potential impacts for continuous access on access paths.</w:t>
      </w:r>
    </w:p>
    <w:p w14:paraId="01F9D3EE" w14:textId="77777777" w:rsidR="00473FA9" w:rsidRPr="007D162C" w:rsidRDefault="08D050C4" w:rsidP="00473FA9">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6389A743" w14:textId="6843F832" w:rsidR="00473FA9" w:rsidRPr="007D162C" w:rsidRDefault="08D050C4" w:rsidP="00473FA9">
      <w:r w:rsidRPr="007D162C">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6A1509B7" w14:textId="77777777" w:rsidR="007E455D" w:rsidRPr="007D162C" w:rsidRDefault="007E455D" w:rsidP="007E455D">
      <w:pPr>
        <w:pStyle w:val="Heading4"/>
        <w:tabs>
          <w:tab w:val="left" w:pos="284"/>
        </w:tabs>
      </w:pPr>
      <w:r w:rsidRPr="007D162C">
        <w:t>Analysis of submissions</w:t>
      </w:r>
    </w:p>
    <w:p w14:paraId="4422AA1D" w14:textId="77777777" w:rsidR="007E455D" w:rsidRPr="007D162C" w:rsidRDefault="007E455D" w:rsidP="007E455D">
      <w:pPr>
        <w:pStyle w:val="Heading5"/>
      </w:pPr>
      <w:r w:rsidRPr="007D162C">
        <w:t>Status quo</w:t>
      </w:r>
    </w:p>
    <w:p w14:paraId="00E50550" w14:textId="14A4CB56" w:rsidR="007E455D" w:rsidRPr="007D162C" w:rsidRDefault="08D050C4" w:rsidP="007E455D">
      <w:r w:rsidRPr="007D162C">
        <w:t xml:space="preserve">Poor access and connections to public transport present a significant barrier to continuous accessibility. Submissions from individuals, people with disability and disability organisations have indicated that that while </w:t>
      </w:r>
      <w:r w:rsidRPr="007D162C">
        <w:lastRenderedPageBreak/>
        <w:t>public transport may itself be relatively accessible, connections within surrounding precincts can pose a significant barrier to ease of travel and use of public transport for people with disability. Submissions noted that people with disability often only use the routes they</w:t>
      </w:r>
      <w:r w:rsidRPr="007D162C">
        <w:rPr>
          <w:rFonts w:ascii="Calibri" w:eastAsia="Times New Roman" w:hAnsi="Calibri" w:cs="Calibri"/>
          <w:color w:val="000000" w:themeColor="text1"/>
          <w:lang w:eastAsia="en-AU"/>
        </w:rPr>
        <w:t xml:space="preserve"> </w:t>
      </w:r>
      <w:r w:rsidRPr="007D162C">
        <w:t>know to be accessible</w:t>
      </w:r>
      <w:r w:rsidR="006F2F96">
        <w:t>,</w:t>
      </w:r>
      <w:r w:rsidRPr="007D162C">
        <w:t xml:space="preserve"> which limits the transport options within a network.  Submissions from individuals, people with disability and disability organisations highlighted that continuous accessibility on access paths needs to consider the end-to-end nature of using public transport.</w:t>
      </w:r>
    </w:p>
    <w:p w14:paraId="6D097B51" w14:textId="77777777" w:rsidR="007E455D" w:rsidRPr="007D162C" w:rsidRDefault="007E455D" w:rsidP="007E455D">
      <w:r w:rsidRPr="007D162C">
        <w:t xml:space="preserve">In most cases, paths connecting public transport assets or giving access to public transport assets will be the responsibility of local authorities or private property owners. This places them beyond the direct control of the operator or provider. Consultation findings indicate that difficulties are therefore faced by public transport operators and providers in negotiating outcomes that would satisfy the Transport Standards in areas and surrounding precincts beyond their jurisdiction or control. Only one submission from a government stakeholder expressed support for maintaining the status quo, with this submission echoing these concerns. </w:t>
      </w:r>
    </w:p>
    <w:p w14:paraId="1FCCC78B" w14:textId="741D0449" w:rsidR="007E455D" w:rsidRPr="007D162C" w:rsidRDefault="08D050C4" w:rsidP="007E455D">
      <w:r w:rsidRPr="007D162C">
        <w:t>Maintaining the status quo would not involve ongoing costs to public transport operators and providers. However</w:t>
      </w:r>
      <w:r w:rsidR="006F2F96">
        <w:t>,</w:t>
      </w:r>
      <w:r w:rsidRPr="007D162C">
        <w:t xml:space="preserve"> it would fail to achieve the objectives of the Transport Standards of providing greater clarity for operators and providers. Maintaining the status quo would also fail to meet the needs of people with disability who would continue to have difficulty accessing public transport precincts. Maintaining the status quo also presents a lost opportunity to improve regulatory consistency by harmonising the requirements with those in the Premises Standards. </w:t>
      </w:r>
    </w:p>
    <w:p w14:paraId="0E0FDAEB" w14:textId="77777777" w:rsidR="007E455D" w:rsidRPr="007D162C" w:rsidRDefault="007E455D" w:rsidP="007E455D">
      <w:pPr>
        <w:pStyle w:val="Heading5"/>
      </w:pPr>
      <w:r w:rsidRPr="007D162C">
        <w:t>Non-regulatory</w:t>
      </w:r>
    </w:p>
    <w:p w14:paraId="114E1E6C" w14:textId="77777777" w:rsidR="007E455D" w:rsidRPr="007D162C" w:rsidRDefault="007E455D" w:rsidP="007E455D">
      <w:r w:rsidRPr="007D162C">
        <w:t xml:space="preserve">Almost 60 per cent of submissions from governments, operators and providers indicated the non-regulatory option is the preferred option due to compliance concerns posed by the regulatory option. </w:t>
      </w:r>
    </w:p>
    <w:p w14:paraId="7CF1DFC9" w14:textId="3B09D664" w:rsidR="007E455D" w:rsidRPr="007D162C" w:rsidRDefault="08D050C4" w:rsidP="007E455D">
      <w:r w:rsidRPr="007D162C">
        <w:t xml:space="preserve">Governments, operators and providers detailed the difficulties and high costs associated with negotiating and implementing suitable end-to-end trip solutions where multiple land owners are involved. For example, where access paths connect to public streets that may be the jurisdiction of local government or council, bus stops that may be in the jurisdiction of another operator, and/or premises or infrastructure, such as carparks, that are under private ownership. Submissions outlined that issues of ownership may impact the compliance and delivery of any regulated standard and may be difficult to balance the needs of various stakeholders when negotiating the design or alteration of access paths. Submissions from governments, operators and providers highlighted that the non-regulatory option may allow innovation and flexibility, in working towards maximising access in a cooperative manner with local authorities and asset owners. </w:t>
      </w:r>
    </w:p>
    <w:p w14:paraId="662317F4" w14:textId="77777777" w:rsidR="007E455D" w:rsidRPr="007D162C" w:rsidRDefault="08D050C4" w:rsidP="007E455D">
      <w:r w:rsidRPr="007D162C">
        <w:t xml:space="preserve">No submissions from individuals, people with disability and disability organisations supported the non-regulatory option. Submissions from this stakeholder group highlighted the importance of accessibility across the whole public transport journey and that lack of continuous access poses one of the most significant barriers to use of public transport. One submission emphasised that to reduce this reform area to advice would diminish the existing rights of people with disability. </w:t>
      </w:r>
    </w:p>
    <w:p w14:paraId="6B5AE83E" w14:textId="77777777" w:rsidR="007E455D" w:rsidRPr="007D162C" w:rsidRDefault="08D050C4" w:rsidP="007E455D">
      <w:r w:rsidRPr="007D162C">
        <w:t>To the extent that guidance is followed, costs may be incurred to audit and upgrade or replace access paths. The non-regulatory option would allow operators and providers to manage the implementation (and related costs) to suit their operational requirements, including through staging the implementation. The non-regulatory option would provide operators and providers with greater guidance and clarity to existing requirements, however, would also present a lost opportunity to improve regulatory consistency by harmonising the requirements with those in the Premises Standards.</w:t>
      </w:r>
    </w:p>
    <w:p w14:paraId="198C955A" w14:textId="382FD9CF" w:rsidR="007E455D" w:rsidRPr="007D162C" w:rsidRDefault="007E455D" w:rsidP="007E455D">
      <w:pPr>
        <w:rPr>
          <w:rFonts w:ascii="Calibri" w:hAnsi="Calibri" w:cs="Calibri"/>
          <w:color w:val="000000" w:themeColor="text1"/>
        </w:rPr>
      </w:pPr>
      <w:r w:rsidRPr="007D162C">
        <w:t xml:space="preserve">Given this option is discretionary, it does not provide certainty that guidance will be implemented which may reduce confidence of passengers to travel if paths and connections with surrounding precincts are not accessible. To the extent that guidance is followed, people with disability will benefit from </w:t>
      </w:r>
      <w:r w:rsidRPr="007D162C">
        <w:rPr>
          <w:rFonts w:ascii="Calibri" w:hAnsi="Calibri" w:cs="Calibri"/>
          <w:color w:val="000000"/>
          <w:shd w:val="clear" w:color="auto" w:fill="FFFFFF"/>
        </w:rPr>
        <w:t>continuous accessibility on access paths that considers the end-to-end nature of using public transport services, enhancing both their confidence and the safety of</w:t>
      </w:r>
      <w:r w:rsidRPr="007D162C">
        <w:t xml:space="preserve"> their journey. </w:t>
      </w:r>
    </w:p>
    <w:p w14:paraId="414A56DE" w14:textId="77777777" w:rsidR="007E455D" w:rsidRPr="007D162C" w:rsidRDefault="007E455D" w:rsidP="007E455D">
      <w:pPr>
        <w:pStyle w:val="Heading5"/>
      </w:pPr>
      <w:r w:rsidRPr="007D162C">
        <w:lastRenderedPageBreak/>
        <w:t>Regulatory</w:t>
      </w:r>
    </w:p>
    <w:p w14:paraId="5BF34CD3" w14:textId="77777777" w:rsidR="007E455D" w:rsidRPr="007D162C" w:rsidRDefault="007E455D" w:rsidP="007E455D">
      <w:r w:rsidRPr="007D162C">
        <w:t>The regulatory option would amend the Transport Standards to include performance-based requirements regarding continuous accessibility on access paths, including requirements for connecting public areas of a premise or infrastructure.</w:t>
      </w:r>
    </w:p>
    <w:p w14:paraId="1FD7341D" w14:textId="67351684" w:rsidR="007E455D" w:rsidRPr="007D162C" w:rsidRDefault="08D050C4" w:rsidP="007E455D">
      <w:r w:rsidRPr="007D162C">
        <w:t>Twenty-five per cent of government and public transport operators favoured the regulatory option, with these submissions echoing concerns raised by those who supported the non-regulatory option, that issues of land and asset ownership may impact compliance and the delivery of any regulated standard. It was noted there was no clear determination in the Transport Standards regarding who is responsible for complying with the Transport Standards beyond the operator and provider. As a result, operators and providers are often open to complaints about assets that they do not own and have no control over. It was noted that if all relevant land and asset owners are not obligated to comply with the Transport Standards, footpaths and pedestrian crossings that form part of accessible access paths will continue to be non-compliant.</w:t>
      </w:r>
    </w:p>
    <w:p w14:paraId="1DF700DF" w14:textId="77777777" w:rsidR="007E455D" w:rsidRPr="007D162C" w:rsidRDefault="08D050C4" w:rsidP="007E455D">
      <w:r w:rsidRPr="007D162C">
        <w:t xml:space="preserve">Feedback from individuals, people with disability and disability organisations highlighted that continuous accessibility on access paths needs to consider the end-to-end nature of using public transport services. While some submissions acknowledged the challenges faced by government and public transport operators, many noted that poor connections and surrounding pedestrian precincts present the most significant barriers to continuous accessibility, particularly for people who are blind or have low vision and use access paths for wayfinding. </w:t>
      </w:r>
    </w:p>
    <w:p w14:paraId="390947A1" w14:textId="77777777" w:rsidR="007E455D" w:rsidRPr="007D162C" w:rsidRDefault="08D050C4" w:rsidP="08D050C4">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There was a strong preference </w:t>
      </w:r>
      <w:r w:rsidRPr="007D162C">
        <w:t xml:space="preserve">amongst individuals, people with disability and disability organisations </w:t>
      </w:r>
      <w:r w:rsidRPr="007D162C">
        <w:rPr>
          <w:rFonts w:ascii="Calibri" w:eastAsia="Times New Roman" w:hAnsi="Calibri" w:cs="Calibri"/>
          <w:color w:val="000000" w:themeColor="text1"/>
          <w:lang w:eastAsia="en-AU"/>
        </w:rPr>
        <w:t>for maintaining a regulatory approach, with all submissions from this stakeholder group expressing support for the regulatory option.</w:t>
      </w:r>
    </w:p>
    <w:p w14:paraId="340DC148" w14:textId="3F8E2493" w:rsidR="007E455D" w:rsidRPr="007D162C" w:rsidRDefault="007E455D" w:rsidP="007E455D">
      <w:r w:rsidRPr="007D162C">
        <w:t>The requirements of the regulatory option would not capture the entire journey</w:t>
      </w:r>
      <w:r w:rsidR="006F2F96">
        <w:t>;</w:t>
      </w:r>
      <w:r w:rsidRPr="007D162C">
        <w:t xml:space="preserve"> however</w:t>
      </w:r>
      <w:r w:rsidR="006F2F96">
        <w:t>,</w:t>
      </w:r>
      <w:r w:rsidRPr="007D162C">
        <w:t xml:space="preserve"> alignment with the Premises Standards will provide a more consistent experience and service across public transport conveyance</w:t>
      </w:r>
      <w:r w:rsidR="006F2F96">
        <w:t>s</w:t>
      </w:r>
      <w:r w:rsidRPr="007D162C">
        <w:t xml:space="preserve">, infrastructure and premises for people with disability. The requirements of the regulatory option do not apply to premises to which the Premises Standards apply, but will extend to premises and infrastructure that support the provision of public transport services. This would include access paths that approach relevant premises or infrastructure from any accessible car parking spaces associated with the premises or infrastructure; access paths that enter the relevant premises or infrastructure from adjoining public streets or walkways, connected premises or infrastructure; and access paths that access public spaces and accessible facilities within relevant premises or infrastructure. The updated Transport Standards Guidelines and / The Whole Journey Guide reflecting the new requirements will include guidance regarding the responsibilities of third parties under the DDA outside this remit, including responsibilities regarding the accessibility of public footpaths and pedestrian crossings that connect public transport services. </w:t>
      </w:r>
    </w:p>
    <w:p w14:paraId="0EBCC02D" w14:textId="77777777" w:rsidR="007E455D" w:rsidRPr="007D162C" w:rsidRDefault="08D050C4" w:rsidP="08D050C4">
      <w:pPr>
        <w:rPr>
          <w:rFonts w:ascii="Calibri" w:eastAsia="Times New Roman" w:hAnsi="Calibri" w:cs="Calibri"/>
          <w:color w:val="000000" w:themeColor="text1"/>
          <w:lang w:eastAsia="en-AU"/>
        </w:rPr>
      </w:pPr>
      <w:r w:rsidRPr="007D162C">
        <w:t>The regulatory option should ensure greater certainty and consistency through harmonisation of the requirements with the Premises Standards and would ensure that continuing access would be protected and maintained. As there is no material change to the intent of the Transport Standards, no significant impacts to operators and providers are likely to arise. However, the regulatory option is unlikely to address concerns raised by government and public transport operators and providers regarding land and asset ownership and where responsibility lies in complying with the requirements.</w:t>
      </w:r>
    </w:p>
    <w:p w14:paraId="7A2529BA" w14:textId="77777777" w:rsidR="007E455D" w:rsidRPr="007D162C" w:rsidRDefault="007E455D" w:rsidP="007E455D">
      <w:pPr>
        <w:pStyle w:val="Heading4"/>
      </w:pPr>
      <w:r w:rsidRPr="007D162C">
        <w:t>Preferred option</w:t>
      </w:r>
    </w:p>
    <w:p w14:paraId="7EBECB4A" w14:textId="1941B6BE" w:rsidR="007E455D" w:rsidRPr="007D162C" w:rsidRDefault="007E455D" w:rsidP="007E455D">
      <w:r w:rsidRPr="007D162C">
        <w:t>Informed by the outcomes of consultation, stakeholder impacts, cost and outcomes analysis, the preferred option is the</w:t>
      </w:r>
      <w:r w:rsidRPr="007D162C">
        <w:rPr>
          <w:b/>
        </w:rPr>
        <w:t xml:space="preserve"> regulatory option</w:t>
      </w:r>
      <w:r w:rsidR="000F79C9" w:rsidRPr="007D162C">
        <w:t xml:space="preserve"> </w:t>
      </w:r>
      <w:r w:rsidR="000F79C9" w:rsidRPr="007D162C">
        <w:rPr>
          <w:b/>
        </w:rPr>
        <w:t>with additional guidance</w:t>
      </w:r>
      <w:r w:rsidRPr="007D162C">
        <w:t>.</w:t>
      </w:r>
    </w:p>
    <w:p w14:paraId="7889C67F" w14:textId="77777777" w:rsidR="007E455D" w:rsidRPr="007D162C" w:rsidRDefault="007E455D" w:rsidP="08D050C4">
      <w:pPr>
        <w:rPr>
          <w:rFonts w:ascii="Calibri" w:hAnsi="Calibri" w:cs="Calibri"/>
          <w:color w:val="000000" w:themeColor="text1"/>
        </w:rPr>
      </w:pPr>
      <w:r w:rsidRPr="007D162C">
        <w:t>While the requirements of AS1428.2 (1992) clause 7(e) will be retained, the regulatory option improves regulatory consistency by removing other references to outdated Australian Standards and harmonising the requirements with those in the Premises Standards where possible. The regulatory option improves accessibility across more elements of the transport journey and provides great certainty and confidence for people with disability.</w:t>
      </w:r>
      <w:r w:rsidRPr="007D162C">
        <w:rPr>
          <w:rFonts w:ascii="Calibri" w:hAnsi="Calibri" w:cs="Calibri"/>
          <w:color w:val="000000"/>
          <w:shd w:val="clear" w:color="auto" w:fill="FFFFFF"/>
        </w:rPr>
        <w:t xml:space="preserve"> </w:t>
      </w:r>
      <w:r w:rsidRPr="007D162C">
        <w:t>Improving regulatory consistency will also provide greater clarity for operators and providers to meet the objectives of the Transport Standards.</w:t>
      </w:r>
    </w:p>
    <w:p w14:paraId="5890F6A3" w14:textId="79B1AFCE" w:rsidR="007E455D" w:rsidRPr="007D162C" w:rsidRDefault="007E455D" w:rsidP="007E455D">
      <w:pPr>
        <w:spacing w:before="120" w:after="120"/>
      </w:pPr>
      <w:r w:rsidRPr="007D162C">
        <w:rPr>
          <w:rFonts w:ascii="Calibri" w:hAnsi="Calibri" w:cs="Calibri"/>
          <w:color w:val="000000"/>
          <w:shd w:val="clear" w:color="auto" w:fill="FFFFFF"/>
        </w:rPr>
        <w:lastRenderedPageBreak/>
        <w:t xml:space="preserve">While acknowledging the challenges posed by land and asset ownership to government, operators and providers, </w:t>
      </w:r>
      <w:r w:rsidRPr="007D162C">
        <w:t xml:space="preserve">maintaining a regulatory approach (definitional change) is </w:t>
      </w:r>
      <w:r w:rsidRPr="007D162C">
        <w:rPr>
          <w:rFonts w:ascii="Calibri" w:hAnsi="Calibri" w:cs="Calibri"/>
          <w:color w:val="000000"/>
          <w:shd w:val="clear" w:color="auto" w:fill="FFFFFF"/>
        </w:rPr>
        <w:t>the most effective way of achieving consistency and certainty</w:t>
      </w:r>
      <w:r w:rsidR="006F2F96">
        <w:rPr>
          <w:rFonts w:ascii="Calibri" w:hAnsi="Calibri" w:cs="Calibri"/>
          <w:color w:val="000000"/>
          <w:shd w:val="clear" w:color="auto" w:fill="FFFFFF"/>
        </w:rPr>
        <w:t>.</w:t>
      </w:r>
      <w:r w:rsidRPr="007D162C">
        <w:t xml:space="preserve"> The proposed amendments also do not address accessibility concerns in precincts surrounding public transport premises and infrastructure. It is proposed this option be refined to address these concerns by including clearer guidance on who is responsible for access paths, as well as best practice guidance in relation to </w:t>
      </w:r>
      <w:r w:rsidRPr="007D162C">
        <w:rPr>
          <w:rFonts w:ascii="Calibri" w:eastAsia="Times New Roman" w:hAnsi="Calibri" w:cs="Calibri"/>
          <w:color w:val="000000"/>
          <w:lang w:eastAsia="en-AU"/>
        </w:rPr>
        <w:t xml:space="preserve">connections between transport nodes and pedestrian precincts surrounding and servicing transport nodes. This will respond to comments from individuals, people with disability and disability organisations, regarding the need to </w:t>
      </w:r>
      <w:r w:rsidRPr="007D162C">
        <w:rPr>
          <w:rFonts w:ascii="Calibri" w:hAnsi="Calibri" w:cs="Calibri"/>
          <w:color w:val="000000"/>
          <w:shd w:val="clear" w:color="auto" w:fill="FFFFFF"/>
        </w:rPr>
        <w:t>consider the end-to-end nature of using public transport services</w:t>
      </w:r>
      <w:r w:rsidRPr="007D162C">
        <w:t xml:space="preserve">, as well as concerns raised by governments, operators and providers regarding negotiating and implementing suitable end-to-end trip solutions where multiple land owners are involved. Best practice guidance will highlight these obligations and encourage all landowners to provide continuous accessibility on access paths, including suitable connections to public areas of a premise or infrastructure. </w:t>
      </w:r>
    </w:p>
    <w:p w14:paraId="4C52B8D6" w14:textId="77777777" w:rsidR="007E455D" w:rsidRPr="007D162C" w:rsidRDefault="007E455D" w:rsidP="007E455D">
      <w:r w:rsidRPr="007D162C">
        <w:t>Providing greater guidance will reiterate the need for cooperation by all stakeholders, thinking beyond compliance and the physical and governance boundaries of services and infrastructure, and focusing instead on accessibility needs across the whole public transport journey. This option would ensure greater certainty and consistency through harmonisation of accessibility standards and provides a balance of continuous improvement for people with disability, e</w:t>
      </w:r>
      <w:r w:rsidRPr="007D162C">
        <w:rPr>
          <w:rFonts w:ascii="Calibri" w:hAnsi="Calibri" w:cs="Calibri"/>
          <w:color w:val="000000"/>
          <w:shd w:val="clear" w:color="auto" w:fill="FFFFFF"/>
        </w:rPr>
        <w:t>mphasising the importance of accessibility across the whole public transport journey,</w:t>
      </w:r>
      <w:r w:rsidRPr="007D162C">
        <w:t xml:space="preserve"> while acknowledging that the public transport journey is managed and affected by a range of stakeholders. </w:t>
      </w:r>
    </w:p>
    <w:p w14:paraId="1C89B99E" w14:textId="77777777" w:rsidR="007E455D" w:rsidRPr="007D162C" w:rsidRDefault="007E455D" w:rsidP="007E455D">
      <w:pPr>
        <w:rPr>
          <w:rFonts w:ascii="Calibri" w:eastAsia="Calibri" w:hAnsi="Calibri" w:cs="Times New Roman"/>
          <w:color w:val="000000" w:themeColor="text1"/>
        </w:rPr>
      </w:pPr>
      <w:r w:rsidRPr="007D162C">
        <w:t xml:space="preserve">As there is no material change to the intent of the Transport Standards, no significant impacts to operators and providers are likely to </w:t>
      </w:r>
      <w:r w:rsidRPr="007D162C">
        <w:rPr>
          <w:rFonts w:ascii="Calibri" w:hAnsi="Calibri" w:cs="Calibri"/>
          <w:color w:val="000000"/>
          <w:shd w:val="clear" w:color="auto" w:fill="FFFFFF"/>
        </w:rPr>
        <w:t xml:space="preserve">arise </w:t>
      </w:r>
      <w:r w:rsidRPr="007D162C">
        <w:t>and</w:t>
      </w:r>
      <w:r w:rsidRPr="007D162C">
        <w:rPr>
          <w:rFonts w:ascii="Calibri" w:eastAsia="Calibri" w:hAnsi="Calibri" w:cs="Times New Roman"/>
          <w:color w:val="000000"/>
        </w:rPr>
        <w:t xml:space="preserve"> access paths are already required to be compliant.</w:t>
      </w:r>
    </w:p>
    <w:p w14:paraId="6AA2AE00" w14:textId="77777777" w:rsidR="00194A70" w:rsidRPr="007D162C" w:rsidRDefault="007E455D" w:rsidP="007E455D">
      <w:r w:rsidRPr="007D162C">
        <w:t xml:space="preserve">The preferred option will be implemented through amendments to the Transport Standards and Guidelines. Operators and providers will be required to meet the new Transport Standards requirements </w:t>
      </w:r>
      <w:r w:rsidR="00A405F9" w:rsidRPr="007D162C">
        <w:t>on commencement</w:t>
      </w:r>
      <w:r w:rsidRPr="007D162C">
        <w:t>.</w:t>
      </w:r>
    </w:p>
    <w:p w14:paraId="7DFA1A67" w14:textId="77777777" w:rsidR="00194A70" w:rsidRPr="007D162C" w:rsidRDefault="00194A70" w:rsidP="00194A70">
      <w:r w:rsidRPr="007D162C">
        <w:br w:type="page"/>
      </w:r>
    </w:p>
    <w:p w14:paraId="7ED3CA8A" w14:textId="704C5ACC" w:rsidR="00A24529" w:rsidRPr="007D162C" w:rsidRDefault="00A24529" w:rsidP="00825F67">
      <w:pPr>
        <w:pStyle w:val="Heading2"/>
        <w:numPr>
          <w:ilvl w:val="0"/>
          <w:numId w:val="27"/>
        </w:numPr>
        <w:ind w:hanging="720"/>
      </w:pPr>
      <w:bookmarkStart w:id="406" w:name="_Toc127351776"/>
      <w:bookmarkStart w:id="407" w:name="_Toc140239734"/>
      <w:r w:rsidRPr="007D162C">
        <w:lastRenderedPageBreak/>
        <w:t>Flange gaps within access paths</w:t>
      </w:r>
      <w:bookmarkEnd w:id="406"/>
      <w:bookmarkEnd w:id="407"/>
    </w:p>
    <w:p w14:paraId="1E0E0A58" w14:textId="77777777" w:rsidR="00A24529" w:rsidRPr="007D162C" w:rsidRDefault="00A24529" w:rsidP="00A24529">
      <w:pPr>
        <w:pStyle w:val="Heading4"/>
      </w:pPr>
      <w:r w:rsidRPr="007D162C">
        <w:t>Issue</w:t>
      </w:r>
    </w:p>
    <w:p w14:paraId="1BAF8F56" w14:textId="2736548D" w:rsidR="00A24529" w:rsidRPr="007D162C" w:rsidRDefault="08D050C4" w:rsidP="00A24529">
      <w:r w:rsidRPr="007D162C">
        <w:t>Pedestrian level crossings include a ‘flange gap’</w:t>
      </w:r>
      <w:r w:rsidR="006F2F96">
        <w:t>,</w:t>
      </w:r>
      <w:r w:rsidRPr="007D162C">
        <w:t xml:space="preserve"> which is the gap between the rail track and road that permits train, light rail or tram wheels to safely travel through a level crossing. Flange gaps on access paths present a safety risk to the safe passage of people with disability, particularly those with low vision or who are blind and utilise a cane, and those who use mobility devices, where wheels can become stuck in the gap as people traverse a level crossing. </w:t>
      </w:r>
    </w:p>
    <w:p w14:paraId="391AA704" w14:textId="77777777" w:rsidR="00A24529" w:rsidRPr="007D162C" w:rsidRDefault="00A24529" w:rsidP="00A24529">
      <w:r w:rsidRPr="007D162C">
        <w:t xml:space="preserve">The Transport Standards do not reference flange gaps within access paths at level crossings. This omission has been identified by operators and providers as a significant gap in the Transport Standards, creating uncertainty regarding compliance obligations. </w:t>
      </w:r>
    </w:p>
    <w:p w14:paraId="4E8616F3" w14:textId="77777777" w:rsidR="00A24529" w:rsidRPr="007D162C" w:rsidRDefault="00A24529" w:rsidP="00A24529">
      <w:r w:rsidRPr="007D162C">
        <w:t>Collective government action would improve the safety of flange gaps nationally and address key stakeholder issues raised through the Transport Standards review process.</w:t>
      </w:r>
    </w:p>
    <w:p w14:paraId="092B4198" w14:textId="77777777" w:rsidR="00A24529" w:rsidRPr="007D162C" w:rsidRDefault="00A24529" w:rsidP="00A24529">
      <w:pPr>
        <w:pStyle w:val="Heading4"/>
      </w:pPr>
      <w:r w:rsidRPr="007D162C">
        <w:t>Reform options</w:t>
      </w:r>
    </w:p>
    <w:p w14:paraId="5B802B79" w14:textId="77777777" w:rsidR="00A24529" w:rsidRPr="007D162C" w:rsidRDefault="00A24529" w:rsidP="00A24529">
      <w:pPr>
        <w:tabs>
          <w:tab w:val="left" w:pos="284"/>
        </w:tabs>
      </w:pPr>
      <w:r w:rsidRPr="007D162C">
        <w:t>Following is a summary of the proposed options for this reform. Full details of each reform option is provided at Appendix A.</w:t>
      </w:r>
    </w:p>
    <w:p w14:paraId="5F10B731" w14:textId="0038110A" w:rsidR="00A24529" w:rsidRPr="007D162C" w:rsidRDefault="00A24529" w:rsidP="00A24529">
      <w:pPr>
        <w:pStyle w:val="Caption"/>
        <w:keepNext/>
      </w:pPr>
      <w:bookmarkStart w:id="408" w:name="_Toc122446390"/>
      <w:bookmarkStart w:id="409" w:name="_Toc139969230"/>
      <w:r w:rsidRPr="007D162C">
        <w:t xml:space="preserve">Table </w:t>
      </w:r>
      <w:fldSimple w:instr=" SEQ Table \* ARABIC ">
        <w:r w:rsidR="00DC26AC">
          <w:rPr>
            <w:noProof/>
          </w:rPr>
          <w:t>72</w:t>
        </w:r>
      </w:fldSimple>
      <w:r w:rsidRPr="007D162C">
        <w:rPr>
          <w:noProof/>
        </w:rPr>
        <w:t>:</w:t>
      </w:r>
      <w:r w:rsidRPr="007D162C">
        <w:t xml:space="preserve"> Reform options for flange gaps within access paths</w:t>
      </w:r>
      <w:bookmarkEnd w:id="408"/>
      <w:bookmarkEnd w:id="409"/>
    </w:p>
    <w:tbl>
      <w:tblPr>
        <w:tblStyle w:val="DefaultTable1"/>
        <w:tblW w:w="9072" w:type="dxa"/>
        <w:tblLook w:val="04A0" w:firstRow="1" w:lastRow="0" w:firstColumn="1" w:lastColumn="0" w:noHBand="0" w:noVBand="1"/>
        <w:tblCaption w:val="Reform options for flange gaps within access paths"/>
        <w:tblDescription w:val="This table provides a description of each of the options for this reform area. Status quo, non-regulatory and regulatory."/>
      </w:tblPr>
      <w:tblGrid>
        <w:gridCol w:w="2232"/>
        <w:gridCol w:w="6840"/>
      </w:tblGrid>
      <w:tr w:rsidR="00A24529" w:rsidRPr="007D162C" w14:paraId="328E5E6F"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tcPr>
          <w:p w14:paraId="1F50C4C5" w14:textId="77777777" w:rsidR="00A24529" w:rsidRPr="007D162C" w:rsidRDefault="00A24529" w:rsidP="00541F94">
            <w:r w:rsidRPr="007D162C">
              <w:t>Option</w:t>
            </w:r>
          </w:p>
        </w:tc>
        <w:tc>
          <w:tcPr>
            <w:tcW w:w="6840" w:type="dxa"/>
          </w:tcPr>
          <w:p w14:paraId="7899779B" w14:textId="77777777" w:rsidR="00A24529" w:rsidRPr="007D162C" w:rsidRDefault="00A24529" w:rsidP="00541F94">
            <w:pPr>
              <w:cnfStyle w:val="100000000000" w:firstRow="1" w:lastRow="0" w:firstColumn="0" w:lastColumn="0" w:oddVBand="0" w:evenVBand="0" w:oddHBand="0" w:evenHBand="0" w:firstRowFirstColumn="0" w:firstRowLastColumn="0" w:lastRowFirstColumn="0" w:lastRowLastColumn="0"/>
            </w:pPr>
            <w:r w:rsidRPr="007D162C">
              <w:t>Description</w:t>
            </w:r>
          </w:p>
        </w:tc>
      </w:tr>
      <w:tr w:rsidR="00A24529" w:rsidRPr="007D162C" w14:paraId="1432CA9A"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1AC99C2C" w14:textId="77777777" w:rsidR="00A24529" w:rsidRPr="007D162C" w:rsidRDefault="00A24529" w:rsidP="00541F94">
            <w:r w:rsidRPr="007D162C">
              <w:t>Status Quo</w:t>
            </w:r>
          </w:p>
        </w:tc>
        <w:tc>
          <w:tcPr>
            <w:tcW w:w="6840" w:type="dxa"/>
          </w:tcPr>
          <w:p w14:paraId="43790147"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remain silent on flange gaps within access paths at level crossings. The Transport Standards would remain unchanged and no additional guidance would be issued.</w:t>
            </w:r>
          </w:p>
        </w:tc>
      </w:tr>
      <w:tr w:rsidR="00A24529" w:rsidRPr="007D162C" w14:paraId="7FB50572"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7B932632" w14:textId="77777777" w:rsidR="00A24529" w:rsidRPr="007D162C" w:rsidRDefault="00A24529" w:rsidP="00541F94">
            <w:r w:rsidRPr="007D162C">
              <w:t xml:space="preserve">Non-regulatory </w:t>
            </w:r>
          </w:p>
        </w:tc>
        <w:tc>
          <w:tcPr>
            <w:tcW w:w="6840" w:type="dxa"/>
          </w:tcPr>
          <w:p w14:paraId="572D4B77" w14:textId="77777777" w:rsidR="00A24529" w:rsidRPr="007D162C" w:rsidRDefault="08D050C4" w:rsidP="00541F94">
            <w:pPr>
              <w:cnfStyle w:val="000000000000" w:firstRow="0" w:lastRow="0" w:firstColumn="0" w:lastColumn="0" w:oddVBand="0" w:evenVBand="0" w:oddHBand="0" w:evenHBand="0" w:firstRowFirstColumn="0" w:firstRowLastColumn="0" w:lastRowFirstColumn="0" w:lastRowLastColumn="0"/>
            </w:pPr>
            <w:r w:rsidRPr="007D162C">
              <w:t>Guidance would be developed to encourage the upgrade and removal of railway level crossings and to ensure level crossings do not form part of an access path, encourage research and trials of new flange gap filler products and technologies to minimise the flange gap and good design and safe traversing of flange gaps.</w:t>
            </w:r>
          </w:p>
        </w:tc>
      </w:tr>
      <w:tr w:rsidR="00A24529" w:rsidRPr="007D162C" w14:paraId="0B17D1A5"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5E9ED1DC" w14:textId="77777777" w:rsidR="00A24529" w:rsidRPr="007D162C" w:rsidRDefault="00A24529" w:rsidP="00541F94">
            <w:pPr>
              <w:rPr>
                <w:b w:val="0"/>
              </w:rPr>
            </w:pPr>
            <w:r w:rsidRPr="007D162C">
              <w:t xml:space="preserve">Regulatory </w:t>
            </w:r>
          </w:p>
          <w:p w14:paraId="0DE5D10C" w14:textId="77777777" w:rsidR="00A24529" w:rsidRPr="007D162C" w:rsidRDefault="00A24529" w:rsidP="00541F94"/>
        </w:tc>
        <w:tc>
          <w:tcPr>
            <w:tcW w:w="6840" w:type="dxa"/>
          </w:tcPr>
          <w:p w14:paraId="449170F5"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There were 2 regulatory options consulted on. Guidance would be provided to reflect any new requirements.</w:t>
            </w:r>
          </w:p>
          <w:p w14:paraId="1AA7384E"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1C27BEE3"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flange gaps that form part of an access path, including where possible, level crossings must not form part of an access path.</w:t>
            </w:r>
          </w:p>
          <w:p w14:paraId="3BD2C6EF"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Where a ‘flange gap filler’ product or technology is approved it must be used to eliminate or reduce the gap.</w:t>
            </w:r>
          </w:p>
          <w:p w14:paraId="202688B5"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01573EFB"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pPr>
            <w:r w:rsidRPr="007D162C">
              <w:t>In addition to requirements at Option 1, this option includes design requirements consistent with contemporary Australian Standards.</w:t>
            </w:r>
          </w:p>
        </w:tc>
      </w:tr>
    </w:tbl>
    <w:p w14:paraId="2BD24BBC" w14:textId="77777777" w:rsidR="00A24529" w:rsidRPr="007D162C" w:rsidRDefault="00A24529" w:rsidP="00A24529"/>
    <w:p w14:paraId="3DB03165" w14:textId="77777777" w:rsidR="00A24529" w:rsidRPr="007D162C" w:rsidRDefault="00A24529" w:rsidP="00A24529">
      <w:pPr>
        <w:pStyle w:val="Heading4"/>
      </w:pPr>
      <w:r w:rsidRPr="007D162C">
        <w:t>Cost benefit analysis</w:t>
      </w:r>
    </w:p>
    <w:p w14:paraId="2B63B377" w14:textId="77777777" w:rsidR="00056F6E" w:rsidRPr="007D162C" w:rsidRDefault="00056F6E" w:rsidP="00056F6E">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AE8AE34" w14:textId="77777777" w:rsidR="00056F6E" w:rsidRPr="007D162C" w:rsidRDefault="00056F6E" w:rsidP="00056F6E">
      <w:r w:rsidRPr="007D162C">
        <w:t xml:space="preserve">The following categories of quantitative costs and benefits were identified in the CBA as pertaining to the reform options. </w:t>
      </w:r>
    </w:p>
    <w:p w14:paraId="3B6FCFCA" w14:textId="7959ECBC" w:rsidR="00A24529" w:rsidRPr="007D162C" w:rsidRDefault="00A24529" w:rsidP="00B00A31">
      <w:pPr>
        <w:pStyle w:val="Tablefigureheading"/>
      </w:pPr>
      <w:bookmarkStart w:id="410" w:name="_Toc122446391"/>
      <w:bookmarkStart w:id="411" w:name="_Toc139969231"/>
      <w:r w:rsidRPr="007D162C">
        <w:lastRenderedPageBreak/>
        <w:t xml:space="preserve">Table </w:t>
      </w:r>
      <w:fldSimple w:instr=" SEQ Table \* ARABIC ">
        <w:r w:rsidR="00DC26AC">
          <w:rPr>
            <w:noProof/>
          </w:rPr>
          <w:t>73</w:t>
        </w:r>
      </w:fldSimple>
      <w:r w:rsidRPr="007D162C">
        <w:t>: Benefit-cost ratios for flange gaps within access paths</w:t>
      </w:r>
      <w:bookmarkEnd w:id="410"/>
      <w:bookmarkEnd w:id="411"/>
    </w:p>
    <w:tbl>
      <w:tblPr>
        <w:tblStyle w:val="DefaultTable1"/>
        <w:tblW w:w="9864" w:type="dxa"/>
        <w:tblLook w:val="04A0" w:firstRow="1" w:lastRow="0" w:firstColumn="1" w:lastColumn="0" w:noHBand="0" w:noVBand="1"/>
        <w:tblCaption w:val="Benefit-cost ratios for flange gaps within access paths"/>
        <w:tblDescription w:val="This table provides the monetised benefits and costs for each of the options for this reform area."/>
      </w:tblPr>
      <w:tblGrid>
        <w:gridCol w:w="2127"/>
        <w:gridCol w:w="1559"/>
        <w:gridCol w:w="1701"/>
        <w:gridCol w:w="1701"/>
        <w:gridCol w:w="1559"/>
        <w:gridCol w:w="1217"/>
      </w:tblGrid>
      <w:tr w:rsidR="00A24529" w:rsidRPr="007D162C" w14:paraId="402C34F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4B835C7D" w14:textId="77777777" w:rsidR="00A24529" w:rsidRPr="007D162C" w:rsidRDefault="08D050C4" w:rsidP="00541F94">
            <w:r w:rsidRPr="007D162C">
              <w:t>Reform Option</w:t>
            </w:r>
          </w:p>
        </w:tc>
        <w:tc>
          <w:tcPr>
            <w:tcW w:w="1559" w:type="dxa"/>
          </w:tcPr>
          <w:p w14:paraId="097FF4AA"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0CD9DBA7"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CCC4A7F"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64529FC9"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217" w:type="dxa"/>
          </w:tcPr>
          <w:p w14:paraId="50C8BDF5" w14:textId="77777777" w:rsidR="00A24529" w:rsidRPr="007D162C" w:rsidRDefault="08D050C4" w:rsidP="00541F94">
            <w:pPr>
              <w:cnfStyle w:val="100000000000" w:firstRow="1" w:lastRow="0" w:firstColumn="0" w:lastColumn="0" w:oddVBand="0" w:evenVBand="0" w:oddHBand="0" w:evenHBand="0" w:firstRowFirstColumn="0" w:firstRowLastColumn="0" w:lastRowFirstColumn="0" w:lastRowLastColumn="0"/>
            </w:pPr>
            <w:r w:rsidRPr="007D162C">
              <w:t>BCR</w:t>
            </w:r>
          </w:p>
        </w:tc>
      </w:tr>
      <w:tr w:rsidR="00A24529" w:rsidRPr="007D162C" w14:paraId="386FAC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AF90D8B" w14:textId="77777777" w:rsidR="00A24529" w:rsidRPr="007D162C" w:rsidRDefault="00A24529" w:rsidP="00541F94">
            <w:r w:rsidRPr="007D162C">
              <w:t>Status Quo</w:t>
            </w:r>
          </w:p>
        </w:tc>
        <w:tc>
          <w:tcPr>
            <w:tcW w:w="1559" w:type="dxa"/>
          </w:tcPr>
          <w:p w14:paraId="3F898C93"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1AE2BFA4"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07DEC110"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59" w:type="dxa"/>
          </w:tcPr>
          <w:p w14:paraId="07A1250F"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17" w:type="dxa"/>
          </w:tcPr>
          <w:p w14:paraId="4C17644D"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A24529" w:rsidRPr="007D162C" w14:paraId="5D8F5B39"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2F2B0C69" w14:textId="77777777" w:rsidR="00A24529" w:rsidRPr="007D162C" w:rsidRDefault="00A24529" w:rsidP="00541F94">
            <w:r w:rsidRPr="007D162C">
              <w:t xml:space="preserve">Non-regulatory </w:t>
            </w:r>
          </w:p>
        </w:tc>
        <w:tc>
          <w:tcPr>
            <w:tcW w:w="1559" w:type="dxa"/>
            <w:vAlign w:val="center"/>
          </w:tcPr>
          <w:p w14:paraId="2187E83F"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18.0</w:t>
            </w:r>
          </w:p>
        </w:tc>
        <w:tc>
          <w:tcPr>
            <w:tcW w:w="1701" w:type="dxa"/>
          </w:tcPr>
          <w:p w14:paraId="75E57307"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7E7AD1F2"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6.2</w:t>
            </w:r>
          </w:p>
        </w:tc>
        <w:tc>
          <w:tcPr>
            <w:tcW w:w="1559" w:type="dxa"/>
            <w:vAlign w:val="center"/>
          </w:tcPr>
          <w:p w14:paraId="48D51B3D" w14:textId="77777777" w:rsidR="00A24529" w:rsidRPr="007D162C" w:rsidRDefault="00A24529" w:rsidP="00541F94">
            <w:pPr>
              <w:cnfStyle w:val="000000000000" w:firstRow="0" w:lastRow="0" w:firstColumn="0" w:lastColumn="0" w:oddVBand="0" w:evenVBand="0" w:oddHBand="0" w:evenHBand="0" w:firstRowFirstColumn="0" w:firstRowLastColumn="0" w:lastRowFirstColumn="0" w:lastRowLastColumn="0"/>
              <w:rPr>
                <w:vertAlign w:val="superscript"/>
              </w:rPr>
            </w:pPr>
            <w:r w:rsidRPr="007D162C">
              <w:t>6.2</w:t>
            </w:r>
            <w:r w:rsidR="00056F6E" w:rsidRPr="007D162C">
              <w:rPr>
                <w:vertAlign w:val="superscript"/>
              </w:rPr>
              <w:t>i</w:t>
            </w:r>
          </w:p>
        </w:tc>
        <w:tc>
          <w:tcPr>
            <w:tcW w:w="1217" w:type="dxa"/>
            <w:vAlign w:val="center"/>
          </w:tcPr>
          <w:p w14:paraId="3282C369"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2.90</w:t>
            </w:r>
          </w:p>
        </w:tc>
      </w:tr>
      <w:tr w:rsidR="00A24529" w:rsidRPr="007D162C" w14:paraId="25D2CB4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FAB8FDE" w14:textId="77777777" w:rsidR="00A24529" w:rsidRPr="007D162C" w:rsidRDefault="00A24529" w:rsidP="00541F94">
            <w:r w:rsidRPr="007D162C">
              <w:t>Regulatory option 1</w:t>
            </w:r>
          </w:p>
        </w:tc>
        <w:tc>
          <w:tcPr>
            <w:tcW w:w="1559" w:type="dxa"/>
            <w:vAlign w:val="center"/>
          </w:tcPr>
          <w:p w14:paraId="53BB22A5"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118.3</w:t>
            </w:r>
          </w:p>
        </w:tc>
        <w:tc>
          <w:tcPr>
            <w:tcW w:w="1701" w:type="dxa"/>
          </w:tcPr>
          <w:p w14:paraId="4D2CFC77"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51DE49FB"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42.4</w:t>
            </w:r>
          </w:p>
        </w:tc>
        <w:tc>
          <w:tcPr>
            <w:tcW w:w="1559" w:type="dxa"/>
            <w:vAlign w:val="center"/>
          </w:tcPr>
          <w:p w14:paraId="57C8F979" w14:textId="77777777" w:rsidR="00A24529" w:rsidRPr="007D162C" w:rsidRDefault="00A24529" w:rsidP="00541F94">
            <w:pPr>
              <w:cnfStyle w:val="000000100000" w:firstRow="0" w:lastRow="0" w:firstColumn="0" w:lastColumn="0" w:oddVBand="0" w:evenVBand="0" w:oddHBand="1" w:evenHBand="0" w:firstRowFirstColumn="0" w:firstRowLastColumn="0" w:lastRowFirstColumn="0" w:lastRowLastColumn="0"/>
              <w:rPr>
                <w:vertAlign w:val="superscript"/>
              </w:rPr>
            </w:pPr>
            <w:r w:rsidRPr="007D162C">
              <w:t>42.4</w:t>
            </w:r>
            <w:r w:rsidR="00056F6E" w:rsidRPr="007D162C">
              <w:rPr>
                <w:vertAlign w:val="superscript"/>
              </w:rPr>
              <w:t>i</w:t>
            </w:r>
          </w:p>
        </w:tc>
        <w:tc>
          <w:tcPr>
            <w:tcW w:w="1217" w:type="dxa"/>
            <w:vAlign w:val="center"/>
          </w:tcPr>
          <w:p w14:paraId="5417883F" w14:textId="77777777" w:rsidR="00A24529"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2.79</w:t>
            </w:r>
          </w:p>
        </w:tc>
      </w:tr>
      <w:tr w:rsidR="00A24529" w:rsidRPr="007D162C" w14:paraId="3ABC3555" w14:textId="77777777" w:rsidTr="08D050C4">
        <w:tc>
          <w:tcPr>
            <w:cnfStyle w:val="001000000000" w:firstRow="0" w:lastRow="0" w:firstColumn="1" w:lastColumn="0" w:oddVBand="0" w:evenVBand="0" w:oddHBand="0" w:evenHBand="0" w:firstRowFirstColumn="0" w:firstRowLastColumn="0" w:lastRowFirstColumn="0" w:lastRowLastColumn="0"/>
            <w:tcW w:w="2127" w:type="dxa"/>
          </w:tcPr>
          <w:p w14:paraId="22CE30D3" w14:textId="77777777" w:rsidR="00A24529" w:rsidRPr="007D162C" w:rsidRDefault="00A24529" w:rsidP="00541F94">
            <w:r w:rsidRPr="007D162C">
              <w:t xml:space="preserve">Regulatory option 2 </w:t>
            </w:r>
          </w:p>
        </w:tc>
        <w:tc>
          <w:tcPr>
            <w:tcW w:w="1559" w:type="dxa"/>
            <w:vAlign w:val="center"/>
          </w:tcPr>
          <w:p w14:paraId="5B33DF0D"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118.3</w:t>
            </w:r>
          </w:p>
        </w:tc>
        <w:tc>
          <w:tcPr>
            <w:tcW w:w="1701" w:type="dxa"/>
          </w:tcPr>
          <w:p w14:paraId="7000CBBD"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6994FF94"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5128.9</w:t>
            </w:r>
          </w:p>
        </w:tc>
        <w:tc>
          <w:tcPr>
            <w:tcW w:w="1559" w:type="dxa"/>
            <w:vAlign w:val="center"/>
          </w:tcPr>
          <w:p w14:paraId="141DBC97" w14:textId="77777777" w:rsidR="00A24529" w:rsidRPr="007D162C" w:rsidRDefault="00A24529" w:rsidP="00541F94">
            <w:pPr>
              <w:cnfStyle w:val="000000000000" w:firstRow="0" w:lastRow="0" w:firstColumn="0" w:lastColumn="0" w:oddVBand="0" w:evenVBand="0" w:oddHBand="0" w:evenHBand="0" w:firstRowFirstColumn="0" w:firstRowLastColumn="0" w:lastRowFirstColumn="0" w:lastRowLastColumn="0"/>
              <w:rPr>
                <w:vertAlign w:val="superscript"/>
              </w:rPr>
            </w:pPr>
            <w:r w:rsidRPr="007D162C">
              <w:t>5128.9</w:t>
            </w:r>
            <w:r w:rsidR="00056F6E" w:rsidRPr="007D162C">
              <w:rPr>
                <w:vertAlign w:val="superscript"/>
              </w:rPr>
              <w:t>i</w:t>
            </w:r>
          </w:p>
        </w:tc>
        <w:tc>
          <w:tcPr>
            <w:tcW w:w="1217" w:type="dxa"/>
            <w:vAlign w:val="center"/>
          </w:tcPr>
          <w:p w14:paraId="53D8AEF1" w14:textId="77777777" w:rsidR="00A24529"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bl>
    <w:p w14:paraId="6156D94A" w14:textId="77777777" w:rsidR="00A24529" w:rsidRPr="007D162C" w:rsidRDefault="00A24529" w:rsidP="00A24529">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5BDADCCC" w14:textId="77777777" w:rsidR="00A24529"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7655740B" w14:textId="77777777" w:rsidR="00056F6E" w:rsidRPr="007D162C" w:rsidRDefault="00056F6E" w:rsidP="00056F6E"/>
    <w:p w14:paraId="4751C674" w14:textId="77777777" w:rsidR="00A24529" w:rsidRPr="007D162C" w:rsidRDefault="00A24529" w:rsidP="00A24529">
      <w:pPr>
        <w:pStyle w:val="Heading6"/>
      </w:pPr>
      <w:r w:rsidRPr="007D162C">
        <w:t>Considerations to note in interpreting analysis</w:t>
      </w:r>
    </w:p>
    <w:p w14:paraId="27371EBE" w14:textId="77777777" w:rsidR="00A24529" w:rsidRPr="007D162C" w:rsidRDefault="00A24529" w:rsidP="00056F6E">
      <w:pPr>
        <w:pStyle w:val="Heading7"/>
      </w:pPr>
      <w:r w:rsidRPr="007D162C">
        <w:t>Limitations</w:t>
      </w:r>
    </w:p>
    <w:p w14:paraId="08A32742" w14:textId="77777777" w:rsidR="00A24529" w:rsidRPr="007D162C" w:rsidRDefault="00A24529" w:rsidP="00056F6E">
      <w:pPr>
        <w:pStyle w:val="Heading8"/>
      </w:pPr>
      <w:r w:rsidRPr="007D162C">
        <w:t>Non-regulatory</w:t>
      </w:r>
    </w:p>
    <w:p w14:paraId="7625C658" w14:textId="6A89FE0A" w:rsidR="00A24529" w:rsidRDefault="00A24529" w:rsidP="00390755">
      <w:r w:rsidRPr="007D162C">
        <w:t>This option reflects a lower take up of option 1. An estimated rate of uptake</w:t>
      </w:r>
      <w:r>
        <w:t xml:space="preserve"> of 15</w:t>
      </w:r>
      <w:r w:rsidR="00FB4BDA">
        <w:t xml:space="preserve"> per cent</w:t>
      </w:r>
      <w:r>
        <w:t xml:space="preserve"> was applied to the non-regulatory option based on the high cost and complexity of upgrading or removing level crossings. </w:t>
      </w:r>
      <w:r w:rsidRPr="00682C6C">
        <w:t>This implies that the benefits and costs quantified for this non-regulatory reform may not reflect future take-up of the reform.</w:t>
      </w:r>
    </w:p>
    <w:p w14:paraId="22372717" w14:textId="77777777" w:rsidR="00A24529" w:rsidRDefault="00A24529" w:rsidP="00056F6E">
      <w:pPr>
        <w:pStyle w:val="Heading8"/>
      </w:pPr>
      <w:r>
        <w:t>Regulatory</w:t>
      </w:r>
    </w:p>
    <w:p w14:paraId="38E3606B" w14:textId="77777777" w:rsidR="00A24529" w:rsidRDefault="00A24529" w:rsidP="00390755">
      <w:r w:rsidRPr="00682C6C">
        <w:t>The benefits and costs for th</w:t>
      </w:r>
      <w:r w:rsidR="00056F6E">
        <w:t>ese</w:t>
      </w:r>
      <w:r w:rsidRPr="00682C6C">
        <w:t xml:space="preserve"> reform </w:t>
      </w:r>
      <w:r w:rsidR="00056F6E">
        <w:t xml:space="preserve">options </w:t>
      </w:r>
      <w:r w:rsidRPr="00682C6C">
        <w:t xml:space="preserve">were estimated based on limited data from survey responses, proxied at a national level. </w:t>
      </w:r>
      <w:r w:rsidR="00056F6E">
        <w:t>The q</w:t>
      </w:r>
      <w:r w:rsidR="00056F6E" w:rsidRPr="00682C6C">
        <w:t xml:space="preserve">uantified benefits of </w:t>
      </w:r>
      <w:r w:rsidR="00056F6E">
        <w:t>these options</w:t>
      </w:r>
      <w:r w:rsidR="00056F6E" w:rsidRPr="00682C6C">
        <w:t xml:space="preserve"> do not fully capture the safety and amenity benefits to the public including bicycle users.</w:t>
      </w:r>
      <w:r w:rsidR="00056F6E">
        <w:t xml:space="preserve"> </w:t>
      </w:r>
      <w:r w:rsidR="00056F6E" w:rsidRPr="00682C6C">
        <w:t xml:space="preserve">The benefits and costs for this reform were estimated based on limited data from survey responses, proxied at a national level. </w:t>
      </w:r>
    </w:p>
    <w:p w14:paraId="05F6B228" w14:textId="77777777" w:rsidR="00056F6E" w:rsidRDefault="00A24529" w:rsidP="00390755">
      <w:r w:rsidRPr="00682C6C">
        <w:t xml:space="preserve">The costs for </w:t>
      </w:r>
      <w:r w:rsidR="00056F6E">
        <w:t>regulatory options 1</w:t>
      </w:r>
      <w:r w:rsidR="00056F6E" w:rsidRPr="00682C6C">
        <w:t xml:space="preserve"> </w:t>
      </w:r>
      <w:r w:rsidR="00056F6E">
        <w:t>reflect</w:t>
      </w:r>
      <w:r w:rsidRPr="00682C6C">
        <w:t xml:space="preserve"> the investment in flange gap fillers at level crossings. This is a lower cost option in comparison with regulatory option 2 to achieve the benefits attributed to this reform.</w:t>
      </w:r>
      <w:r w:rsidR="00056F6E">
        <w:t xml:space="preserve"> Cost for Options 2 </w:t>
      </w:r>
      <w:r w:rsidR="00056F6E" w:rsidRPr="00682C6C">
        <w:t>reflect the replacement of level crossings. This is a higher cost option in comparison with regulatory option 1 to achieve the benefits attributed to this reform.</w:t>
      </w:r>
    </w:p>
    <w:p w14:paraId="641D4E5E" w14:textId="77777777" w:rsidR="00A24529" w:rsidRPr="00056F6E" w:rsidRDefault="00A24529" w:rsidP="00056F6E">
      <w:pPr>
        <w:pStyle w:val="Heading7"/>
      </w:pPr>
      <w:r w:rsidRPr="00056F6E">
        <w:t>Interdependencies</w:t>
      </w:r>
    </w:p>
    <w:p w14:paraId="535461EF" w14:textId="77777777" w:rsidR="00A24529" w:rsidRPr="00F87E76" w:rsidRDefault="08D050C4" w:rsidP="00390755">
      <w:r>
        <w:t>The accessibility benefits of this reform will only be realised if there was equitable access across the whole public transport journey, with benefits reliant on implementation of other reforms such as bus, tram and light rail boarding points.</w:t>
      </w:r>
    </w:p>
    <w:p w14:paraId="673DFC57" w14:textId="77777777" w:rsidR="00A24529" w:rsidRPr="00B00A31" w:rsidRDefault="00A24529" w:rsidP="00B00A31">
      <w:pPr>
        <w:pStyle w:val="Heading5"/>
        <w:keepLines/>
        <w:spacing w:before="240"/>
        <w:rPr>
          <w:rFonts w:asciiTheme="majorHAnsi" w:eastAsiaTheme="majorEastAsia" w:hAnsiTheme="majorHAnsi" w:cstheme="majorBidi"/>
          <w:color w:val="44546A" w:themeColor="text2"/>
          <w:sz w:val="22"/>
          <w:szCs w:val="22"/>
          <w:lang w:val="en-AU"/>
        </w:rPr>
      </w:pPr>
      <w:r w:rsidRPr="00B00A31">
        <w:rPr>
          <w:rFonts w:asciiTheme="majorHAnsi" w:eastAsiaTheme="majorEastAsia" w:hAnsiTheme="majorHAnsi" w:cstheme="majorBidi"/>
          <w:color w:val="44546A" w:themeColor="text2"/>
          <w:kern w:val="0"/>
          <w:sz w:val="22"/>
          <w:szCs w:val="22"/>
          <w:lang w:val="en-AU"/>
        </w:rPr>
        <w:t xml:space="preserve">Qualitative assessment </w:t>
      </w:r>
    </w:p>
    <w:p w14:paraId="500692BC" w14:textId="77777777" w:rsidR="00A24529" w:rsidRPr="00F10FAA" w:rsidRDefault="00A24529" w:rsidP="00A24529">
      <w:r>
        <w:t>The following categories of qualitative benefits were identified in the CBA as pertaining to the reform options.</w:t>
      </w:r>
    </w:p>
    <w:p w14:paraId="27381D2D" w14:textId="40AC65D0" w:rsidR="00A24529" w:rsidRDefault="00A24529" w:rsidP="00B00A31">
      <w:pPr>
        <w:pStyle w:val="Tablefigureheading"/>
      </w:pPr>
      <w:bookmarkStart w:id="412" w:name="_Toc122446392"/>
      <w:bookmarkStart w:id="413" w:name="_Toc139969232"/>
      <w:r>
        <w:t xml:space="preserve">Table </w:t>
      </w:r>
      <w:fldSimple w:instr=" SEQ Table \* ARABIC ">
        <w:r w:rsidR="00DC26AC">
          <w:rPr>
            <w:noProof/>
          </w:rPr>
          <w:t>74</w:t>
        </w:r>
      </w:fldSimple>
      <w:r>
        <w:rPr>
          <w:noProof/>
        </w:rPr>
        <w:t>:</w:t>
      </w:r>
      <w:r w:rsidRPr="00EE3F5F">
        <w:rPr>
          <w:noProof/>
        </w:rPr>
        <w:t xml:space="preserve"> </w:t>
      </w:r>
      <w:r>
        <w:t>Qualitative benefits for flange gaps within access paths</w:t>
      </w:r>
      <w:bookmarkEnd w:id="412"/>
      <w:bookmarkEnd w:id="413"/>
    </w:p>
    <w:tbl>
      <w:tblPr>
        <w:tblStyle w:val="DefaultTable1"/>
        <w:tblW w:w="9864" w:type="dxa"/>
        <w:tblLook w:val="04A0" w:firstRow="1" w:lastRow="0" w:firstColumn="1" w:lastColumn="0" w:noHBand="0" w:noVBand="1"/>
        <w:tblCaption w:val="Qualitative benefits for flange gaps within access paths"/>
      </w:tblPr>
      <w:tblGrid>
        <w:gridCol w:w="1213"/>
        <w:gridCol w:w="1343"/>
        <w:gridCol w:w="1626"/>
        <w:gridCol w:w="1300"/>
        <w:gridCol w:w="1278"/>
        <w:gridCol w:w="1641"/>
        <w:gridCol w:w="1463"/>
      </w:tblGrid>
      <w:tr w:rsidR="00A24529" w:rsidRPr="007A751F" w14:paraId="4E39A36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EC409E3" w14:textId="77777777" w:rsidR="00A24529" w:rsidRPr="007A751F" w:rsidRDefault="08D050C4" w:rsidP="00541F94">
            <w:r w:rsidRPr="08D050C4">
              <w:t>Reform Option</w:t>
            </w:r>
          </w:p>
        </w:tc>
        <w:tc>
          <w:tcPr>
            <w:tcW w:w="1343" w:type="dxa"/>
          </w:tcPr>
          <w:p w14:paraId="31BC0855"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5986791"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2C9F27B"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68681320"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BB2A689" w14:textId="77777777" w:rsidR="00A24529"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FABD5E6" w14:textId="77777777" w:rsidR="00A24529" w:rsidRDefault="08D050C4" w:rsidP="00541F9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A24529" w:rsidRPr="00B04D0E" w14:paraId="62F25A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43EB83B" w14:textId="77777777" w:rsidR="00A24529" w:rsidRPr="00653914" w:rsidRDefault="00A24529" w:rsidP="00541F94">
            <w:r w:rsidRPr="00653914">
              <w:t>Status Quo</w:t>
            </w:r>
          </w:p>
        </w:tc>
        <w:tc>
          <w:tcPr>
            <w:tcW w:w="1343" w:type="dxa"/>
          </w:tcPr>
          <w:p w14:paraId="452E750B"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24CF706"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7DAD545A"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D8A0338"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2AA655E"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4DFFA1E3"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A24529" w:rsidRPr="00B04D0E" w14:paraId="3772C96B"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674B336" w14:textId="77777777" w:rsidR="00A24529" w:rsidRPr="00653914" w:rsidRDefault="00A24529" w:rsidP="00541F94">
            <w:r>
              <w:t xml:space="preserve">Non-regulatory </w:t>
            </w:r>
          </w:p>
        </w:tc>
        <w:tc>
          <w:tcPr>
            <w:tcW w:w="1343" w:type="dxa"/>
          </w:tcPr>
          <w:p w14:paraId="460BCAFA"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4D76A0AD"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5AFEEE1A" w14:textId="77777777" w:rsidR="00A24529" w:rsidRPr="0039075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010152CF" w14:textId="77777777" w:rsidR="00A24529"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AD2903D" w14:textId="77777777" w:rsidR="00A24529" w:rsidRPr="00B04D0E" w:rsidRDefault="00A24529" w:rsidP="00541F9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AF4411C" w14:textId="77777777" w:rsidR="00A24529" w:rsidRPr="00B04D0E" w:rsidRDefault="00A24529" w:rsidP="00541F94">
            <w:pPr>
              <w:cnfStyle w:val="000000000000" w:firstRow="0" w:lastRow="0" w:firstColumn="0" w:lastColumn="0" w:oddVBand="0" w:evenVBand="0" w:oddHBand="0" w:evenHBand="0" w:firstRowFirstColumn="0" w:firstRowLastColumn="0" w:lastRowFirstColumn="0" w:lastRowLastColumn="0"/>
            </w:pPr>
            <w:r>
              <w:t>Yes</w:t>
            </w:r>
          </w:p>
        </w:tc>
      </w:tr>
      <w:tr w:rsidR="00A24529" w:rsidRPr="00B04D0E" w14:paraId="4333D0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9A5E1DE" w14:textId="77777777" w:rsidR="00A24529" w:rsidRPr="00653914" w:rsidRDefault="00A24529" w:rsidP="00541F94">
            <w:r>
              <w:t>Regulatory</w:t>
            </w:r>
          </w:p>
        </w:tc>
        <w:tc>
          <w:tcPr>
            <w:tcW w:w="1343" w:type="dxa"/>
          </w:tcPr>
          <w:p w14:paraId="7BD6CCE0"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A7E954C"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5328269" w14:textId="77777777" w:rsidR="00A24529" w:rsidRPr="0039075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DC1F572" w14:textId="77777777" w:rsidR="00A24529"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74F2078E" w14:textId="77777777" w:rsidR="00A24529" w:rsidRPr="00B04D0E" w:rsidRDefault="00A24529" w:rsidP="00541F9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418B712" w14:textId="77777777" w:rsidR="00A24529" w:rsidRPr="00B04D0E" w:rsidRDefault="00A24529" w:rsidP="00541F94">
            <w:pPr>
              <w:cnfStyle w:val="000000100000" w:firstRow="0" w:lastRow="0" w:firstColumn="0" w:lastColumn="0" w:oddVBand="0" w:evenVBand="0" w:oddHBand="1" w:evenHBand="0" w:firstRowFirstColumn="0" w:firstRowLastColumn="0" w:lastRowFirstColumn="0" w:lastRowLastColumn="0"/>
            </w:pPr>
            <w:r>
              <w:t>Yes</w:t>
            </w:r>
          </w:p>
        </w:tc>
      </w:tr>
    </w:tbl>
    <w:p w14:paraId="35E503CD" w14:textId="77777777" w:rsidR="00B00A31" w:rsidRDefault="00B00A31" w:rsidP="00B00A31"/>
    <w:p w14:paraId="2DCFA86A" w14:textId="77777777" w:rsidR="00A24529" w:rsidRPr="004C16F7" w:rsidRDefault="00A24529" w:rsidP="00A24529">
      <w:pPr>
        <w:pStyle w:val="Heading4"/>
        <w:tabs>
          <w:tab w:val="left" w:pos="284"/>
        </w:tabs>
      </w:pPr>
      <w:r>
        <w:lastRenderedPageBreak/>
        <w:t xml:space="preserve">Analysis of submissions </w:t>
      </w:r>
    </w:p>
    <w:p w14:paraId="127CB54A" w14:textId="77777777" w:rsidR="00A24529" w:rsidRPr="00B00A31" w:rsidRDefault="00A24529" w:rsidP="00B00A31">
      <w:pPr>
        <w:pStyle w:val="Heading5"/>
      </w:pPr>
      <w:r w:rsidRPr="0054328A">
        <w:t>Status quo</w:t>
      </w:r>
    </w:p>
    <w:p w14:paraId="554395FF" w14:textId="77777777" w:rsidR="00A24529" w:rsidRDefault="08D050C4" w:rsidP="00A24529">
      <w:r>
        <w:t xml:space="preserve">Flange gaps are a necessary feature for train, light rail and tram wheels to safely travel through a level crossing. However, flange gaps present a safety risk for people with disability who may get stuck in the gap while traversing a level crossing. Consultation findings highlight this safety issue is exacerbated for people who use mobility devices and those with low vision or who are blind and utilise a cane. This safety risk remains by maintaining the status quo. </w:t>
      </w:r>
    </w:p>
    <w:p w14:paraId="1CDE47BB" w14:textId="4E1A3395" w:rsidR="00A24529" w:rsidRDefault="00A24529" w:rsidP="08D050C4">
      <w:pPr>
        <w:rPr>
          <w:rFonts w:ascii="Calibri" w:hAnsi="Calibri" w:cs="Calibri"/>
          <w:color w:val="000000" w:themeColor="text1"/>
        </w:rPr>
      </w:pPr>
      <w:r>
        <w:rPr>
          <w:rFonts w:ascii="Calibri" w:hAnsi="Calibri" w:cs="Calibri"/>
        </w:rPr>
        <w:t xml:space="preserve">Two out of 19 submissions that commented on this reform option expressed support for the status quo. These submissions from </w:t>
      </w:r>
      <w:r>
        <w:t>individuals, people with disability and disability organisations</w:t>
      </w:r>
      <w:r w:rsidR="006F2F96">
        <w:t>,</w:t>
      </w:r>
      <w:r>
        <w:rPr>
          <w:rFonts w:ascii="Calibri" w:hAnsi="Calibri" w:cs="Calibri"/>
        </w:rPr>
        <w:t xml:space="preserve"> highlighted that maintaining the status quo would help drive research and maintain pressure in developing a suitable gap filler product to address safety concerns posed by flange gaps. </w:t>
      </w:r>
      <w:r>
        <w:rPr>
          <w:rFonts w:ascii="Calibri" w:hAnsi="Calibri" w:cs="Calibri"/>
          <w:color w:val="000000"/>
          <w:shd w:val="clear" w:color="auto" w:fill="FFFFFF"/>
        </w:rPr>
        <w:t>Concerns were raised in these submissions that the regulatory and non-regulatory options would see current research projects and trials cease, and allow flange gaps to continue to be found on level crossings that are under the purview of the Transport Standards.</w:t>
      </w:r>
    </w:p>
    <w:p w14:paraId="1672A096" w14:textId="77777777" w:rsidR="00A24529" w:rsidRDefault="00A24529" w:rsidP="00A24529">
      <w:pPr>
        <w:pStyle w:val="Quote"/>
        <w:rPr>
          <w:shd w:val="clear" w:color="auto" w:fill="FFFFFF"/>
        </w:rPr>
      </w:pPr>
      <w:r>
        <w:rPr>
          <w:shd w:val="clear" w:color="auto" w:fill="FFFFFF"/>
        </w:rPr>
        <w:t>By maintaining Status Quo rail operators are obliged to find a solution that eliminates flange gaps on level crossings. Advice on level crossing elimination is welcome and grade separated crossings are a far safer option for all and should be pursued.</w:t>
      </w:r>
    </w:p>
    <w:p w14:paraId="46875131" w14:textId="77777777" w:rsidR="00A24529" w:rsidRPr="0027562E" w:rsidRDefault="00A24529" w:rsidP="00A24529">
      <w:pPr>
        <w:pStyle w:val="Quote"/>
      </w:pPr>
      <w:r>
        <w:t>Queenslanders with Disability Network</w:t>
      </w:r>
    </w:p>
    <w:p w14:paraId="50428F34" w14:textId="409BAAD4" w:rsidR="00A24529" w:rsidRDefault="08D050C4" w:rsidP="00A24529">
      <w:r>
        <w:t>Maintaining the status quo has no ongoing costs for public transports operators and providers</w:t>
      </w:r>
      <w:r w:rsidR="006F2F96">
        <w:t>;</w:t>
      </w:r>
      <w:r>
        <w:t xml:space="preserve"> however</w:t>
      </w:r>
      <w:r w:rsidR="006F2F96">
        <w:t>,</w:t>
      </w:r>
      <w:r>
        <w:t xml:space="preserve"> negative impacts on community safety and accessibility would remain where flange gaps are not upgraded or removed. While level crossings and flange gaps can be eliminated through grade separation, this is not always possible or practical due to topography, road and rail alignment, property constraints, and local community access needs. Despite the omission of flange gap requirements in the Transport Standards, there has been considerably government and industry efforts to upgrade and remove level crossings, where feasible. The commitment to continue to minimise the safety risks posed by level crossings indicate that these efforts are likely to continue under the status quo. </w:t>
      </w:r>
    </w:p>
    <w:p w14:paraId="247CA5E5" w14:textId="77777777" w:rsidR="00A24529" w:rsidRDefault="00A24529" w:rsidP="00A24529">
      <w:r>
        <w:t xml:space="preserve">The status quo option fails to address compliance challenges that the necessary flange gap creates. </w:t>
      </w:r>
      <w:r w:rsidRPr="002A7AC6">
        <w:t xml:space="preserve">A range of horizontal gap limits are specified within the </w:t>
      </w:r>
      <w:r>
        <w:t xml:space="preserve">Transport Standards. However, </w:t>
      </w:r>
      <w:r w:rsidRPr="002A7AC6">
        <w:t>flange gap</w:t>
      </w:r>
      <w:r>
        <w:t xml:space="preserve"> specifications necessarily exceed these limits to enable </w:t>
      </w:r>
      <w:r w:rsidRPr="00046B0F">
        <w:t xml:space="preserve">train, light rail </w:t>
      </w:r>
      <w:r>
        <w:t>and</w:t>
      </w:r>
      <w:r w:rsidRPr="00046B0F">
        <w:t xml:space="preserve"> tram wheels to safely travel through a level crossing</w:t>
      </w:r>
      <w:r>
        <w:t xml:space="preserve">. This creates uncertainty for operators and providers who are unable to meet their compliance obligations where flange gaps are involved. </w:t>
      </w:r>
    </w:p>
    <w:p w14:paraId="5CF4FA29" w14:textId="77777777" w:rsidR="00A24529" w:rsidRPr="00B00A31" w:rsidRDefault="00A24529" w:rsidP="00B00A31">
      <w:pPr>
        <w:pStyle w:val="Heading5"/>
      </w:pPr>
      <w:r>
        <w:t>Non-regulatory</w:t>
      </w:r>
    </w:p>
    <w:p w14:paraId="3D2DEB09" w14:textId="77777777" w:rsidR="00A24529" w:rsidRDefault="00A24529" w:rsidP="00A24529">
      <w:r>
        <w:t xml:space="preserve">The non-regulatory option would provide guidance to encourage the continued upgrade and removal of railway level crossings and continued research and trials of new flange gap filler products and technologies. </w:t>
      </w:r>
    </w:p>
    <w:p w14:paraId="259E8094" w14:textId="77777777" w:rsidR="00A24529" w:rsidRDefault="00A24529" w:rsidP="00A24529">
      <w:r>
        <w:rPr>
          <w:rFonts w:ascii="Calibri" w:hAnsi="Calibri" w:cs="Calibri"/>
        </w:rPr>
        <w:t xml:space="preserve">Two out of 19 submissions that commented on this reform option expressed support for </w:t>
      </w:r>
      <w:r>
        <w:t>the non-regulatory option until a suitable gap filler product or solution is available. However, these submissions from industry and government stakeholders indicated that greater safety and clarity</w:t>
      </w:r>
      <w:r w:rsidRPr="001C59BD">
        <w:t xml:space="preserve"> </w:t>
      </w:r>
      <w:r>
        <w:t xml:space="preserve">would be provided by a regulatory option when a suitable gap filler product or solution is available and approved for use in Australia. </w:t>
      </w:r>
    </w:p>
    <w:p w14:paraId="4CB76C1B" w14:textId="77777777" w:rsidR="00A24529" w:rsidRPr="004F387F" w:rsidRDefault="00A24529" w:rsidP="00A24529">
      <w:pPr>
        <w:pStyle w:val="Quote"/>
        <w:rPr>
          <w:shd w:val="clear" w:color="auto" w:fill="FFFFFF"/>
        </w:rPr>
      </w:pPr>
      <w:r w:rsidRPr="00EF0CFA">
        <w:rPr>
          <w:shd w:val="clear" w:color="auto" w:fill="FFFFFF"/>
        </w:rPr>
        <w:t>Flange gaps can pose disproportionate safety risks for people who travel in mobility aids with small wheels and other smaller devices, and/or who have vision impairment</w:t>
      </w:r>
      <w:r w:rsidRPr="004F387F">
        <w:rPr>
          <w:shd w:val="clear" w:color="auto" w:fill="FFFFFF"/>
        </w:rPr>
        <w:t>. TMR does not consider the proposed non-regulatory option addresses these risks sufficiently. Provision of guidance to users of at-grade crossings is positioned as temporary a measure, however, do not consider that this acceptably mitigates the risk to user</w:t>
      </w:r>
      <w:r w:rsidRPr="000172BD">
        <w:rPr>
          <w:shd w:val="clear" w:color="auto" w:fill="FFFFFF"/>
        </w:rPr>
        <w:t>s. Moreover, the guidance proposed by the non-regulatory option shifts the burden of safety responsibility onto users</w:t>
      </w:r>
      <w:r w:rsidR="00056F6E" w:rsidRPr="000172BD">
        <w:rPr>
          <w:shd w:val="clear" w:color="auto" w:fill="FFFFFF"/>
        </w:rPr>
        <w:t xml:space="preserve">. </w:t>
      </w:r>
      <w:r w:rsidRPr="004F387F">
        <w:rPr>
          <w:shd w:val="clear" w:color="auto" w:fill="FFFFFF"/>
        </w:rPr>
        <w:t xml:space="preserve">TMR would consider a regulatory approach in the future once tested solutions have been proven to work. </w:t>
      </w:r>
    </w:p>
    <w:p w14:paraId="33BB2672" w14:textId="20EE35DE" w:rsidR="00A24529" w:rsidRPr="0027562E" w:rsidRDefault="00A24529" w:rsidP="00A24529">
      <w:pPr>
        <w:pStyle w:val="Quote"/>
      </w:pPr>
      <w:r>
        <w:t xml:space="preserve">Queensland Government </w:t>
      </w:r>
      <w:r w:rsidR="00825F67">
        <w:t xml:space="preserve">- </w:t>
      </w:r>
      <w:r>
        <w:t>Department of Transport and Main Roads</w:t>
      </w:r>
    </w:p>
    <w:p w14:paraId="2DBEA6B3" w14:textId="77777777" w:rsidR="00A24529" w:rsidRDefault="00A24529" w:rsidP="00A24529">
      <w:r>
        <w:rPr>
          <w:rFonts w:ascii="Calibri" w:hAnsi="Calibri" w:cs="Calibri"/>
          <w:color w:val="000000"/>
          <w:shd w:val="clear" w:color="auto" w:fill="FFFFFF"/>
        </w:rPr>
        <w:lastRenderedPageBreak/>
        <w:t>O</w:t>
      </w:r>
      <w:r>
        <w:t xml:space="preserve">ne of these submissions also raised concerns that the </w:t>
      </w:r>
      <w:r w:rsidRPr="002A7AC6">
        <w:t>Office of the National Rail Safety Regulator</w:t>
      </w:r>
      <w:r>
        <w:t xml:space="preserve"> is outlined in both the regulatory and non-regulatory option as the authority to approve gap filler or similar products. The submission questioned the </w:t>
      </w:r>
      <w:r w:rsidRPr="002A7AC6">
        <w:t>Office of the National Rail Safety Regulator</w:t>
      </w:r>
      <w:r>
        <w:t>’s authority in this regard. This concern was echoed in a number of submissions that expressed support for the regulatory option, as outlined further below. To the extent that guidance is followed, costs would be incurred to continue to upgrade and remove railway level crossings, and to develop, research and install any approved flange gap filler products. Submissions indicate that l</w:t>
      </w:r>
      <w:r>
        <w:rPr>
          <w:rFonts w:ascii="Calibri" w:hAnsi="Calibri" w:cs="Calibri"/>
          <w:color w:val="000000"/>
        </w:rPr>
        <w:t xml:space="preserve">evel crossing removal work has a substantial financial cost and requires significant investment to implement. </w:t>
      </w:r>
      <w:r w:rsidRPr="00383A75">
        <w:t>Operators and providers will be able to manage the implementation (and related costs) to suit their operational requirements, including through staging the imple</w:t>
      </w:r>
      <w:r>
        <w:t>mentation. However, where level crossings cannot be upgraded or removed,</w:t>
      </w:r>
      <w:r w:rsidRPr="00045534">
        <w:t xml:space="preserve"> </w:t>
      </w:r>
      <w:r>
        <w:t xml:space="preserve">the non-regulatory option fails to address compliance challenges that the necessary flange gap creates and this uncertainty for operators and providers would remain. </w:t>
      </w:r>
    </w:p>
    <w:p w14:paraId="060DFF37" w14:textId="77777777" w:rsidR="00A24529" w:rsidRDefault="08D050C4" w:rsidP="00A24529">
      <w:r>
        <w:t>Given this option is discretionary, it does not provide certainty that guidance will be implemented. However, there has been considerable government and industry efforts to upgrade and remove level crossings. The commitment to continue to minimise the safety risks posed by level crossings indicate that these efforts are likely to continue.  Where level crossings are upgraded and removed, or a suitable gap filler product is developed, people with disability will benefit from enhanced confidence and safety along access paths near trains, light rails and trams.</w:t>
      </w:r>
    </w:p>
    <w:p w14:paraId="6204A0D1" w14:textId="77777777" w:rsidR="00A24529" w:rsidRPr="00B00A31" w:rsidRDefault="00A24529" w:rsidP="00B00A31">
      <w:pPr>
        <w:pStyle w:val="Heading5"/>
      </w:pPr>
      <w:r w:rsidRPr="00A3388F">
        <w:t>Regulatory</w:t>
      </w:r>
    </w:p>
    <w:p w14:paraId="669A68D6" w14:textId="77777777" w:rsidR="00A24529" w:rsidRDefault="08D050C4" w:rsidP="00A24529">
      <w:r>
        <w:t>A regulatory approach was preferred amongst the majority of stakeholders across government, operators and providers, individuals, people with disability and disability organisations. Submissions recognised the continued need to upgrade and remove railway level crossings and highlighted the regulatory options allowed for continuous improvement and a focus on continued research into a successful flange gap filler product.</w:t>
      </w:r>
    </w:p>
    <w:p w14:paraId="4CB4BDB2" w14:textId="77777777" w:rsidR="00A24529" w:rsidRDefault="00A24529" w:rsidP="08D050C4">
      <w:pPr>
        <w:rPr>
          <w:rFonts w:ascii="Calibri" w:eastAsia="Times New Roman" w:hAnsi="Calibri" w:cs="Calibri"/>
          <w:color w:val="000000" w:themeColor="text1"/>
          <w:lang w:eastAsia="en-AU"/>
        </w:rPr>
      </w:pPr>
      <w:r w:rsidRPr="0074133E">
        <w:t>Most submissions</w:t>
      </w:r>
      <w:r>
        <w:t xml:space="preserve"> that preferred a regulatory option supported regulatory option 2, citing that it provided greater certainty and safety benefits for people with disability, as well as cyclists and people using prams. Regulatory option 2 incorporates the same proposed amendments to the Transport Standards as regulatory option 1, with additional maximum gap size requirements in compliance with Australian Standards where elimination of level crossings from access paths is not feasible. Submissions noted that option 2 allowed greater flexibility where grade separation or elimination of level crossing from access paths was not possible,</w:t>
      </w:r>
      <w:r w:rsidRPr="007E4DCE">
        <w:t xml:space="preserve"> </w:t>
      </w:r>
      <w:r>
        <w:t xml:space="preserve">providing consistency with Australian Standards. However, one submission from a disability organisation who expressed a preference for regulatory option 1, outlined concerns that the maximum gap width allowance in regulatory option 2 </w:t>
      </w:r>
      <w:r>
        <w:rPr>
          <w:rFonts w:ascii="Calibri" w:eastAsia="Times New Roman" w:hAnsi="Calibri" w:cs="Calibri"/>
          <w:color w:val="000000"/>
          <w:lang w:eastAsia="en-AU"/>
        </w:rPr>
        <w:t>would</w:t>
      </w:r>
      <w:r w:rsidRPr="008D251B">
        <w:rPr>
          <w:rFonts w:ascii="Calibri" w:eastAsia="Times New Roman" w:hAnsi="Calibri" w:cs="Calibri"/>
          <w:color w:val="000000"/>
          <w:lang w:eastAsia="en-AU"/>
        </w:rPr>
        <w:t xml:space="preserve"> not provide the same level of safety</w:t>
      </w:r>
      <w:r>
        <w:rPr>
          <w:rFonts w:ascii="Calibri" w:eastAsia="Times New Roman" w:hAnsi="Calibri" w:cs="Calibri"/>
          <w:color w:val="000000"/>
          <w:lang w:eastAsia="en-AU"/>
        </w:rPr>
        <w:t xml:space="preserve"> </w:t>
      </w:r>
      <w:r w:rsidRPr="008D251B">
        <w:rPr>
          <w:rFonts w:ascii="Calibri" w:eastAsia="Times New Roman" w:hAnsi="Calibri" w:cs="Calibri"/>
          <w:color w:val="000000"/>
          <w:lang w:eastAsia="en-AU"/>
        </w:rPr>
        <w:t>for passengers with disability that currently exists with unassisted boarding platform requirements</w:t>
      </w:r>
      <w:r>
        <w:rPr>
          <w:rFonts w:ascii="Calibri" w:eastAsia="Times New Roman" w:hAnsi="Calibri" w:cs="Calibri"/>
          <w:color w:val="000000"/>
          <w:lang w:eastAsia="en-AU"/>
        </w:rPr>
        <w:t xml:space="preserve"> that require maximum </w:t>
      </w:r>
      <w:r w:rsidRPr="002A7AC6">
        <w:t xml:space="preserve">gap </w:t>
      </w:r>
      <w:r>
        <w:t>limits of</w:t>
      </w:r>
      <w:r w:rsidRPr="002A7AC6">
        <w:t xml:space="preserve"> 40 millimetres</w:t>
      </w:r>
      <w:r>
        <w:rPr>
          <w:rFonts w:ascii="Calibri" w:eastAsia="Times New Roman" w:hAnsi="Calibri" w:cs="Calibri"/>
          <w:color w:val="000000"/>
          <w:lang w:eastAsia="en-AU"/>
        </w:rPr>
        <w:t xml:space="preserve">. </w:t>
      </w:r>
      <w:r>
        <w:t>One submission from government suggested that</w:t>
      </w:r>
      <w:r>
        <w:rPr>
          <w:rFonts w:ascii="Calibri" w:eastAsia="Times New Roman" w:hAnsi="Calibri" w:cs="Calibri"/>
          <w:color w:val="000000"/>
          <w:lang w:eastAsia="en-AU"/>
        </w:rPr>
        <w:t xml:space="preserve"> regulatory option 2</w:t>
      </w:r>
      <w:r>
        <w:rPr>
          <w:rFonts w:ascii="Calibri" w:hAnsi="Calibri" w:cs="Calibri"/>
          <w:color w:val="000000"/>
          <w:shd w:val="clear" w:color="auto" w:fill="FFFFFF"/>
        </w:rPr>
        <w:t xml:space="preserve"> should be amended to only apply to heavy rail. This submission noted that light rail needs a separate requirement for appropriate gaps, and that a gap filler product would not be appropriate for light rail due to rail profile design and installation requirements in the roadway.</w:t>
      </w:r>
    </w:p>
    <w:p w14:paraId="4CDE3B57" w14:textId="0C0394AA" w:rsidR="00161F41" w:rsidRDefault="00A24529" w:rsidP="00A24529">
      <w:r>
        <w:t xml:space="preserve">A number of concerns were raised regarding both regulatory options, indicating the options presented may be unviable or may not address the issues that this reform area seeks to remedy. </w:t>
      </w:r>
      <w:r>
        <w:rPr>
          <w:rFonts w:ascii="Calibri" w:eastAsia="Times New Roman" w:hAnsi="Calibri" w:cs="Calibri"/>
          <w:color w:val="000000"/>
          <w:lang w:eastAsia="en-AU"/>
        </w:rPr>
        <w:t xml:space="preserve">One industry submission raised concerns about the ambiguity and uncertainty created through the phrase ‘where possible’ in regulatory option 2. This language is also employed in regulatory option 1. </w:t>
      </w:r>
      <w:r>
        <w:t xml:space="preserve">Echoing concerns raised in a submission supporting the non-regulatory option, </w:t>
      </w:r>
      <w:r>
        <w:rPr>
          <w:rFonts w:ascii="Calibri" w:hAnsi="Calibri" w:cs="Calibri"/>
          <w:color w:val="000000"/>
          <w:shd w:val="clear" w:color="auto" w:fill="FFFFFF"/>
        </w:rPr>
        <w:t>four submissions from industry and government noted that references</w:t>
      </w:r>
      <w:r>
        <w:t xml:space="preserve"> in the regulatory options </w:t>
      </w:r>
      <w:r>
        <w:rPr>
          <w:rFonts w:ascii="Calibri" w:hAnsi="Calibri" w:cs="Calibri"/>
          <w:color w:val="000000"/>
          <w:shd w:val="clear" w:color="auto" w:fill="FFFFFF"/>
        </w:rPr>
        <w:t xml:space="preserve">to the </w:t>
      </w:r>
      <w:r w:rsidRPr="002A7AC6">
        <w:t>Office of the National Rail Safety Regulator</w:t>
      </w:r>
      <w:r>
        <w:t xml:space="preserve"> as an approval body for gap filler products is incorrect and inconsistent with Rail Safety National Law. </w:t>
      </w:r>
    </w:p>
    <w:p w14:paraId="006AFAE7" w14:textId="77777777" w:rsidR="00161F41" w:rsidRDefault="00161F41">
      <w:pPr>
        <w:spacing w:line="259" w:lineRule="auto"/>
      </w:pPr>
      <w:r>
        <w:br w:type="page"/>
      </w:r>
    </w:p>
    <w:p w14:paraId="14F81328" w14:textId="77777777" w:rsidR="00A24529" w:rsidRDefault="00A24529" w:rsidP="00A24529"/>
    <w:p w14:paraId="0497651B" w14:textId="40220D7A" w:rsidR="00A24529" w:rsidRPr="00971070" w:rsidRDefault="00A24529" w:rsidP="00A24529">
      <w:pPr>
        <w:pStyle w:val="Quote"/>
        <w:rPr>
          <w:shd w:val="clear" w:color="auto" w:fill="FFFFFF"/>
        </w:rPr>
      </w:pPr>
      <w:r w:rsidRPr="0024539D">
        <w:rPr>
          <w:shd w:val="clear" w:color="auto" w:fill="FFFFFF"/>
        </w:rPr>
        <w:t>TMR supports improvements in the accessibility and safety of flange gaps, however the regulatory and non-regulatory options do not provide sufficient detail to guarantee the suitability of future products.</w:t>
      </w:r>
      <w:r w:rsidR="00825F67">
        <w:rPr>
          <w:shd w:val="clear" w:color="auto" w:fill="FFFFFF"/>
        </w:rPr>
        <w:t xml:space="preserve"> </w:t>
      </w:r>
      <w:r w:rsidRPr="0024539D">
        <w:rPr>
          <w:shd w:val="clear" w:color="auto" w:fill="FFFFFF"/>
        </w:rPr>
        <w:t>Furthermore, the regulatory and non-regulatory options would mandate / promote the use of flange gap filler products approved by ONRSR. TMR understands this reform proposal is inconsistent with Rail Safety National Law. As outlined in the ONRSR Way:  The nature of the Rail Safety National Law (RSNL) means ONRS</w:t>
      </w:r>
      <w:r w:rsidRPr="00971070">
        <w:rPr>
          <w:shd w:val="clear" w:color="auto" w:fill="FFFFFF"/>
        </w:rPr>
        <w:t xml:space="preserve">R is not an approver of equipment, services or processes. </w:t>
      </w:r>
    </w:p>
    <w:p w14:paraId="3F0E70E2" w14:textId="30BA370D" w:rsidR="00A24529" w:rsidRPr="0027562E" w:rsidRDefault="00A24529" w:rsidP="00A24529">
      <w:pPr>
        <w:pStyle w:val="Quote"/>
      </w:pPr>
      <w:r>
        <w:t xml:space="preserve">Queensland Government </w:t>
      </w:r>
      <w:r w:rsidR="00825F67">
        <w:t xml:space="preserve">- </w:t>
      </w:r>
      <w:r>
        <w:t>Department of Transport and Main Roads</w:t>
      </w:r>
    </w:p>
    <w:p w14:paraId="280D7129" w14:textId="77777777" w:rsidR="00A24529" w:rsidRDefault="00A24529" w:rsidP="00A24529">
      <w:r>
        <w:t>Costs would be incurred in implementing either of the regulatory options. Submissions indicate that l</w:t>
      </w:r>
      <w:r w:rsidRPr="169A030C">
        <w:rPr>
          <w:rFonts w:ascii="Calibri" w:hAnsi="Calibri" w:cs="Calibri"/>
          <w:color w:val="000000" w:themeColor="text1"/>
        </w:rPr>
        <w:t xml:space="preserve">evel crossing removal work has a substantial financial cost and requires significant investment to implement. </w:t>
      </w:r>
      <w:r>
        <w:t>However, there has been considerable government and industry efforts and a commitment to continue to upgrade and remove level crossings where possible. Where level crossings cannot be upgraded or removed,</w:t>
      </w:r>
      <w:r w:rsidRPr="00045534">
        <w:t xml:space="preserve"> </w:t>
      </w:r>
      <w:r>
        <w:t xml:space="preserve">and until a suitable gap filler is developed and approved, the regulatory options presented fail to address the continuing safety risk posed by flange gap. </w:t>
      </w:r>
    </w:p>
    <w:p w14:paraId="26BAEA51" w14:textId="77777777" w:rsidR="00A24529" w:rsidRDefault="00A24529" w:rsidP="00A24529">
      <w:pPr>
        <w:pStyle w:val="Heading4"/>
      </w:pPr>
      <w:r>
        <w:t>Preferred option</w:t>
      </w:r>
    </w:p>
    <w:p w14:paraId="6BBBF6A5" w14:textId="17DAF27E" w:rsidR="00A24529" w:rsidRDefault="00A24529" w:rsidP="00A24529">
      <w:r>
        <w:t xml:space="preserve">Informed by the outcomes of consultation, stakeholder impacts, cost and outcomes analysis, the preferred option is the </w:t>
      </w:r>
      <w:r w:rsidRPr="001E395C">
        <w:rPr>
          <w:b/>
        </w:rPr>
        <w:t xml:space="preserve">non-regulatory </w:t>
      </w:r>
      <w:r w:rsidR="169A030C" w:rsidRPr="169A030C">
        <w:rPr>
          <w:b/>
          <w:bCs/>
        </w:rPr>
        <w:t>option</w:t>
      </w:r>
      <w:r w:rsidR="00E373EB">
        <w:rPr>
          <w:b/>
          <w:bCs/>
        </w:rPr>
        <w:t xml:space="preserve"> </w:t>
      </w:r>
      <w:r w:rsidR="169A030C" w:rsidRPr="169A030C">
        <w:rPr>
          <w:b/>
          <w:bCs/>
        </w:rPr>
        <w:t>with revisions</w:t>
      </w:r>
      <w:r w:rsidR="169A030C">
        <w:t xml:space="preserve">. </w:t>
      </w:r>
    </w:p>
    <w:p w14:paraId="24F21440" w14:textId="77777777" w:rsidR="00A24529" w:rsidRDefault="00A24529" w:rsidP="00A24529">
      <w:r>
        <w:t>While</w:t>
      </w:r>
      <w:r w:rsidRPr="00482F73">
        <w:t xml:space="preserve"> </w:t>
      </w:r>
      <w:r>
        <w:t>a regulatory approach was preferred amongst the majority of stakeholders, submissions indicate that further investigation and research into suitable regulatory options is required</w:t>
      </w:r>
      <w:r w:rsidRPr="007E4DCE">
        <w:t xml:space="preserve"> </w:t>
      </w:r>
      <w:r>
        <w:t>to adequately address the safety risk</w:t>
      </w:r>
      <w:r w:rsidRPr="00222EC6">
        <w:t xml:space="preserve"> </w:t>
      </w:r>
      <w:r>
        <w:t>posed by flange gaps. Submissions also indicate that the safety risks posed by flange gaps are already addressed, to the extent possible, until suitable gap filler products or technologies are developed.</w:t>
      </w:r>
    </w:p>
    <w:p w14:paraId="75FF9BE9" w14:textId="77777777" w:rsidR="00A24529" w:rsidRDefault="00A24529" w:rsidP="00E373EB">
      <w:pPr>
        <w:pStyle w:val="Style5"/>
        <w:framePr w:wrap="around"/>
      </w:pPr>
      <w:r w:rsidRPr="00012DC9">
        <w:t xml:space="preserve">Following feedback through the Consultation RIS, the </w:t>
      </w:r>
      <w:r>
        <w:t xml:space="preserve">proposed guidance material </w:t>
      </w:r>
      <w:r w:rsidRPr="00012DC9">
        <w:t xml:space="preserve">for this option </w:t>
      </w:r>
      <w:r>
        <w:t>will</w:t>
      </w:r>
      <w:r w:rsidRPr="00012DC9">
        <w:t xml:space="preserve"> be refined to remove references to </w:t>
      </w:r>
      <w:r w:rsidRPr="00007F7D">
        <w:t xml:space="preserve">the </w:t>
      </w:r>
      <w:r w:rsidRPr="002A7AC6">
        <w:t>Office of the National Rail Safety Regulator</w:t>
      </w:r>
      <w:r>
        <w:t xml:space="preserve"> as an approval authority for </w:t>
      </w:r>
      <w:r w:rsidRPr="002A7AC6">
        <w:t>flange gap filler products and technologies</w:t>
      </w:r>
      <w:r>
        <w:t xml:space="preserve">. </w:t>
      </w:r>
      <w:r w:rsidRPr="00DB36F4">
        <w:t>The </w:t>
      </w:r>
      <w:r w:rsidRPr="002A7AC6">
        <w:t>Office of the National Rail Safety Regulator</w:t>
      </w:r>
      <w:r>
        <w:t xml:space="preserve"> was established under </w:t>
      </w:r>
      <w:r w:rsidRPr="00DB36F4">
        <w:t>Rail Safety National Law </w:t>
      </w:r>
      <w:r>
        <w:t xml:space="preserve">as the body </w:t>
      </w:r>
      <w:r w:rsidRPr="00DB36F4">
        <w:t>responsible for rail safety regulation.</w:t>
      </w:r>
      <w:r>
        <w:t xml:space="preserve"> The </w:t>
      </w:r>
      <w:r w:rsidRPr="002A7AC6">
        <w:t>Office of the National Rail Safety Regulator</w:t>
      </w:r>
      <w:r>
        <w:t xml:space="preserve"> has a range of functions, powers and responsibilities for facilitating and improving rail safety under the Rail Safety National Law. Five out of 9 submissions from industry and government highlighted that regulatory option 1 and 2 incorrectly extend the authority of the </w:t>
      </w:r>
      <w:r w:rsidRPr="002A7AC6">
        <w:t>Office of the National Rail Safety Regulator</w:t>
      </w:r>
      <w:r>
        <w:t xml:space="preserve"> to being an approval authority for gap filler products. </w:t>
      </w:r>
    </w:p>
    <w:p w14:paraId="6A0D307B" w14:textId="77777777" w:rsidR="00A24529" w:rsidRDefault="08D050C4" w:rsidP="00A24529">
      <w:r>
        <w:t xml:space="preserve">Submissions also indicated that the regulatory options presented are unlikely to adequately address the safety risk posed by flange gaps. The qualifying phrase ‘where possible’, presented in the regulatory options, recognises and reflects the limitations in seeking to address the safety risk posed by flange gaps. This qualified approach means that the options presented are unlikely to lead to further improvements beyond existing government and industry efforts and commitments to continue to upgrade and remove level crossings. </w:t>
      </w:r>
    </w:p>
    <w:p w14:paraId="1709BBD3" w14:textId="77777777" w:rsidR="00A24529" w:rsidRDefault="08D050C4" w:rsidP="00A24529">
      <w:r>
        <w:t xml:space="preserve">Further research indicates that the safety risks posed by flange gaps are already addressed, to the extent possible, by the Office of the National Rail Safety Regulator under Rail Safety National Law. Further regulation through the Transport Standards is unlikely to address the residual risk posed by flange gaps and may lead to uncertainty and inconsistencies if Rail Safety National Law is amended or the Office of the National Rail Safety Regulator updates its guidance on eliminating or minimising the safety risks of level crossings. </w:t>
      </w:r>
    </w:p>
    <w:p w14:paraId="6B7738A9" w14:textId="77777777" w:rsidR="00A24529" w:rsidRPr="00905DF0" w:rsidRDefault="08D050C4" w:rsidP="00A24529">
      <w:r>
        <w:t>Any additional impacts of the non-regulatory option on users and operators and providers will be minimal as the preferred option seeks to strengthen and encourage current efforts by industry and government at continuous improvement. Recognising the safety risks posed by flange gaps, considerable efforts have been made to upgrade and remove railway level crossings, with research continuing to ensure an effective solution for all stakeholders. Costs will continue to be incurred by operators and providers to upgrade and remove level crossings, and develop, research and install any approved flange gap filler products.</w:t>
      </w:r>
    </w:p>
    <w:p w14:paraId="57C58F46" w14:textId="77777777" w:rsidR="00A24529" w:rsidRDefault="00A24529" w:rsidP="00A24529">
      <w:r w:rsidRPr="00905DF0">
        <w:t xml:space="preserve">The </w:t>
      </w:r>
      <w:r>
        <w:t>non-regulatory</w:t>
      </w:r>
      <w:r w:rsidRPr="00905DF0">
        <w:t xml:space="preserve"> option provides a balance of continuous improvement for people with disability, </w:t>
      </w:r>
      <w:r>
        <w:t>while encouraging the continued upgrade and removal of railway level crossings to improve safety and accessibility</w:t>
      </w:r>
      <w:r w:rsidRPr="00905DF0">
        <w:rPr>
          <w:rFonts w:ascii="Calibri" w:hAnsi="Calibri" w:cs="Calibri"/>
          <w:color w:val="000000"/>
          <w:shd w:val="clear" w:color="auto" w:fill="FFFFFF"/>
        </w:rPr>
        <w:t>.</w:t>
      </w:r>
      <w:r w:rsidRPr="00905DF0">
        <w:t xml:space="preserve"> </w:t>
      </w:r>
      <w:r>
        <w:lastRenderedPageBreak/>
        <w:t xml:space="preserve">Guidance would also be provided on good design and safe traversing of flange gaps, and encourage and </w:t>
      </w:r>
      <w:r w:rsidRPr="00905DF0">
        <w:t>e</w:t>
      </w:r>
      <w:r w:rsidRPr="00905DF0">
        <w:rPr>
          <w:rFonts w:ascii="Calibri" w:hAnsi="Calibri" w:cs="Calibri"/>
          <w:color w:val="000000"/>
          <w:shd w:val="clear" w:color="auto" w:fill="FFFFFF"/>
        </w:rPr>
        <w:t>mphas</w:t>
      </w:r>
      <w:r>
        <w:rPr>
          <w:rFonts w:ascii="Calibri" w:hAnsi="Calibri" w:cs="Calibri"/>
          <w:color w:val="000000"/>
          <w:shd w:val="clear" w:color="auto" w:fill="FFFFFF"/>
        </w:rPr>
        <w:t>ise</w:t>
      </w:r>
      <w:r w:rsidRPr="00905DF0">
        <w:rPr>
          <w:rFonts w:ascii="Calibri" w:hAnsi="Calibri" w:cs="Calibri"/>
          <w:color w:val="000000"/>
          <w:shd w:val="clear" w:color="auto" w:fill="FFFFFF"/>
        </w:rPr>
        <w:t xml:space="preserve"> the importance </w:t>
      </w:r>
      <w:r>
        <w:t>the continued research and trials of new flange gap filler products and technologies to find a suitable solution to eliminate or minimise flange gaps and provide safe passage for all public transport users. A regulatory approach should be further investigated and adopted in the future once a suitable option is available to address the safety risk posed by flange gaps.</w:t>
      </w:r>
    </w:p>
    <w:p w14:paraId="51164F37" w14:textId="26C22EB7" w:rsidR="00161F41" w:rsidRDefault="00A24529" w:rsidP="00A24529">
      <w:r>
        <w:t xml:space="preserve">The preferred option will be implemented through inclusion in a revised Whole Journey Guide. </w:t>
      </w:r>
    </w:p>
    <w:p w14:paraId="0286F5BB" w14:textId="77777777" w:rsidR="00161F41" w:rsidRDefault="00161F41">
      <w:pPr>
        <w:spacing w:line="259" w:lineRule="auto"/>
      </w:pPr>
      <w:r>
        <w:br w:type="page"/>
      </w:r>
    </w:p>
    <w:p w14:paraId="5A205DFA" w14:textId="77777777" w:rsidR="00A24529" w:rsidRDefault="00A24529" w:rsidP="00A24529"/>
    <w:p w14:paraId="25CC1AD6" w14:textId="0B5EE900" w:rsidR="001B4346" w:rsidRDefault="001B4346" w:rsidP="00667C53">
      <w:pPr>
        <w:pStyle w:val="Heading2"/>
        <w:numPr>
          <w:ilvl w:val="0"/>
          <w:numId w:val="27"/>
        </w:numPr>
        <w:ind w:hanging="720"/>
      </w:pPr>
      <w:bookmarkStart w:id="414" w:name="_Toc122515474"/>
      <w:bookmarkStart w:id="415" w:name="_Toc140239735"/>
      <w:r w:rsidRPr="002F0A32">
        <w:t>Resting point</w:t>
      </w:r>
      <w:r>
        <w:t>s</w:t>
      </w:r>
      <w:bookmarkEnd w:id="414"/>
      <w:bookmarkEnd w:id="415"/>
    </w:p>
    <w:p w14:paraId="222E4455" w14:textId="77777777" w:rsidR="001B4346" w:rsidRDefault="001B4346" w:rsidP="001B4346">
      <w:pPr>
        <w:pStyle w:val="Heading4"/>
      </w:pPr>
      <w:r>
        <w:t>Issue</w:t>
      </w:r>
    </w:p>
    <w:p w14:paraId="64003A62" w14:textId="77777777" w:rsidR="001B4346" w:rsidRDefault="08D050C4" w:rsidP="001B4346">
      <w:r>
        <w:t xml:space="preserve">The Transport Standards require resting points every 60 metres along an access path, and these resting points must have accessible seats. However, there are no requirements in the Transport Standards to provide an allocated space for a wheelchair or similar mobility aid at a resting point. </w:t>
      </w:r>
    </w:p>
    <w:p w14:paraId="77CCA2B5" w14:textId="70AA832F" w:rsidR="001B4346" w:rsidRPr="00D641C5" w:rsidRDefault="001B4346" w:rsidP="001B4346">
      <w:r>
        <w:t>The Transport Standards</w:t>
      </w:r>
      <w:r w:rsidRPr="00C96A88">
        <w:t xml:space="preserve"> accommodate people who are ambulant</w:t>
      </w:r>
      <w:r w:rsidR="006F2F96">
        <w:t>,</w:t>
      </w:r>
      <w:r w:rsidRPr="00C96A88">
        <w:t xml:space="preserve"> but prone to fatigue</w:t>
      </w:r>
      <w:r w:rsidR="006F2F96">
        <w:t>;</w:t>
      </w:r>
      <w:r w:rsidRPr="00C96A88">
        <w:t xml:space="preserve"> </w:t>
      </w:r>
      <w:r>
        <w:t xml:space="preserve">however, </w:t>
      </w:r>
      <w:r w:rsidRPr="00C96A88">
        <w:t xml:space="preserve">people using wheelchairs or similar mobility aids, and </w:t>
      </w:r>
      <w:r>
        <w:t xml:space="preserve">their assisting travelling companions, are </w:t>
      </w:r>
      <w:r w:rsidRPr="00C96A88">
        <w:t>at a disadvantage</w:t>
      </w:r>
      <w:r>
        <w:t xml:space="preserve">. This </w:t>
      </w:r>
      <w:r w:rsidRPr="00C96A88">
        <w:t xml:space="preserve">inhibits the ability of affected </w:t>
      </w:r>
      <w:r>
        <w:t>passengers</w:t>
      </w:r>
      <w:r w:rsidRPr="00C96A88">
        <w:t xml:space="preserve"> to rest along access paths. </w:t>
      </w:r>
    </w:p>
    <w:p w14:paraId="008AE32F" w14:textId="77777777" w:rsidR="001B4346" w:rsidRDefault="001B4346" w:rsidP="001B4346">
      <w:pPr>
        <w:tabs>
          <w:tab w:val="left" w:pos="284"/>
        </w:tabs>
      </w:pPr>
      <w:r>
        <w:t>Collective government action would improve the amenity and accessibility of access paths for people who use mobility aids and their companions and</w:t>
      </w:r>
      <w:r w:rsidRPr="003A42F6">
        <w:t xml:space="preserve"> address key stakeholder issues raised through the Transport Standards review process.</w:t>
      </w:r>
    </w:p>
    <w:p w14:paraId="6B3A2510" w14:textId="77777777" w:rsidR="001B4346" w:rsidRDefault="001B4346" w:rsidP="001B4346">
      <w:pPr>
        <w:pStyle w:val="Heading4"/>
      </w:pPr>
      <w:r>
        <w:t>Reform options</w:t>
      </w:r>
    </w:p>
    <w:p w14:paraId="30ACD059" w14:textId="77777777" w:rsidR="001B4346" w:rsidRDefault="001B4346" w:rsidP="001B4346">
      <w:pPr>
        <w:tabs>
          <w:tab w:val="left" w:pos="284"/>
        </w:tabs>
      </w:pPr>
      <w:r>
        <w:t xml:space="preserve">Following is a summary of the proposed options for this reform. Full details of each reform option is provided at </w:t>
      </w:r>
      <w:r w:rsidRPr="00CB442B">
        <w:t>Appendix A.</w:t>
      </w:r>
    </w:p>
    <w:p w14:paraId="70C1BD2C" w14:textId="22FC3CEA" w:rsidR="001B4346" w:rsidRDefault="001B4346" w:rsidP="00CB442B">
      <w:pPr>
        <w:pStyle w:val="Tablefigureheading"/>
      </w:pPr>
      <w:bookmarkStart w:id="416" w:name="_Toc122446393"/>
      <w:bookmarkStart w:id="417" w:name="_Toc139969233"/>
      <w:r>
        <w:t xml:space="preserve">Table </w:t>
      </w:r>
      <w:fldSimple w:instr=" SEQ Table \* ARABIC ">
        <w:r w:rsidR="00DC26AC">
          <w:rPr>
            <w:noProof/>
          </w:rPr>
          <w:t>75</w:t>
        </w:r>
      </w:fldSimple>
      <w:r>
        <w:rPr>
          <w:noProof/>
        </w:rPr>
        <w:t>:</w:t>
      </w:r>
      <w:r>
        <w:t xml:space="preserve"> Reform options for </w:t>
      </w:r>
      <w:r w:rsidR="001075A6">
        <w:t>R</w:t>
      </w:r>
      <w:r>
        <w:t>esting points</w:t>
      </w:r>
      <w:bookmarkEnd w:id="416"/>
      <w:bookmarkEnd w:id="417"/>
    </w:p>
    <w:tbl>
      <w:tblPr>
        <w:tblStyle w:val="DefaultTable1"/>
        <w:tblW w:w="9072" w:type="dxa"/>
        <w:tblLook w:val="04A0" w:firstRow="1" w:lastRow="0" w:firstColumn="1" w:lastColumn="0" w:noHBand="0" w:noVBand="1"/>
        <w:tblCaption w:val="Reform options for resting points"/>
        <w:tblDescription w:val="This table provides a description of each of the options for this reform area. Status quo, non-regulatory and regulatory."/>
      </w:tblPr>
      <w:tblGrid>
        <w:gridCol w:w="2232"/>
        <w:gridCol w:w="6840"/>
      </w:tblGrid>
      <w:tr w:rsidR="001B4346" w:rsidRPr="003964B8" w14:paraId="5875941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3832ED4" w14:textId="77777777" w:rsidR="001B4346" w:rsidRPr="003964B8" w:rsidRDefault="001B4346" w:rsidP="00473693">
            <w:r>
              <w:t>Option</w:t>
            </w:r>
          </w:p>
        </w:tc>
        <w:tc>
          <w:tcPr>
            <w:tcW w:w="6840" w:type="dxa"/>
          </w:tcPr>
          <w:p w14:paraId="6AA85FF1" w14:textId="77777777" w:rsidR="001B4346" w:rsidRPr="003964B8" w:rsidRDefault="001B4346" w:rsidP="00473693">
            <w:pPr>
              <w:cnfStyle w:val="100000000000" w:firstRow="1" w:lastRow="0" w:firstColumn="0" w:lastColumn="0" w:oddVBand="0" w:evenVBand="0" w:oddHBand="0" w:evenHBand="0" w:firstRowFirstColumn="0" w:firstRowLastColumn="0" w:lastRowFirstColumn="0" w:lastRowLastColumn="0"/>
            </w:pPr>
            <w:r>
              <w:t>Description</w:t>
            </w:r>
          </w:p>
        </w:tc>
      </w:tr>
      <w:tr w:rsidR="001B4346" w:rsidRPr="003964B8" w14:paraId="5C7C05E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1BF13A4" w14:textId="77777777" w:rsidR="001B4346" w:rsidRPr="00653914" w:rsidRDefault="001B4346" w:rsidP="00473693">
            <w:r w:rsidRPr="00653914">
              <w:t>Status Quo</w:t>
            </w:r>
          </w:p>
        </w:tc>
        <w:tc>
          <w:tcPr>
            <w:tcW w:w="6840" w:type="dxa"/>
          </w:tcPr>
          <w:p w14:paraId="0A6159E4" w14:textId="77777777" w:rsidR="001B4346"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 will continue not to include provision of allocated spaces at resting points.</w:t>
            </w:r>
          </w:p>
          <w:p w14:paraId="53C2351A" w14:textId="77777777" w:rsidR="001B4346" w:rsidRPr="004633BA"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1B4346" w:rsidRPr="003964B8" w14:paraId="2458C43C"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CFB587F" w14:textId="77777777" w:rsidR="001B4346" w:rsidRPr="00653914" w:rsidRDefault="001B4346" w:rsidP="00473693">
            <w:r>
              <w:t xml:space="preserve">Non-regulatory </w:t>
            </w:r>
          </w:p>
        </w:tc>
        <w:tc>
          <w:tcPr>
            <w:tcW w:w="6840" w:type="dxa"/>
          </w:tcPr>
          <w:p w14:paraId="717EB0FD" w14:textId="77777777" w:rsidR="001B4346" w:rsidRPr="00095AEA" w:rsidRDefault="001B4346" w:rsidP="00473693">
            <w:pPr>
              <w:cnfStyle w:val="000000000000" w:firstRow="0" w:lastRow="0" w:firstColumn="0" w:lastColumn="0" w:oddVBand="0" w:evenVBand="0" w:oddHBand="0" w:evenHBand="0" w:firstRowFirstColumn="0" w:firstRowLastColumn="0" w:lastRowFirstColumn="0" w:lastRowLastColumn="0"/>
            </w:pPr>
            <w:r>
              <w:t xml:space="preserve">Guidance would be developed to encourage the installation of allocated spaces at resting points. Guidance would include advice on design and technical elements to ensure resting points are suitable for all passengers. </w:t>
            </w:r>
          </w:p>
        </w:tc>
      </w:tr>
      <w:tr w:rsidR="001B4346" w:rsidRPr="003964B8" w14:paraId="0A9C73A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6D020B" w14:textId="77777777" w:rsidR="001B4346" w:rsidRPr="00653914" w:rsidRDefault="001B4346" w:rsidP="00473693">
            <w:r w:rsidRPr="00653914">
              <w:t>Regulatory</w:t>
            </w:r>
          </w:p>
        </w:tc>
        <w:tc>
          <w:tcPr>
            <w:tcW w:w="6840" w:type="dxa"/>
          </w:tcPr>
          <w:p w14:paraId="7CF44E70" w14:textId="77777777" w:rsidR="001B4346" w:rsidRDefault="001B4346" w:rsidP="00473693">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the provision of allocated spaces at resting points, including design requirements and compliance with Australian Standards.</w:t>
            </w:r>
          </w:p>
          <w:p w14:paraId="43721500" w14:textId="77777777" w:rsidR="001B4346" w:rsidRPr="001509F0" w:rsidRDefault="001B4346" w:rsidP="00473693">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F0D6832" w14:textId="77777777" w:rsidR="008B3BA2" w:rsidRDefault="008B3BA2" w:rsidP="008B3BA2"/>
    <w:p w14:paraId="3063052E" w14:textId="77777777" w:rsidR="001B4346" w:rsidRDefault="001B4346" w:rsidP="001B4346">
      <w:pPr>
        <w:pStyle w:val="Heading4"/>
        <w:tabs>
          <w:tab w:val="left" w:pos="284"/>
        </w:tabs>
      </w:pPr>
      <w:r>
        <w:t>Cost benefit analysis</w:t>
      </w:r>
    </w:p>
    <w:p w14:paraId="61CA8655" w14:textId="77777777" w:rsidR="001B4346" w:rsidRPr="00541F94" w:rsidRDefault="001B4346"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Quantitative assessment </w:t>
      </w:r>
    </w:p>
    <w:p w14:paraId="319055CE" w14:textId="77777777" w:rsidR="001878D0" w:rsidRDefault="001B4346" w:rsidP="001B4346">
      <w:r>
        <w:t xml:space="preserve">The following categories of quantitative costs and benefits were identified in the CBA as pertaining to the reform options. </w:t>
      </w:r>
    </w:p>
    <w:p w14:paraId="09387B08" w14:textId="77777777" w:rsidR="001878D0" w:rsidRDefault="001878D0">
      <w:pPr>
        <w:spacing w:line="259" w:lineRule="auto"/>
      </w:pPr>
      <w:r>
        <w:br w:type="page"/>
      </w:r>
    </w:p>
    <w:p w14:paraId="56D4A86A" w14:textId="77777777" w:rsidR="001B4346" w:rsidRPr="00595D2C" w:rsidRDefault="001B4346" w:rsidP="001B4346"/>
    <w:p w14:paraId="374DC16D" w14:textId="594D6941" w:rsidR="001B4346" w:rsidRDefault="001B4346" w:rsidP="001878D0">
      <w:pPr>
        <w:pStyle w:val="Tablefigureheading"/>
      </w:pPr>
      <w:bookmarkStart w:id="418" w:name="_Toc122446394"/>
      <w:bookmarkStart w:id="419" w:name="_Toc139969234"/>
      <w:r>
        <w:t xml:space="preserve">Table </w:t>
      </w:r>
      <w:fldSimple w:instr=" SEQ Table \* ARABIC ">
        <w:r w:rsidR="00DC26AC">
          <w:rPr>
            <w:noProof/>
          </w:rPr>
          <w:t>76</w:t>
        </w:r>
      </w:fldSimple>
      <w:r>
        <w:t xml:space="preserve">: Benefit-cost ratios for </w:t>
      </w:r>
      <w:r w:rsidR="001075A6">
        <w:t>R</w:t>
      </w:r>
      <w:r>
        <w:t>esting points</w:t>
      </w:r>
      <w:bookmarkEnd w:id="418"/>
      <w:bookmarkEnd w:id="419"/>
    </w:p>
    <w:tbl>
      <w:tblPr>
        <w:tblStyle w:val="DefaultTable1"/>
        <w:tblW w:w="9864" w:type="dxa"/>
        <w:tblLook w:val="04A0" w:firstRow="1" w:lastRow="0" w:firstColumn="1" w:lastColumn="0" w:noHBand="0" w:noVBand="1"/>
        <w:tblCaption w:val="Benefit-cost ratios for resting points"/>
        <w:tblDescription w:val="This table provides the monetised benefits and costs for each of the options for this reform area."/>
      </w:tblPr>
      <w:tblGrid>
        <w:gridCol w:w="2268"/>
        <w:gridCol w:w="1418"/>
        <w:gridCol w:w="1701"/>
        <w:gridCol w:w="1701"/>
        <w:gridCol w:w="1559"/>
        <w:gridCol w:w="1217"/>
      </w:tblGrid>
      <w:tr w:rsidR="001B4346" w:rsidRPr="003964B8" w14:paraId="610567B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3D02410C" w14:textId="77777777" w:rsidR="001B4346" w:rsidRPr="007A751F" w:rsidRDefault="08D050C4" w:rsidP="00473693">
            <w:r w:rsidRPr="08D050C4">
              <w:t>Reform Option</w:t>
            </w:r>
          </w:p>
        </w:tc>
        <w:tc>
          <w:tcPr>
            <w:tcW w:w="1418" w:type="dxa"/>
          </w:tcPr>
          <w:p w14:paraId="1A864A05"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2CD2616F"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1DF09AF8"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3275E60D"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70073EE9"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BCR</w:t>
            </w:r>
          </w:p>
        </w:tc>
      </w:tr>
      <w:tr w:rsidR="001B4346" w:rsidRPr="00B04D0E" w14:paraId="6051BDB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768565C" w14:textId="77777777" w:rsidR="001B4346" w:rsidRPr="00653914" w:rsidRDefault="001B4346" w:rsidP="00473693">
            <w:r w:rsidRPr="00653914">
              <w:t>Status Quo</w:t>
            </w:r>
          </w:p>
        </w:tc>
        <w:tc>
          <w:tcPr>
            <w:tcW w:w="1418" w:type="dxa"/>
          </w:tcPr>
          <w:p w14:paraId="68C5C576"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063528FF"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0726C0B"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00A7BEB0"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3E4B0D80"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1B4346" w:rsidRPr="00B04D0E" w14:paraId="12454E05"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3AE909F3" w14:textId="77777777" w:rsidR="001B4346" w:rsidRPr="00653914" w:rsidRDefault="001B4346" w:rsidP="00473693">
            <w:r>
              <w:t xml:space="preserve">Non-regulatory </w:t>
            </w:r>
          </w:p>
        </w:tc>
        <w:tc>
          <w:tcPr>
            <w:tcW w:w="1418" w:type="dxa"/>
            <w:vAlign w:val="center"/>
          </w:tcPr>
          <w:p w14:paraId="192F86A5" w14:textId="77777777" w:rsidR="001B4346" w:rsidRPr="007F2C34" w:rsidRDefault="08D050C4" w:rsidP="08D050C4">
            <w:pPr>
              <w:cnfStyle w:val="000000000000" w:firstRow="0" w:lastRow="0" w:firstColumn="0" w:lastColumn="0" w:oddVBand="0" w:evenVBand="0" w:oddHBand="0" w:evenHBand="0" w:firstRowFirstColumn="0" w:firstRowLastColumn="0" w:lastRowFirstColumn="0" w:lastRowLastColumn="0"/>
              <w:rPr>
                <w:color w:val="auto"/>
              </w:rPr>
            </w:pPr>
            <w:r w:rsidRPr="08D050C4">
              <w:rPr>
                <w:color w:val="auto"/>
              </w:rPr>
              <w:t>36.9</w:t>
            </w:r>
          </w:p>
        </w:tc>
        <w:tc>
          <w:tcPr>
            <w:tcW w:w="1701" w:type="dxa"/>
          </w:tcPr>
          <w:p w14:paraId="4F4D39D6" w14:textId="77777777" w:rsidR="001B4346" w:rsidRPr="00E64800" w:rsidRDefault="08D050C4" w:rsidP="08D050C4">
            <w:pPr>
              <w:cnfStyle w:val="000000000000" w:firstRow="0" w:lastRow="0" w:firstColumn="0" w:lastColumn="0" w:oddVBand="0" w:evenVBand="0" w:oddHBand="0" w:evenHBand="0" w:firstRowFirstColumn="0" w:firstRowLastColumn="0" w:lastRowFirstColumn="0" w:lastRowLastColumn="0"/>
              <w:rPr>
                <w:color w:val="auto"/>
                <w:sz w:val="21"/>
                <w:szCs w:val="21"/>
              </w:rPr>
            </w:pPr>
            <w:r w:rsidRPr="08D050C4">
              <w:rPr>
                <w:color w:val="auto"/>
                <w:sz w:val="21"/>
                <w:szCs w:val="21"/>
              </w:rPr>
              <w:t>-</w:t>
            </w:r>
          </w:p>
        </w:tc>
        <w:tc>
          <w:tcPr>
            <w:tcW w:w="1701" w:type="dxa"/>
            <w:vAlign w:val="center"/>
          </w:tcPr>
          <w:p w14:paraId="60B0B509" w14:textId="77777777" w:rsidR="001B4346" w:rsidRDefault="08D050C4" w:rsidP="00473693">
            <w:pPr>
              <w:cnfStyle w:val="000000000000" w:firstRow="0" w:lastRow="0" w:firstColumn="0" w:lastColumn="0" w:oddVBand="0" w:evenVBand="0" w:oddHBand="0" w:evenHBand="0" w:firstRowFirstColumn="0" w:firstRowLastColumn="0" w:lastRowFirstColumn="0" w:lastRowLastColumn="0"/>
            </w:pPr>
            <w:r>
              <w:t>5.4</w:t>
            </w:r>
          </w:p>
        </w:tc>
        <w:tc>
          <w:tcPr>
            <w:tcW w:w="1559" w:type="dxa"/>
            <w:vAlign w:val="center"/>
          </w:tcPr>
          <w:p w14:paraId="761E027E" w14:textId="77777777" w:rsidR="001B4346" w:rsidRDefault="08D050C4" w:rsidP="00473693">
            <w:pPr>
              <w:cnfStyle w:val="000000000000" w:firstRow="0" w:lastRow="0" w:firstColumn="0" w:lastColumn="0" w:oddVBand="0" w:evenVBand="0" w:oddHBand="0" w:evenHBand="0" w:firstRowFirstColumn="0" w:firstRowLastColumn="0" w:lastRowFirstColumn="0" w:lastRowLastColumn="0"/>
            </w:pPr>
            <w:r w:rsidRPr="08D050C4">
              <w:rPr>
                <w:color w:val="auto"/>
              </w:rPr>
              <w:t>5.4</w:t>
            </w:r>
            <w:r w:rsidRPr="08D050C4">
              <w:rPr>
                <w:vertAlign w:val="superscript"/>
              </w:rPr>
              <w:t xml:space="preserve"> i</w:t>
            </w:r>
          </w:p>
        </w:tc>
        <w:tc>
          <w:tcPr>
            <w:tcW w:w="1217" w:type="dxa"/>
            <w:vAlign w:val="center"/>
          </w:tcPr>
          <w:p w14:paraId="78528F03" w14:textId="77777777" w:rsidR="001B4346" w:rsidRPr="00B04D0E" w:rsidRDefault="08D050C4" w:rsidP="00473693">
            <w:pPr>
              <w:cnfStyle w:val="000000000000" w:firstRow="0" w:lastRow="0" w:firstColumn="0" w:lastColumn="0" w:oddVBand="0" w:evenVBand="0" w:oddHBand="0" w:evenHBand="0" w:firstRowFirstColumn="0" w:firstRowLastColumn="0" w:lastRowFirstColumn="0" w:lastRowLastColumn="0"/>
            </w:pPr>
            <w:r w:rsidRPr="08D050C4">
              <w:rPr>
                <w:color w:val="auto"/>
              </w:rPr>
              <w:t>6.80</w:t>
            </w:r>
          </w:p>
        </w:tc>
      </w:tr>
      <w:tr w:rsidR="001B4346" w:rsidRPr="00B04D0E" w14:paraId="67F09BA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7CEC6E6" w14:textId="77777777" w:rsidR="001B4346" w:rsidRPr="00653914" w:rsidRDefault="001B4346" w:rsidP="00473693">
            <w:r>
              <w:t>Regulatory</w:t>
            </w:r>
          </w:p>
        </w:tc>
        <w:tc>
          <w:tcPr>
            <w:tcW w:w="1418" w:type="dxa"/>
            <w:vAlign w:val="center"/>
          </w:tcPr>
          <w:p w14:paraId="22B1180F"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69.9</w:t>
            </w:r>
          </w:p>
        </w:tc>
        <w:tc>
          <w:tcPr>
            <w:tcW w:w="1701" w:type="dxa"/>
          </w:tcPr>
          <w:p w14:paraId="7EF4BB41"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0DC0BB94"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10.1</w:t>
            </w:r>
          </w:p>
        </w:tc>
        <w:tc>
          <w:tcPr>
            <w:tcW w:w="1559" w:type="dxa"/>
            <w:vAlign w:val="center"/>
          </w:tcPr>
          <w:p w14:paraId="35E8E61F" w14:textId="77777777" w:rsidR="001B4346" w:rsidRDefault="08D050C4" w:rsidP="00473693">
            <w:pPr>
              <w:cnfStyle w:val="000000100000" w:firstRow="0" w:lastRow="0" w:firstColumn="0" w:lastColumn="0" w:oddVBand="0" w:evenVBand="0" w:oddHBand="1" w:evenHBand="0" w:firstRowFirstColumn="0" w:firstRowLastColumn="0" w:lastRowFirstColumn="0" w:lastRowLastColumn="0"/>
            </w:pPr>
            <w:r>
              <w:t>10.1</w:t>
            </w:r>
          </w:p>
        </w:tc>
        <w:tc>
          <w:tcPr>
            <w:tcW w:w="1217" w:type="dxa"/>
            <w:vAlign w:val="center"/>
          </w:tcPr>
          <w:p w14:paraId="42D1066F" w14:textId="77777777" w:rsidR="001B4346" w:rsidRPr="00B04D0E" w:rsidRDefault="08D050C4" w:rsidP="00473693">
            <w:pPr>
              <w:cnfStyle w:val="000000100000" w:firstRow="0" w:lastRow="0" w:firstColumn="0" w:lastColumn="0" w:oddVBand="0" w:evenVBand="0" w:oddHBand="1" w:evenHBand="0" w:firstRowFirstColumn="0" w:firstRowLastColumn="0" w:lastRowFirstColumn="0" w:lastRowLastColumn="0"/>
            </w:pPr>
            <w:r>
              <w:t>6.94</w:t>
            </w:r>
          </w:p>
        </w:tc>
      </w:tr>
    </w:tbl>
    <w:p w14:paraId="148F3806" w14:textId="77777777" w:rsidR="001B4346" w:rsidRPr="00541F94" w:rsidRDefault="001B4346" w:rsidP="001B4346">
      <w:pPr>
        <w:spacing w:before="120" w:after="0"/>
        <w:rPr>
          <w:sz w:val="18"/>
          <w:szCs w:val="18"/>
        </w:rPr>
      </w:pPr>
      <w:r w:rsidRPr="00541F94">
        <w:rPr>
          <w:sz w:val="18"/>
          <w:szCs w:val="18"/>
          <w:vertAlign w:val="superscript"/>
        </w:rPr>
        <w:t>*</w:t>
      </w:r>
      <w:r w:rsidRPr="00541F94">
        <w:rPr>
          <w:sz w:val="18"/>
          <w:szCs w:val="18"/>
        </w:rPr>
        <w:t>$M, 2022/23, real, discounted at 7% over a 15-year appraisal period after implementation of all reforms, assessed incrementally</w:t>
      </w:r>
    </w:p>
    <w:p w14:paraId="5564EB10" w14:textId="77777777" w:rsidR="00541F94" w:rsidRPr="00541F9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1B9A9716" w14:textId="77777777" w:rsidR="002567CE" w:rsidRDefault="002567CE" w:rsidP="002567CE"/>
    <w:p w14:paraId="14A2EB68" w14:textId="77777777" w:rsidR="001B4346" w:rsidRDefault="001B4346" w:rsidP="001B4346">
      <w:pPr>
        <w:pStyle w:val="Heading6"/>
      </w:pPr>
      <w:r>
        <w:t>Considerations to note in interpreting analysis</w:t>
      </w:r>
    </w:p>
    <w:p w14:paraId="492DA20A" w14:textId="77777777" w:rsidR="001B4346" w:rsidRPr="001878D0" w:rsidRDefault="001B4346" w:rsidP="001878D0">
      <w:pPr>
        <w:pStyle w:val="Heading7"/>
      </w:pPr>
      <w:r w:rsidRPr="001878D0">
        <w:t>Limitations</w:t>
      </w:r>
    </w:p>
    <w:p w14:paraId="76AE2861" w14:textId="77777777" w:rsidR="001878D0" w:rsidRDefault="001B4346" w:rsidP="00105D34">
      <w:pPr>
        <w:pStyle w:val="Heading8"/>
      </w:pPr>
      <w:r w:rsidRPr="001878D0">
        <w:t>Non-regulatory option</w:t>
      </w:r>
    </w:p>
    <w:p w14:paraId="12500DC6" w14:textId="293998D1" w:rsidR="001B4346" w:rsidRPr="00EB65BE" w:rsidRDefault="001B4346" w:rsidP="001878D0">
      <w:r>
        <w:t>T</w:t>
      </w:r>
      <w:r w:rsidRPr="00EB65BE">
        <w:t xml:space="preserve">he costs and benefits associated with the non-regulatory reform are lower than its </w:t>
      </w:r>
      <w:r w:rsidR="001878D0" w:rsidRPr="00EB65BE">
        <w:t>regulatory counterpart</w:t>
      </w:r>
      <w:r w:rsidRPr="00EB65BE">
        <w:t xml:space="preserve"> reflecting an assumed lower rate of compliance with the reform. </w:t>
      </w:r>
      <w:r>
        <w:t>An estimated rate of uptake of 75</w:t>
      </w:r>
      <w:r w:rsidR="00FB4BDA">
        <w:t xml:space="preserve"> per cent</w:t>
      </w:r>
      <w:r>
        <w:t xml:space="preserve"> was applied to the non-regulatory option based on the low cost and complexity of ensuring allocated spaces are available around resting points on access paths. Submissions indicated this was easily implementable in most situations. </w:t>
      </w:r>
      <w:r w:rsidRPr="00EB65BE">
        <w:t>This implies that the benefits and costs quantified for this non-regulatory reform may not reflect future take-up of the reform.</w:t>
      </w:r>
    </w:p>
    <w:p w14:paraId="242D1436" w14:textId="77777777" w:rsidR="001878D0" w:rsidRDefault="001B4346" w:rsidP="00105D34">
      <w:pPr>
        <w:pStyle w:val="Heading8"/>
      </w:pPr>
      <w:r w:rsidRPr="001878D0">
        <w:t>Regulatory option</w:t>
      </w:r>
    </w:p>
    <w:p w14:paraId="706D26B1" w14:textId="77777777" w:rsidR="001B4346" w:rsidRPr="00EB65BE" w:rsidRDefault="001B4346" w:rsidP="001878D0">
      <w:r w:rsidRPr="00EB65BE">
        <w:t>The benefits and costs for this reform were estimated based on publicly available information, a single response from the survey and costs from RLB. This implies benefits and costs may not reflect the full extent of compliance and costs do not reflect variation in construction or delivery costs that could be incurred at different sites.</w:t>
      </w:r>
    </w:p>
    <w:p w14:paraId="267254A8" w14:textId="77777777" w:rsidR="001B4346" w:rsidRDefault="001B4346" w:rsidP="001878D0">
      <w:pPr>
        <w:pStyle w:val="Listparagraphbullets"/>
        <w:numPr>
          <w:ilvl w:val="0"/>
          <w:numId w:val="0"/>
        </w:numPr>
        <w:spacing w:after="0"/>
      </w:pPr>
      <w:r w:rsidRPr="00EB65BE">
        <w:t xml:space="preserve">Resting points provide an amenity benefits to all public transport users and the </w:t>
      </w:r>
      <w:r w:rsidR="001878D0" w:rsidRPr="00EB65BE">
        <w:t>public</w:t>
      </w:r>
      <w:r w:rsidRPr="00EB65BE">
        <w:t xml:space="preserve"> producing relatively high benefits in comparison to the costs.</w:t>
      </w:r>
    </w:p>
    <w:p w14:paraId="0B266A5B" w14:textId="77777777" w:rsidR="00E64800" w:rsidRDefault="00E64800" w:rsidP="001878D0">
      <w:pPr>
        <w:pStyle w:val="Listparagraphbullets"/>
        <w:numPr>
          <w:ilvl w:val="0"/>
          <w:numId w:val="0"/>
        </w:numPr>
        <w:spacing w:after="0"/>
      </w:pPr>
    </w:p>
    <w:p w14:paraId="5BCAD6CF" w14:textId="77777777" w:rsidR="001B4346" w:rsidRPr="001878D0" w:rsidRDefault="001B4346" w:rsidP="00105D34">
      <w:pPr>
        <w:pStyle w:val="Heading8"/>
      </w:pPr>
      <w:r w:rsidRPr="001878D0">
        <w:t>Interdependencies</w:t>
      </w:r>
    </w:p>
    <w:p w14:paraId="0F9FB46B" w14:textId="77777777" w:rsidR="001B4346" w:rsidRPr="00F87E76" w:rsidRDefault="001B4346" w:rsidP="00E64800">
      <w:pPr>
        <w:pStyle w:val="Listparagraphbullets"/>
        <w:numPr>
          <w:ilvl w:val="0"/>
          <w:numId w:val="0"/>
        </w:numPr>
        <w:spacing w:after="0"/>
      </w:pPr>
      <w:r w:rsidRPr="00EB65BE">
        <w:t>The accessibility benefits of this reform will only be realised if there was equitable access across the whole public transport journey, with benefits reliant on implementation of other reforms such as accessible car parking, allocated spaces and priority seating in waiting areas.</w:t>
      </w:r>
    </w:p>
    <w:p w14:paraId="7CD931F4" w14:textId="77777777" w:rsidR="001B4346" w:rsidRPr="001878D0" w:rsidRDefault="001B4346" w:rsidP="001878D0">
      <w:pPr>
        <w:pStyle w:val="Heading5"/>
        <w:keepLines/>
        <w:spacing w:before="240"/>
        <w:rPr>
          <w:rFonts w:asciiTheme="majorHAnsi" w:eastAsiaTheme="majorEastAsia" w:hAnsiTheme="majorHAnsi" w:cstheme="majorBidi"/>
          <w:color w:val="44546A" w:themeColor="text2"/>
          <w:sz w:val="22"/>
          <w:szCs w:val="22"/>
          <w:lang w:val="en-AU"/>
        </w:rPr>
      </w:pPr>
      <w:r w:rsidRPr="001878D0">
        <w:rPr>
          <w:rFonts w:asciiTheme="majorHAnsi" w:eastAsiaTheme="majorEastAsia" w:hAnsiTheme="majorHAnsi" w:cstheme="majorBidi"/>
          <w:color w:val="44546A" w:themeColor="text2"/>
          <w:kern w:val="0"/>
          <w:sz w:val="22"/>
          <w:szCs w:val="22"/>
          <w:lang w:val="en-AU"/>
        </w:rPr>
        <w:t xml:space="preserve">Qualitative assessment </w:t>
      </w:r>
    </w:p>
    <w:p w14:paraId="335E499D" w14:textId="77777777" w:rsidR="001878D0" w:rsidRDefault="001B4346" w:rsidP="001B4346">
      <w:r>
        <w:t>The following categories of qualitative benefits were identified in the CBA as pertaining to the reform options.</w:t>
      </w:r>
    </w:p>
    <w:p w14:paraId="7D27A3F6" w14:textId="5F40BA17" w:rsidR="001B4346" w:rsidRDefault="001B4346" w:rsidP="001878D0">
      <w:pPr>
        <w:pStyle w:val="Tablefigureheading"/>
      </w:pPr>
      <w:bookmarkStart w:id="420" w:name="_Toc122446395"/>
      <w:bookmarkStart w:id="421" w:name="_Toc139969235"/>
      <w:r>
        <w:t xml:space="preserve">Table </w:t>
      </w:r>
      <w:fldSimple w:instr=" SEQ Table \* ARABIC ">
        <w:r w:rsidR="00DC26AC">
          <w:rPr>
            <w:noProof/>
          </w:rPr>
          <w:t>77</w:t>
        </w:r>
      </w:fldSimple>
      <w:r>
        <w:t>:</w:t>
      </w:r>
      <w:r w:rsidRPr="00EE3F5F">
        <w:t xml:space="preserve"> </w:t>
      </w:r>
      <w:r>
        <w:t>Qualitative benefits for resting points</w:t>
      </w:r>
      <w:bookmarkEnd w:id="420"/>
      <w:bookmarkEnd w:id="421"/>
    </w:p>
    <w:tbl>
      <w:tblPr>
        <w:tblStyle w:val="DefaultTable1"/>
        <w:tblW w:w="9864" w:type="dxa"/>
        <w:tblLook w:val="04A0" w:firstRow="1" w:lastRow="0" w:firstColumn="1" w:lastColumn="0" w:noHBand="0" w:noVBand="1"/>
        <w:tblCaption w:val="Qualitative benefits for resting points"/>
      </w:tblPr>
      <w:tblGrid>
        <w:gridCol w:w="1213"/>
        <w:gridCol w:w="1343"/>
        <w:gridCol w:w="1626"/>
        <w:gridCol w:w="1300"/>
        <w:gridCol w:w="1278"/>
        <w:gridCol w:w="1641"/>
        <w:gridCol w:w="1463"/>
      </w:tblGrid>
      <w:tr w:rsidR="001B4346" w:rsidRPr="007A751F" w14:paraId="4B7BC42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4C9FE9D" w14:textId="77777777" w:rsidR="001B4346" w:rsidRPr="007A751F" w:rsidRDefault="08D050C4" w:rsidP="00473693">
            <w:r w:rsidRPr="08D050C4">
              <w:t>Reform Option</w:t>
            </w:r>
          </w:p>
        </w:tc>
        <w:tc>
          <w:tcPr>
            <w:tcW w:w="1343" w:type="dxa"/>
          </w:tcPr>
          <w:p w14:paraId="0439BCC2"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60B0B5C"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60BF9AB1"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19E6313"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244BA386" w14:textId="77777777" w:rsidR="001B4346" w:rsidRPr="007A751F" w:rsidRDefault="08D050C4" w:rsidP="00473693">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4CD1A6F" w14:textId="77777777" w:rsidR="001B4346" w:rsidRDefault="08D050C4" w:rsidP="00473693">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1B4346" w:rsidRPr="00B04D0E" w14:paraId="7D963F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61FFB7B" w14:textId="77777777" w:rsidR="001B4346" w:rsidRPr="00653914" w:rsidRDefault="001B4346" w:rsidP="00473693">
            <w:r w:rsidRPr="00653914">
              <w:t>Status Quo</w:t>
            </w:r>
          </w:p>
        </w:tc>
        <w:tc>
          <w:tcPr>
            <w:tcW w:w="1343" w:type="dxa"/>
          </w:tcPr>
          <w:p w14:paraId="73FF812F" w14:textId="77777777" w:rsidR="001B4346" w:rsidRPr="00E64800" w:rsidRDefault="08D050C4" w:rsidP="08D050C4">
            <w:pPr>
              <w:tabs>
                <w:tab w:val="left" w:pos="749"/>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C0BF0AC"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11CAF0E"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24748B3F"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260EBD97"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E8C0B32" w14:textId="77777777" w:rsidR="001B4346" w:rsidRPr="00E64800"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1B4346" w:rsidRPr="00B04D0E" w14:paraId="76D8C27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813BB63" w14:textId="77777777" w:rsidR="001B4346" w:rsidRPr="00653914" w:rsidRDefault="001B4346" w:rsidP="00473693">
            <w:r>
              <w:t xml:space="preserve">Non-regulatory </w:t>
            </w:r>
          </w:p>
        </w:tc>
        <w:tc>
          <w:tcPr>
            <w:tcW w:w="1343" w:type="dxa"/>
          </w:tcPr>
          <w:p w14:paraId="78088BEB"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7AECB718"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6391651" w14:textId="77777777" w:rsidR="001B4346" w:rsidRPr="00E64800" w:rsidRDefault="08D050C4" w:rsidP="08D050C4">
            <w:pPr>
              <w:tabs>
                <w:tab w:val="left" w:pos="749"/>
              </w:tabs>
              <w:cnfStyle w:val="000000000000" w:firstRow="0" w:lastRow="0" w:firstColumn="0" w:lastColumn="0" w:oddVBand="0" w:evenVBand="0" w:oddHBand="0" w:evenHBand="0" w:firstRowFirstColumn="0" w:firstRowLastColumn="0" w:lastRowFirstColumn="0" w:lastRowLastColumn="0"/>
              <w:rPr>
                <w:color w:val="auto"/>
                <w:sz w:val="21"/>
                <w:szCs w:val="21"/>
              </w:rPr>
            </w:pPr>
            <w:r w:rsidRPr="08D050C4">
              <w:rPr>
                <w:color w:val="auto"/>
                <w:sz w:val="21"/>
                <w:szCs w:val="21"/>
              </w:rPr>
              <w:t>-</w:t>
            </w:r>
          </w:p>
        </w:tc>
        <w:tc>
          <w:tcPr>
            <w:tcW w:w="1278" w:type="dxa"/>
          </w:tcPr>
          <w:p w14:paraId="371A1258" w14:textId="77777777" w:rsidR="001B4346"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E3E898A" w14:textId="77777777" w:rsidR="001B4346" w:rsidRPr="00B04D0E"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402F6F97" w14:textId="77777777" w:rsidR="001B4346" w:rsidRPr="00B04D0E" w:rsidRDefault="001B4346" w:rsidP="00E64800">
            <w:pPr>
              <w:jc w:val="both"/>
              <w:cnfStyle w:val="000000000000" w:firstRow="0" w:lastRow="0" w:firstColumn="0" w:lastColumn="0" w:oddVBand="0" w:evenVBand="0" w:oddHBand="0" w:evenHBand="0" w:firstRowFirstColumn="0" w:firstRowLastColumn="0" w:lastRowFirstColumn="0" w:lastRowLastColumn="0"/>
            </w:pPr>
            <w:r>
              <w:t>Yes</w:t>
            </w:r>
          </w:p>
        </w:tc>
      </w:tr>
      <w:tr w:rsidR="001B4346" w:rsidRPr="00B04D0E" w14:paraId="33648F0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A8CABB" w14:textId="77777777" w:rsidR="001B4346" w:rsidRPr="00653914" w:rsidRDefault="001B4346" w:rsidP="00473693">
            <w:r>
              <w:t>Regulatory</w:t>
            </w:r>
          </w:p>
        </w:tc>
        <w:tc>
          <w:tcPr>
            <w:tcW w:w="1343" w:type="dxa"/>
          </w:tcPr>
          <w:p w14:paraId="0A766C09"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C1B51BC"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3F1B898A" w14:textId="77777777" w:rsidR="001B4346" w:rsidRPr="00E64800" w:rsidRDefault="08D050C4" w:rsidP="08D050C4">
            <w:pPr>
              <w:tabs>
                <w:tab w:val="left" w:pos="749"/>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1E7850DF" w14:textId="77777777" w:rsidR="001B4346"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8C33768" w14:textId="77777777" w:rsidR="001B4346" w:rsidRPr="00B04D0E"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43153B1" w14:textId="77777777" w:rsidR="001B4346" w:rsidRPr="00B04D0E" w:rsidRDefault="001B4346" w:rsidP="00E64800">
            <w:pPr>
              <w:jc w:val="both"/>
              <w:cnfStyle w:val="000000100000" w:firstRow="0" w:lastRow="0" w:firstColumn="0" w:lastColumn="0" w:oddVBand="0" w:evenVBand="0" w:oddHBand="1" w:evenHBand="0" w:firstRowFirstColumn="0" w:firstRowLastColumn="0" w:lastRowFirstColumn="0" w:lastRowLastColumn="0"/>
            </w:pPr>
            <w:r>
              <w:t>Yes</w:t>
            </w:r>
          </w:p>
        </w:tc>
      </w:tr>
    </w:tbl>
    <w:p w14:paraId="33CF142C" w14:textId="77777777" w:rsidR="002567CE" w:rsidRDefault="002567CE" w:rsidP="002567CE"/>
    <w:p w14:paraId="2A45AAA9" w14:textId="77777777" w:rsidR="001B4346" w:rsidRPr="004C16F7" w:rsidRDefault="001B4346" w:rsidP="002567CE">
      <w:pPr>
        <w:pStyle w:val="Heading4"/>
      </w:pPr>
      <w:r>
        <w:t xml:space="preserve">Analysis of submissions </w:t>
      </w:r>
    </w:p>
    <w:p w14:paraId="4DB0E498" w14:textId="77777777" w:rsidR="001B4346" w:rsidRPr="009D15D8" w:rsidRDefault="001B4346" w:rsidP="009D15D8">
      <w:pPr>
        <w:pStyle w:val="Heading5"/>
      </w:pPr>
      <w:r w:rsidRPr="009D15D8">
        <w:t>Status quo</w:t>
      </w:r>
    </w:p>
    <w:p w14:paraId="163E74D6" w14:textId="25140FE1" w:rsidR="001B4346" w:rsidRDefault="001B4346" w:rsidP="001B4346">
      <w:r>
        <w:t xml:space="preserve">The Transport Standards will continue to not specify requirements for allocated spaces at resting points along access paths. The Transport Standards </w:t>
      </w:r>
      <w:r w:rsidRPr="002A7AC6">
        <w:t>accommodate people who are ambulant</w:t>
      </w:r>
      <w:r w:rsidR="006F2F96">
        <w:t>,</w:t>
      </w:r>
      <w:r w:rsidRPr="002A7AC6">
        <w:t xml:space="preserve"> but prone to fatigue, but </w:t>
      </w:r>
      <w:r>
        <w:t xml:space="preserve">do not similarly accommodate the amenity and accessibility of </w:t>
      </w:r>
      <w:r w:rsidRPr="002A7AC6">
        <w:t xml:space="preserve">people using wheelchairs or similar mobility aids, </w:t>
      </w:r>
      <w:r>
        <w:t>and their assisting travelling companions.</w:t>
      </w:r>
    </w:p>
    <w:p w14:paraId="7514F282" w14:textId="77777777" w:rsidR="001B4346" w:rsidRDefault="001B4346" w:rsidP="001B4346">
      <w:r w:rsidRPr="002A7AC6">
        <w:t xml:space="preserve">People independently pushing manual wheelchairs are as likely to fatigue as ambulant people </w:t>
      </w:r>
      <w:r>
        <w:t>with</w:t>
      </w:r>
      <w:r w:rsidRPr="002A7AC6">
        <w:t xml:space="preserve"> mobility impairments. </w:t>
      </w:r>
      <w:r>
        <w:t>Travelling</w:t>
      </w:r>
      <w:r w:rsidRPr="002A7AC6">
        <w:t xml:space="preserve"> companions pushing people in manual wheelchairs may fatigue</w:t>
      </w:r>
      <w:r>
        <w:t>,</w:t>
      </w:r>
      <w:r w:rsidRPr="002A7AC6">
        <w:t xml:space="preserve"> and if using a resting point must find a location for the wheelchair and its occupant. At times, people using powered mobility aids may be travelling with a person who fatigues and so both will need access to a resting point that has an allocated space.</w:t>
      </w:r>
    </w:p>
    <w:p w14:paraId="3FA84AFB" w14:textId="77777777" w:rsidR="001B4346" w:rsidRDefault="08D050C4" w:rsidP="08D050C4">
      <w:pPr>
        <w:shd w:val="clear" w:color="auto" w:fill="FFFFFF" w:themeFill="background1"/>
        <w:rPr>
          <w:rFonts w:ascii="Calibri" w:eastAsia="Times New Roman" w:hAnsi="Calibri" w:cs="Calibri"/>
          <w:color w:val="000000" w:themeColor="text1"/>
          <w:lang w:eastAsia="en-AU"/>
        </w:rPr>
      </w:pPr>
      <w:r>
        <w:t>Consultation findings indicated a lack of appropriate resting points that include allocated spaces is a barrier to travel on public transport and is seen as an omission in the Transport Standards. Submissions from all stakeholder groups noted t</w:t>
      </w:r>
      <w:r w:rsidRPr="08D050C4">
        <w:rPr>
          <w:rFonts w:ascii="Calibri" w:eastAsia="Times New Roman" w:hAnsi="Calibri" w:cs="Calibri"/>
          <w:color w:val="000000" w:themeColor="text1"/>
          <w:lang w:eastAsia="en-AU"/>
        </w:rPr>
        <w:t xml:space="preserve">here would be significant value in incorporating spaces for wheelchairs and other mobility supports, such as assistance animals, to ensure people who use accessibility aids and their companions have equal and dignified access to designated rest areas. </w:t>
      </w:r>
    </w:p>
    <w:p w14:paraId="36514C70" w14:textId="77777777" w:rsidR="001B4346" w:rsidRPr="008621D9" w:rsidRDefault="08D050C4" w:rsidP="08D050C4">
      <w:pPr>
        <w:shd w:val="clear" w:color="auto" w:fill="FFFFFF" w:themeFill="background1"/>
        <w:rPr>
          <w:rFonts w:ascii="Calibri" w:eastAsia="Times New Roman" w:hAnsi="Calibri" w:cs="Calibri"/>
          <w:color w:val="000000" w:themeColor="text1"/>
          <w:lang w:eastAsia="en-AU"/>
        </w:rPr>
      </w:pPr>
      <w:r w:rsidRPr="08D050C4">
        <w:rPr>
          <w:rFonts w:ascii="Calibri" w:eastAsia="Times New Roman" w:hAnsi="Calibri" w:cs="Calibri"/>
          <w:color w:val="000000" w:themeColor="text1"/>
          <w:lang w:eastAsia="en-AU"/>
        </w:rPr>
        <w:t>One submission from government supported maintaining the status quo, viewing the current requirements as adequate and citing concerns regarding space constraints and the prescriptive nature of the proposed regulatory option. This submission also noted safety concerns for those using adjacent pathways.</w:t>
      </w:r>
    </w:p>
    <w:p w14:paraId="67EE2293" w14:textId="0432CDB9" w:rsidR="001B4346" w:rsidRPr="00510701" w:rsidRDefault="001B4346" w:rsidP="001B4346">
      <w:r>
        <w:t>Maintaining the status quo would continue to disadvantage people using mobility aids and their travelling companions, and does</w:t>
      </w:r>
      <w:r w:rsidRPr="00097442">
        <w:t xml:space="preserve"> not meet the varying needs of people with disability or </w:t>
      </w:r>
      <w:r w:rsidRPr="002A7AC6">
        <w:t xml:space="preserve">the </w:t>
      </w:r>
      <w:r>
        <w:t xml:space="preserve">objectives </w:t>
      </w:r>
      <w:r w:rsidRPr="002A7AC6">
        <w:t xml:space="preserve">of the </w:t>
      </w:r>
      <w:r>
        <w:t>Transport Standards</w:t>
      </w:r>
      <w:r w:rsidRPr="002A7AC6">
        <w:t xml:space="preserve"> to remove discrimination for pe</w:t>
      </w:r>
      <w:r w:rsidRPr="00E03E84">
        <w:t>ople with disability in relation to public transport services. Maintaining status quo has no on-going costs for public transports operators and providers</w:t>
      </w:r>
      <w:r w:rsidR="006F2F96">
        <w:t>;</w:t>
      </w:r>
      <w:r w:rsidRPr="00E03E84">
        <w:t xml:space="preserve"> however</w:t>
      </w:r>
      <w:r w:rsidR="006F2F96">
        <w:t>,</w:t>
      </w:r>
      <w:r w:rsidRPr="00E03E84">
        <w:t xml:space="preserve"> negative impacts on community safety, amenity, and accessibility </w:t>
      </w:r>
      <w:r>
        <w:t>would remain</w:t>
      </w:r>
      <w:r w:rsidRPr="00E03E84">
        <w:t>.</w:t>
      </w:r>
    </w:p>
    <w:p w14:paraId="35B162F4" w14:textId="77777777" w:rsidR="001B4346" w:rsidRPr="009D15D8" w:rsidRDefault="001B4346" w:rsidP="009D15D8">
      <w:pPr>
        <w:pStyle w:val="Heading5"/>
      </w:pPr>
      <w:r w:rsidRPr="009D15D8">
        <w:t>Non-regulatory</w:t>
      </w:r>
    </w:p>
    <w:p w14:paraId="712E06A6" w14:textId="77777777" w:rsidR="001B4346" w:rsidRDefault="001B4346" w:rsidP="001B4346">
      <w:r>
        <w:t xml:space="preserve">Three out of 18 submissions indicated support for the non-regulatory option, welcoming the clarity guidance would provide regarding technical requirements for allocated spaces at resting points. These submissions, from industry and government stakeholders, preferred the non-regulatory option, citing concerns about topography constraints and third-party land and asset ownership that may impact implementation of the regulatory option. </w:t>
      </w:r>
    </w:p>
    <w:p w14:paraId="0DC2109C" w14:textId="77777777" w:rsidR="001B4346" w:rsidRDefault="001B4346" w:rsidP="001B4346">
      <w:r>
        <w:t xml:space="preserve">Benefits will be achieved to the extent that operators and providers implement the proposed guidance under the non-regulatory option, with any associated costs of implementation able to be managed flexibly to suit operational requirements, including through staging the implementation. While site constraints may make retrospective application challenging for some existing assets, one submission indicated that the costs </w:t>
      </w:r>
      <w:r w:rsidRPr="009B3624">
        <w:t>associated with implementation</w:t>
      </w:r>
      <w:r>
        <w:t>,</w:t>
      </w:r>
      <w:r w:rsidRPr="009B3624">
        <w:t xml:space="preserve"> </w:t>
      </w:r>
      <w:r>
        <w:t>where feasible to do so, would be minimal</w:t>
      </w:r>
      <w:r w:rsidRPr="009B3624">
        <w:t xml:space="preserve">. </w:t>
      </w:r>
      <w:r>
        <w:t>Submissions indicate i</w:t>
      </w:r>
      <w:r w:rsidRPr="009B3624">
        <w:t xml:space="preserve">mplementation of allocated spaces is </w:t>
      </w:r>
      <w:r>
        <w:t>anticipated</w:t>
      </w:r>
      <w:r w:rsidRPr="009B3624">
        <w:t xml:space="preserve"> to be easily accommodated, provided space is available to adjust the placement of existing seats. Additional costs may be incurred for more challenging sites where guidance is adopted.</w:t>
      </w:r>
    </w:p>
    <w:p w14:paraId="6903DF5A" w14:textId="28A53611" w:rsidR="001B4346" w:rsidRDefault="08D050C4" w:rsidP="001B4346">
      <w:r>
        <w:t xml:space="preserve">Given this option is discretionary, it does not provide certainty that guidance will be implemented. To the extent that guidance is followed, people who rely on mobility aids, their carers and their travelling companions would benefit from </w:t>
      </w:r>
      <w:r w:rsidRPr="08D050C4">
        <w:rPr>
          <w:rFonts w:ascii="Calibri" w:eastAsia="Times New Roman" w:hAnsi="Calibri" w:cs="Calibri"/>
          <w:color w:val="000000" w:themeColor="text1"/>
          <w:lang w:eastAsia="en-AU"/>
        </w:rPr>
        <w:t>equal and dignified access to designated rest areas</w:t>
      </w:r>
      <w:r>
        <w:t>. If guidance is not followed, this may deter some potential passengers or reduce the number of journeys that they would otherwise undertake, and would reduce the amenity of access paths longer than 60 metr</w:t>
      </w:r>
      <w:r w:rsidR="00FB4BDA">
        <w:t>e</w:t>
      </w:r>
      <w:r>
        <w:t>s.</w:t>
      </w:r>
    </w:p>
    <w:p w14:paraId="549C5FC1" w14:textId="77777777" w:rsidR="001B4346" w:rsidRPr="009D15D8" w:rsidRDefault="001B4346" w:rsidP="009D15D8">
      <w:pPr>
        <w:pStyle w:val="Heading5"/>
      </w:pPr>
      <w:r w:rsidRPr="009D15D8">
        <w:lastRenderedPageBreak/>
        <w:t>Regulatory</w:t>
      </w:r>
    </w:p>
    <w:p w14:paraId="0E1243B6" w14:textId="77777777" w:rsidR="001B4346" w:rsidRDefault="001B4346" w:rsidP="001B4346">
      <w:r>
        <w:t xml:space="preserve">The regulatory option was preferred amongst all stakeholder groups. Consultation findings indicated that a lack of appropriate resting points that include allocated spaces is see as </w:t>
      </w:r>
      <w:r w:rsidRPr="008621D9">
        <w:t>a</w:t>
      </w:r>
      <w:r>
        <w:t>n</w:t>
      </w:r>
      <w:r w:rsidRPr="008621D9">
        <w:t xml:space="preserve"> omission in the </w:t>
      </w:r>
      <w:r>
        <w:t xml:space="preserve">Transport </w:t>
      </w:r>
      <w:r w:rsidRPr="008621D9">
        <w:t>Standards. The</w:t>
      </w:r>
      <w:r>
        <w:rPr>
          <w:rFonts w:ascii="Calibri" w:hAnsi="Calibri" w:cs="Calibri"/>
          <w:color w:val="000000"/>
          <w:shd w:val="clear" w:color="auto" w:fill="FFFFFF"/>
        </w:rPr>
        <w:t xml:space="preserve"> need for appropriate rest points that accommodate all passengers, ambulant or non-ambulant, was apparent from submissions received.</w:t>
      </w:r>
    </w:p>
    <w:p w14:paraId="6DBC535D" w14:textId="77777777" w:rsidR="001B4346" w:rsidRDefault="001B4346" w:rsidP="001B4346">
      <w:pPr>
        <w:pStyle w:val="Quote"/>
      </w:pPr>
      <w:r w:rsidRPr="00071184">
        <w:t>There would be significant value in incorporating spaces for mobility aids beside designated rest points and seating. These spaces could not only be used for wheelchairs but also any other mobility support used by a person with disability, including guide dogs, to ensure that people who use accessibility aids, and their companions have equal and dignified access to designated rest spots.</w:t>
      </w:r>
      <w:r>
        <w:t xml:space="preserve"> </w:t>
      </w:r>
      <w:r w:rsidRPr="00915DBF">
        <w:t>Having well designed spaces for people to rest along access paths enhances the transport experience for people with limited mobility and would likely encourage more use of public transport options.</w:t>
      </w:r>
    </w:p>
    <w:p w14:paraId="6CD7041A" w14:textId="77777777" w:rsidR="001B4346" w:rsidRPr="0027562E" w:rsidRDefault="001B4346" w:rsidP="001B4346">
      <w:pPr>
        <w:pStyle w:val="Quote"/>
      </w:pPr>
      <w:r>
        <w:t>Physical Disability Council of NSW</w:t>
      </w:r>
    </w:p>
    <w:p w14:paraId="0FC55A40" w14:textId="5AFD9C39" w:rsidR="001B4346" w:rsidRPr="00071184" w:rsidRDefault="00667C53" w:rsidP="08D050C4">
      <w:pPr>
        <w:shd w:val="clear" w:color="auto" w:fill="FFFFFF" w:themeFill="background1"/>
        <w:spacing w:after="0"/>
      </w:pPr>
      <w:r>
        <w:rPr>
          <w:rFonts w:ascii="Calibri" w:eastAsia="Times New Roman" w:hAnsi="Calibri" w:cs="Calibri"/>
          <w:color w:val="000000"/>
          <w:lang w:eastAsia="en-AU"/>
        </w:rPr>
        <w:br/>
      </w:r>
      <w:r w:rsidR="001B4346">
        <w:rPr>
          <w:rFonts w:ascii="Calibri" w:eastAsia="Times New Roman" w:hAnsi="Calibri" w:cs="Calibri"/>
          <w:color w:val="000000"/>
          <w:lang w:eastAsia="en-AU"/>
        </w:rPr>
        <w:t>Operators, providers</w:t>
      </w:r>
      <w:r w:rsidR="001B4346" w:rsidRPr="00B72ACA">
        <w:rPr>
          <w:rFonts w:ascii="Calibri" w:eastAsia="Times New Roman" w:hAnsi="Calibri" w:cs="Calibri"/>
          <w:color w:val="000000"/>
          <w:lang w:eastAsia="en-AU"/>
        </w:rPr>
        <w:t xml:space="preserve"> and government </w:t>
      </w:r>
      <w:r w:rsidR="001B4346">
        <w:rPr>
          <w:rFonts w:ascii="Calibri" w:eastAsia="Times New Roman" w:hAnsi="Calibri" w:cs="Calibri"/>
          <w:color w:val="000000"/>
          <w:lang w:eastAsia="en-AU"/>
        </w:rPr>
        <w:t xml:space="preserve">stakeholders </w:t>
      </w:r>
      <w:r w:rsidR="001B4346" w:rsidRPr="00B72ACA">
        <w:rPr>
          <w:rFonts w:ascii="Calibri" w:eastAsia="Times New Roman" w:hAnsi="Calibri" w:cs="Calibri"/>
          <w:color w:val="000000"/>
          <w:lang w:eastAsia="en-AU"/>
        </w:rPr>
        <w:t>were largely supportive of the regulatory option recognising it would promote inclusion, equality and consistency</w:t>
      </w:r>
      <w:r w:rsidR="001B4346">
        <w:rPr>
          <w:rFonts w:ascii="Calibri" w:eastAsia="Times New Roman" w:hAnsi="Calibri" w:cs="Calibri"/>
          <w:color w:val="000000"/>
          <w:lang w:eastAsia="en-AU"/>
        </w:rPr>
        <w:t xml:space="preserve"> for people with disability</w:t>
      </w:r>
      <w:r w:rsidR="001B4346" w:rsidRPr="00B72ACA">
        <w:rPr>
          <w:rFonts w:ascii="Calibri" w:eastAsia="Times New Roman" w:hAnsi="Calibri" w:cs="Calibri"/>
          <w:color w:val="000000"/>
          <w:lang w:eastAsia="en-AU"/>
        </w:rPr>
        <w:t>, although some submissions raised</w:t>
      </w:r>
      <w:r w:rsidR="001B4346" w:rsidRPr="00B72ACA">
        <w:rPr>
          <w:rFonts w:ascii="Calibri" w:hAnsi="Calibri" w:cs="Calibri"/>
          <w:color w:val="000000"/>
          <w:shd w:val="clear" w:color="auto" w:fill="FFFFFF"/>
        </w:rPr>
        <w:t xml:space="preserve"> c</w:t>
      </w:r>
      <w:r w:rsidR="001B4346" w:rsidRPr="00B72ACA">
        <w:t>oncerns regarding implementation where multiple land owners are involved</w:t>
      </w:r>
      <w:r w:rsidR="001B4346" w:rsidRPr="00B72ACA">
        <w:rPr>
          <w:rFonts w:ascii="Calibri" w:eastAsia="Times New Roman" w:hAnsi="Calibri" w:cs="Calibri"/>
          <w:color w:val="000000"/>
          <w:lang w:eastAsia="en-AU"/>
        </w:rPr>
        <w:t xml:space="preserve">. </w:t>
      </w:r>
      <w:r w:rsidR="001B4346">
        <w:t>Submissions</w:t>
      </w:r>
      <w:r w:rsidR="001B4346" w:rsidRPr="00293465">
        <w:t xml:space="preserve"> noted there is lack of clarity in the Transport Standards </w:t>
      </w:r>
      <w:r w:rsidR="001B4346">
        <w:t xml:space="preserve">on </w:t>
      </w:r>
      <w:r w:rsidR="001B4346" w:rsidRPr="00293465">
        <w:t xml:space="preserve">where responsibility lies to meet the regulatory requirements. </w:t>
      </w:r>
      <w:r w:rsidR="001B4346">
        <w:t xml:space="preserve">In these instances, </w:t>
      </w:r>
      <w:r w:rsidR="001B4346" w:rsidRPr="00293465">
        <w:rPr>
          <w:rFonts w:ascii="Calibri" w:eastAsia="Times New Roman" w:hAnsi="Calibri" w:cs="Calibri"/>
          <w:color w:val="000000"/>
          <w:lang w:eastAsia="en-AU"/>
        </w:rPr>
        <w:t xml:space="preserve">operators and providers are often </w:t>
      </w:r>
      <w:r w:rsidR="001B4346">
        <w:rPr>
          <w:rFonts w:ascii="Calibri" w:eastAsia="Times New Roman" w:hAnsi="Calibri" w:cs="Calibri"/>
          <w:color w:val="000000"/>
          <w:lang w:eastAsia="en-AU"/>
        </w:rPr>
        <w:t>exposed</w:t>
      </w:r>
      <w:r w:rsidR="001B4346" w:rsidRPr="00293465">
        <w:rPr>
          <w:rFonts w:ascii="Calibri" w:eastAsia="Times New Roman" w:hAnsi="Calibri" w:cs="Calibri"/>
          <w:color w:val="000000"/>
          <w:lang w:eastAsia="en-AU"/>
        </w:rPr>
        <w:t xml:space="preserve"> to complaints about assets they do not own and/or have no control over.</w:t>
      </w:r>
    </w:p>
    <w:p w14:paraId="21240605" w14:textId="77777777" w:rsidR="001B4346" w:rsidRDefault="001B4346" w:rsidP="08D050C4">
      <w:pPr>
        <w:shd w:val="clear" w:color="auto" w:fill="FFFFFF" w:themeFill="background1"/>
        <w:spacing w:after="0"/>
        <w:rPr>
          <w:rFonts w:ascii="Calibri" w:eastAsia="Times New Roman" w:hAnsi="Calibri" w:cs="Calibri"/>
          <w:color w:val="000000" w:themeColor="text1"/>
          <w:lang w:eastAsia="en-AU"/>
        </w:rPr>
      </w:pPr>
    </w:p>
    <w:p w14:paraId="7E07AD34" w14:textId="77777777" w:rsidR="001B4346" w:rsidRDefault="001B4346" w:rsidP="08D050C4">
      <w:pPr>
        <w:shd w:val="clear" w:color="auto" w:fill="FFFFFF" w:themeFill="background1"/>
        <w:spacing w:after="0"/>
        <w:rPr>
          <w:rFonts w:ascii="Calibri" w:hAnsi="Calibri" w:cs="Calibri"/>
          <w:color w:val="000000" w:themeColor="text1"/>
        </w:rPr>
      </w:pPr>
      <w:r>
        <w:rPr>
          <w:rFonts w:ascii="Calibri" w:eastAsia="Times New Roman" w:hAnsi="Calibri" w:cs="Calibri"/>
          <w:color w:val="000000"/>
          <w:lang w:eastAsia="en-AU"/>
        </w:rPr>
        <w:t>A number of operators and providers noted the</w:t>
      </w:r>
      <w:r w:rsidRPr="00B72ACA">
        <w:rPr>
          <w:rFonts w:ascii="Calibri" w:eastAsia="Times New Roman" w:hAnsi="Calibri" w:cs="Calibri"/>
          <w:color w:val="000000"/>
          <w:lang w:eastAsia="en-AU"/>
        </w:rPr>
        <w:t xml:space="preserve"> clear need for </w:t>
      </w:r>
      <w:r w:rsidRPr="00B72ACA">
        <w:rPr>
          <w:rFonts w:ascii="Calibri" w:hAnsi="Calibri" w:cs="Calibri"/>
          <w:color w:val="000000"/>
          <w:shd w:val="clear" w:color="auto" w:fill="FFFFFF"/>
        </w:rPr>
        <w:t>allocated</w:t>
      </w:r>
      <w:r>
        <w:rPr>
          <w:rFonts w:ascii="Calibri" w:hAnsi="Calibri" w:cs="Calibri"/>
          <w:color w:val="000000"/>
          <w:shd w:val="clear" w:color="auto" w:fill="FFFFFF"/>
        </w:rPr>
        <w:t xml:space="preserve"> spaces next to seating in resting areas has resulted in allocated spaces being installed as standard practice, even in the absence of mandated requirements in the Transport Standards. Submissions in support of the regulatory option noted a regulatory approach would provide better amenities and ensure consistent application across transport sites. Some submissions noted the requirements would be feasible to implement, particularly for new projects, but some challenges may be faced in retrospective application if it would necessitate significant modifications (for example, on an </w:t>
      </w:r>
      <w:r w:rsidR="00541F94">
        <w:rPr>
          <w:rFonts w:ascii="Calibri" w:hAnsi="Calibri" w:cs="Calibri"/>
          <w:color w:val="000000"/>
          <w:shd w:val="clear" w:color="auto" w:fill="FFFFFF"/>
        </w:rPr>
        <w:t>over bridge</w:t>
      </w:r>
      <w:r>
        <w:rPr>
          <w:rFonts w:ascii="Calibri" w:hAnsi="Calibri" w:cs="Calibri"/>
          <w:color w:val="000000"/>
          <w:shd w:val="clear" w:color="auto" w:fill="FFFFFF"/>
        </w:rPr>
        <w:t xml:space="preserve">). This may result in the introduction of allocated spaces being unachievable on some existing infrastructure. </w:t>
      </w:r>
    </w:p>
    <w:p w14:paraId="078C975C" w14:textId="77777777" w:rsidR="001878D0" w:rsidRPr="00DA7FA2" w:rsidRDefault="001878D0" w:rsidP="08D050C4">
      <w:pPr>
        <w:shd w:val="clear" w:color="auto" w:fill="FFFFFF" w:themeFill="background1"/>
        <w:spacing w:after="0"/>
        <w:rPr>
          <w:rFonts w:ascii="Calibri" w:eastAsia="Times New Roman" w:hAnsi="Calibri" w:cs="Calibri"/>
          <w:color w:val="000000" w:themeColor="text1"/>
          <w:lang w:eastAsia="en-AU"/>
        </w:rPr>
      </w:pPr>
    </w:p>
    <w:p w14:paraId="37975474" w14:textId="77777777" w:rsidR="001B4346" w:rsidRDefault="08D050C4" w:rsidP="001B4346">
      <w:r>
        <w:t xml:space="preserve">Some amendments to the regulatory option were suggested. One submission from an organisation representing people with disability suggested space specifications for allocated spaces should be applied as a minimum regulatory requirement, in recognition there may be multiple passengers at any one time who may benefit from these spaces. A number of submissions from government and industry suggested guidance on how to discourage inappropriate use of the allocated spaces, or the inclusion of signage or demarcation on the space, similar to priority seating on public transport. Submissions noted this would help prevent luggage, bicycles and advertisement boards being placed on the space and ensure access is not compromised by street furniture, bins or other amenity features. </w:t>
      </w:r>
    </w:p>
    <w:p w14:paraId="438FAA2D" w14:textId="39D25AE8" w:rsidR="00800BEF" w:rsidRDefault="001B4346" w:rsidP="001B4346">
      <w:r>
        <w:t>Submissions indicate that a</w:t>
      </w:r>
      <w:r w:rsidRPr="00071184">
        <w:t xml:space="preserve">t existing sites, implementation of allocated spaces is likely to be easily accommodated, provided space is available to adjust the placement of existing seats. </w:t>
      </w:r>
      <w:r>
        <w:t xml:space="preserve">One submission outlined that new assets could readily comply with the new requirements with minimal cost, but that if significant modifications are required for existing assets (such as rebuilding an </w:t>
      </w:r>
      <w:r w:rsidR="00541F94">
        <w:t>over bridge</w:t>
      </w:r>
      <w:r>
        <w:t>), this could have more significant cost impacts.</w:t>
      </w:r>
      <w:r w:rsidRPr="00071184">
        <w:t xml:space="preserve"> A regulatory option </w:t>
      </w:r>
      <w:r>
        <w:t>should</w:t>
      </w:r>
      <w:r w:rsidRPr="00071184">
        <w:t xml:space="preserve"> </w:t>
      </w:r>
      <w:r>
        <w:t>ensure amenity and accessibility for</w:t>
      </w:r>
      <w:r w:rsidRPr="00071184">
        <w:t xml:space="preserve"> </w:t>
      </w:r>
      <w:r>
        <w:t>mobility aid users and their travel companions, and ensure certainty of the requirements for</w:t>
      </w:r>
      <w:r w:rsidRPr="00071184">
        <w:t xml:space="preserve"> operators and providers </w:t>
      </w:r>
      <w:r>
        <w:t>in relation to ac</w:t>
      </w:r>
      <w:r w:rsidRPr="00071184">
        <w:t>cess paths.</w:t>
      </w:r>
    </w:p>
    <w:p w14:paraId="55F64FF8" w14:textId="77777777" w:rsidR="00800BEF" w:rsidRDefault="00800BEF">
      <w:pPr>
        <w:spacing w:line="259" w:lineRule="auto"/>
      </w:pPr>
      <w:r>
        <w:br w:type="page"/>
      </w:r>
    </w:p>
    <w:p w14:paraId="7980577C" w14:textId="77777777" w:rsidR="001B4346" w:rsidRDefault="001B4346" w:rsidP="001B4346">
      <w:pPr>
        <w:pStyle w:val="Heading4"/>
      </w:pPr>
      <w:r>
        <w:lastRenderedPageBreak/>
        <w:t>Preferred option</w:t>
      </w:r>
    </w:p>
    <w:p w14:paraId="4BA939C4" w14:textId="02CE6044" w:rsidR="001B4346" w:rsidRDefault="001B4346" w:rsidP="001B4346">
      <w:r>
        <w:t xml:space="preserve">Informed by the outcomes of consultation, stakeholder impacts, cost and outcomes analysis above, the preferred option is the </w:t>
      </w:r>
      <w:r>
        <w:rPr>
          <w:b/>
        </w:rPr>
        <w:t>regulatory optio</w:t>
      </w:r>
      <w:r w:rsidR="000F79C9">
        <w:rPr>
          <w:b/>
        </w:rPr>
        <w:t>n with additional guidance.</w:t>
      </w:r>
    </w:p>
    <w:p w14:paraId="3619E8A6" w14:textId="77777777" w:rsidR="001B4346" w:rsidRDefault="08D050C4" w:rsidP="001B4346">
      <w:r>
        <w:t xml:space="preserve">The installation of resting point allocated spaces at resting points will benefit people who rely on mobility aids, their carers, and their travelling companions and improve the amenity of access paths for all users. </w:t>
      </w:r>
    </w:p>
    <w:p w14:paraId="1AFEF6FB" w14:textId="77777777" w:rsidR="001B4346" w:rsidRDefault="001B4346" w:rsidP="001B4346">
      <w:pPr>
        <w:spacing w:before="120" w:after="120"/>
      </w:pPr>
      <w:r w:rsidRPr="0059731B">
        <w:t xml:space="preserve">Following feedback through the Consultation RIS, </w:t>
      </w:r>
      <w:r>
        <w:t>guidance to accompany the regulatory option has been</w:t>
      </w:r>
      <w:r w:rsidRPr="0059731B">
        <w:t xml:space="preserve"> refined to </w:t>
      </w:r>
      <w:r>
        <w:t>include:</w:t>
      </w:r>
    </w:p>
    <w:p w14:paraId="4255CA62" w14:textId="77777777" w:rsidR="001B4346" w:rsidRDefault="001B4346" w:rsidP="001B4346">
      <w:pPr>
        <w:pStyle w:val="Listparagraphbullets"/>
        <w:spacing w:after="0"/>
      </w:pPr>
      <w:r>
        <w:t>Inclusion of signage or demarcation of allocated spaces on access paths</w:t>
      </w:r>
    </w:p>
    <w:p w14:paraId="2BE9801D" w14:textId="7B9DD51C" w:rsidR="001878D0" w:rsidRDefault="001B4346" w:rsidP="008B3BA2">
      <w:pPr>
        <w:pStyle w:val="Listparagraphbullets"/>
        <w:spacing w:after="0"/>
      </w:pPr>
      <w:r>
        <w:t>Responsibility for implementing requirements of the Transport Standards, including where</w:t>
      </w:r>
      <w:r w:rsidR="001878D0">
        <w:t xml:space="preserve"> </w:t>
      </w:r>
      <w:r>
        <w:t>multiple land owners may be involved in implementation requirements for access paths.</w:t>
      </w:r>
      <w:r w:rsidR="00667C53">
        <w:br/>
      </w:r>
    </w:p>
    <w:p w14:paraId="37E49800" w14:textId="3F6B285A" w:rsidR="001B4346" w:rsidRPr="00814424" w:rsidRDefault="001B4346" w:rsidP="001B4346">
      <w:r>
        <w:t xml:space="preserve">The regulatory option is widely supported by stakeholders. Stakeholder feedback indicates the specifications can be </w:t>
      </w:r>
      <w:r w:rsidRPr="00740A72">
        <w:t xml:space="preserve">easily </w:t>
      </w:r>
      <w:r>
        <w:t>accommodated</w:t>
      </w:r>
      <w:r w:rsidRPr="00740A72">
        <w:t>, provided space is available to adjust the placement of existing seats</w:t>
      </w:r>
      <w:r>
        <w:t xml:space="preserve">. </w:t>
      </w:r>
      <w:r w:rsidRPr="00C20E1E">
        <w:t xml:space="preserve"> </w:t>
      </w:r>
      <w:r>
        <w:t xml:space="preserve">One submission outlined that the cost of providing a footprint for resting points in most allocated spaces in line with the site specifications required (1300 </w:t>
      </w:r>
      <w:r w:rsidR="009134C0" w:rsidRPr="007D162C">
        <w:t>millimetres</w:t>
      </w:r>
      <w:r>
        <w:t xml:space="preserve"> long, 800 </w:t>
      </w:r>
      <w:r w:rsidR="009134C0" w:rsidRPr="007D162C">
        <w:t>millimetres</w:t>
      </w:r>
      <w:r w:rsidR="009134C0">
        <w:t xml:space="preserve"> </w:t>
      </w:r>
      <w:r>
        <w:t xml:space="preserve">wide) is likely to be minimal in existing assets. A challenging site or significant upgrades to existing assets (such as rebuilding an </w:t>
      </w:r>
      <w:r w:rsidR="00541F94">
        <w:t>over bridge</w:t>
      </w:r>
      <w:r>
        <w:t xml:space="preserve">), would incur additional costs. Once constructed there would be little maintenance cost beyond general cleaning and repair as per the surrounding pavement or deck. </w:t>
      </w:r>
    </w:p>
    <w:p w14:paraId="57A80C12" w14:textId="77777777" w:rsidR="001B4346" w:rsidRDefault="001B4346" w:rsidP="001B4346">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64E3E0BC" w14:textId="77777777" w:rsidR="00541F94" w:rsidRDefault="001B4346" w:rsidP="00F66F50">
      <w:pPr>
        <w:rPr>
          <w:rFonts w:ascii="Calibri" w:eastAsia="Calibri" w:hAnsi="Calibri" w:cs="Times New Roman"/>
          <w:color w:val="000000" w:themeColor="text1"/>
        </w:rPr>
      </w:pPr>
      <w:r>
        <w:rPr>
          <w:rFonts w:ascii="Calibri" w:eastAsia="Calibri" w:hAnsi="Calibri" w:cs="Times New Roman"/>
          <w:color w:val="000000"/>
        </w:rPr>
        <w:t xml:space="preserve">Consultation findings indicate that </w:t>
      </w:r>
      <w:r>
        <w:rPr>
          <w:rFonts w:ascii="Calibri" w:hAnsi="Calibri" w:cs="Calibri"/>
          <w:color w:val="000000"/>
          <w:shd w:val="clear" w:color="auto" w:fill="FFFFFF"/>
        </w:rPr>
        <w:t>the requirements are already implemented as standard practice, and where adequate resting points are not installed</w:t>
      </w:r>
      <w:r w:rsidRPr="00071184">
        <w:t>,</w:t>
      </w:r>
      <w:r>
        <w:t xml:space="preserve"> they </w:t>
      </w:r>
      <w:r>
        <w:rPr>
          <w:rFonts w:ascii="Calibri" w:hAnsi="Calibri" w:cs="Calibri"/>
          <w:color w:val="000000"/>
          <w:shd w:val="clear" w:color="auto" w:fill="FFFFFF"/>
        </w:rPr>
        <w:t xml:space="preserve">should be easy to implement </w:t>
      </w:r>
      <w:r w:rsidRPr="00071184">
        <w:t xml:space="preserve">provided space is available to adjust the placement of existing seats. </w:t>
      </w:r>
      <w:r>
        <w:rPr>
          <w:rFonts w:ascii="Calibri" w:hAnsi="Calibri" w:cs="Calibri"/>
          <w:color w:val="000000"/>
          <w:shd w:val="clear" w:color="auto" w:fill="FFFFFF"/>
        </w:rPr>
        <w:t xml:space="preserve">The compliance schedule proposed would allow time to negotiate with third party landowners, where relevant. </w:t>
      </w:r>
      <w:r w:rsidRPr="00071182">
        <w:rPr>
          <w:rFonts w:ascii="Calibri" w:eastAsia="Calibri" w:hAnsi="Calibri" w:cs="Times New Roman"/>
          <w:color w:val="000000"/>
        </w:rPr>
        <w:t>This would address the primary concerns of stakeholders.</w:t>
      </w:r>
    </w:p>
    <w:p w14:paraId="1531701B" w14:textId="77777777" w:rsidR="00541F94" w:rsidRDefault="00541F94" w:rsidP="00541F94">
      <w:r>
        <w:br w:type="page"/>
      </w:r>
    </w:p>
    <w:p w14:paraId="24A66D30" w14:textId="628F8191" w:rsidR="00541F94" w:rsidRDefault="00541F94" w:rsidP="00667C53">
      <w:pPr>
        <w:pStyle w:val="Heading2"/>
        <w:numPr>
          <w:ilvl w:val="0"/>
          <w:numId w:val="27"/>
        </w:numPr>
        <w:ind w:hanging="720"/>
      </w:pPr>
      <w:bookmarkStart w:id="422" w:name="_Toc127351778"/>
      <w:bookmarkStart w:id="423" w:name="_Toc140239736"/>
      <w:r w:rsidRPr="002F0A32">
        <w:lastRenderedPageBreak/>
        <w:t>Requirement</w:t>
      </w:r>
      <w:r>
        <w:t>s</w:t>
      </w:r>
      <w:r w:rsidRPr="002F0A32">
        <w:t xml:space="preserve"> for handrails in over bridges and subways</w:t>
      </w:r>
      <w:bookmarkEnd w:id="422"/>
      <w:bookmarkEnd w:id="423"/>
    </w:p>
    <w:p w14:paraId="1FB798D1" w14:textId="77777777" w:rsidR="00541F94" w:rsidRDefault="00541F94" w:rsidP="00541F94">
      <w:pPr>
        <w:pStyle w:val="Heading4"/>
      </w:pPr>
      <w:r>
        <w:t>Issue</w:t>
      </w:r>
    </w:p>
    <w:p w14:paraId="616E3D40" w14:textId="77777777" w:rsidR="00541F94" w:rsidRPr="00C3012D" w:rsidRDefault="00541F94" w:rsidP="00541F94">
      <w:r w:rsidRPr="00C96A88">
        <w:t xml:space="preserve">The Transport Standards </w:t>
      </w:r>
      <w:r w:rsidRPr="00C3012D">
        <w:t>provide that h</w:t>
      </w:r>
      <w:r w:rsidRPr="00C96A88">
        <w:t>andrails</w:t>
      </w:r>
      <w:r w:rsidRPr="00C3012D">
        <w:t xml:space="preserve"> </w:t>
      </w:r>
      <w:r>
        <w:t>must</w:t>
      </w:r>
      <w:r w:rsidRPr="00C96A88">
        <w:t xml:space="preserve"> be provided along access paths 'wherever passengers are likely to require additional support or passive guidance'</w:t>
      </w:r>
      <w:r>
        <w:t xml:space="preserve">. No guidance is available on where handrails may be required. While this provides flexibility to operators and providers (including designers), the </w:t>
      </w:r>
      <w:r w:rsidRPr="00C3012D">
        <w:t xml:space="preserve">lack </w:t>
      </w:r>
      <w:r>
        <w:t xml:space="preserve">of </w:t>
      </w:r>
      <w:r w:rsidRPr="00C3012D">
        <w:t>clarity</w:t>
      </w:r>
      <w:r>
        <w:t xml:space="preserve"> </w:t>
      </w:r>
      <w:r w:rsidRPr="00C3012D">
        <w:t xml:space="preserve">means that many over bridges and subways do not have continuous handrails. This creates a barrier to using public transport for people who use handrails for wayfinding support. </w:t>
      </w:r>
    </w:p>
    <w:p w14:paraId="5D30AA59" w14:textId="77777777" w:rsidR="00541F94" w:rsidRDefault="00541F94" w:rsidP="00541F94">
      <w:pPr>
        <w:tabs>
          <w:tab w:val="left" w:pos="284"/>
        </w:tabs>
      </w:pPr>
      <w:r>
        <w:t xml:space="preserve">Collective government action would improve wayfinding supports for people who use handrails and </w:t>
      </w:r>
      <w:r w:rsidRPr="00F315AE">
        <w:t>address key stakeholder issues raised through the Transport Standards review process.</w:t>
      </w:r>
    </w:p>
    <w:p w14:paraId="2F03F9F7" w14:textId="77777777" w:rsidR="00541F94" w:rsidRDefault="00541F94" w:rsidP="00541F94">
      <w:pPr>
        <w:pStyle w:val="Heading4"/>
      </w:pPr>
      <w:r>
        <w:t>Reform options</w:t>
      </w:r>
    </w:p>
    <w:p w14:paraId="46994635" w14:textId="77777777" w:rsidR="00541F94" w:rsidRDefault="00541F94" w:rsidP="00541F94">
      <w:pPr>
        <w:tabs>
          <w:tab w:val="left" w:pos="284"/>
        </w:tabs>
      </w:pPr>
      <w:r>
        <w:t>Following is a summary of the proposed options for this reform. Full details of each reform option is provided at Appendix A.</w:t>
      </w:r>
    </w:p>
    <w:p w14:paraId="0127320E" w14:textId="6B072DCE" w:rsidR="00541F94" w:rsidRDefault="00541F94" w:rsidP="00541F94">
      <w:pPr>
        <w:pStyle w:val="Tablefigureheading"/>
      </w:pPr>
      <w:bookmarkStart w:id="424" w:name="_Toc122446396"/>
      <w:bookmarkStart w:id="425" w:name="_Toc139969236"/>
      <w:r>
        <w:t xml:space="preserve">Table </w:t>
      </w:r>
      <w:fldSimple w:instr=" SEQ Table \* ARABIC ">
        <w:r w:rsidR="00DC26AC">
          <w:rPr>
            <w:noProof/>
          </w:rPr>
          <w:t>78</w:t>
        </w:r>
      </w:fldSimple>
      <w:r>
        <w:rPr>
          <w:noProof/>
        </w:rPr>
        <w:t>:</w:t>
      </w:r>
      <w:r>
        <w:t xml:space="preserve"> Reform options for requirements for handrails in overbridges and subways</w:t>
      </w:r>
      <w:bookmarkEnd w:id="424"/>
      <w:bookmarkEnd w:id="425"/>
    </w:p>
    <w:tbl>
      <w:tblPr>
        <w:tblStyle w:val="DefaultTable1"/>
        <w:tblW w:w="9072" w:type="dxa"/>
        <w:tblLook w:val="04A0" w:firstRow="1" w:lastRow="0" w:firstColumn="1" w:lastColumn="0" w:noHBand="0" w:noVBand="1"/>
        <w:tblCaption w:val="Reform options for requirement for handrails in overbridges and subways"/>
        <w:tblDescription w:val="This table provides a description of each of the options for this reform area. Status quo, non-regulatory and regulatory."/>
      </w:tblPr>
      <w:tblGrid>
        <w:gridCol w:w="2232"/>
        <w:gridCol w:w="6840"/>
      </w:tblGrid>
      <w:tr w:rsidR="00541F94" w:rsidRPr="003964B8" w14:paraId="794EB17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7B7EB8C" w14:textId="77777777" w:rsidR="00541F94" w:rsidRPr="003964B8" w:rsidRDefault="00541F94" w:rsidP="00541F94">
            <w:r>
              <w:t>Option</w:t>
            </w:r>
          </w:p>
        </w:tc>
        <w:tc>
          <w:tcPr>
            <w:tcW w:w="6840" w:type="dxa"/>
          </w:tcPr>
          <w:p w14:paraId="45D436FF" w14:textId="77777777" w:rsidR="00541F94" w:rsidRPr="003964B8" w:rsidRDefault="00541F94" w:rsidP="00541F94">
            <w:pPr>
              <w:cnfStyle w:val="100000000000" w:firstRow="1" w:lastRow="0" w:firstColumn="0" w:lastColumn="0" w:oddVBand="0" w:evenVBand="0" w:oddHBand="0" w:evenHBand="0" w:firstRowFirstColumn="0" w:firstRowLastColumn="0" w:lastRowFirstColumn="0" w:lastRowLastColumn="0"/>
            </w:pPr>
            <w:r>
              <w:t>Description</w:t>
            </w:r>
          </w:p>
        </w:tc>
      </w:tr>
      <w:tr w:rsidR="00541F94" w:rsidRPr="003964B8" w14:paraId="33B250F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AFB4AD1" w14:textId="77777777" w:rsidR="00541F94" w:rsidRPr="00653914" w:rsidRDefault="00541F94" w:rsidP="00541F94">
            <w:r w:rsidRPr="00653914">
              <w:t>Status Quo</w:t>
            </w:r>
          </w:p>
        </w:tc>
        <w:tc>
          <w:tcPr>
            <w:tcW w:w="6840" w:type="dxa"/>
          </w:tcPr>
          <w:p w14:paraId="75722870"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provide requirements on where </w:t>
            </w:r>
            <w:r w:rsidRPr="00A6470A">
              <w:t xml:space="preserve">handrails in over bridges and subways </w:t>
            </w:r>
            <w:r>
              <w:t>are required.</w:t>
            </w:r>
          </w:p>
          <w:p w14:paraId="37863BD6" w14:textId="77777777" w:rsidR="00541F94" w:rsidRPr="004633BA" w:rsidRDefault="00541F94" w:rsidP="00541F94">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541F94" w:rsidRPr="003964B8" w14:paraId="2E144E8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AD9E85A" w14:textId="77777777" w:rsidR="00541F94" w:rsidRPr="00653914" w:rsidRDefault="00541F94" w:rsidP="00541F94">
            <w:r>
              <w:t xml:space="preserve">Non-regulatory </w:t>
            </w:r>
          </w:p>
        </w:tc>
        <w:tc>
          <w:tcPr>
            <w:tcW w:w="6840" w:type="dxa"/>
          </w:tcPr>
          <w:p w14:paraId="74B3BADB" w14:textId="77777777" w:rsidR="00541F94" w:rsidRPr="00095AEA" w:rsidRDefault="00541F94" w:rsidP="00541F94">
            <w:pPr>
              <w:cnfStyle w:val="000000000000" w:firstRow="0" w:lastRow="0" w:firstColumn="0" w:lastColumn="0" w:oddVBand="0" w:evenVBand="0" w:oddHBand="0" w:evenHBand="0" w:firstRowFirstColumn="0" w:firstRowLastColumn="0" w:lastRowFirstColumn="0" w:lastRowLastColumn="0"/>
            </w:pPr>
            <w:r>
              <w:t>Guidance would be developed to encourage the provision of continuous handrails on both sides of an over bridge and subway, broken only at entry and exit points.</w:t>
            </w:r>
          </w:p>
        </w:tc>
      </w:tr>
      <w:tr w:rsidR="00541F94" w:rsidRPr="003964B8" w14:paraId="0E91602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C16861C" w14:textId="77777777" w:rsidR="00541F94" w:rsidRPr="00653914" w:rsidRDefault="00541F94" w:rsidP="00541F94">
            <w:r w:rsidRPr="00653914">
              <w:t>Regulatory</w:t>
            </w:r>
          </w:p>
        </w:tc>
        <w:tc>
          <w:tcPr>
            <w:tcW w:w="6840" w:type="dxa"/>
          </w:tcPr>
          <w:p w14:paraId="6723C8EB"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The Transport Standards would be amended to include requirements for the provision of continuous handrails in over bridges and subways, including that handrails:</w:t>
            </w:r>
          </w:p>
          <w:p w14:paraId="62DFDD06"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must be installed on both sides</w:t>
            </w:r>
          </w:p>
          <w:p w14:paraId="412F2079"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may be broken at any entry or exit points such as stairs, walkway and ramp entry points, lift doors</w:t>
            </w:r>
          </w:p>
          <w:p w14:paraId="47FD8E02" w14:textId="77777777" w:rsidR="00541F94" w:rsidRPr="00541F94" w:rsidRDefault="00541F94" w:rsidP="00541F9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169A030C">
              <w:rPr>
                <w:rFonts w:asciiTheme="minorHAnsi" w:hAnsiTheme="minorHAnsi"/>
              </w:rPr>
              <w:t>may be broken at facilities and fixtures such as fare gates, service counters or toilet doors.</w:t>
            </w:r>
          </w:p>
          <w:p w14:paraId="653DCA93" w14:textId="77777777" w:rsidR="00541F94" w:rsidRPr="001509F0" w:rsidRDefault="00541F94" w:rsidP="00541F94">
            <w:pPr>
              <w:cnfStyle w:val="000000100000" w:firstRow="0" w:lastRow="0" w:firstColumn="0" w:lastColumn="0" w:oddVBand="0" w:evenVBand="0" w:oddHBand="1" w:evenHBand="0" w:firstRowFirstColumn="0" w:firstRowLastColumn="0" w:lastRowFirstColumn="0" w:lastRowLastColumn="0"/>
            </w:pPr>
            <w:r w:rsidRPr="169A030C">
              <w:t>Guidance would be provided to reflect any new requirements.</w:t>
            </w:r>
          </w:p>
        </w:tc>
      </w:tr>
    </w:tbl>
    <w:p w14:paraId="7A230146" w14:textId="77777777" w:rsidR="009B2DD4" w:rsidRDefault="009B2DD4" w:rsidP="009B2DD4"/>
    <w:p w14:paraId="2BF4C85A" w14:textId="77777777" w:rsidR="00541F94" w:rsidRDefault="00541F94" w:rsidP="00541F94">
      <w:pPr>
        <w:pStyle w:val="Heading4"/>
        <w:tabs>
          <w:tab w:val="left" w:pos="284"/>
        </w:tabs>
      </w:pPr>
      <w:r>
        <w:t>Cost benefit analysis</w:t>
      </w:r>
    </w:p>
    <w:p w14:paraId="68B6EA27" w14:textId="77777777" w:rsidR="00541F94" w:rsidRPr="00541F94" w:rsidRDefault="00541F94"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Quantitative assessment </w:t>
      </w:r>
    </w:p>
    <w:p w14:paraId="4C41C29E" w14:textId="77777777" w:rsidR="00F26EC2" w:rsidRDefault="00541F94" w:rsidP="00541F94">
      <w:r>
        <w:t xml:space="preserve">The following categories of quantitative costs and benefits were identified in the CBA as pertaining to the reform options. </w:t>
      </w:r>
    </w:p>
    <w:p w14:paraId="49EC7702" w14:textId="77777777" w:rsidR="00F26EC2" w:rsidRDefault="00F26EC2">
      <w:pPr>
        <w:spacing w:line="259" w:lineRule="auto"/>
      </w:pPr>
      <w:r>
        <w:br w:type="page"/>
      </w:r>
    </w:p>
    <w:p w14:paraId="53B492C8" w14:textId="77777777" w:rsidR="00541F94" w:rsidRPr="00595D2C" w:rsidRDefault="00541F94" w:rsidP="00541F94"/>
    <w:p w14:paraId="11D4092F" w14:textId="6AF271B2" w:rsidR="00541F94" w:rsidRDefault="00541F94" w:rsidP="00541F94">
      <w:pPr>
        <w:pStyle w:val="Tablefigureheading"/>
      </w:pPr>
      <w:bookmarkStart w:id="426" w:name="_Toc122446397"/>
      <w:bookmarkStart w:id="427" w:name="_Toc139969237"/>
      <w:r>
        <w:t xml:space="preserve">Table </w:t>
      </w:r>
      <w:fldSimple w:instr=" SEQ Table \* ARABIC ">
        <w:r w:rsidR="00DC26AC">
          <w:rPr>
            <w:noProof/>
          </w:rPr>
          <w:t>79</w:t>
        </w:r>
      </w:fldSimple>
      <w:r>
        <w:t>: Benefit-cost ratios for requirements for handrails in overbridges and subways</w:t>
      </w:r>
      <w:bookmarkEnd w:id="426"/>
      <w:bookmarkEnd w:id="427"/>
    </w:p>
    <w:tbl>
      <w:tblPr>
        <w:tblStyle w:val="DefaultTable1"/>
        <w:tblW w:w="9864" w:type="dxa"/>
        <w:tblLook w:val="04A0" w:firstRow="1" w:lastRow="0" w:firstColumn="1" w:lastColumn="0" w:noHBand="0" w:noVBand="1"/>
        <w:tblCaption w:val="Benefit-cost ratios for requirements for handrails in overbridges and subways"/>
        <w:tblDescription w:val="This table provides the monetised benefits and costs for each of the options for this reform area."/>
      </w:tblPr>
      <w:tblGrid>
        <w:gridCol w:w="2410"/>
        <w:gridCol w:w="1418"/>
        <w:gridCol w:w="1701"/>
        <w:gridCol w:w="1701"/>
        <w:gridCol w:w="1559"/>
        <w:gridCol w:w="1075"/>
      </w:tblGrid>
      <w:tr w:rsidR="00541F94" w:rsidRPr="003964B8" w14:paraId="34B3B44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0E710520" w14:textId="77777777" w:rsidR="00541F94" w:rsidRPr="007A751F" w:rsidRDefault="08D050C4" w:rsidP="00541F94">
            <w:r w:rsidRPr="08D050C4">
              <w:t>Reform Option</w:t>
            </w:r>
          </w:p>
        </w:tc>
        <w:tc>
          <w:tcPr>
            <w:tcW w:w="1418" w:type="dxa"/>
          </w:tcPr>
          <w:p w14:paraId="20DE672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F291F4A"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37A2099D"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5E579A8F"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61D14793"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BCR</w:t>
            </w:r>
          </w:p>
        </w:tc>
      </w:tr>
      <w:tr w:rsidR="00541F94" w:rsidRPr="00B04D0E" w14:paraId="67EE8B0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172A5B" w14:textId="77777777" w:rsidR="00541F94" w:rsidRPr="00653914" w:rsidRDefault="00541F94" w:rsidP="00541F94">
            <w:r w:rsidRPr="00653914">
              <w:t>Status Quo</w:t>
            </w:r>
          </w:p>
        </w:tc>
        <w:tc>
          <w:tcPr>
            <w:tcW w:w="1418" w:type="dxa"/>
          </w:tcPr>
          <w:p w14:paraId="2CC0D1D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7C3F8E81"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2D4AE3CD"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2D11E98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23394A92"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1F94" w:rsidRPr="00B04D0E" w14:paraId="33D9B72A"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45591431" w14:textId="77777777" w:rsidR="00541F94" w:rsidRPr="00653914" w:rsidRDefault="00541F94" w:rsidP="00541F94">
            <w:r>
              <w:t xml:space="preserve">Non-regulatory </w:t>
            </w:r>
          </w:p>
        </w:tc>
        <w:tc>
          <w:tcPr>
            <w:tcW w:w="1418" w:type="dxa"/>
            <w:vAlign w:val="center"/>
          </w:tcPr>
          <w:p w14:paraId="0568648F"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2.5</w:t>
            </w:r>
          </w:p>
        </w:tc>
        <w:tc>
          <w:tcPr>
            <w:tcW w:w="1701" w:type="dxa"/>
          </w:tcPr>
          <w:p w14:paraId="10E683BD"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7658AF91"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1.0</w:t>
            </w:r>
          </w:p>
        </w:tc>
        <w:tc>
          <w:tcPr>
            <w:tcW w:w="1559" w:type="dxa"/>
            <w:vAlign w:val="center"/>
          </w:tcPr>
          <w:p w14:paraId="43543993" w14:textId="2FC2DAA1"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1.0</w:t>
            </w:r>
            <w:r w:rsidRPr="08D050C4">
              <w:rPr>
                <w:sz w:val="18"/>
                <w:szCs w:val="18"/>
                <w:vertAlign w:val="superscript"/>
              </w:rPr>
              <w:t xml:space="preserve"> i</w:t>
            </w:r>
          </w:p>
        </w:tc>
        <w:tc>
          <w:tcPr>
            <w:tcW w:w="1075" w:type="dxa"/>
            <w:vAlign w:val="center"/>
          </w:tcPr>
          <w:p w14:paraId="11318576"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pPr>
            <w:r w:rsidRPr="08D050C4">
              <w:t>2.42</w:t>
            </w:r>
          </w:p>
        </w:tc>
      </w:tr>
      <w:tr w:rsidR="00541F94" w:rsidRPr="00B04D0E" w14:paraId="01437EB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254A20C" w14:textId="77777777" w:rsidR="00541F94" w:rsidRPr="00653914" w:rsidRDefault="00541F94" w:rsidP="00541F94">
            <w:r>
              <w:t>Regulatory</w:t>
            </w:r>
          </w:p>
        </w:tc>
        <w:tc>
          <w:tcPr>
            <w:tcW w:w="1418" w:type="dxa"/>
            <w:vAlign w:val="center"/>
          </w:tcPr>
          <w:p w14:paraId="43D96D64"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3.5</w:t>
            </w:r>
          </w:p>
        </w:tc>
        <w:tc>
          <w:tcPr>
            <w:tcW w:w="1701" w:type="dxa"/>
          </w:tcPr>
          <w:p w14:paraId="074676AA"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3543095C"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1.5</w:t>
            </w:r>
          </w:p>
        </w:tc>
        <w:tc>
          <w:tcPr>
            <w:tcW w:w="1559" w:type="dxa"/>
            <w:vAlign w:val="center"/>
          </w:tcPr>
          <w:p w14:paraId="67CAF1B3"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1.5</w:t>
            </w:r>
          </w:p>
        </w:tc>
        <w:tc>
          <w:tcPr>
            <w:tcW w:w="1075" w:type="dxa"/>
            <w:vAlign w:val="center"/>
          </w:tcPr>
          <w:p w14:paraId="6FA753B7"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pPr>
            <w:r w:rsidRPr="08D050C4">
              <w:t>2.24</w:t>
            </w:r>
          </w:p>
        </w:tc>
      </w:tr>
    </w:tbl>
    <w:p w14:paraId="15609689" w14:textId="77777777" w:rsidR="00541F94" w:rsidRPr="00541F94" w:rsidRDefault="00541F94" w:rsidP="00541F94">
      <w:pPr>
        <w:spacing w:before="120" w:after="0"/>
        <w:rPr>
          <w:sz w:val="18"/>
          <w:szCs w:val="18"/>
        </w:rPr>
      </w:pPr>
      <w:r w:rsidRPr="00541F94">
        <w:rPr>
          <w:sz w:val="18"/>
          <w:szCs w:val="18"/>
          <w:vertAlign w:val="superscript"/>
        </w:rPr>
        <w:t>*</w:t>
      </w:r>
      <w:r w:rsidRPr="00541F94">
        <w:rPr>
          <w:sz w:val="18"/>
          <w:szCs w:val="18"/>
        </w:rPr>
        <w:t>$M, 2022/23, real, discounted at 7% over a 15-year appraisal period after implementation of all reforms, assessed incrementally</w:t>
      </w:r>
    </w:p>
    <w:p w14:paraId="357BC2C3" w14:textId="77777777" w:rsidR="00541F94" w:rsidRPr="00541F9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67EB92A2" w14:textId="77777777" w:rsidR="00541F94" w:rsidRDefault="00541F94" w:rsidP="00541F94"/>
    <w:p w14:paraId="536546A3" w14:textId="77777777" w:rsidR="00541F94" w:rsidRDefault="00541F94" w:rsidP="00541F94">
      <w:pPr>
        <w:pStyle w:val="Heading6"/>
      </w:pPr>
      <w:r>
        <w:t>Considerations to note in interpreting analysis</w:t>
      </w:r>
    </w:p>
    <w:p w14:paraId="6F53C9BB" w14:textId="77777777" w:rsidR="00541F94" w:rsidRDefault="00541F94" w:rsidP="00541F94">
      <w:pPr>
        <w:pStyle w:val="Heading7"/>
      </w:pPr>
      <w:r w:rsidRPr="008F2C5A">
        <w:t>Limitations</w:t>
      </w:r>
    </w:p>
    <w:p w14:paraId="7C6F080F" w14:textId="77777777" w:rsidR="00541F94" w:rsidRDefault="00541F94" w:rsidP="00541F94">
      <w:pPr>
        <w:pStyle w:val="Heading8"/>
      </w:pPr>
      <w:r>
        <w:t>Non-regulatory</w:t>
      </w:r>
    </w:p>
    <w:p w14:paraId="4A9534D7" w14:textId="0D981922" w:rsidR="00541F94" w:rsidRDefault="00541F94" w:rsidP="00541F94">
      <w:r w:rsidRPr="0084425D">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was applied to the non-regulatory option based on the low complexity of installing handrails along these routes. Submissions indicated this guidance may be adopted into operators and provider requirements. </w:t>
      </w:r>
      <w:r w:rsidRPr="0084425D">
        <w:t>This implies that the benefits and costs quantified for this non-regulatory reform may not reflect future take-up of the reform.</w:t>
      </w:r>
    </w:p>
    <w:p w14:paraId="5918ECA7" w14:textId="77777777" w:rsidR="00541F94" w:rsidRDefault="00541F94" w:rsidP="00541F94">
      <w:pPr>
        <w:pStyle w:val="Heading8"/>
      </w:pPr>
      <w:r>
        <w:t>Regulatory option</w:t>
      </w:r>
    </w:p>
    <w:p w14:paraId="2C3BA6A0" w14:textId="77777777" w:rsidR="00541F94" w:rsidRPr="0084425D" w:rsidRDefault="00541F94" w:rsidP="00541F94">
      <w:r w:rsidRPr="0084425D">
        <w:t xml:space="preserve">The benefits and costs for this reform are based on limited survey responses and costs estimated by RLB, which do not reflect variation in construction or delivery costs incurred at different sites. </w:t>
      </w:r>
    </w:p>
    <w:p w14:paraId="07740771" w14:textId="77777777" w:rsidR="00541F94" w:rsidRDefault="00541F94" w:rsidP="00541F94">
      <w:r w:rsidRPr="0084425D">
        <w:t>Installation of handrails can provide safety benefits for all public transport users.</w:t>
      </w:r>
    </w:p>
    <w:p w14:paraId="094E4030" w14:textId="77777777" w:rsidR="00541F94" w:rsidRDefault="00541F94" w:rsidP="00541F94">
      <w:pPr>
        <w:pStyle w:val="Heading7"/>
      </w:pPr>
      <w:r w:rsidRPr="00F87E76">
        <w:t>Interdependencies</w:t>
      </w:r>
    </w:p>
    <w:p w14:paraId="1A012584" w14:textId="77777777" w:rsidR="00541F94" w:rsidRPr="00F87E76" w:rsidRDefault="08D050C4" w:rsidP="00541F94">
      <w:r>
        <w:t>The accessibility benefits of this reform will only be realised if there was equitable access across the whole public transport journey, with benefits reliant on implementation of other reforms such as grabrails in allocated spaces.</w:t>
      </w:r>
    </w:p>
    <w:p w14:paraId="3908F5A5" w14:textId="77777777" w:rsidR="00541F94" w:rsidRPr="00541F94" w:rsidRDefault="00541F94" w:rsidP="00541F94">
      <w:pPr>
        <w:pStyle w:val="Heading5"/>
        <w:keepLines/>
        <w:spacing w:before="240"/>
        <w:rPr>
          <w:rFonts w:asciiTheme="majorHAnsi" w:eastAsiaTheme="majorEastAsia" w:hAnsiTheme="majorHAnsi" w:cstheme="majorBidi"/>
          <w:color w:val="44546A" w:themeColor="text2"/>
          <w:sz w:val="22"/>
          <w:szCs w:val="22"/>
          <w:lang w:val="en-AU"/>
        </w:rPr>
      </w:pPr>
      <w:r w:rsidRPr="00541F94">
        <w:rPr>
          <w:rFonts w:asciiTheme="majorHAnsi" w:eastAsiaTheme="majorEastAsia" w:hAnsiTheme="majorHAnsi" w:cstheme="majorBidi"/>
          <w:color w:val="44546A" w:themeColor="text2"/>
          <w:kern w:val="0"/>
          <w:sz w:val="22"/>
          <w:szCs w:val="22"/>
          <w:lang w:val="en-AU"/>
        </w:rPr>
        <w:t xml:space="preserve">Qualitative assessment </w:t>
      </w:r>
    </w:p>
    <w:p w14:paraId="27C499BA" w14:textId="77777777" w:rsidR="00541F94" w:rsidRDefault="00541F94" w:rsidP="00541F94">
      <w:r>
        <w:t>The following categories of qualitative benefits were identified in the CBA as pertaining to the reform options.</w:t>
      </w:r>
    </w:p>
    <w:p w14:paraId="0BC510E4" w14:textId="4969D456" w:rsidR="00541F94" w:rsidRDefault="00541F94" w:rsidP="00541F94">
      <w:pPr>
        <w:pStyle w:val="Tablefigureheading"/>
      </w:pPr>
      <w:bookmarkStart w:id="428" w:name="_Toc122446398"/>
      <w:bookmarkStart w:id="429" w:name="_Toc139969238"/>
      <w:r>
        <w:t xml:space="preserve">Table </w:t>
      </w:r>
      <w:fldSimple w:instr=" SEQ Table \* ARABIC ">
        <w:r w:rsidR="00DC26AC">
          <w:rPr>
            <w:noProof/>
          </w:rPr>
          <w:t>80</w:t>
        </w:r>
      </w:fldSimple>
      <w:r>
        <w:rPr>
          <w:noProof/>
        </w:rPr>
        <w:t>:</w:t>
      </w:r>
      <w:r w:rsidRPr="00EE3F5F">
        <w:rPr>
          <w:noProof/>
        </w:rPr>
        <w:t xml:space="preserve"> </w:t>
      </w:r>
      <w:r>
        <w:t>Qualitative benefits for requirements for handrails in overbridges and subways</w:t>
      </w:r>
      <w:bookmarkEnd w:id="428"/>
      <w:bookmarkEnd w:id="429"/>
    </w:p>
    <w:tbl>
      <w:tblPr>
        <w:tblStyle w:val="DefaultTable1"/>
        <w:tblW w:w="9864" w:type="dxa"/>
        <w:tblLook w:val="04A0" w:firstRow="1" w:lastRow="0" w:firstColumn="1" w:lastColumn="0" w:noHBand="0" w:noVBand="1"/>
        <w:tblCaption w:val="Qualitative benefits for requirements for handrails in overbridges and subways"/>
      </w:tblPr>
      <w:tblGrid>
        <w:gridCol w:w="1213"/>
        <w:gridCol w:w="1343"/>
        <w:gridCol w:w="1626"/>
        <w:gridCol w:w="1300"/>
        <w:gridCol w:w="1278"/>
        <w:gridCol w:w="1641"/>
        <w:gridCol w:w="1463"/>
      </w:tblGrid>
      <w:tr w:rsidR="00541F94" w:rsidRPr="007A751F" w14:paraId="20D2233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225C456" w14:textId="77777777" w:rsidR="00541F94" w:rsidRPr="007A751F" w:rsidRDefault="08D050C4" w:rsidP="00541F94">
            <w:r w:rsidRPr="08D050C4">
              <w:t>Reform Option</w:t>
            </w:r>
          </w:p>
        </w:tc>
        <w:tc>
          <w:tcPr>
            <w:tcW w:w="1343" w:type="dxa"/>
          </w:tcPr>
          <w:p w14:paraId="1DE9D1FD"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E2999F9"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D04AEB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07B054DE"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2B471B6" w14:textId="77777777" w:rsidR="00541F94" w:rsidRPr="007A751F" w:rsidRDefault="08D050C4" w:rsidP="00541F9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2F7B1B46" w14:textId="77777777" w:rsidR="00541F94" w:rsidRDefault="08D050C4" w:rsidP="00541F9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541F94" w:rsidRPr="00B04D0E" w14:paraId="2B3C177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9D1C0B" w14:textId="77777777" w:rsidR="00541F94" w:rsidRPr="00653914" w:rsidRDefault="00541F94" w:rsidP="00541F94">
            <w:r w:rsidRPr="00653914">
              <w:t>Status Quo</w:t>
            </w:r>
          </w:p>
        </w:tc>
        <w:tc>
          <w:tcPr>
            <w:tcW w:w="1343" w:type="dxa"/>
          </w:tcPr>
          <w:p w14:paraId="7E499487"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67D40AA2"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4CA8D1FA"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038C3798"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53D788B"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2463A6D"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1F94" w:rsidRPr="00B04D0E" w14:paraId="7ADFBD13"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B5D7FC8" w14:textId="77777777" w:rsidR="00541F94" w:rsidRPr="00653914" w:rsidRDefault="00541F94" w:rsidP="00541F94">
            <w:r>
              <w:t xml:space="preserve">Non-regulatory </w:t>
            </w:r>
          </w:p>
        </w:tc>
        <w:tc>
          <w:tcPr>
            <w:tcW w:w="1343" w:type="dxa"/>
          </w:tcPr>
          <w:p w14:paraId="0CFBFB0B"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39DA913D"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1102AC80" w14:textId="77777777" w:rsidR="00541F94" w:rsidRPr="00541F9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EA06E16" w14:textId="77777777" w:rsidR="00541F94"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5BAC15B0" w14:textId="77777777" w:rsidR="00541F94" w:rsidRPr="00B04D0E" w:rsidRDefault="00541F94" w:rsidP="00541F9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73C8D6A7" w14:textId="77777777" w:rsidR="00541F94" w:rsidRPr="00B04D0E" w:rsidRDefault="00541F94" w:rsidP="00541F94">
            <w:pPr>
              <w:cnfStyle w:val="000000000000" w:firstRow="0" w:lastRow="0" w:firstColumn="0" w:lastColumn="0" w:oddVBand="0" w:evenVBand="0" w:oddHBand="0" w:evenHBand="0" w:firstRowFirstColumn="0" w:firstRowLastColumn="0" w:lastRowFirstColumn="0" w:lastRowLastColumn="0"/>
            </w:pPr>
            <w:r>
              <w:t>Yes</w:t>
            </w:r>
          </w:p>
        </w:tc>
      </w:tr>
      <w:tr w:rsidR="00541F94" w:rsidRPr="00B04D0E" w14:paraId="24D9C8E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657E35" w14:textId="77777777" w:rsidR="00541F94" w:rsidRPr="00653914" w:rsidRDefault="00541F94" w:rsidP="00541F94">
            <w:r>
              <w:t>Regulatory</w:t>
            </w:r>
          </w:p>
        </w:tc>
        <w:tc>
          <w:tcPr>
            <w:tcW w:w="1343" w:type="dxa"/>
          </w:tcPr>
          <w:p w14:paraId="74A79E47"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D7000B4"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2CD7DD6C" w14:textId="77777777" w:rsidR="00541F94" w:rsidRPr="00541F9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0563E84" w14:textId="77777777" w:rsidR="00541F94"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37A93654" w14:textId="77777777" w:rsidR="00541F94" w:rsidRPr="00B04D0E" w:rsidRDefault="00541F94" w:rsidP="00541F9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1960F67" w14:textId="77777777" w:rsidR="00541F94" w:rsidRPr="00B04D0E" w:rsidRDefault="00541F94" w:rsidP="00541F94">
            <w:pPr>
              <w:cnfStyle w:val="000000100000" w:firstRow="0" w:lastRow="0" w:firstColumn="0" w:lastColumn="0" w:oddVBand="0" w:evenVBand="0" w:oddHBand="1" w:evenHBand="0" w:firstRowFirstColumn="0" w:firstRowLastColumn="0" w:lastRowFirstColumn="0" w:lastRowLastColumn="0"/>
            </w:pPr>
            <w:r>
              <w:t>Yes</w:t>
            </w:r>
          </w:p>
        </w:tc>
      </w:tr>
    </w:tbl>
    <w:p w14:paraId="51FDCBCB" w14:textId="77777777" w:rsidR="00541F94" w:rsidRDefault="00541F94" w:rsidP="00541F94"/>
    <w:p w14:paraId="107FFE38" w14:textId="77777777" w:rsidR="00541F94" w:rsidRPr="004C16F7" w:rsidRDefault="00541F94" w:rsidP="00541F94">
      <w:pPr>
        <w:pStyle w:val="Heading4"/>
        <w:tabs>
          <w:tab w:val="left" w:pos="284"/>
        </w:tabs>
      </w:pPr>
      <w:r>
        <w:lastRenderedPageBreak/>
        <w:t xml:space="preserve">Analysis of submissions </w:t>
      </w:r>
    </w:p>
    <w:p w14:paraId="19486B29" w14:textId="77777777" w:rsidR="00541F94" w:rsidRPr="00541F94" w:rsidRDefault="00541F94" w:rsidP="00541F94">
      <w:pPr>
        <w:pStyle w:val="Heading5"/>
      </w:pPr>
      <w:r w:rsidRPr="0054328A">
        <w:t>Status quo</w:t>
      </w:r>
    </w:p>
    <w:p w14:paraId="0A43BBF2" w14:textId="77777777" w:rsidR="00541F94" w:rsidRDefault="00541F94" w:rsidP="00541F94">
      <w:r>
        <w:t xml:space="preserve">The Transport Standards require handrails along access paths ‘wherever passengers are likely to require additional support or passive guidance’.  There are no further requirements or guidance regarding suitable locations for handrails. Under the status quo option, there will continue to be limited specifications or guidance as to where handrails must be provided. </w:t>
      </w:r>
    </w:p>
    <w:p w14:paraId="638DE14B" w14:textId="77777777" w:rsidR="00541F94" w:rsidRPr="00D60169" w:rsidRDefault="00541F94" w:rsidP="00541F94">
      <w:r w:rsidRPr="002A7AC6">
        <w:t xml:space="preserve">People who </w:t>
      </w:r>
      <w:r>
        <w:t>are blind or have low vision</w:t>
      </w:r>
      <w:r w:rsidRPr="002A7AC6">
        <w:t xml:space="preserve"> use handrails </w:t>
      </w:r>
      <w:r>
        <w:t xml:space="preserve">for wayfinding support </w:t>
      </w:r>
      <w:r w:rsidRPr="002A7AC6">
        <w:t xml:space="preserve">to locate stairs, ramps, lifts and tactile signs. </w:t>
      </w:r>
      <w:r>
        <w:t>Handrails also support p</w:t>
      </w:r>
      <w:r w:rsidRPr="002A7AC6">
        <w:t xml:space="preserve">eople who </w:t>
      </w:r>
      <w:r>
        <w:t xml:space="preserve">may have limited mobility or are </w:t>
      </w:r>
      <w:r w:rsidRPr="002A7AC6">
        <w:t>unsteady</w:t>
      </w:r>
      <w:r>
        <w:t xml:space="preserve">, </w:t>
      </w:r>
      <w:r w:rsidRPr="002A7AC6">
        <w:t xml:space="preserve">particularly at busy times </w:t>
      </w:r>
      <w:r>
        <w:t xml:space="preserve">where they may be </w:t>
      </w:r>
      <w:r w:rsidRPr="002A7AC6">
        <w:t xml:space="preserve">bumped by other </w:t>
      </w:r>
      <w:r w:rsidRPr="00D60169">
        <w:t xml:space="preserve">passengers in crowds. </w:t>
      </w:r>
    </w:p>
    <w:p w14:paraId="5508E4CB" w14:textId="24901BE5" w:rsidR="00541F94" w:rsidRDefault="001B283F" w:rsidP="00541F94">
      <w:r>
        <w:t>Submissions from p</w:t>
      </w:r>
      <w:r w:rsidR="00541F94" w:rsidRPr="00D60169">
        <w:t>eople w</w:t>
      </w:r>
      <w:r w:rsidR="00541F94">
        <w:t>ith disability strongly support</w:t>
      </w:r>
      <w:r>
        <w:t>ed</w:t>
      </w:r>
      <w:r w:rsidR="00541F94">
        <w:t xml:space="preserve"> the use of continuous handrails in public transport sites</w:t>
      </w:r>
      <w:r>
        <w:t>, with</w:t>
      </w:r>
      <w:r w:rsidR="00541F94">
        <w:t xml:space="preserve"> the presence of handrails </w:t>
      </w:r>
      <w:r>
        <w:t xml:space="preserve">seen as </w:t>
      </w:r>
      <w:r w:rsidR="00541F94">
        <w:t>provid</w:t>
      </w:r>
      <w:r>
        <w:t>ing</w:t>
      </w:r>
      <w:r w:rsidR="00541F94">
        <w:t xml:space="preserve"> a safer experience for passengers and </w:t>
      </w:r>
      <w:r w:rsidR="00DC0E73">
        <w:t xml:space="preserve">giving </w:t>
      </w:r>
      <w:r w:rsidR="00541F94">
        <w:t>greater confidence to travel.</w:t>
      </w:r>
    </w:p>
    <w:p w14:paraId="513E24D3" w14:textId="77777777" w:rsidR="00541F94" w:rsidRDefault="00541F94" w:rsidP="00541F94">
      <w:r>
        <w:t>Maintaining the status quo would continue to disadvantage people who rely on continuous handrails to support their mobility. There would be a lost opportunity to ensure improvements for safety, wayfinding and stability for passengers on over bridges and subways. Maintaining the status quo would</w:t>
      </w:r>
      <w:r w:rsidRPr="00097442">
        <w:t xml:space="preserve"> not meet the varying needs of people with disability or </w:t>
      </w:r>
      <w:r w:rsidRPr="002A7AC6">
        <w:t xml:space="preserve">the </w:t>
      </w:r>
      <w:r>
        <w:t xml:space="preserve">objectives </w:t>
      </w:r>
      <w:r w:rsidRPr="002A7AC6">
        <w:t xml:space="preserve">of the </w:t>
      </w:r>
      <w:r>
        <w:t>Transport Standards</w:t>
      </w:r>
      <w:r w:rsidRPr="002A7AC6">
        <w:t xml:space="preserve"> to remove discrimination for people with disability in relation to public transport services.</w:t>
      </w:r>
      <w:r>
        <w:t xml:space="preserve"> </w:t>
      </w:r>
    </w:p>
    <w:p w14:paraId="58178DC4" w14:textId="77777777" w:rsidR="00541F94" w:rsidRPr="00510701" w:rsidRDefault="00541F94" w:rsidP="00541F94">
      <w:r>
        <w:t>Maintaining status quo has no ne</w:t>
      </w:r>
      <w:r w:rsidRPr="00D60169">
        <w:t>w or on-going costs or regulatory and administrative burden for operators and providers, however negative impacts on community safety and accessibility would remain.</w:t>
      </w:r>
    </w:p>
    <w:p w14:paraId="1AA66D40" w14:textId="77777777" w:rsidR="00541F94" w:rsidRPr="00541F94" w:rsidRDefault="00541F94" w:rsidP="00541F94">
      <w:pPr>
        <w:pStyle w:val="Heading5"/>
      </w:pPr>
      <w:r>
        <w:t>Non-regulatory</w:t>
      </w:r>
    </w:p>
    <w:p w14:paraId="7DB9E9F1" w14:textId="77777777" w:rsidR="00541F94" w:rsidRDefault="00541F94" w:rsidP="00541F94">
      <w:r>
        <w:t>The non-regulatory option would deliver guidance to encourage continuous handrails on both sides of an over bridge and subway, broken only at entry and exit points. Advice on the design of handrails and other areas that may benefit from handrails would also be provided.</w:t>
      </w:r>
    </w:p>
    <w:p w14:paraId="6050BD82" w14:textId="77777777" w:rsidR="00541F94" w:rsidRDefault="00541F94" w:rsidP="08D050C4">
      <w:pPr>
        <w:shd w:val="clear" w:color="auto" w:fill="FFFFFF" w:themeFill="background1"/>
        <w:spacing w:after="0"/>
        <w:rPr>
          <w:rFonts w:ascii="Calibri" w:hAnsi="Calibri" w:cs="Calibri"/>
          <w:color w:val="000000" w:themeColor="text1"/>
        </w:rPr>
      </w:pPr>
      <w:r w:rsidRPr="00B72ACA">
        <w:rPr>
          <w:rFonts w:ascii="Calibri" w:eastAsia="Times New Roman" w:hAnsi="Calibri" w:cs="Calibri"/>
          <w:color w:val="000000"/>
          <w:lang w:eastAsia="en-AU"/>
        </w:rPr>
        <w:t xml:space="preserve">Industry and government </w:t>
      </w:r>
      <w:r>
        <w:rPr>
          <w:rFonts w:ascii="Calibri" w:eastAsia="Times New Roman" w:hAnsi="Calibri" w:cs="Calibri"/>
          <w:color w:val="000000"/>
          <w:lang w:eastAsia="en-AU"/>
        </w:rPr>
        <w:t xml:space="preserve">stakeholders </w:t>
      </w:r>
      <w:r w:rsidRPr="00B72ACA">
        <w:rPr>
          <w:rFonts w:ascii="Calibri" w:eastAsia="Times New Roman" w:hAnsi="Calibri" w:cs="Calibri"/>
          <w:color w:val="000000"/>
          <w:lang w:eastAsia="en-AU"/>
        </w:rPr>
        <w:t xml:space="preserve">were </w:t>
      </w:r>
      <w:r>
        <w:rPr>
          <w:rFonts w:ascii="Calibri" w:eastAsia="Times New Roman" w:hAnsi="Calibri" w:cs="Calibri"/>
          <w:color w:val="000000"/>
          <w:lang w:eastAsia="en-AU"/>
        </w:rPr>
        <w:t>divided on whether the regulatory or non-regulatory option was preferred. Those who</w:t>
      </w:r>
      <w:r w:rsidRPr="00B72ACA">
        <w:rPr>
          <w:rFonts w:ascii="Calibri" w:eastAsia="Times New Roman" w:hAnsi="Calibri" w:cs="Calibri"/>
          <w:color w:val="000000"/>
          <w:lang w:eastAsia="en-AU"/>
        </w:rPr>
        <w:t xml:space="preserve"> support</w:t>
      </w:r>
      <w:r>
        <w:rPr>
          <w:rFonts w:ascii="Calibri" w:eastAsia="Times New Roman" w:hAnsi="Calibri" w:cs="Calibri"/>
          <w:color w:val="000000"/>
          <w:lang w:eastAsia="en-AU"/>
        </w:rPr>
        <w:t xml:space="preserve">ed the non-regulatory option noted that while they already adopt continuous handrails where possible, </w:t>
      </w:r>
      <w:r>
        <w:rPr>
          <w:rFonts w:ascii="Calibri" w:hAnsi="Calibri" w:cs="Calibri"/>
          <w:color w:val="000000"/>
          <w:shd w:val="clear" w:color="auto" w:fill="FFFFFF"/>
        </w:rPr>
        <w:t>installing handrails can pose significant costs and challenges, such as:</w:t>
      </w:r>
    </w:p>
    <w:p w14:paraId="148300EA" w14:textId="77777777" w:rsidR="00541F94" w:rsidRDefault="00541F94" w:rsidP="00541F94">
      <w:pPr>
        <w:pStyle w:val="Listparagraphbullets"/>
        <w:autoSpaceDE w:val="0"/>
        <w:autoSpaceDN w:val="0"/>
        <w:spacing w:after="0"/>
        <w:rPr>
          <w:shd w:val="clear" w:color="auto" w:fill="FFFFFF"/>
        </w:rPr>
      </w:pPr>
      <w:r>
        <w:rPr>
          <w:shd w:val="clear" w:color="auto" w:fill="FFFFFF"/>
        </w:rPr>
        <w:t>installing handrails within existing structures may not be feasible due to space constraints;</w:t>
      </w:r>
    </w:p>
    <w:p w14:paraId="00C6DEF0" w14:textId="77777777" w:rsidR="00541F94" w:rsidRDefault="00541F94" w:rsidP="00541F94">
      <w:pPr>
        <w:pStyle w:val="Listparagraphbullets"/>
        <w:autoSpaceDE w:val="0"/>
        <w:autoSpaceDN w:val="0"/>
        <w:spacing w:after="0"/>
        <w:rPr>
          <w:shd w:val="clear" w:color="auto" w:fill="FFFFFF"/>
        </w:rPr>
      </w:pPr>
      <w:r>
        <w:rPr>
          <w:shd w:val="clear" w:color="auto" w:fill="FFFFFF"/>
        </w:rPr>
        <w:t>handrails may compromise user safety and access;</w:t>
      </w:r>
    </w:p>
    <w:p w14:paraId="68634D11" w14:textId="77777777" w:rsidR="00541F94" w:rsidRDefault="00541F94" w:rsidP="00541F94">
      <w:pPr>
        <w:pStyle w:val="Listparagraphbullets"/>
        <w:autoSpaceDE w:val="0"/>
        <w:autoSpaceDN w:val="0"/>
        <w:spacing w:after="0"/>
        <w:rPr>
          <w:rFonts w:eastAsia="Times New Roman"/>
          <w:lang w:eastAsia="en-AU"/>
        </w:rPr>
      </w:pPr>
      <w:r>
        <w:rPr>
          <w:shd w:val="clear" w:color="auto" w:fill="FFFFFF"/>
        </w:rPr>
        <w:t xml:space="preserve">significant costs can be incurred for new infrastructure </w:t>
      </w:r>
      <w:r w:rsidRPr="00B028B2">
        <w:rPr>
          <w:shd w:val="clear" w:color="auto" w:fill="FFFFFF"/>
        </w:rPr>
        <w:t>or access paths</w:t>
      </w:r>
      <w:r>
        <w:rPr>
          <w:shd w:val="clear" w:color="auto" w:fill="FFFFFF"/>
        </w:rPr>
        <w:t xml:space="preserve"> </w:t>
      </w:r>
      <w:r w:rsidRPr="00B028B2">
        <w:rPr>
          <w:shd w:val="clear" w:color="auto" w:fill="FFFFFF"/>
        </w:rPr>
        <w:t>to accommodate the space required</w:t>
      </w:r>
      <w:r>
        <w:rPr>
          <w:shd w:val="clear" w:color="auto" w:fill="FFFFFF"/>
        </w:rPr>
        <w:t>.</w:t>
      </w:r>
      <w:r w:rsidRPr="00B028B2">
        <w:rPr>
          <w:rFonts w:eastAsia="Times New Roman"/>
          <w:lang w:eastAsia="en-AU"/>
        </w:rPr>
        <w:t xml:space="preserve"> </w:t>
      </w:r>
    </w:p>
    <w:p w14:paraId="449061A3" w14:textId="77777777" w:rsidR="00541F94" w:rsidRPr="00541F94" w:rsidRDefault="00541F94" w:rsidP="00541F94">
      <w:pPr>
        <w:pStyle w:val="Listparagraphbullets"/>
        <w:autoSpaceDE w:val="0"/>
        <w:autoSpaceDN w:val="0"/>
        <w:spacing w:after="0"/>
        <w:rPr>
          <w:rFonts w:eastAsia="Times New Roman"/>
          <w:lang w:eastAsia="en-AU"/>
        </w:rPr>
      </w:pPr>
      <w:r>
        <w:t>Guidance would inform designers at which points along an access path a passenger is likely to require additional support or passive guidance.</w:t>
      </w:r>
    </w:p>
    <w:p w14:paraId="71FE950F" w14:textId="77777777" w:rsidR="00541F94" w:rsidRDefault="00541F94" w:rsidP="00541F94">
      <w:pPr>
        <w:pStyle w:val="Listparagraphbullets"/>
        <w:numPr>
          <w:ilvl w:val="0"/>
          <w:numId w:val="0"/>
        </w:numPr>
        <w:autoSpaceDE w:val="0"/>
        <w:autoSpaceDN w:val="0"/>
        <w:spacing w:after="0"/>
        <w:ind w:left="360"/>
        <w:rPr>
          <w:rFonts w:eastAsia="Times New Roman"/>
          <w:lang w:eastAsia="en-AU"/>
        </w:rPr>
      </w:pPr>
    </w:p>
    <w:p w14:paraId="4EA96166" w14:textId="77777777" w:rsidR="00541F94" w:rsidRPr="00541F94" w:rsidRDefault="00541F94" w:rsidP="00541F94">
      <w:r>
        <w:t>To the extent that guidance is followed, costs would be incurred by operators and providers to install handrails along over bridges and subways where they are not part of the existing design. Installation may involve a minor addition to total project costs for new over bridges or subways. Submissions indicate that in over bridges or subways</w:t>
      </w:r>
      <w:r w:rsidDel="00D81D47">
        <w:t xml:space="preserve"> </w:t>
      </w:r>
      <w:r>
        <w:t xml:space="preserve">undergoing major refurbishment, or for one-off instalments, or installation on long subways or overpasses, greater costs may be incurred. Under the non-regulatory option, operators and providers will be able to manage the implementation (and related costs) to suit their operational requirements, including through staging the implementation. </w:t>
      </w:r>
    </w:p>
    <w:p w14:paraId="530A771F" w14:textId="77777777" w:rsidR="00541F94" w:rsidRPr="00BB2B60" w:rsidRDefault="00541F94" w:rsidP="00541F94">
      <w:r>
        <w:t>Given this option is discretionary however, it does not provide certainty that guidance will be implemented. To the extent that guidance is followed, the installation of handrails in over bridges and subways is likely to benefit people with disability who rely on handrails for support or wayfinding, providing confidence to undertake a public transport journey. If guidance is not followed, this may reduce confidence of passengers if they are unable to safely travel along over bridges and subways.</w:t>
      </w:r>
    </w:p>
    <w:p w14:paraId="5388BDC5" w14:textId="77777777" w:rsidR="00541F94" w:rsidRPr="00541F94" w:rsidRDefault="00541F94" w:rsidP="00541F94">
      <w:pPr>
        <w:pStyle w:val="Heading5"/>
      </w:pPr>
      <w:r w:rsidRPr="00A3388F">
        <w:lastRenderedPageBreak/>
        <w:t>Regulatory</w:t>
      </w:r>
    </w:p>
    <w:p w14:paraId="3FE522C8" w14:textId="77777777" w:rsidR="00541F94" w:rsidRPr="000F58D8" w:rsidRDefault="08D050C4" w:rsidP="00541F94">
      <w:r>
        <w:t xml:space="preserve">The regulatory option was the preferred option for individuals, people with disability and disability organisations. Submissions from these stakeholders highlighted the importance of handrails in providing an important wayfinding feature for people who are blind or have low vision, in addition to providing safety and support for people who may experience issues with balance. </w:t>
      </w:r>
    </w:p>
    <w:p w14:paraId="547421EE" w14:textId="34EEF5B6" w:rsidR="00541F94" w:rsidRPr="000F58D8" w:rsidRDefault="00541F94" w:rsidP="00541F94">
      <w:r w:rsidRPr="000F58D8">
        <w:t xml:space="preserve">While it was acknowledged the Transport Standards require handrails, the lack </w:t>
      </w:r>
      <w:r w:rsidR="00DC0E73">
        <w:t xml:space="preserve">of </w:t>
      </w:r>
      <w:r>
        <w:t>clarity</w:t>
      </w:r>
      <w:r w:rsidRPr="000F58D8">
        <w:t xml:space="preserve"> about where </w:t>
      </w:r>
      <w:r>
        <w:t>handrails</w:t>
      </w:r>
      <w:r w:rsidRPr="000F58D8">
        <w:t xml:space="preserve"> should be located creates inconsistency, ambiguity and lack of safe passage</w:t>
      </w:r>
      <w:r>
        <w:t>,</w:t>
      </w:r>
      <w:r w:rsidRPr="000F58D8">
        <w:t xml:space="preserve"> particularly </w:t>
      </w:r>
      <w:r>
        <w:t>on</w:t>
      </w:r>
      <w:r w:rsidRPr="000F58D8">
        <w:t xml:space="preserve"> over bridges and subways where there is additional risk of trips and falls. </w:t>
      </w:r>
      <w:r>
        <w:t xml:space="preserve">Stakeholders noted </w:t>
      </w:r>
      <w:r w:rsidRPr="000F58D8">
        <w:t>it is logical that continuous handrails are provided on over bridges and subways where it is safe to achieve this, to ensure people who require additional support navigating accessways can do so safely.</w:t>
      </w:r>
    </w:p>
    <w:p w14:paraId="0646880C" w14:textId="77777777" w:rsidR="00541F94" w:rsidRPr="000F58D8" w:rsidRDefault="00541F94" w:rsidP="00541F94">
      <w:r w:rsidRPr="000F58D8">
        <w:t xml:space="preserve">Industry and government stakeholders were divided on the regulatory or non-regulatory option. Those who support the regulatory option noted </w:t>
      </w:r>
      <w:r>
        <w:t>it is feasible</w:t>
      </w:r>
      <w:r w:rsidRPr="000F58D8">
        <w:t xml:space="preserve"> to implement and represents improved accessibility for </w:t>
      </w:r>
      <w:r>
        <w:t>users</w:t>
      </w:r>
      <w:r w:rsidRPr="000F58D8">
        <w:t xml:space="preserve"> who require the </w:t>
      </w:r>
      <w:r>
        <w:t>support</w:t>
      </w:r>
      <w:r w:rsidRPr="000F58D8">
        <w:t xml:space="preserve"> of a handrail. The regulatory option </w:t>
      </w:r>
      <w:r>
        <w:t>w</w:t>
      </w:r>
      <w:r w:rsidRPr="000F58D8">
        <w:t>ould provide clarity currently lacking in the Transport Standards. Some concerns were raised regarding costs associated with retrofitting handrails</w:t>
      </w:r>
      <w:r>
        <w:t xml:space="preserve">, </w:t>
      </w:r>
      <w:r w:rsidRPr="000F58D8">
        <w:t xml:space="preserve">particularly in relation to heritage </w:t>
      </w:r>
      <w:r>
        <w:t>sites</w:t>
      </w:r>
      <w:r w:rsidRPr="000F58D8">
        <w:t xml:space="preserve">, </w:t>
      </w:r>
      <w:r>
        <w:t xml:space="preserve">as well as concerns regarding </w:t>
      </w:r>
      <w:r w:rsidRPr="000F58D8">
        <w:t xml:space="preserve">operational disruption, safe work, and unforeseen structural impacts.  </w:t>
      </w:r>
    </w:p>
    <w:p w14:paraId="5ADDED01" w14:textId="1F5F9D1A" w:rsidR="00541F94" w:rsidRDefault="00541F94" w:rsidP="00541F94">
      <w:r>
        <w:t xml:space="preserve">The regulatory option would provide certainty </w:t>
      </w:r>
      <w:r w:rsidR="00DC0E73">
        <w:t>in how</w:t>
      </w:r>
      <w:r>
        <w:t xml:space="preserve"> operators and providers will install handrails. This would provide important safety, support and wayfinding benefits to people with disability, providing them confidence to undertake public transport journeys. Mandating design requirements for handrails will also provide certainty to operators and providers regarding points along an access path that a passenger is likely to require additional support or passive guidance.</w:t>
      </w:r>
    </w:p>
    <w:p w14:paraId="0EDA257E" w14:textId="77777777" w:rsidR="00541F94" w:rsidRDefault="00541F94" w:rsidP="00541F94">
      <w:pPr>
        <w:pStyle w:val="Heading4"/>
      </w:pPr>
      <w:r>
        <w:t>Preferred option</w:t>
      </w:r>
    </w:p>
    <w:p w14:paraId="61DD1C5A" w14:textId="0983FA10" w:rsidR="00541F94" w:rsidRDefault="00541F94" w:rsidP="00541F94">
      <w:r>
        <w:t xml:space="preserve">Informed by the outcomes of consultation, stakeholder impacts, cost and outcomes analysis, the preferred option is the </w:t>
      </w:r>
      <w:r w:rsidR="00DC0E73">
        <w:rPr>
          <w:b/>
        </w:rPr>
        <w:t>r</w:t>
      </w:r>
      <w:r w:rsidRPr="00C04E2F">
        <w:rPr>
          <w:b/>
        </w:rPr>
        <w:t xml:space="preserve">egulatory </w:t>
      </w:r>
      <w:r w:rsidR="00DC0E73">
        <w:rPr>
          <w:b/>
        </w:rPr>
        <w:t>o</w:t>
      </w:r>
      <w:r w:rsidRPr="00C04E2F">
        <w:rPr>
          <w:b/>
        </w:rPr>
        <w:t>ption</w:t>
      </w:r>
      <w:r>
        <w:t>.</w:t>
      </w:r>
    </w:p>
    <w:p w14:paraId="7A9590C4" w14:textId="77777777" w:rsidR="00541F94" w:rsidRDefault="08D050C4" w:rsidP="00541F94">
      <w:r>
        <w:t xml:space="preserve">Industry and government were divided on the regulatory or non-regulatory option, while the regulatory option is preferred for individuals, people with disability and disability organisations. </w:t>
      </w:r>
    </w:p>
    <w:p w14:paraId="56DFBADE" w14:textId="77777777" w:rsidR="00541F94" w:rsidRDefault="00541F94" w:rsidP="00541F94">
      <w:r>
        <w:t>There was broad agreement from all stakeholders that provision of handrails on access paths on subways and over bridges would assist people with disability. Additional requirements regarding points along an access path where passengers that are likely to require additional support or passive guidance will also provide greater clarity for operators and providers of the requirements under the Transport Standards.</w:t>
      </w:r>
    </w:p>
    <w:p w14:paraId="6010C6AA" w14:textId="77777777" w:rsidR="00541F94" w:rsidRPr="00CC347F" w:rsidRDefault="00541F94" w:rsidP="00541F94">
      <w:bookmarkStart w:id="430" w:name="_Hlk130394959"/>
      <w:r w:rsidRPr="169A030C">
        <w:rPr>
          <w:rFonts w:ascii="Calibri" w:eastAsia="Calibri" w:hAnsi="Calibri" w:cs="Times New Roman"/>
          <w:color w:val="000000" w:themeColor="text1"/>
        </w:rPr>
        <w:t xml:space="preserve">Consultation findings indicate that while installation of handrails may involve a minor addition to total project costs for new infrastructure, upgrade costs may be high, particularly for long subways and overpasses. </w:t>
      </w:r>
      <w:r>
        <w:t xml:space="preserve">The preferred option will be implemented through amendments to the Transport Standards and Guidelines. Operators and providers will be required to meet the new Transport Standards requirements prospectively with a trigger mechanism. </w:t>
      </w:r>
      <w:r w:rsidRPr="169A030C">
        <w:rPr>
          <w:rFonts w:ascii="Calibri" w:eastAsia="Calibri" w:hAnsi="Calibri" w:cs="Times New Roman"/>
          <w:color w:val="000000" w:themeColor="text1"/>
        </w:rPr>
        <w:t xml:space="preserve">This would address the primary concerns of stakeholders. </w:t>
      </w:r>
    </w:p>
    <w:bookmarkEnd w:id="430"/>
    <w:p w14:paraId="7EA256CC" w14:textId="77777777" w:rsidR="00541F94" w:rsidRDefault="00541F94" w:rsidP="00541F94">
      <w:pPr>
        <w:sectPr w:rsidR="00541F94" w:rsidSect="00541F94">
          <w:pgSz w:w="11906" w:h="16838" w:code="9"/>
          <w:pgMar w:top="1021" w:right="1021" w:bottom="1021" w:left="1021" w:header="510" w:footer="567" w:gutter="0"/>
          <w:cols w:space="708"/>
          <w:docGrid w:linePitch="360"/>
        </w:sectPr>
      </w:pPr>
      <w:r w:rsidRPr="000F58D8">
        <w:t>While acknowledging costs will be incurred in implementing the regulatory option, the costs associated with installing and maintaining handrails</w:t>
      </w:r>
      <w:r>
        <w:t xml:space="preserve"> for</w:t>
      </w:r>
      <w:r w:rsidRPr="000F58D8">
        <w:t xml:space="preserve"> </w:t>
      </w:r>
      <w:r w:rsidRPr="169A030C">
        <w:rPr>
          <w:rFonts w:ascii="Calibri" w:eastAsia="Calibri" w:hAnsi="Calibri" w:cs="Times New Roman"/>
          <w:color w:val="000000" w:themeColor="text1"/>
        </w:rPr>
        <w:t xml:space="preserve">new or substantially upgraded infrastructure </w:t>
      </w:r>
      <w:r w:rsidRPr="000F58D8">
        <w:t>are outweighed by the benefits to be gained in providing an important wayfinding, safety</w:t>
      </w:r>
      <w:r>
        <w:t>, accessibility</w:t>
      </w:r>
      <w:r w:rsidRPr="000F58D8">
        <w:t xml:space="preserve"> and support feature for people with disability. </w:t>
      </w:r>
    </w:p>
    <w:p w14:paraId="34E8D7A8" w14:textId="44C0EDFB" w:rsidR="0040212B" w:rsidRDefault="0040212B" w:rsidP="002E0B35">
      <w:pPr>
        <w:pStyle w:val="Heading2"/>
        <w:numPr>
          <w:ilvl w:val="0"/>
          <w:numId w:val="27"/>
        </w:numPr>
        <w:ind w:hanging="720"/>
      </w:pPr>
      <w:bookmarkStart w:id="431" w:name="_Toc127351779"/>
      <w:bookmarkStart w:id="432" w:name="_Toc140239737"/>
      <w:r w:rsidRPr="002F0A32">
        <w:lastRenderedPageBreak/>
        <w:t>Location of fare system elements</w:t>
      </w:r>
      <w:bookmarkEnd w:id="431"/>
      <w:bookmarkEnd w:id="432"/>
    </w:p>
    <w:p w14:paraId="63A61222" w14:textId="77777777" w:rsidR="0040212B" w:rsidRDefault="0040212B" w:rsidP="0040212B">
      <w:pPr>
        <w:pStyle w:val="Heading4"/>
      </w:pPr>
      <w:r>
        <w:t>Issue</w:t>
      </w:r>
    </w:p>
    <w:p w14:paraId="751294D7" w14:textId="696B6A18" w:rsidR="0040212B" w:rsidRDefault="0040212B" w:rsidP="0040212B">
      <w:r>
        <w:t>The Transport Standards contain limited information about the specific location of fare system elements to guide operators on the correct placement of devices to ensure they are located and oriented to facilitate</w:t>
      </w:r>
      <w:r w:rsidR="0077486B">
        <w:t>,</w:t>
      </w:r>
      <w:r>
        <w:t xml:space="preserve"> and not obstruct</w:t>
      </w:r>
      <w:r w:rsidR="0077486B">
        <w:t>,</w:t>
      </w:r>
      <w:r>
        <w:t xml:space="preserve"> access.</w:t>
      </w:r>
    </w:p>
    <w:p w14:paraId="64E4EAEC" w14:textId="77777777" w:rsidR="0040212B" w:rsidRDefault="0040212B" w:rsidP="0040212B">
      <w:pPr>
        <w:spacing w:before="240" w:after="240"/>
      </w:pPr>
      <w:r>
        <w:t>Fare system elements include validation devices such as platform access gates and platform validators, validation devices on board buses and ferries, vending machines where customers can purchase tickets or top-up tokens, and check-in elements at airports.</w:t>
      </w:r>
    </w:p>
    <w:p w14:paraId="3D155273" w14:textId="77777777" w:rsidR="0040212B" w:rsidRDefault="0040212B" w:rsidP="0040212B">
      <w:r>
        <w:t xml:space="preserve">The inconsistent positioning of fare system elements results in people with disability encountering barriers to accessible and independent travel. </w:t>
      </w:r>
    </w:p>
    <w:p w14:paraId="7608E323" w14:textId="79A8E8A9" w:rsidR="0040212B" w:rsidRPr="005B5E38" w:rsidRDefault="0040212B" w:rsidP="0040212B">
      <w:r>
        <w:t>Additionally, multiple sections of the Transport Standards, which address elements of fare system requirements, rely on referenced Australian Standards, many of which have been updated. However, the Transport Standards do not reference these more recent versions. Continued reliance on out-of-date references increases the risk of inconsistent interpretation of where and how fare system elements should be located. These factors impede Transport providers and operators from meeting their obligations under the Transport Standards and th</w:t>
      </w:r>
      <w:r w:rsidR="00FB4BDA">
        <w:t>e DDA.</w:t>
      </w:r>
    </w:p>
    <w:p w14:paraId="4DFE9BFE" w14:textId="77777777" w:rsidR="0040212B" w:rsidRDefault="0040212B" w:rsidP="0040212B">
      <w:pPr>
        <w:tabs>
          <w:tab w:val="left" w:pos="284"/>
        </w:tabs>
      </w:pPr>
      <w:r>
        <w:t>Collective government action would ensure the fare system elements are accessibly located and address key stakeholder issues raised through the Transport Standards review process.</w:t>
      </w:r>
    </w:p>
    <w:p w14:paraId="3BB336DD" w14:textId="77777777" w:rsidR="0040212B" w:rsidRDefault="0040212B" w:rsidP="0040212B">
      <w:pPr>
        <w:pStyle w:val="Heading4"/>
        <w:tabs>
          <w:tab w:val="left" w:pos="284"/>
        </w:tabs>
      </w:pPr>
      <w:r>
        <w:t>Reform options</w:t>
      </w:r>
    </w:p>
    <w:p w14:paraId="654CA316" w14:textId="77777777" w:rsidR="0040212B" w:rsidRDefault="0040212B" w:rsidP="0040212B">
      <w:pPr>
        <w:tabs>
          <w:tab w:val="left" w:pos="284"/>
        </w:tabs>
      </w:pPr>
      <w:bookmarkStart w:id="433" w:name="_Toc122446399"/>
      <w:r>
        <w:t>Following is a summary of the proposed options for this reform. Full details of each reform option is provided at Appendix A.</w:t>
      </w:r>
    </w:p>
    <w:p w14:paraId="481964EC" w14:textId="567EBF31" w:rsidR="0040212B" w:rsidRDefault="0040212B" w:rsidP="009B2DD4">
      <w:pPr>
        <w:pStyle w:val="Tablefigureheading"/>
      </w:pPr>
      <w:bookmarkStart w:id="434" w:name="_Toc139969239"/>
      <w:r>
        <w:t xml:space="preserve">Table </w:t>
      </w:r>
      <w:fldSimple w:instr=" SEQ Table \* ARABIC ">
        <w:r w:rsidR="00DC26AC">
          <w:rPr>
            <w:noProof/>
          </w:rPr>
          <w:t>81</w:t>
        </w:r>
      </w:fldSimple>
      <w:r>
        <w:t>: Reform options for location of fare system elements</w:t>
      </w:r>
      <w:bookmarkEnd w:id="433"/>
      <w:bookmarkEnd w:id="434"/>
    </w:p>
    <w:tbl>
      <w:tblPr>
        <w:tblStyle w:val="DefaultTable1"/>
        <w:tblW w:w="9072" w:type="dxa"/>
        <w:tblLook w:val="04A0" w:firstRow="1" w:lastRow="0" w:firstColumn="1" w:lastColumn="0" w:noHBand="0" w:noVBand="1"/>
        <w:tblCaption w:val="Reform options for requirement for location of fare system elements"/>
        <w:tblDescription w:val="This table provides a description of each of the options for this reform area. Status quo, non-regulatory and regulatory."/>
      </w:tblPr>
      <w:tblGrid>
        <w:gridCol w:w="2232"/>
        <w:gridCol w:w="6840"/>
      </w:tblGrid>
      <w:tr w:rsidR="0040212B" w:rsidRPr="003964B8" w14:paraId="72F349A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11419B16" w14:textId="77777777" w:rsidR="0040212B" w:rsidRPr="003964B8" w:rsidRDefault="0040212B" w:rsidP="00C40DB2">
            <w:r>
              <w:t>Option</w:t>
            </w:r>
          </w:p>
        </w:tc>
        <w:tc>
          <w:tcPr>
            <w:tcW w:w="6840" w:type="dxa"/>
          </w:tcPr>
          <w:p w14:paraId="1CE75D4E" w14:textId="77777777" w:rsidR="0040212B" w:rsidRPr="003964B8" w:rsidRDefault="0040212B" w:rsidP="00C40DB2">
            <w:pPr>
              <w:cnfStyle w:val="100000000000" w:firstRow="1" w:lastRow="0" w:firstColumn="0" w:lastColumn="0" w:oddVBand="0" w:evenVBand="0" w:oddHBand="0" w:evenHBand="0" w:firstRowFirstColumn="0" w:firstRowLastColumn="0" w:lastRowFirstColumn="0" w:lastRowLastColumn="0"/>
            </w:pPr>
            <w:r>
              <w:t>Description</w:t>
            </w:r>
          </w:p>
        </w:tc>
      </w:tr>
      <w:tr w:rsidR="0040212B" w:rsidRPr="003964B8" w14:paraId="3810C369"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A5DA771" w14:textId="77777777" w:rsidR="0040212B" w:rsidRPr="00653914" w:rsidRDefault="0040212B" w:rsidP="00C40DB2">
            <w:r w:rsidRPr="00653914">
              <w:t>Status Quo</w:t>
            </w:r>
          </w:p>
        </w:tc>
        <w:tc>
          <w:tcPr>
            <w:tcW w:w="6840" w:type="dxa"/>
          </w:tcPr>
          <w:p w14:paraId="75ED8C2A"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T</w:t>
            </w:r>
            <w:r w:rsidRPr="00593467">
              <w:t xml:space="preserve">he Transport Standards </w:t>
            </w:r>
            <w:r>
              <w:t xml:space="preserve">will continue to have limited clarity </w:t>
            </w:r>
            <w:r w:rsidRPr="00593467">
              <w:t>regarding the location of fare system elements</w:t>
            </w:r>
            <w:r>
              <w:t>.</w:t>
            </w:r>
          </w:p>
          <w:p w14:paraId="352719AD" w14:textId="77777777" w:rsidR="0040212B" w:rsidRPr="004633BA" w:rsidRDefault="0040212B"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40212B" w:rsidRPr="003964B8" w14:paraId="3F9D846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6256A82" w14:textId="77777777" w:rsidR="0040212B" w:rsidRPr="00653914" w:rsidRDefault="0040212B" w:rsidP="00C40DB2">
            <w:r>
              <w:t xml:space="preserve">Non-regulatory </w:t>
            </w:r>
          </w:p>
        </w:tc>
        <w:tc>
          <w:tcPr>
            <w:tcW w:w="6840" w:type="dxa"/>
          </w:tcPr>
          <w:p w14:paraId="1473F57D" w14:textId="77777777" w:rsidR="0040212B" w:rsidRPr="00095AEA" w:rsidRDefault="0040212B" w:rsidP="00C40DB2">
            <w:pPr>
              <w:cnfStyle w:val="000000000000" w:firstRow="0" w:lastRow="0" w:firstColumn="0" w:lastColumn="0" w:oddVBand="0" w:evenVBand="0" w:oddHBand="0" w:evenHBand="0" w:firstRowFirstColumn="0" w:firstRowLastColumn="0" w:lastRowFirstColumn="0" w:lastRowLastColumn="0"/>
            </w:pPr>
            <w:r>
              <w:t>Guidance would be developed to provide best practice advice on location of fare system elements, including design recommendations, fare system element location, and supplementary digital and physical methods to support travel.</w:t>
            </w:r>
          </w:p>
        </w:tc>
      </w:tr>
      <w:tr w:rsidR="0040212B" w:rsidRPr="003964B8" w14:paraId="3F8787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8EDC5B4" w14:textId="77777777" w:rsidR="0040212B" w:rsidRPr="00653914" w:rsidRDefault="0040212B" w:rsidP="00C40DB2">
            <w:r w:rsidRPr="00653914">
              <w:t>Regulatory</w:t>
            </w:r>
          </w:p>
        </w:tc>
        <w:tc>
          <w:tcPr>
            <w:tcW w:w="6840" w:type="dxa"/>
          </w:tcPr>
          <w:p w14:paraId="74C65325"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The Transport Standards would be amended to:</w:t>
            </w:r>
          </w:p>
          <w:p w14:paraId="77709A9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BC4572">
              <w:t xml:space="preserve">co-locate and simplify existing requirements </w:t>
            </w:r>
            <w:r>
              <w:t>for</w:t>
            </w:r>
            <w:r w:rsidRPr="00BC4572">
              <w:t xml:space="preserve"> location of fare system elements </w:t>
            </w:r>
            <w:r>
              <w:t xml:space="preserve">in the </w:t>
            </w:r>
            <w:r w:rsidRPr="00BC4572">
              <w:t>Transport Standards</w:t>
            </w:r>
          </w:p>
          <w:p w14:paraId="35E77F4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include design requirements for f</w:t>
            </w:r>
            <w:r w:rsidRPr="00593467">
              <w:t xml:space="preserve">are system elements specifically designed as mobility aid accessible </w:t>
            </w:r>
          </w:p>
          <w:p w14:paraId="0D0A9A57" w14:textId="77777777" w:rsidR="0040212B" w:rsidRDefault="0040212B" w:rsidP="0040212B">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include updated Australian Standards.</w:t>
            </w:r>
          </w:p>
          <w:p w14:paraId="6ACFC362" w14:textId="77777777" w:rsidR="0040212B" w:rsidRPr="001509F0" w:rsidRDefault="0040212B"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4D5C9DCE" w14:textId="77777777" w:rsidR="0040212B" w:rsidRDefault="0040212B" w:rsidP="0040212B">
      <w:pPr>
        <w:pStyle w:val="Heading4"/>
        <w:tabs>
          <w:tab w:val="left" w:pos="284"/>
        </w:tabs>
      </w:pPr>
      <w:r>
        <w:t>Cost benefit analysis</w:t>
      </w:r>
    </w:p>
    <w:p w14:paraId="751ED5D4" w14:textId="77777777" w:rsidR="0040212B" w:rsidRPr="009B2DD4" w:rsidRDefault="0040212B" w:rsidP="009B2DD4">
      <w:pPr>
        <w:pStyle w:val="Heading5"/>
        <w:keepLines/>
        <w:spacing w:before="240"/>
        <w:rPr>
          <w:rFonts w:asciiTheme="majorHAnsi" w:eastAsiaTheme="majorEastAsia" w:hAnsiTheme="majorHAnsi" w:cstheme="majorBidi"/>
          <w:color w:val="44546A" w:themeColor="text2"/>
          <w:sz w:val="22"/>
          <w:szCs w:val="22"/>
          <w:lang w:val="en-AU"/>
        </w:rPr>
      </w:pPr>
      <w:r w:rsidRPr="009B2DD4">
        <w:rPr>
          <w:rFonts w:asciiTheme="majorHAnsi" w:eastAsiaTheme="majorEastAsia" w:hAnsiTheme="majorHAnsi" w:cstheme="majorBidi"/>
          <w:color w:val="44546A" w:themeColor="text2"/>
          <w:kern w:val="0"/>
          <w:sz w:val="22"/>
          <w:szCs w:val="22"/>
          <w:lang w:val="en-AU"/>
        </w:rPr>
        <w:t xml:space="preserve">Quantitative assessment </w:t>
      </w:r>
    </w:p>
    <w:p w14:paraId="3AFE18BB" w14:textId="77777777" w:rsidR="0040212B" w:rsidRPr="00595D2C" w:rsidRDefault="0040212B" w:rsidP="0040212B">
      <w:r>
        <w:t xml:space="preserve">The following categories of quantitative costs and benefits were identified in the CBA as pertaining to the reform options. </w:t>
      </w:r>
    </w:p>
    <w:p w14:paraId="41079B5F" w14:textId="14DB9045" w:rsidR="0040212B" w:rsidRDefault="0040212B" w:rsidP="009B2DD4">
      <w:pPr>
        <w:pStyle w:val="Tablefigureheading"/>
      </w:pPr>
      <w:bookmarkStart w:id="435" w:name="_Toc122446400"/>
      <w:bookmarkStart w:id="436" w:name="_Toc139969240"/>
      <w:r>
        <w:lastRenderedPageBreak/>
        <w:t xml:space="preserve">Table </w:t>
      </w:r>
      <w:fldSimple w:instr=" SEQ Table \* ARABIC ">
        <w:r w:rsidR="00DC26AC">
          <w:rPr>
            <w:noProof/>
          </w:rPr>
          <w:t>82</w:t>
        </w:r>
      </w:fldSimple>
      <w:r>
        <w:t>: Benefit-cost ratios for location of fare system elements</w:t>
      </w:r>
      <w:bookmarkEnd w:id="435"/>
      <w:bookmarkEnd w:id="436"/>
    </w:p>
    <w:tbl>
      <w:tblPr>
        <w:tblStyle w:val="DefaultTable1"/>
        <w:tblW w:w="9864" w:type="dxa"/>
        <w:tblLook w:val="04A0" w:firstRow="1" w:lastRow="0" w:firstColumn="1" w:lastColumn="0" w:noHBand="0" w:noVBand="1"/>
        <w:tblCaption w:val="Benefit-cost ratios for location of fare system elements"/>
        <w:tblDescription w:val="This table provides the monetised benefits and costs for each of the options for this reform area."/>
      </w:tblPr>
      <w:tblGrid>
        <w:gridCol w:w="2268"/>
        <w:gridCol w:w="1276"/>
        <w:gridCol w:w="1701"/>
        <w:gridCol w:w="1701"/>
        <w:gridCol w:w="1701"/>
        <w:gridCol w:w="1217"/>
      </w:tblGrid>
      <w:tr w:rsidR="0040212B" w:rsidRPr="003964B8" w14:paraId="335BE6B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5BE05264" w14:textId="77777777" w:rsidR="0040212B" w:rsidRPr="007A751F" w:rsidRDefault="08D050C4" w:rsidP="00C40DB2">
            <w:r w:rsidRPr="08D050C4">
              <w:t>Reform Option</w:t>
            </w:r>
          </w:p>
        </w:tc>
        <w:tc>
          <w:tcPr>
            <w:tcW w:w="1276" w:type="dxa"/>
          </w:tcPr>
          <w:p w14:paraId="47C5C016"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866EC34"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6F80430E"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26996AD2"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66A3C225"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40212B" w:rsidRPr="00B04D0E" w14:paraId="1D7095B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AE3206" w14:textId="77777777" w:rsidR="0040212B" w:rsidRPr="00653914" w:rsidRDefault="0040212B" w:rsidP="00C40DB2">
            <w:r w:rsidRPr="00653914">
              <w:t>Status Quo</w:t>
            </w:r>
          </w:p>
        </w:tc>
        <w:tc>
          <w:tcPr>
            <w:tcW w:w="1276" w:type="dxa"/>
          </w:tcPr>
          <w:p w14:paraId="20C1F795"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C43DC1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625EDA02"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6BDE6A65"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4EA4A591"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40212B" w:rsidRPr="00B04D0E" w14:paraId="2D1CF2E0"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032BCEB2" w14:textId="77777777" w:rsidR="0040212B" w:rsidRPr="00653914" w:rsidRDefault="0040212B" w:rsidP="00C40DB2">
            <w:r>
              <w:t xml:space="preserve">Non-regulatory </w:t>
            </w:r>
          </w:p>
        </w:tc>
        <w:tc>
          <w:tcPr>
            <w:tcW w:w="1276" w:type="dxa"/>
            <w:vAlign w:val="center"/>
          </w:tcPr>
          <w:p w14:paraId="42A52DE6"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0.2</w:t>
            </w:r>
          </w:p>
        </w:tc>
        <w:tc>
          <w:tcPr>
            <w:tcW w:w="1701" w:type="dxa"/>
          </w:tcPr>
          <w:p w14:paraId="55DEA2FA"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591F3A2B"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33.5</w:t>
            </w:r>
          </w:p>
        </w:tc>
        <w:tc>
          <w:tcPr>
            <w:tcW w:w="1701" w:type="dxa"/>
            <w:vAlign w:val="center"/>
          </w:tcPr>
          <w:p w14:paraId="1E076C4C" w14:textId="77777777" w:rsidR="0040212B" w:rsidRPr="009B2DD4" w:rsidRDefault="0040212B" w:rsidP="00C40DB2">
            <w:pPr>
              <w:cnfStyle w:val="000000000000" w:firstRow="0" w:lastRow="0" w:firstColumn="0" w:lastColumn="0" w:oddVBand="0" w:evenVBand="0" w:oddHBand="0" w:evenHBand="0" w:firstRowFirstColumn="0" w:firstRowLastColumn="0" w:lastRowFirstColumn="0" w:lastRowLastColumn="0"/>
              <w:rPr>
                <w:vertAlign w:val="superscript"/>
              </w:rPr>
            </w:pPr>
            <w:r w:rsidRPr="169A030C">
              <w:t>33.5</w:t>
            </w:r>
            <w:r w:rsidR="009B2DD4" w:rsidRPr="169A030C">
              <w:rPr>
                <w:vertAlign w:val="superscript"/>
              </w:rPr>
              <w:t>i</w:t>
            </w:r>
          </w:p>
        </w:tc>
        <w:tc>
          <w:tcPr>
            <w:tcW w:w="1217" w:type="dxa"/>
            <w:vAlign w:val="center"/>
          </w:tcPr>
          <w:p w14:paraId="1DD26FEF"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pPr>
            <w:r w:rsidRPr="08D050C4">
              <w:t>0.01</w:t>
            </w:r>
          </w:p>
        </w:tc>
      </w:tr>
      <w:tr w:rsidR="0040212B" w:rsidRPr="00B04D0E" w14:paraId="55C72D6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A9E470D" w14:textId="77777777" w:rsidR="0040212B" w:rsidRPr="00653914" w:rsidRDefault="0040212B" w:rsidP="00C40DB2">
            <w:r>
              <w:t>Regulatory</w:t>
            </w:r>
          </w:p>
        </w:tc>
        <w:tc>
          <w:tcPr>
            <w:tcW w:w="1276" w:type="dxa"/>
            <w:vAlign w:val="center"/>
          </w:tcPr>
          <w:p w14:paraId="3518A919"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55.3</w:t>
            </w:r>
          </w:p>
        </w:tc>
        <w:tc>
          <w:tcPr>
            <w:tcW w:w="1701" w:type="dxa"/>
          </w:tcPr>
          <w:p w14:paraId="0E1BE2BA"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5ED5A75A"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176.9</w:t>
            </w:r>
          </w:p>
        </w:tc>
        <w:tc>
          <w:tcPr>
            <w:tcW w:w="1701" w:type="dxa"/>
            <w:vAlign w:val="center"/>
          </w:tcPr>
          <w:p w14:paraId="458200DC"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176.9</w:t>
            </w:r>
          </w:p>
        </w:tc>
        <w:tc>
          <w:tcPr>
            <w:tcW w:w="1217" w:type="dxa"/>
            <w:vAlign w:val="center"/>
          </w:tcPr>
          <w:p w14:paraId="2767D79B"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pPr>
            <w:r w:rsidRPr="08D050C4">
              <w:t>0.31</w:t>
            </w:r>
          </w:p>
        </w:tc>
      </w:tr>
    </w:tbl>
    <w:p w14:paraId="55267973" w14:textId="77777777" w:rsidR="0040212B" w:rsidRPr="009B2DD4" w:rsidRDefault="0040212B" w:rsidP="0040212B">
      <w:pPr>
        <w:spacing w:before="120" w:after="0"/>
        <w:rPr>
          <w:sz w:val="18"/>
          <w:szCs w:val="18"/>
        </w:rPr>
      </w:pPr>
      <w:r w:rsidRPr="009B2DD4">
        <w:rPr>
          <w:sz w:val="18"/>
          <w:szCs w:val="18"/>
          <w:vertAlign w:val="superscript"/>
        </w:rPr>
        <w:t>*</w:t>
      </w:r>
      <w:r w:rsidRPr="009B2DD4">
        <w:rPr>
          <w:sz w:val="18"/>
          <w:szCs w:val="18"/>
        </w:rPr>
        <w:t>$M, 2022/23, real, discounted at 7% over a 15-year appraisal period after implementation of all reforms, assessed incrementally</w:t>
      </w:r>
    </w:p>
    <w:p w14:paraId="400E1C3A" w14:textId="77777777" w:rsidR="0040212B" w:rsidRPr="009B2DD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785DA2AD" w14:textId="77777777" w:rsidR="009B2DD4" w:rsidRDefault="009B2DD4" w:rsidP="009B2DD4"/>
    <w:p w14:paraId="3B36BD3C" w14:textId="77777777" w:rsidR="0040212B" w:rsidRDefault="0040212B" w:rsidP="0040212B">
      <w:pPr>
        <w:pStyle w:val="Heading6"/>
      </w:pPr>
      <w:r>
        <w:t>Considerations to note in interpreting analysis</w:t>
      </w:r>
    </w:p>
    <w:p w14:paraId="3E068056" w14:textId="77777777" w:rsidR="0040212B" w:rsidRDefault="0040212B" w:rsidP="009B2DD4">
      <w:pPr>
        <w:pStyle w:val="Heading7"/>
      </w:pPr>
      <w:r w:rsidRPr="008F2C5A">
        <w:t>Limitations</w:t>
      </w:r>
    </w:p>
    <w:p w14:paraId="1A763F68" w14:textId="77777777" w:rsidR="0040212B" w:rsidRDefault="0040212B" w:rsidP="009B2DD4">
      <w:pPr>
        <w:pStyle w:val="Heading8"/>
      </w:pPr>
      <w:r>
        <w:t>Non-regulatory</w:t>
      </w:r>
    </w:p>
    <w:p w14:paraId="456B3C4B" w14:textId="7CCFF2A7" w:rsidR="0040212B" w:rsidRPr="00731C0B" w:rsidRDefault="0040212B" w:rsidP="009B2DD4">
      <w:r w:rsidRPr="00731C0B">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of new assets was applied to the non-regulatory option based on the low complexity of implementing the guidance, and submissions indicating operators and providers currently install fare system elements based on accessibility concerns and meet relevant standards</w:t>
      </w:r>
      <w:r w:rsidRPr="00731C0B">
        <w:t>. This implies that the benefits and costs quantified for this non-regulatory reform may not reflect future take-up of the reform.</w:t>
      </w:r>
    </w:p>
    <w:p w14:paraId="3DF4D5F9" w14:textId="77777777" w:rsidR="0040212B" w:rsidRDefault="0040212B" w:rsidP="009B2DD4">
      <w:pPr>
        <w:pStyle w:val="Heading8"/>
      </w:pPr>
      <w:r>
        <w:t>Regulatory option</w:t>
      </w:r>
    </w:p>
    <w:p w14:paraId="74C18B4B" w14:textId="77777777" w:rsidR="0040212B" w:rsidRPr="00CF5369" w:rsidRDefault="0040212B" w:rsidP="009B2DD4">
      <w:r w:rsidRPr="00CF5369">
        <w:t xml:space="preserve">The benefits and costs for this reform were estimated based on a small number of survey responses proxied to estimate compliance at a national level. This implies the benefits and costs may not be fully reflective of existing compliance rates. </w:t>
      </w:r>
    </w:p>
    <w:p w14:paraId="4009B448" w14:textId="77777777" w:rsidR="0040212B" w:rsidRDefault="0040212B" w:rsidP="009B2DD4">
      <w:r w:rsidRPr="00CF5369">
        <w:t>Upgrading fare system elements requires enhancements to fare system hardware and software with small cohort of beneficiaries experiencing improved amenity and accessibility.</w:t>
      </w:r>
    </w:p>
    <w:p w14:paraId="4F5607B2" w14:textId="77777777" w:rsidR="0040212B" w:rsidRDefault="0040212B" w:rsidP="009B2DD4">
      <w:pPr>
        <w:pStyle w:val="Heading8"/>
      </w:pPr>
      <w:r w:rsidRPr="00F87E76">
        <w:t xml:space="preserve">Interdependencies </w:t>
      </w:r>
    </w:p>
    <w:p w14:paraId="327213D4" w14:textId="77777777" w:rsidR="0040212B" w:rsidRPr="00F87E76" w:rsidRDefault="0040212B" w:rsidP="009B2DD4">
      <w:r w:rsidRPr="00731C0B">
        <w:t>This is an enabling reform providing people with disability the ability to purchase public transport fares to access public transport, with accessibility benefits reliant on implementation of other reforms such as accessible fare system elements, bus, tram and light rail boarding points on infrastructure, and others.</w:t>
      </w:r>
    </w:p>
    <w:p w14:paraId="5D6F6F86" w14:textId="77777777" w:rsidR="0040212B" w:rsidRPr="009B2DD4" w:rsidRDefault="0040212B" w:rsidP="009B2DD4">
      <w:pPr>
        <w:pStyle w:val="Heading5"/>
        <w:keepLines/>
        <w:spacing w:before="240"/>
        <w:rPr>
          <w:rFonts w:asciiTheme="majorHAnsi" w:eastAsiaTheme="majorEastAsia" w:hAnsiTheme="majorHAnsi" w:cstheme="majorBidi"/>
          <w:color w:val="44546A" w:themeColor="text2"/>
          <w:sz w:val="22"/>
          <w:szCs w:val="22"/>
          <w:lang w:val="en-AU"/>
        </w:rPr>
      </w:pPr>
      <w:r w:rsidRPr="009B2DD4">
        <w:rPr>
          <w:rFonts w:asciiTheme="majorHAnsi" w:eastAsiaTheme="majorEastAsia" w:hAnsiTheme="majorHAnsi" w:cstheme="majorBidi"/>
          <w:color w:val="44546A" w:themeColor="text2"/>
          <w:kern w:val="0"/>
          <w:sz w:val="22"/>
          <w:szCs w:val="22"/>
          <w:lang w:val="en-AU"/>
        </w:rPr>
        <w:t xml:space="preserve">Qualitative assessment </w:t>
      </w:r>
    </w:p>
    <w:p w14:paraId="17165AC6" w14:textId="77777777" w:rsidR="0040212B" w:rsidRPr="00F10FAA" w:rsidRDefault="0040212B" w:rsidP="0040212B">
      <w:r>
        <w:t>The following categories of qualitative benefits were identified in the CBA as pertaining to the reform options.</w:t>
      </w:r>
    </w:p>
    <w:p w14:paraId="4FA51168" w14:textId="1BDCE0EC" w:rsidR="0040212B" w:rsidRPr="005B09D3" w:rsidRDefault="0040212B" w:rsidP="009B2DD4">
      <w:pPr>
        <w:pStyle w:val="Tablefigureheading"/>
      </w:pPr>
      <w:bookmarkStart w:id="437" w:name="_Toc122446401"/>
      <w:bookmarkStart w:id="438" w:name="_Toc139969241"/>
      <w:r w:rsidRPr="005B09D3">
        <w:t xml:space="preserve">Table </w:t>
      </w:r>
      <w:fldSimple w:instr=" SEQ Table \* ARABIC ">
        <w:r w:rsidR="00DC26AC">
          <w:rPr>
            <w:noProof/>
          </w:rPr>
          <w:t>83</w:t>
        </w:r>
      </w:fldSimple>
      <w:r w:rsidRPr="005B09D3">
        <w:rPr>
          <w:noProof/>
        </w:rPr>
        <w:t xml:space="preserve">: </w:t>
      </w:r>
      <w:r w:rsidRPr="005B09D3">
        <w:t>Qualitative benefits for location of fare system elements</w:t>
      </w:r>
      <w:bookmarkEnd w:id="437"/>
      <w:bookmarkEnd w:id="438"/>
    </w:p>
    <w:tbl>
      <w:tblPr>
        <w:tblStyle w:val="DefaultTable1"/>
        <w:tblW w:w="9864" w:type="dxa"/>
        <w:tblLook w:val="04A0" w:firstRow="1" w:lastRow="0" w:firstColumn="1" w:lastColumn="0" w:noHBand="0" w:noVBand="1"/>
        <w:tblCaption w:val="Qualitative benefits for location of fare system elements"/>
      </w:tblPr>
      <w:tblGrid>
        <w:gridCol w:w="1213"/>
        <w:gridCol w:w="1343"/>
        <w:gridCol w:w="1626"/>
        <w:gridCol w:w="1300"/>
        <w:gridCol w:w="1278"/>
        <w:gridCol w:w="1641"/>
        <w:gridCol w:w="1463"/>
      </w:tblGrid>
      <w:tr w:rsidR="0040212B" w:rsidRPr="007A751F" w14:paraId="70B276D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0A999475" w14:textId="77777777" w:rsidR="0040212B" w:rsidRPr="007A751F" w:rsidRDefault="08D050C4" w:rsidP="00C40DB2">
            <w:r w:rsidRPr="08D050C4">
              <w:t>Reform Option</w:t>
            </w:r>
          </w:p>
        </w:tc>
        <w:tc>
          <w:tcPr>
            <w:tcW w:w="1343" w:type="dxa"/>
          </w:tcPr>
          <w:p w14:paraId="40E0FF88"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2B7D2A2"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31185C9B"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0EA5724A"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C1E3B66" w14:textId="77777777" w:rsidR="0040212B"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2ED9B2F0" w14:textId="77777777" w:rsidR="0040212B"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40212B" w:rsidRPr="00B04D0E" w14:paraId="29AA97A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859476" w14:textId="77777777" w:rsidR="0040212B" w:rsidRPr="00653914" w:rsidRDefault="0040212B" w:rsidP="00C40DB2">
            <w:r w:rsidRPr="00653914">
              <w:t>Status Quo</w:t>
            </w:r>
          </w:p>
        </w:tc>
        <w:tc>
          <w:tcPr>
            <w:tcW w:w="1343" w:type="dxa"/>
          </w:tcPr>
          <w:p w14:paraId="649D26A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BE04F1F"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7484787"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AECFC34"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509441E3"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62B089FD"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40212B" w:rsidRPr="00B04D0E" w14:paraId="47443E5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08905B0" w14:textId="77777777" w:rsidR="0040212B" w:rsidRPr="00653914" w:rsidRDefault="0040212B" w:rsidP="00C40DB2">
            <w:r>
              <w:t xml:space="preserve">Non-regulatory </w:t>
            </w:r>
          </w:p>
        </w:tc>
        <w:tc>
          <w:tcPr>
            <w:tcW w:w="1343" w:type="dxa"/>
          </w:tcPr>
          <w:p w14:paraId="73ABFBDD"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27EA3FB4"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09A9DF4" w14:textId="77777777" w:rsidR="0040212B" w:rsidRPr="009B2DD4"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6AA7102" w14:textId="77777777" w:rsidR="0040212B"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3BE2B9F" w14:textId="77777777" w:rsidR="0040212B" w:rsidRPr="00B04D0E" w:rsidRDefault="0040212B" w:rsidP="00C40DB2">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19C610E" w14:textId="77777777" w:rsidR="0040212B" w:rsidRPr="00B04D0E" w:rsidRDefault="0040212B" w:rsidP="00C40DB2">
            <w:pPr>
              <w:cnfStyle w:val="000000000000" w:firstRow="0" w:lastRow="0" w:firstColumn="0" w:lastColumn="0" w:oddVBand="0" w:evenVBand="0" w:oddHBand="0" w:evenHBand="0" w:firstRowFirstColumn="0" w:firstRowLastColumn="0" w:lastRowFirstColumn="0" w:lastRowLastColumn="0"/>
            </w:pPr>
            <w:r>
              <w:t>Yes</w:t>
            </w:r>
          </w:p>
        </w:tc>
      </w:tr>
      <w:tr w:rsidR="0040212B" w:rsidRPr="00B04D0E" w14:paraId="6A71198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0174FF1" w14:textId="77777777" w:rsidR="0040212B" w:rsidRPr="00653914" w:rsidRDefault="0040212B" w:rsidP="00C40DB2">
            <w:r>
              <w:t>Regulatory</w:t>
            </w:r>
          </w:p>
        </w:tc>
        <w:tc>
          <w:tcPr>
            <w:tcW w:w="1343" w:type="dxa"/>
          </w:tcPr>
          <w:p w14:paraId="396291F7"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15867A2A"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3095108" w14:textId="77777777" w:rsidR="0040212B" w:rsidRPr="009B2DD4"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7768D73" w14:textId="77777777" w:rsidR="0040212B"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A1D640C" w14:textId="77777777" w:rsidR="0040212B" w:rsidRPr="00B04D0E" w:rsidRDefault="0040212B" w:rsidP="00C40DB2">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493F028" w14:textId="77777777" w:rsidR="0040212B" w:rsidRPr="00B04D0E" w:rsidRDefault="0040212B" w:rsidP="00C40DB2">
            <w:pPr>
              <w:cnfStyle w:val="000000100000" w:firstRow="0" w:lastRow="0" w:firstColumn="0" w:lastColumn="0" w:oddVBand="0" w:evenVBand="0" w:oddHBand="1" w:evenHBand="0" w:firstRowFirstColumn="0" w:firstRowLastColumn="0" w:lastRowFirstColumn="0" w:lastRowLastColumn="0"/>
            </w:pPr>
            <w:r>
              <w:t>Yes</w:t>
            </w:r>
          </w:p>
        </w:tc>
      </w:tr>
    </w:tbl>
    <w:p w14:paraId="0FED3892" w14:textId="77777777" w:rsidR="009B2DD4" w:rsidRDefault="009B2DD4" w:rsidP="009B2DD4"/>
    <w:p w14:paraId="1A9FFB6E" w14:textId="77777777" w:rsidR="0040212B" w:rsidRPr="004C16F7" w:rsidRDefault="0040212B" w:rsidP="0040212B">
      <w:pPr>
        <w:pStyle w:val="Heading4"/>
        <w:tabs>
          <w:tab w:val="left" w:pos="284"/>
        </w:tabs>
      </w:pPr>
      <w:r>
        <w:lastRenderedPageBreak/>
        <w:t xml:space="preserve">Analysis of submissions </w:t>
      </w:r>
    </w:p>
    <w:p w14:paraId="067D5BE5" w14:textId="77777777" w:rsidR="0040212B" w:rsidRPr="00855E73" w:rsidRDefault="0040212B" w:rsidP="0040212B">
      <w:pPr>
        <w:pStyle w:val="Heading5"/>
      </w:pPr>
      <w:r w:rsidRPr="00855E73">
        <w:t>Status quo</w:t>
      </w:r>
    </w:p>
    <w:p w14:paraId="123B04C2" w14:textId="637596B1" w:rsidR="0040212B" w:rsidRDefault="0040212B" w:rsidP="0040212B">
      <w:pPr>
        <w:spacing w:before="240" w:after="240"/>
      </w:pPr>
      <w:r>
        <w:t xml:space="preserve">Since the introduction of the Transport Standards in 2002, advances in fare system elements, such </w:t>
      </w:r>
      <w:r w:rsidR="0077486B">
        <w:t xml:space="preserve">as </w:t>
      </w:r>
      <w:r>
        <w:t xml:space="preserve">tap on and tap off </w:t>
      </w:r>
      <w:r w:rsidR="0077486B">
        <w:t>devices</w:t>
      </w:r>
      <w:r>
        <w:t xml:space="preserve"> and fare recharge points, have provided more options for public transport owners and operators to locate fare systems. Previously, fare system elements were located at staff service point or by drivers.</w:t>
      </w:r>
    </w:p>
    <w:p w14:paraId="7D325286" w14:textId="77777777" w:rsidR="0040212B" w:rsidRDefault="08D050C4" w:rsidP="0040212B">
      <w:pPr>
        <w:spacing w:before="240" w:after="240"/>
      </w:pPr>
      <w:r>
        <w:t xml:space="preserve">The Transport Standards contain some specifications relating to the location of devices, such as minimum access paths, circulation space requirements and illumination for vending machines. Other essential factors to consider in the location of fare system elements are not included or referenced in the Transport Standards. These factors include illumination, glare, shelter, maintaining compliant reach ranges, handrails, entrapment risks, customer flow, access paths and additional manoeuvrability and circulation space requirements. </w:t>
      </w:r>
    </w:p>
    <w:p w14:paraId="0E94ECE6" w14:textId="77777777" w:rsidR="0040212B" w:rsidRDefault="0040212B" w:rsidP="0040212B">
      <w:pPr>
        <w:spacing w:before="240" w:after="240"/>
      </w:pPr>
      <w:r>
        <w:t xml:space="preserve">The status quo would not alter the Transport Standards and nor would it address any of the innovations in fare system elements and their location. </w:t>
      </w:r>
    </w:p>
    <w:p w14:paraId="0250DDBE" w14:textId="77777777" w:rsidR="0040212B" w:rsidRDefault="0040212B" w:rsidP="0040212B">
      <w:pPr>
        <w:spacing w:before="240" w:after="240"/>
      </w:pPr>
      <w:r>
        <w:t>During consultations disability stakeholders described the issues they encountered when trying to use fare system elements and the difficulties encountered due to their location.</w:t>
      </w:r>
    </w:p>
    <w:p w14:paraId="73577F9D" w14:textId="77777777" w:rsidR="0040212B" w:rsidRDefault="0040212B" w:rsidP="0040212B">
      <w:pPr>
        <w:pStyle w:val="Quote"/>
      </w:pPr>
      <w:r>
        <w:t>I sometimes don't even use the ticket on when I get on. It is not in an accessible part; it is not on a part I can tap on. I don't even bother tapping on. Because I can't. Because the bus starts moving before I have gotten the ticket in the right position to tap on.</w:t>
      </w:r>
    </w:p>
    <w:p w14:paraId="7EC78FB6" w14:textId="77777777" w:rsidR="0040212B" w:rsidRDefault="0040212B" w:rsidP="0040212B">
      <w:pPr>
        <w:pStyle w:val="Quote"/>
      </w:pPr>
      <w:r>
        <w:t>Community workshop participant.</w:t>
      </w:r>
    </w:p>
    <w:p w14:paraId="48E13C9E" w14:textId="77777777" w:rsidR="0040212B" w:rsidRDefault="0040212B" w:rsidP="0040212B">
      <w:r>
        <w:t>One disability advocacy group stated that their members had not reported issues with access and location of fare system elements because they used specially supplied disability travel passes and this meant they did not have to use the existing fare system.</w:t>
      </w:r>
    </w:p>
    <w:p w14:paraId="03DF4AD9" w14:textId="77777777" w:rsidR="0040212B" w:rsidRDefault="0040212B" w:rsidP="0040212B">
      <w:r>
        <w:t>An industry stakeholder told us that the main fare systems and their locations were the responsibility of the government. In situation, where the government did not control the location of fare system elements, paper-based ticketing systems were used instead, which they believed were sufficient to address access issues for people with disability.</w:t>
      </w:r>
    </w:p>
    <w:p w14:paraId="28472B51" w14:textId="77777777" w:rsidR="0040212B" w:rsidRDefault="0040212B" w:rsidP="0040212B">
      <w:r>
        <w:t>A government stakeholder stated that provisions existed within the Transport Standards, but commented they were in different sections of the Transport Standards, which could lead to confusion in their implementation.</w:t>
      </w:r>
    </w:p>
    <w:p w14:paraId="4D559D03" w14:textId="0F7059FB" w:rsidR="0040212B" w:rsidRDefault="0040212B" w:rsidP="0040212B">
      <w:r>
        <w:t xml:space="preserve">Maintaining the status quo does </w:t>
      </w:r>
      <w:r w:rsidR="0077486B">
        <w:t xml:space="preserve">not </w:t>
      </w:r>
      <w:r>
        <w:t>impose any additional costs for public transport owners and operators</w:t>
      </w:r>
      <w:r w:rsidR="0077486B">
        <w:t xml:space="preserve"> or provide any additional benefits for people with disability</w:t>
      </w:r>
      <w:r>
        <w:t>. The status quo is unlikely to meet the varying needs of people with disability or meet the objectives of the Transport Standards to</w:t>
      </w:r>
      <w:r w:rsidR="00FB4BDA">
        <w:t xml:space="preserve"> enable operators and providers to</w:t>
      </w:r>
      <w:r>
        <w:t xml:space="preserve"> remove discrimination for people with disability concerning public transport services. </w:t>
      </w:r>
    </w:p>
    <w:p w14:paraId="68756D14" w14:textId="77777777" w:rsidR="0040212B" w:rsidRPr="00855E73" w:rsidRDefault="0040212B" w:rsidP="0040212B">
      <w:pPr>
        <w:pStyle w:val="Heading5"/>
      </w:pPr>
      <w:r w:rsidRPr="00855E73">
        <w:t>Non-regulatory</w:t>
      </w:r>
    </w:p>
    <w:p w14:paraId="229BECC4" w14:textId="77777777" w:rsidR="0040212B" w:rsidRDefault="0040212B" w:rsidP="0040212B">
      <w:r>
        <w:t xml:space="preserve">Submissions supporting the non-regulatory option received few responses, like the status quo option. A government submission said they already take additional steps to consider the location of fare system elements and therefore additional requirements were unnecessary. </w:t>
      </w:r>
    </w:p>
    <w:p w14:paraId="52D6E037" w14:textId="199D1C6A" w:rsidR="0040212B" w:rsidRDefault="0040212B" w:rsidP="0040212B">
      <w:r>
        <w:t xml:space="preserve">An industry submission suggested that certain modes of transport would be impacted negatively by the regulatory option. Trams and tram stops were raised as example because they have a smaller footprint and may become non-compliant with sections of the Transport Standards, for example, 850 </w:t>
      </w:r>
      <w:r w:rsidR="009134C0" w:rsidRPr="007D162C">
        <w:t>millimetres</w:t>
      </w:r>
      <w:r>
        <w:t xml:space="preserve"> minimum widths to accommodate the new regulatory requirements may not be met.</w:t>
      </w:r>
    </w:p>
    <w:p w14:paraId="60B48C34" w14:textId="0864DF10" w:rsidR="0040212B" w:rsidRDefault="0040212B" w:rsidP="0040212B">
      <w:r>
        <w:t xml:space="preserve">The differing views from government and industry highlighted a conflict where regulation was considered unnecessary because the needs of people with disability where already considered, but industry was </w:t>
      </w:r>
      <w:r>
        <w:lastRenderedPageBreak/>
        <w:t xml:space="preserve">concerned that regulation would impose requirements to meet those standards and have potentially unintended consequences on elements of accessibility.  </w:t>
      </w:r>
    </w:p>
    <w:p w14:paraId="597F3D1A" w14:textId="77777777" w:rsidR="0077486B" w:rsidRDefault="0077486B" w:rsidP="0077486B">
      <w:r>
        <w:t xml:space="preserve">Due to the discretionary nature of this option, owners and providers who have already factored accessibility into the location of fare system elements may choose to take no further action and incur little or no additional costs. Public transport owners and providers can manage the implementation (and related costs) to suit their operational requirements, including staging the implementation. </w:t>
      </w:r>
    </w:p>
    <w:p w14:paraId="015803DD" w14:textId="77777777" w:rsidR="0077486B" w:rsidRDefault="0077486B" w:rsidP="0077486B">
      <w:r>
        <w:t xml:space="preserve">To the extent that guidance is followed, people with disability will be supported to travel independently and safely while passing through fare system elements. Clear guidance would help operators and providers around the location of fare system elements, including the references to AS/EN 301 549 (2020). </w:t>
      </w:r>
    </w:p>
    <w:p w14:paraId="6F53ACDF" w14:textId="2653F1CF" w:rsidR="0077486B" w:rsidRDefault="0077486B" w:rsidP="0040212B">
      <w:r>
        <w:t>Non-uptake by operators and providers will result in the disability community not receiving the benefits provided by the new location requirements. This may undermine the consistency and clarity across whole-of-journey travel experiences, which may undermine the benefits of inducing more people living with disability to travel on public transport.</w:t>
      </w:r>
    </w:p>
    <w:p w14:paraId="097380E2" w14:textId="77777777" w:rsidR="0040212B" w:rsidRPr="00855E73" w:rsidRDefault="0040212B" w:rsidP="0040212B">
      <w:pPr>
        <w:pStyle w:val="Heading5"/>
      </w:pPr>
      <w:r w:rsidRPr="00855E73">
        <w:t>Regulatory</w:t>
      </w:r>
    </w:p>
    <w:p w14:paraId="26BA77A9" w14:textId="5A2A88C3" w:rsidR="0040212B" w:rsidRDefault="0040212B" w:rsidP="0040212B">
      <w:r>
        <w:t xml:space="preserve">The regulatory option received the most submissions, disability and government stakeholders were the stakeholders most likely to support the regulatory option. </w:t>
      </w:r>
      <w:r w:rsidR="08D050C4">
        <w:t xml:space="preserve">Submissions from disability and government emphasised the benefit of simplifying and co-locating the requirements in a new section of the Transport Standards. Stakeholder argued this would benefit operators and providers by providing increased clarity and consistency when locating fare system elements. Disability stakeholders stated that consistent implementation would benefit them and increase the use of public transport by people with disability. </w:t>
      </w:r>
    </w:p>
    <w:p w14:paraId="5A8D531A" w14:textId="2E9A05DB" w:rsidR="0040212B" w:rsidRDefault="0040212B" w:rsidP="0040212B">
      <w:r>
        <w:t>Operators and providers, who had already factored accessibility into the location of fare system elements, told us they would incur little or no additional costs to ensure compliance with AS/EN 301 549 (2020). However, costs may be incurred by operators and providers who may need to review their current location</w:t>
      </w:r>
      <w:r w:rsidR="00673E80">
        <w:t>s</w:t>
      </w:r>
      <w:r>
        <w:t xml:space="preserve"> of fare system elements to ensure they would meet any new requirements.</w:t>
      </w:r>
    </w:p>
    <w:p w14:paraId="7AB9FBEF" w14:textId="77777777" w:rsidR="0040212B" w:rsidRDefault="08D050C4" w:rsidP="0040212B">
      <w:r>
        <w:t>Disability stakeholders tended to prefer the regulatory option to ensure that there was consistency in accessing the location of fare systems. These stakeholders also recognised additional benefits of the regulatory option for people living with a disability and, more generally, for people from culturally and linguistically diverse backgrounds.</w:t>
      </w:r>
    </w:p>
    <w:p w14:paraId="4C030AD1" w14:textId="77777777" w:rsidR="0040212B" w:rsidRPr="00790D6E" w:rsidRDefault="0040212B" w:rsidP="0040212B">
      <w:pPr>
        <w:pStyle w:val="Quote"/>
      </w:pPr>
      <w:r w:rsidRPr="00790D6E">
        <w:t>People who are blind or have low vision often find it difficult or impossible to locate, move between, and interact with fare system elements that have a wide spatial separation, especially if they are located in a complex and busy environment such as a large transport interchange. This can result in extra stress for transport users and a loss of independence and confidence.</w:t>
      </w:r>
    </w:p>
    <w:p w14:paraId="2BC2CBAB" w14:textId="77777777" w:rsidR="0040212B" w:rsidRPr="00CC347F" w:rsidRDefault="0040212B" w:rsidP="0040212B">
      <w:pPr>
        <w:pStyle w:val="Quote"/>
      </w:pPr>
      <w:r w:rsidRPr="00790D6E">
        <w:t>Vision Australia</w:t>
      </w:r>
    </w:p>
    <w:p w14:paraId="4D3A3AD3" w14:textId="60106A4C" w:rsidR="0040212B" w:rsidRDefault="003B77C8" w:rsidP="0040212B">
      <w:pPr>
        <w:pStyle w:val="Heading4"/>
      </w:pPr>
      <w:r>
        <w:br/>
      </w:r>
      <w:r w:rsidR="0040212B" w:rsidRPr="009B2DD4">
        <w:t>Preferred option</w:t>
      </w:r>
    </w:p>
    <w:p w14:paraId="4DEF9AD3" w14:textId="77777777" w:rsidR="0040212B" w:rsidRDefault="0040212B" w:rsidP="0040212B">
      <w:r>
        <w:t xml:space="preserve">Informed by the outcomes of consultation, impacts, cost and outcomes analysis above, the preferred option is the </w:t>
      </w:r>
      <w:r>
        <w:rPr>
          <w:b/>
          <w:bCs/>
        </w:rPr>
        <w:t>regulatory option.</w:t>
      </w:r>
    </w:p>
    <w:p w14:paraId="7C137940" w14:textId="77777777" w:rsidR="0040212B" w:rsidRDefault="0040212B" w:rsidP="0040212B">
      <w:r>
        <w:t xml:space="preserve">The regulatory reform options amend the Transport Standards to co-locate and simplify existing requirements in a new section of the Transport Standards. This section would also contain some improved design requirements to improve accessibility. </w:t>
      </w:r>
    </w:p>
    <w:p w14:paraId="121F7BF9" w14:textId="77777777" w:rsidR="0040212B" w:rsidRDefault="0040212B" w:rsidP="0040212B">
      <w:r>
        <w:t>Referencing AS/EN 301 549 (2020) would align with the adoption and use of the standard in certain jurisdictions and provide a mechanism by which the Transport Standards could be updated more quickly in the future as the standard continues to be updated and provide national consistency in requirements.</w:t>
      </w:r>
    </w:p>
    <w:p w14:paraId="5CE3AC56" w14:textId="37DCE551" w:rsidR="0040212B" w:rsidRDefault="0040212B" w:rsidP="0040212B">
      <w:r>
        <w:t>Concerns</w:t>
      </w:r>
      <w:r w:rsidR="001921BA">
        <w:t xml:space="preserve"> about the location of fare system elements were</w:t>
      </w:r>
      <w:r>
        <w:t xml:space="preserve"> raised by some operators</w:t>
      </w:r>
      <w:r w:rsidR="001921BA">
        <w:t xml:space="preserve">. For example, some tram stops are limited in space due to their location and meeting prescriptive requirements may not be feasible. </w:t>
      </w:r>
      <w:r>
        <w:t xml:space="preserve">In </w:t>
      </w:r>
      <w:r>
        <w:lastRenderedPageBreak/>
        <w:t>instances where individual sites could not meet specific requirements in the new standard, equivalent access solutions and unjustifiable hardship mechanisms may be the most appropriate to address those situations.</w:t>
      </w:r>
    </w:p>
    <w:p w14:paraId="255757E1" w14:textId="77777777" w:rsidR="0040212B" w:rsidRDefault="0040212B" w:rsidP="0040212B">
      <w:r>
        <w:t>The benefit to people with disability, and other groups, would be in providing consistent standards across all fare systems at public transport sites. People with disability would have reduced risk of injury from trip and fall hazards and improved accessibility to public transport conveyances and buildings.</w:t>
      </w:r>
    </w:p>
    <w:p w14:paraId="22D31726" w14:textId="77777777" w:rsidR="009B2DD4" w:rsidRDefault="0040212B" w:rsidP="0040212B">
      <w:r>
        <w:t>The preferred option will be implemented through amendments to the Transport Standards and Guidelines. Operators and providers will be required to meet the new Transport Standards requirements prospectively with a trigger mechanism.</w:t>
      </w:r>
    </w:p>
    <w:p w14:paraId="172BE06D" w14:textId="77777777" w:rsidR="009B2DD4" w:rsidRDefault="009B2DD4" w:rsidP="009B2DD4">
      <w:r>
        <w:br w:type="page"/>
      </w:r>
    </w:p>
    <w:p w14:paraId="094D845A" w14:textId="0B480131" w:rsidR="005456F0" w:rsidRDefault="005456F0" w:rsidP="003B77C8">
      <w:pPr>
        <w:pStyle w:val="Heading2"/>
        <w:numPr>
          <w:ilvl w:val="0"/>
          <w:numId w:val="27"/>
        </w:numPr>
        <w:ind w:hanging="720"/>
      </w:pPr>
      <w:bookmarkStart w:id="439" w:name="_Toc127351780"/>
      <w:bookmarkStart w:id="440" w:name="_Toc140239738"/>
      <w:r w:rsidRPr="002F0A32">
        <w:lastRenderedPageBreak/>
        <w:t>Allocated spaces and priority seating in waiting areas</w:t>
      </w:r>
      <w:bookmarkEnd w:id="439"/>
      <w:bookmarkEnd w:id="440"/>
    </w:p>
    <w:p w14:paraId="7DDB207F" w14:textId="77777777" w:rsidR="005456F0" w:rsidRDefault="005456F0" w:rsidP="005456F0">
      <w:pPr>
        <w:pStyle w:val="Heading4"/>
      </w:pPr>
      <w:r>
        <w:t>Issue</w:t>
      </w:r>
    </w:p>
    <w:p w14:paraId="5A7AA3FE" w14:textId="77777777" w:rsidR="005456F0" w:rsidRDefault="005456F0" w:rsidP="005456F0">
      <w:r w:rsidRPr="00055BA2">
        <w:t xml:space="preserve">The Transport Standards </w:t>
      </w:r>
      <w:r>
        <w:t xml:space="preserve">require allocated spaces and priority seating be provided in waiting areas for premises and infrastructure. The Transport Standards specify five per cent of seats be identified, and five percent of the area be available, for passengers with disabilities, with a minimum provision of two seats and two allocated spaces. There is no clarity for operators and providers on how to manage situations where the percentage approach results in a decimal number. </w:t>
      </w:r>
      <w:r w:rsidRPr="00957B92">
        <w:t xml:space="preserve">In situations where </w:t>
      </w:r>
      <w:r w:rsidR="00A405F9" w:rsidRPr="00957B92">
        <w:t>only</w:t>
      </w:r>
      <w:r w:rsidRPr="00957B92">
        <w:t xml:space="preserve"> a single bench seat is provided, such as at suburban bus stops, it is unclear if the entire bench seat or a proportion of the bench seat </w:t>
      </w:r>
      <w:r>
        <w:t>should be identified</w:t>
      </w:r>
      <w:r w:rsidRPr="00957B92">
        <w:t>. There is also no</w:t>
      </w:r>
      <w:r>
        <w:t xml:space="preserve"> definition of waiting area in the Transport Standards. </w:t>
      </w:r>
    </w:p>
    <w:p w14:paraId="2DF22ADB" w14:textId="77777777" w:rsidR="005456F0" w:rsidRDefault="005456F0" w:rsidP="005456F0">
      <w:r>
        <w:t>There is an opportunity to clarify the requirements for allocated spaces and priority seating in waiting areas, which if done through amendments to the Transport Standards or guidelines will provide consistency across operators and providers.</w:t>
      </w:r>
    </w:p>
    <w:p w14:paraId="3E62D665" w14:textId="77777777" w:rsidR="005456F0" w:rsidRPr="00480A9A" w:rsidRDefault="005456F0" w:rsidP="005456F0">
      <w:r>
        <w:t>Collective government action would ensure adequate allocated and priority seating in waiting areas for people with disability and address key stakeholder issues raised through the Transport Standards review process.</w:t>
      </w:r>
    </w:p>
    <w:p w14:paraId="70C7BB6D" w14:textId="77777777" w:rsidR="005456F0" w:rsidRDefault="005456F0" w:rsidP="005456F0">
      <w:pPr>
        <w:pStyle w:val="Heading4"/>
        <w:tabs>
          <w:tab w:val="left" w:pos="284"/>
        </w:tabs>
      </w:pPr>
      <w:r>
        <w:t>Reform options</w:t>
      </w:r>
    </w:p>
    <w:p w14:paraId="396E4387" w14:textId="77777777" w:rsidR="005456F0" w:rsidRDefault="005456F0" w:rsidP="005456F0">
      <w:pPr>
        <w:tabs>
          <w:tab w:val="left" w:pos="284"/>
        </w:tabs>
      </w:pPr>
      <w:r>
        <w:t>Following is a summary of the proposed options for this reform. Full details of each reform option is provided at Appendix A.</w:t>
      </w:r>
    </w:p>
    <w:p w14:paraId="5621607E" w14:textId="01A76400" w:rsidR="005456F0" w:rsidRDefault="005456F0" w:rsidP="00A405F9">
      <w:pPr>
        <w:pStyle w:val="Tablefigureheading"/>
      </w:pPr>
      <w:bookmarkStart w:id="441" w:name="_Toc122446402"/>
      <w:bookmarkStart w:id="442" w:name="_Toc139969242"/>
      <w:r>
        <w:t xml:space="preserve">Table </w:t>
      </w:r>
      <w:fldSimple w:instr=" SEQ Table \* ARABIC ">
        <w:r w:rsidR="00DC26AC">
          <w:rPr>
            <w:noProof/>
          </w:rPr>
          <w:t>84</w:t>
        </w:r>
      </w:fldSimple>
      <w:r>
        <w:rPr>
          <w:noProof/>
        </w:rPr>
        <w:t>:</w:t>
      </w:r>
      <w:r>
        <w:t xml:space="preserve"> Reform options for allocated spaces and priority seating in waiting areas</w:t>
      </w:r>
      <w:bookmarkEnd w:id="441"/>
      <w:bookmarkEnd w:id="442"/>
    </w:p>
    <w:tbl>
      <w:tblPr>
        <w:tblStyle w:val="DefaultTable1"/>
        <w:tblW w:w="9072" w:type="dxa"/>
        <w:tblLook w:val="04A0" w:firstRow="1" w:lastRow="0" w:firstColumn="1" w:lastColumn="0" w:noHBand="0" w:noVBand="1"/>
        <w:tblCaption w:val="Reform options for requirement for allocated spaces and priority seating in waiting areas"/>
        <w:tblDescription w:val="This table provides a description of each of the options for this reform area. Status quo, non-regulatory and regulatory."/>
      </w:tblPr>
      <w:tblGrid>
        <w:gridCol w:w="2232"/>
        <w:gridCol w:w="6840"/>
      </w:tblGrid>
      <w:tr w:rsidR="005456F0" w:rsidRPr="003964B8" w14:paraId="2F13483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97FA26E" w14:textId="77777777" w:rsidR="005456F0" w:rsidRPr="003964B8" w:rsidRDefault="005456F0" w:rsidP="00C40DB2">
            <w:r>
              <w:t>Option</w:t>
            </w:r>
          </w:p>
        </w:tc>
        <w:tc>
          <w:tcPr>
            <w:tcW w:w="6840" w:type="dxa"/>
          </w:tcPr>
          <w:p w14:paraId="10873BF1" w14:textId="77777777" w:rsidR="005456F0" w:rsidRPr="003964B8" w:rsidRDefault="005456F0" w:rsidP="00C40DB2">
            <w:pPr>
              <w:cnfStyle w:val="100000000000" w:firstRow="1" w:lastRow="0" w:firstColumn="0" w:lastColumn="0" w:oddVBand="0" w:evenVBand="0" w:oddHBand="0" w:evenHBand="0" w:firstRowFirstColumn="0" w:firstRowLastColumn="0" w:lastRowFirstColumn="0" w:lastRowLastColumn="0"/>
            </w:pPr>
            <w:r>
              <w:t>Description</w:t>
            </w:r>
          </w:p>
        </w:tc>
      </w:tr>
      <w:tr w:rsidR="005456F0" w:rsidRPr="003964B8" w14:paraId="4CAA18A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1C5701F" w14:textId="77777777" w:rsidR="005456F0" w:rsidRPr="00653914" w:rsidRDefault="005456F0" w:rsidP="00C40DB2">
            <w:r w:rsidRPr="00653914">
              <w:t>Status Quo</w:t>
            </w:r>
          </w:p>
        </w:tc>
        <w:tc>
          <w:tcPr>
            <w:tcW w:w="6840" w:type="dxa"/>
          </w:tcPr>
          <w:p w14:paraId="5E6B1373" w14:textId="06B1D4E7" w:rsidR="005456F0"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 will continue to not clearly define what constitutes a waiting area</w:t>
            </w:r>
            <w:r w:rsidR="00673E80">
              <w:t>, how bench seats are managed and what to do if the percentage approach results in a decimal number</w:t>
            </w:r>
            <w:r>
              <w:t>.</w:t>
            </w:r>
          </w:p>
          <w:p w14:paraId="4CD619D7" w14:textId="77777777" w:rsidR="005456F0" w:rsidRPr="004633BA"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5456F0" w:rsidRPr="003964B8" w14:paraId="3F73379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47FDC4A" w14:textId="77777777" w:rsidR="005456F0" w:rsidRPr="00653914" w:rsidRDefault="005456F0" w:rsidP="00C40DB2">
            <w:r>
              <w:t xml:space="preserve">Non-regulatory </w:t>
            </w:r>
          </w:p>
        </w:tc>
        <w:tc>
          <w:tcPr>
            <w:tcW w:w="6840" w:type="dxa"/>
          </w:tcPr>
          <w:p w14:paraId="2832C9C4" w14:textId="77777777" w:rsidR="005456F0" w:rsidRPr="00095AEA" w:rsidRDefault="005456F0" w:rsidP="00C40DB2">
            <w:pPr>
              <w:cnfStyle w:val="000000000000" w:firstRow="0" w:lastRow="0" w:firstColumn="0" w:lastColumn="0" w:oddVBand="0" w:evenVBand="0" w:oddHBand="0" w:evenHBand="0" w:firstRowFirstColumn="0" w:firstRowLastColumn="0" w:lastRowFirstColumn="0" w:lastRowLastColumn="0"/>
            </w:pPr>
            <w:r>
              <w:t xml:space="preserve">Guidance would be developed to encourage </w:t>
            </w:r>
            <w:r w:rsidRPr="009110DD">
              <w:t>adequate provision of allocated spaces and priority seating in waiting areas.</w:t>
            </w:r>
          </w:p>
        </w:tc>
      </w:tr>
      <w:tr w:rsidR="005456F0" w:rsidRPr="003964B8" w14:paraId="273B7A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28C8CA" w14:textId="77777777" w:rsidR="005456F0" w:rsidRPr="00653914" w:rsidRDefault="005456F0" w:rsidP="00C40DB2">
            <w:r w:rsidRPr="00653914">
              <w:t>Regulatory</w:t>
            </w:r>
          </w:p>
        </w:tc>
        <w:tc>
          <w:tcPr>
            <w:tcW w:w="6840" w:type="dxa"/>
          </w:tcPr>
          <w:p w14:paraId="31ABCFEA"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the calculation of allocated spaces and priority seating in waiting areas using a ratio of 1:20. Specific requirements would also include:</w:t>
            </w:r>
          </w:p>
          <w:p w14:paraId="27541861" w14:textId="77777777" w:rsidR="005456F0" w:rsidRDefault="005456F0" w:rsidP="005456F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allocated space must not compromise the access path</w:t>
            </w:r>
          </w:p>
          <w:p w14:paraId="28B136AF" w14:textId="31F71DDB" w:rsidR="00673E80" w:rsidRPr="00673E80" w:rsidRDefault="005456F0" w:rsidP="00673E8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definition of a bench seat in the context of priority seating</w:t>
            </w:r>
          </w:p>
          <w:p w14:paraId="3E2F8027" w14:textId="076F330F" w:rsidR="005456F0" w:rsidRDefault="00673E80" w:rsidP="00C40DB2">
            <w:pPr>
              <w:cnfStyle w:val="000000100000" w:firstRow="0" w:lastRow="0" w:firstColumn="0" w:lastColumn="0" w:oddVBand="0" w:evenVBand="0" w:oddHBand="1" w:evenHBand="0" w:firstRowFirstColumn="0" w:firstRowLastColumn="0" w:lastRowFirstColumn="0" w:lastRowLastColumn="0"/>
            </w:pPr>
            <w:r>
              <w:t>A definition of waiting area will also be included</w:t>
            </w:r>
            <w:r w:rsidR="005456F0">
              <w:t>.</w:t>
            </w:r>
          </w:p>
          <w:p w14:paraId="60BBFF3C" w14:textId="709FD15B" w:rsidR="005456F0" w:rsidRPr="001509F0" w:rsidRDefault="005456F0"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FC591EC" w14:textId="77777777" w:rsidR="005456F0" w:rsidRDefault="005456F0" w:rsidP="005456F0"/>
    <w:p w14:paraId="497BDEBB" w14:textId="77777777" w:rsidR="005456F0" w:rsidRDefault="005456F0" w:rsidP="005456F0">
      <w:pPr>
        <w:pStyle w:val="Heading4"/>
        <w:tabs>
          <w:tab w:val="left" w:pos="284"/>
        </w:tabs>
      </w:pPr>
      <w:r>
        <w:t>Cost benefit analysis</w:t>
      </w:r>
    </w:p>
    <w:p w14:paraId="301C772A" w14:textId="77777777" w:rsidR="005456F0" w:rsidRPr="004225FF" w:rsidRDefault="005456F0" w:rsidP="004225FF">
      <w:pPr>
        <w:pStyle w:val="Heading5"/>
        <w:keepLines/>
        <w:spacing w:before="240"/>
        <w:rPr>
          <w:rFonts w:asciiTheme="majorHAnsi" w:eastAsiaTheme="majorEastAsia" w:hAnsiTheme="majorHAnsi" w:cstheme="majorBidi"/>
          <w:color w:val="44546A" w:themeColor="text2"/>
          <w:sz w:val="22"/>
          <w:szCs w:val="22"/>
          <w:lang w:val="en-AU"/>
        </w:rPr>
      </w:pPr>
      <w:r w:rsidRPr="004225FF">
        <w:rPr>
          <w:rFonts w:asciiTheme="majorHAnsi" w:eastAsiaTheme="majorEastAsia" w:hAnsiTheme="majorHAnsi" w:cstheme="majorBidi"/>
          <w:color w:val="44546A" w:themeColor="text2"/>
          <w:kern w:val="0"/>
          <w:sz w:val="22"/>
          <w:szCs w:val="22"/>
          <w:lang w:val="en-AU"/>
        </w:rPr>
        <w:t xml:space="preserve">Quantitative assessment </w:t>
      </w:r>
    </w:p>
    <w:p w14:paraId="4F1447D2" w14:textId="77777777" w:rsidR="005456F0" w:rsidRPr="00595D2C" w:rsidRDefault="005456F0" w:rsidP="005456F0">
      <w:r>
        <w:t xml:space="preserve">The following categories of quantitative costs and benefits were identified in the CBA as pertaining to the reform options. </w:t>
      </w:r>
    </w:p>
    <w:p w14:paraId="58141AA8" w14:textId="34F95FAA" w:rsidR="005456F0" w:rsidRDefault="005456F0" w:rsidP="00A405F9">
      <w:pPr>
        <w:pStyle w:val="Tablefigureheading"/>
      </w:pPr>
      <w:bookmarkStart w:id="443" w:name="_Toc122446403"/>
      <w:bookmarkStart w:id="444" w:name="_Toc139969243"/>
      <w:r>
        <w:lastRenderedPageBreak/>
        <w:t xml:space="preserve">Table </w:t>
      </w:r>
      <w:fldSimple w:instr=" SEQ Table \* ARABIC ">
        <w:r w:rsidR="00DC26AC">
          <w:rPr>
            <w:noProof/>
          </w:rPr>
          <w:t>85</w:t>
        </w:r>
      </w:fldSimple>
      <w:r>
        <w:t>: Benefit-cost ratios for allocated spaces and priority seating in waiting areas</w:t>
      </w:r>
      <w:bookmarkEnd w:id="443"/>
      <w:bookmarkEnd w:id="444"/>
    </w:p>
    <w:tbl>
      <w:tblPr>
        <w:tblStyle w:val="DefaultTable1"/>
        <w:tblW w:w="9864" w:type="dxa"/>
        <w:tblLook w:val="04A0" w:firstRow="1" w:lastRow="0" w:firstColumn="1" w:lastColumn="0" w:noHBand="0" w:noVBand="1"/>
        <w:tblCaption w:val="Benefit-cost ratios for allocated spaces and priority seating in waiting areas"/>
        <w:tblDescription w:val="This table provides the monetised benefits and costs for each of the options for this reform area."/>
      </w:tblPr>
      <w:tblGrid>
        <w:gridCol w:w="2410"/>
        <w:gridCol w:w="1276"/>
        <w:gridCol w:w="1701"/>
        <w:gridCol w:w="1843"/>
        <w:gridCol w:w="1559"/>
        <w:gridCol w:w="1075"/>
      </w:tblGrid>
      <w:tr w:rsidR="005456F0" w:rsidRPr="003964B8" w14:paraId="5D23BEE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64F70EE" w14:textId="77777777" w:rsidR="005456F0" w:rsidRPr="007A751F" w:rsidRDefault="08D050C4" w:rsidP="00C40DB2">
            <w:r w:rsidRPr="08D050C4">
              <w:t>Reform Option</w:t>
            </w:r>
          </w:p>
        </w:tc>
        <w:tc>
          <w:tcPr>
            <w:tcW w:w="1276" w:type="dxa"/>
          </w:tcPr>
          <w:p w14:paraId="00AC2265"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66B03E8D"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843" w:type="dxa"/>
          </w:tcPr>
          <w:p w14:paraId="125C9A77"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59" w:type="dxa"/>
          </w:tcPr>
          <w:p w14:paraId="059E941C"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2FA4B796"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5456F0" w:rsidRPr="00B04D0E" w14:paraId="1BF55C2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603DE0" w14:textId="77777777" w:rsidR="005456F0" w:rsidRPr="00653914" w:rsidRDefault="005456F0" w:rsidP="00C40DB2">
            <w:r w:rsidRPr="00653914">
              <w:t>Status Quo</w:t>
            </w:r>
          </w:p>
        </w:tc>
        <w:tc>
          <w:tcPr>
            <w:tcW w:w="1276" w:type="dxa"/>
          </w:tcPr>
          <w:p w14:paraId="6A32818E"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2EA113DB"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843" w:type="dxa"/>
          </w:tcPr>
          <w:p w14:paraId="74838848"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559" w:type="dxa"/>
          </w:tcPr>
          <w:p w14:paraId="7510162F"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052FF5CD"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56F0" w:rsidRPr="00B04D0E" w14:paraId="06C03575"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2EDD94EB" w14:textId="77777777" w:rsidR="005456F0" w:rsidRPr="00653914" w:rsidRDefault="005456F0" w:rsidP="00C40DB2">
            <w:r>
              <w:t xml:space="preserve">Non-regulatory </w:t>
            </w:r>
          </w:p>
        </w:tc>
        <w:tc>
          <w:tcPr>
            <w:tcW w:w="1276" w:type="dxa"/>
            <w:vAlign w:val="center"/>
          </w:tcPr>
          <w:p w14:paraId="05A6D72A"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65.3</w:t>
            </w:r>
          </w:p>
        </w:tc>
        <w:tc>
          <w:tcPr>
            <w:tcW w:w="1701" w:type="dxa"/>
          </w:tcPr>
          <w:p w14:paraId="6C9906ED"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843" w:type="dxa"/>
            <w:vAlign w:val="center"/>
          </w:tcPr>
          <w:p w14:paraId="45AB936E"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55.2</w:t>
            </w:r>
          </w:p>
        </w:tc>
        <w:tc>
          <w:tcPr>
            <w:tcW w:w="1559" w:type="dxa"/>
            <w:vAlign w:val="center"/>
          </w:tcPr>
          <w:p w14:paraId="6243BB00" w14:textId="77777777" w:rsidR="005456F0" w:rsidRPr="00A405F9" w:rsidRDefault="005456F0" w:rsidP="00C40DB2">
            <w:pPr>
              <w:cnfStyle w:val="000000000000" w:firstRow="0" w:lastRow="0" w:firstColumn="0" w:lastColumn="0" w:oddVBand="0" w:evenVBand="0" w:oddHBand="0" w:evenHBand="0" w:firstRowFirstColumn="0" w:firstRowLastColumn="0" w:lastRowFirstColumn="0" w:lastRowLastColumn="0"/>
              <w:rPr>
                <w:vertAlign w:val="superscript"/>
              </w:rPr>
            </w:pPr>
            <w:r w:rsidRPr="169A030C">
              <w:t>55.2</w:t>
            </w:r>
            <w:r w:rsidR="00A405F9" w:rsidRPr="169A030C">
              <w:rPr>
                <w:vertAlign w:val="superscript"/>
              </w:rPr>
              <w:t>i</w:t>
            </w:r>
          </w:p>
        </w:tc>
        <w:tc>
          <w:tcPr>
            <w:tcW w:w="1075" w:type="dxa"/>
            <w:vAlign w:val="center"/>
          </w:tcPr>
          <w:p w14:paraId="5B69D93F" w14:textId="77777777" w:rsidR="005456F0" w:rsidRPr="00A405F9" w:rsidRDefault="08D050C4" w:rsidP="08D050C4">
            <w:pPr>
              <w:cnfStyle w:val="000000000000" w:firstRow="0" w:lastRow="0" w:firstColumn="0" w:lastColumn="0" w:oddVBand="0" w:evenVBand="0" w:oddHBand="0" w:evenHBand="0" w:firstRowFirstColumn="0" w:firstRowLastColumn="0" w:lastRowFirstColumn="0" w:lastRowLastColumn="0"/>
            </w:pPr>
            <w:r w:rsidRPr="08D050C4">
              <w:t>1.18</w:t>
            </w:r>
          </w:p>
        </w:tc>
      </w:tr>
      <w:tr w:rsidR="005456F0" w:rsidRPr="00B04D0E" w14:paraId="603F11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6CF8EBE" w14:textId="77777777" w:rsidR="005456F0" w:rsidRPr="00653914" w:rsidRDefault="005456F0" w:rsidP="00C40DB2">
            <w:r>
              <w:t>Regulatory</w:t>
            </w:r>
          </w:p>
        </w:tc>
        <w:tc>
          <w:tcPr>
            <w:tcW w:w="1276" w:type="dxa"/>
            <w:vAlign w:val="center"/>
          </w:tcPr>
          <w:p w14:paraId="33A3BC35"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188.6</w:t>
            </w:r>
          </w:p>
        </w:tc>
        <w:tc>
          <w:tcPr>
            <w:tcW w:w="1701" w:type="dxa"/>
          </w:tcPr>
          <w:p w14:paraId="2B780509"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843" w:type="dxa"/>
            <w:vAlign w:val="center"/>
          </w:tcPr>
          <w:p w14:paraId="3666048F"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77.1</w:t>
            </w:r>
          </w:p>
        </w:tc>
        <w:tc>
          <w:tcPr>
            <w:tcW w:w="1559" w:type="dxa"/>
            <w:vAlign w:val="center"/>
          </w:tcPr>
          <w:p w14:paraId="02C9B712"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77.1</w:t>
            </w:r>
          </w:p>
        </w:tc>
        <w:tc>
          <w:tcPr>
            <w:tcW w:w="1075" w:type="dxa"/>
            <w:vAlign w:val="center"/>
          </w:tcPr>
          <w:p w14:paraId="0F80EE35" w14:textId="77777777" w:rsidR="005456F0" w:rsidRPr="00A405F9" w:rsidRDefault="08D050C4" w:rsidP="08D050C4">
            <w:pPr>
              <w:cnfStyle w:val="000000100000" w:firstRow="0" w:lastRow="0" w:firstColumn="0" w:lastColumn="0" w:oddVBand="0" w:evenVBand="0" w:oddHBand="1" w:evenHBand="0" w:firstRowFirstColumn="0" w:firstRowLastColumn="0" w:lastRowFirstColumn="0" w:lastRowLastColumn="0"/>
            </w:pPr>
            <w:r w:rsidRPr="08D050C4">
              <w:t>2.45</w:t>
            </w:r>
          </w:p>
        </w:tc>
      </w:tr>
    </w:tbl>
    <w:p w14:paraId="6E8A10C6" w14:textId="77777777" w:rsidR="005456F0" w:rsidRPr="00A405F9" w:rsidRDefault="005456F0" w:rsidP="005456F0">
      <w:pPr>
        <w:spacing w:before="120" w:after="0"/>
        <w:rPr>
          <w:sz w:val="18"/>
          <w:szCs w:val="18"/>
        </w:rPr>
      </w:pPr>
      <w:r w:rsidRPr="00A405F9">
        <w:rPr>
          <w:sz w:val="18"/>
          <w:szCs w:val="18"/>
          <w:vertAlign w:val="superscript"/>
        </w:rPr>
        <w:t>*</w:t>
      </w:r>
      <w:r w:rsidRPr="00A405F9">
        <w:rPr>
          <w:sz w:val="18"/>
          <w:szCs w:val="18"/>
        </w:rPr>
        <w:t>$M, 2022/23, real, discounted at 7% over a 15-year appraisal period after implementation of all reforms, assessed incrementally</w:t>
      </w:r>
    </w:p>
    <w:p w14:paraId="41B25CAA" w14:textId="77777777" w:rsidR="005456F0" w:rsidRPr="00A405F9"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7299AC6A" w14:textId="77777777" w:rsidR="00A405F9" w:rsidRDefault="00A405F9" w:rsidP="00A405F9"/>
    <w:p w14:paraId="0C78435D" w14:textId="77777777" w:rsidR="005456F0" w:rsidRDefault="005456F0" w:rsidP="005456F0">
      <w:pPr>
        <w:pStyle w:val="Heading6"/>
      </w:pPr>
      <w:r>
        <w:t>Considerations to note in interpreting analysis</w:t>
      </w:r>
    </w:p>
    <w:p w14:paraId="7CBD0D24" w14:textId="77777777" w:rsidR="005456F0" w:rsidRDefault="005456F0" w:rsidP="00A405F9">
      <w:pPr>
        <w:pStyle w:val="Heading7"/>
      </w:pPr>
      <w:r w:rsidRPr="008F2C5A">
        <w:t>Limitations</w:t>
      </w:r>
    </w:p>
    <w:p w14:paraId="7BAE0D6B" w14:textId="77777777" w:rsidR="005456F0" w:rsidRDefault="005456F0" w:rsidP="00A405F9">
      <w:pPr>
        <w:pStyle w:val="Heading8"/>
      </w:pPr>
      <w:r>
        <w:t>Non-regulatory</w:t>
      </w:r>
    </w:p>
    <w:p w14:paraId="5F45BF13" w14:textId="2DBA18FE" w:rsidR="005456F0" w:rsidRPr="00731C0B" w:rsidRDefault="005456F0" w:rsidP="004225FF">
      <w:r w:rsidRPr="00731C0B">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was applied to the non-regulatory option based on the low cost and complexity to implement the proposed change, and submissions indicating this would be easily achievable. </w:t>
      </w:r>
      <w:r w:rsidRPr="00731C0B">
        <w:t>This implies that the benefits and costs quantified for this non-regulatory reform may not reflect future take-up of the reform.</w:t>
      </w:r>
    </w:p>
    <w:p w14:paraId="11C029D3" w14:textId="77777777" w:rsidR="005456F0" w:rsidRDefault="005456F0" w:rsidP="00A405F9">
      <w:pPr>
        <w:pStyle w:val="Heading8"/>
      </w:pPr>
      <w:r>
        <w:t>Regulatory option</w:t>
      </w:r>
    </w:p>
    <w:p w14:paraId="762BBFC0" w14:textId="2C52447C" w:rsidR="005456F0" w:rsidRPr="00881CD9" w:rsidRDefault="005456F0" w:rsidP="00FB4BDA">
      <w:r w:rsidRPr="00881CD9">
        <w:t>The benefits and costs for this reform were estimated based on publicly available data and survey responses, proxied to estimate compliance at a national level. This implies the benefits and costs may not be fully reflective of existing compliance rates.</w:t>
      </w:r>
    </w:p>
    <w:p w14:paraId="07680EA8" w14:textId="77777777" w:rsidR="00A405F9" w:rsidRPr="00A405F9" w:rsidRDefault="005456F0" w:rsidP="004225FF">
      <w:r w:rsidRPr="00881CD9">
        <w:t>The benefits associated with this reform would accrue to all people with disability and people with restricted mobility.</w:t>
      </w:r>
    </w:p>
    <w:p w14:paraId="3E06F7B5" w14:textId="77777777" w:rsidR="00A405F9" w:rsidRDefault="005456F0" w:rsidP="00A405F9">
      <w:pPr>
        <w:pStyle w:val="Heading7"/>
      </w:pPr>
      <w:r w:rsidRPr="00F87E76">
        <w:t>Interdependencies</w:t>
      </w:r>
    </w:p>
    <w:p w14:paraId="2C59A8D5" w14:textId="77777777" w:rsidR="005456F0" w:rsidRPr="004225FF" w:rsidRDefault="08D050C4" w:rsidP="005456F0">
      <w:r>
        <w:t>This reform improves the amenity and safety of passengers while waiting for public transport, where accessibility benefits will only be realised if there was equitable access across the whole public transport journey, with benefits reliant on implementation of other reforms such as resting points, grabrails and nominated assistance boarding points.</w:t>
      </w:r>
    </w:p>
    <w:p w14:paraId="06AEB133" w14:textId="77777777" w:rsidR="005456F0" w:rsidRPr="004225FF" w:rsidRDefault="005456F0" w:rsidP="004225FF">
      <w:pPr>
        <w:pStyle w:val="Heading5"/>
        <w:keepLines/>
        <w:spacing w:before="240"/>
        <w:rPr>
          <w:rFonts w:asciiTheme="majorHAnsi" w:eastAsiaTheme="majorEastAsia" w:hAnsiTheme="majorHAnsi" w:cstheme="majorBidi"/>
          <w:color w:val="44546A" w:themeColor="text2"/>
          <w:sz w:val="22"/>
          <w:szCs w:val="22"/>
          <w:lang w:val="en-AU"/>
        </w:rPr>
      </w:pPr>
      <w:r w:rsidRPr="004225FF">
        <w:rPr>
          <w:rFonts w:asciiTheme="majorHAnsi" w:eastAsiaTheme="majorEastAsia" w:hAnsiTheme="majorHAnsi" w:cstheme="majorBidi"/>
          <w:color w:val="44546A" w:themeColor="text2"/>
          <w:kern w:val="0"/>
          <w:sz w:val="22"/>
          <w:szCs w:val="22"/>
          <w:lang w:val="en-AU"/>
        </w:rPr>
        <w:t xml:space="preserve">Qualitative assessment </w:t>
      </w:r>
    </w:p>
    <w:p w14:paraId="76D09F61" w14:textId="77777777" w:rsidR="000630B3" w:rsidRDefault="005456F0" w:rsidP="005456F0">
      <w:r>
        <w:t>The following categories of qualitative benefits were identified in the CBA as pertaining to the reform options.</w:t>
      </w:r>
    </w:p>
    <w:p w14:paraId="7B95D1EE" w14:textId="084C6EBF" w:rsidR="005456F0" w:rsidRDefault="005456F0" w:rsidP="00A405F9">
      <w:pPr>
        <w:pStyle w:val="Tablefigureheading"/>
      </w:pPr>
      <w:bookmarkStart w:id="445" w:name="_Toc122446404"/>
      <w:bookmarkStart w:id="446" w:name="_Toc139969244"/>
      <w:r>
        <w:t xml:space="preserve">Table </w:t>
      </w:r>
      <w:fldSimple w:instr=" SEQ Table \* ARABIC ">
        <w:r w:rsidR="00DC26AC">
          <w:rPr>
            <w:noProof/>
          </w:rPr>
          <w:t>86</w:t>
        </w:r>
      </w:fldSimple>
      <w:r>
        <w:rPr>
          <w:noProof/>
        </w:rPr>
        <w:t>:</w:t>
      </w:r>
      <w:r w:rsidRPr="00EE3F5F">
        <w:rPr>
          <w:noProof/>
        </w:rPr>
        <w:t xml:space="preserve"> </w:t>
      </w:r>
      <w:r>
        <w:t>Qualitative benefits for allocated spaces and priority seating in waiting areas</w:t>
      </w:r>
      <w:bookmarkEnd w:id="445"/>
      <w:bookmarkEnd w:id="446"/>
    </w:p>
    <w:tbl>
      <w:tblPr>
        <w:tblStyle w:val="DefaultTable1"/>
        <w:tblW w:w="9864" w:type="dxa"/>
        <w:tblLook w:val="04A0" w:firstRow="1" w:lastRow="0" w:firstColumn="1" w:lastColumn="0" w:noHBand="0" w:noVBand="1"/>
        <w:tblCaption w:val="Qualitative benefits for allocated spaces and priority seating in waiting areas"/>
      </w:tblPr>
      <w:tblGrid>
        <w:gridCol w:w="1213"/>
        <w:gridCol w:w="1343"/>
        <w:gridCol w:w="1626"/>
        <w:gridCol w:w="1300"/>
        <w:gridCol w:w="1278"/>
        <w:gridCol w:w="1641"/>
        <w:gridCol w:w="1463"/>
      </w:tblGrid>
      <w:tr w:rsidR="005456F0" w:rsidRPr="007A751F" w14:paraId="66ED1DC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DA39D49" w14:textId="77777777" w:rsidR="005456F0" w:rsidRPr="007A751F" w:rsidRDefault="08D050C4" w:rsidP="00C40DB2">
            <w:r w:rsidRPr="08D050C4">
              <w:t>Reform Option</w:t>
            </w:r>
          </w:p>
        </w:tc>
        <w:tc>
          <w:tcPr>
            <w:tcW w:w="1343" w:type="dxa"/>
          </w:tcPr>
          <w:p w14:paraId="48D5BCE1"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4ABBE8E4"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25E254E9"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76E03F90"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3F37E1D" w14:textId="77777777" w:rsidR="005456F0" w:rsidRPr="007A751F"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F39C951" w14:textId="77777777" w:rsidR="005456F0"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5456F0" w:rsidRPr="00B04D0E" w14:paraId="2BF35AD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19BAD10" w14:textId="77777777" w:rsidR="005456F0" w:rsidRPr="00653914" w:rsidRDefault="005456F0" w:rsidP="00C40DB2">
            <w:r w:rsidRPr="00653914">
              <w:t>Status Quo</w:t>
            </w:r>
          </w:p>
        </w:tc>
        <w:tc>
          <w:tcPr>
            <w:tcW w:w="1343" w:type="dxa"/>
          </w:tcPr>
          <w:p w14:paraId="3C4B15E1"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27933520"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5569E50A"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b/>
                <w:bCs/>
                <w:sz w:val="21"/>
                <w:szCs w:val="21"/>
              </w:rPr>
            </w:pPr>
            <w:r w:rsidRPr="08D050C4">
              <w:rPr>
                <w:sz w:val="21"/>
                <w:szCs w:val="21"/>
              </w:rPr>
              <w:t>-</w:t>
            </w:r>
          </w:p>
        </w:tc>
        <w:tc>
          <w:tcPr>
            <w:tcW w:w="1278" w:type="dxa"/>
          </w:tcPr>
          <w:p w14:paraId="5A84975C"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2BAF7F63"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06B6C013"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5456F0" w:rsidRPr="00B04D0E" w14:paraId="0BE2BBC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1F0BDF4" w14:textId="77777777" w:rsidR="005456F0" w:rsidRPr="00653914" w:rsidRDefault="005456F0" w:rsidP="00C40DB2">
            <w:r>
              <w:t xml:space="preserve">Non-regulatory </w:t>
            </w:r>
          </w:p>
        </w:tc>
        <w:tc>
          <w:tcPr>
            <w:tcW w:w="1343" w:type="dxa"/>
          </w:tcPr>
          <w:p w14:paraId="7BB3F6EE"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4214F8A1"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39930F2E" w14:textId="77777777" w:rsidR="005456F0" w:rsidRPr="004225FF"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59BA379E" w14:textId="77777777" w:rsidR="005456F0"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57F4956B" w14:textId="77777777" w:rsidR="005456F0" w:rsidRPr="00B04D0E" w:rsidRDefault="005456F0" w:rsidP="00C40DB2">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5D150EB9" w14:textId="77777777" w:rsidR="005456F0" w:rsidRPr="00B04D0E" w:rsidRDefault="08D050C4" w:rsidP="00C40DB2">
            <w:pPr>
              <w:cnfStyle w:val="000000000000" w:firstRow="0" w:lastRow="0" w:firstColumn="0" w:lastColumn="0" w:oddVBand="0" w:evenVBand="0" w:oddHBand="0" w:evenHBand="0" w:firstRowFirstColumn="0" w:firstRowLastColumn="0" w:lastRowFirstColumn="0" w:lastRowLastColumn="0"/>
            </w:pPr>
            <w:r>
              <w:t>-</w:t>
            </w:r>
          </w:p>
        </w:tc>
      </w:tr>
      <w:tr w:rsidR="005456F0" w:rsidRPr="00B04D0E" w14:paraId="2A207E4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44AA2B4" w14:textId="77777777" w:rsidR="005456F0" w:rsidRPr="00653914" w:rsidRDefault="005456F0" w:rsidP="00C40DB2">
            <w:r>
              <w:t>Regulatory</w:t>
            </w:r>
          </w:p>
        </w:tc>
        <w:tc>
          <w:tcPr>
            <w:tcW w:w="1343" w:type="dxa"/>
          </w:tcPr>
          <w:p w14:paraId="0E508BF7"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43163B87"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46F677BE" w14:textId="77777777" w:rsidR="005456F0" w:rsidRPr="004225FF"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85C9BB9" w14:textId="77777777" w:rsidR="005456F0"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3CEF109" w14:textId="77777777" w:rsidR="005456F0" w:rsidRPr="00B04D0E" w:rsidRDefault="005456F0" w:rsidP="00C40DB2">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5019E3F" w14:textId="77777777" w:rsidR="005456F0" w:rsidRPr="00B04D0E" w:rsidRDefault="08D050C4" w:rsidP="00C40DB2">
            <w:pPr>
              <w:cnfStyle w:val="000000100000" w:firstRow="0" w:lastRow="0" w:firstColumn="0" w:lastColumn="0" w:oddVBand="0" w:evenVBand="0" w:oddHBand="1" w:evenHBand="0" w:firstRowFirstColumn="0" w:firstRowLastColumn="0" w:lastRowFirstColumn="0" w:lastRowLastColumn="0"/>
            </w:pPr>
            <w:r>
              <w:t>-</w:t>
            </w:r>
          </w:p>
        </w:tc>
      </w:tr>
    </w:tbl>
    <w:p w14:paraId="3B9A1847" w14:textId="77777777" w:rsidR="005456F0" w:rsidRDefault="005456F0" w:rsidP="005456F0"/>
    <w:p w14:paraId="21A24080" w14:textId="77777777" w:rsidR="005456F0" w:rsidRPr="00855E73" w:rsidRDefault="005456F0" w:rsidP="005456F0">
      <w:pPr>
        <w:pStyle w:val="Heading4"/>
        <w:tabs>
          <w:tab w:val="left" w:pos="284"/>
        </w:tabs>
      </w:pPr>
      <w:r>
        <w:lastRenderedPageBreak/>
        <w:t xml:space="preserve">Analysis of submissions </w:t>
      </w:r>
    </w:p>
    <w:p w14:paraId="689126C5" w14:textId="77777777" w:rsidR="005456F0" w:rsidRPr="00855E73" w:rsidRDefault="005456F0" w:rsidP="005456F0">
      <w:pPr>
        <w:pStyle w:val="Heading5"/>
      </w:pPr>
      <w:r w:rsidRPr="00855E73">
        <w:t>Status quo</w:t>
      </w:r>
    </w:p>
    <w:p w14:paraId="23893D38" w14:textId="5C26A242" w:rsidR="005456F0" w:rsidRDefault="005456F0" w:rsidP="005456F0">
      <w:r>
        <w:t xml:space="preserve">Under the status quo, the number of allocated spaces and priority seats would continue to be calculated using a percentage rule. Where the calculation results in a decimal number, this may lead to inconsistencies in interpretation as to whether the number provided should be rounded up or down. This may lead to a lower </w:t>
      </w:r>
      <w:r w:rsidR="00673E80">
        <w:t>number</w:t>
      </w:r>
      <w:r>
        <w:t xml:space="preserve"> of priority seats and allocated spaces being provided than otherwise would be provided.</w:t>
      </w:r>
    </w:p>
    <w:p w14:paraId="62FE452A" w14:textId="77777777" w:rsidR="005456F0" w:rsidRDefault="005456F0" w:rsidP="005456F0">
      <w:r>
        <w:t>Consultation findings indicated that calculating the number of priority seats and allocated spaces using a ratio method and defining a waiting area would provide greater clarity for operators and providers and greater certainty and amenity for people with disability.</w:t>
      </w:r>
    </w:p>
    <w:p w14:paraId="4FB04276" w14:textId="77777777" w:rsidR="005456F0" w:rsidRDefault="005456F0" w:rsidP="005456F0">
      <w:pPr>
        <w:pStyle w:val="Quote"/>
        <w:rPr>
          <w:shd w:val="clear" w:color="auto" w:fill="FFFFFF"/>
        </w:rPr>
      </w:pPr>
      <w:r>
        <w:rPr>
          <w:shd w:val="clear" w:color="auto" w:fill="FFFFFF"/>
        </w:rPr>
        <w:t>Having clearly identifiable accessible spaces and priority seating in waiting areas would assist people with disability to comfortably wait for public transport.</w:t>
      </w:r>
    </w:p>
    <w:p w14:paraId="37F2796A" w14:textId="77777777" w:rsidR="005456F0" w:rsidRPr="00293B82" w:rsidRDefault="005456F0" w:rsidP="005456F0">
      <w:pPr>
        <w:pStyle w:val="Quote"/>
        <w:rPr>
          <w:shd w:val="clear" w:color="auto" w:fill="FFFFFF"/>
        </w:rPr>
      </w:pPr>
      <w:r w:rsidRPr="0015415B">
        <w:rPr>
          <w:shd w:val="clear" w:color="auto" w:fill="FFFFFF"/>
        </w:rPr>
        <w:t xml:space="preserve">Physical Disability Council </w:t>
      </w:r>
      <w:r>
        <w:rPr>
          <w:shd w:val="clear" w:color="auto" w:fill="FFFFFF"/>
        </w:rPr>
        <w:t xml:space="preserve">of </w:t>
      </w:r>
      <w:r w:rsidRPr="0015415B">
        <w:rPr>
          <w:shd w:val="clear" w:color="auto" w:fill="FFFFFF"/>
        </w:rPr>
        <w:t>NSW</w:t>
      </w:r>
    </w:p>
    <w:p w14:paraId="6C28BB76" w14:textId="7593B3DF" w:rsidR="005456F0" w:rsidRPr="00B16E9E" w:rsidRDefault="005456F0" w:rsidP="005456F0">
      <w:r w:rsidRPr="00B16E9E">
        <w:t>The status quo was only supported by one s</w:t>
      </w:r>
      <w:r>
        <w:t>ubmission</w:t>
      </w:r>
      <w:r w:rsidRPr="00B16E9E">
        <w:t xml:space="preserve"> out of the 2</w:t>
      </w:r>
      <w:r>
        <w:t>0</w:t>
      </w:r>
      <w:r w:rsidRPr="00B16E9E">
        <w:t xml:space="preserve"> </w:t>
      </w:r>
      <w:r>
        <w:t>that</w:t>
      </w:r>
      <w:r w:rsidRPr="00B16E9E">
        <w:t xml:space="preserve"> indicated a preference </w:t>
      </w:r>
      <w:r w:rsidR="00673E80">
        <w:t>for</w:t>
      </w:r>
      <w:r w:rsidRPr="00B16E9E">
        <w:t xml:space="preserve"> this</w:t>
      </w:r>
      <w:r w:rsidR="00673E80">
        <w:t xml:space="preserve"> reform</w:t>
      </w:r>
      <w:r w:rsidRPr="00B16E9E">
        <w:t xml:space="preserve">. </w:t>
      </w:r>
      <w:r>
        <w:t xml:space="preserve">This is because the stakeholder, as an operator, provides ample priority seating and sufficient space for mobility aids in the waiting room. </w:t>
      </w:r>
    </w:p>
    <w:p w14:paraId="71AC838B" w14:textId="77777777" w:rsidR="005456F0" w:rsidRDefault="005456F0" w:rsidP="005456F0">
      <w:r w:rsidRPr="007C1F7B">
        <w:t>Maintaining the status quo has no on-going costs for public transports operators and providers; however, negative impacts on accessibility remain.</w:t>
      </w:r>
      <w:r>
        <w:t xml:space="preserve"> There would be lost opportunity for clarity for operators and providers on what constitutes a waiting area and how to calculate the number of allocated spaces and priority seats.</w:t>
      </w:r>
    </w:p>
    <w:p w14:paraId="023F5812" w14:textId="77777777" w:rsidR="005456F0" w:rsidRPr="00855E73" w:rsidRDefault="005456F0" w:rsidP="005456F0">
      <w:pPr>
        <w:pStyle w:val="Heading5"/>
      </w:pPr>
      <w:r w:rsidRPr="00855E73">
        <w:t>Non-regulatory</w:t>
      </w:r>
    </w:p>
    <w:p w14:paraId="532265A8" w14:textId="77777777" w:rsidR="005456F0" w:rsidRPr="00CC2FE0" w:rsidRDefault="005456F0" w:rsidP="005456F0">
      <w:r w:rsidRPr="00B8300B">
        <w:t xml:space="preserve">Three of eleven responses from industry and government stakeholders preferred the non-regulatory option. Those who supported the non-regulatory option noted the non-regulatory option provided the flexibility to cater for differences between modes and allow for innovation. </w:t>
      </w:r>
      <w:r>
        <w:t>For example, o</w:t>
      </w:r>
      <w:r w:rsidRPr="00B8300B">
        <w:t xml:space="preserve">ne stakeholder viewed the non-regulatory option as most appropriate for the tram environment given the competing priorities for road </w:t>
      </w:r>
      <w:r>
        <w:t>and/</w:t>
      </w:r>
      <w:r w:rsidRPr="00B8300B">
        <w:t xml:space="preserve">or footpath space. </w:t>
      </w:r>
      <w:r>
        <w:t xml:space="preserve">Another </w:t>
      </w:r>
      <w:r w:rsidRPr="00CC2FE0">
        <w:t>stakeholder indicated they had received feedback that some people with disability feel uncomfortable with clearly identifiable seating and spaces.</w:t>
      </w:r>
    </w:p>
    <w:p w14:paraId="69A2C3EF" w14:textId="77777777" w:rsidR="005456F0" w:rsidRDefault="005456F0" w:rsidP="005456F0">
      <w:r w:rsidRPr="008F2AD2">
        <w:t>Due to the discretionary nature of this option, it does not provide certainty that operators and providers will use the ratio method when calculating the number of priority seats and allocated space</w:t>
      </w:r>
      <w:r>
        <w:t xml:space="preserve">s. </w:t>
      </w:r>
      <w:r w:rsidRPr="008F2AD2">
        <w:t xml:space="preserve">If guidance is not followed, the impact on people </w:t>
      </w:r>
      <w:r>
        <w:t xml:space="preserve">with disability </w:t>
      </w:r>
      <w:r w:rsidRPr="008F2AD2">
        <w:t>would be decreased amenity</w:t>
      </w:r>
      <w:r>
        <w:t xml:space="preserve"> through insufficient priority seats or allocated spaces in waiting areas.</w:t>
      </w:r>
    </w:p>
    <w:p w14:paraId="244399DE" w14:textId="77777777" w:rsidR="005456F0" w:rsidRPr="00825ECF" w:rsidRDefault="005456F0" w:rsidP="005456F0">
      <w:r w:rsidRPr="0077061A">
        <w:t xml:space="preserve">To the extent that </w:t>
      </w:r>
      <w:r>
        <w:t xml:space="preserve">guidance is followed, costs would be incurred if the number of priority seats and allocated spaces in an existing waiting area were less than the number calculated using the ratio. Costs would also be incurred if marking for the allocated spaces and installation of signage was needed. </w:t>
      </w:r>
    </w:p>
    <w:p w14:paraId="50729EA8" w14:textId="77777777" w:rsidR="005456F0" w:rsidRPr="00855E73" w:rsidRDefault="005456F0" w:rsidP="005456F0">
      <w:pPr>
        <w:pStyle w:val="Heading5"/>
      </w:pPr>
      <w:r w:rsidRPr="00855E73">
        <w:t>Regulatory</w:t>
      </w:r>
    </w:p>
    <w:p w14:paraId="583D7809" w14:textId="77777777" w:rsidR="005456F0" w:rsidRDefault="08D050C4" w:rsidP="005456F0">
      <w:r>
        <w:t>The regulatory option was the preferred option for individuals, people with disability and disability organisations. Submissions from these stakeholders highlighted the consistency, clarity and inclusion benefits that would come from this option. The importance of identifying priority seating and allocated spaces was raised, along with availability concerns. One stakeholder suggested that the ratio should be changed to 1 in 15 to futureproof the requirement. A concern was raised that braille and tactile signage should be provided, rather than provided where practicable.</w:t>
      </w:r>
    </w:p>
    <w:p w14:paraId="4932C56A" w14:textId="77777777" w:rsidR="005456F0" w:rsidRPr="007322D5" w:rsidRDefault="005456F0" w:rsidP="005456F0">
      <w:r w:rsidRPr="007322D5">
        <w:t>A majority of government and operator and provider s</w:t>
      </w:r>
      <w:r>
        <w:t>ubmissions</w:t>
      </w:r>
      <w:r w:rsidRPr="007322D5">
        <w:t xml:space="preserve"> (seven of eleven) preferred the regulatory option. Those who supported the regulatory option noted it would provide clarity for operators and providers and increase amenity for people with disability. Similar to the non-regulatory option, a government stakeholder noted that consultation with people with disability </w:t>
      </w:r>
      <w:r>
        <w:t xml:space="preserve">indicated some </w:t>
      </w:r>
      <w:r w:rsidRPr="007322D5">
        <w:t xml:space="preserve">preferred not to wait in a marked allocated space. A concern was raised with having bus stops subject to the minimum requirement </w:t>
      </w:r>
      <w:r w:rsidRPr="007322D5">
        <w:lastRenderedPageBreak/>
        <w:t>(two priority seats and allocated spaces) due to the limited space available at bus stops. A minimum of one priority se</w:t>
      </w:r>
      <w:r>
        <w:t>a</w:t>
      </w:r>
      <w:r w:rsidRPr="007322D5">
        <w:t xml:space="preserve">t and allocated space was recommended instead. </w:t>
      </w:r>
    </w:p>
    <w:p w14:paraId="3BCC4CAC" w14:textId="77777777" w:rsidR="005456F0" w:rsidRPr="00825ECF" w:rsidRDefault="005456F0" w:rsidP="005456F0">
      <w:r>
        <w:t>Some submissions noted that t</w:t>
      </w:r>
      <w:r w:rsidRPr="007322D5">
        <w:t>he impact of implementing this option was minimal</w:t>
      </w:r>
      <w:r>
        <w:t xml:space="preserve"> - it </w:t>
      </w:r>
      <w:r w:rsidRPr="007322D5">
        <w:t>may require reconfiguration of existing waiting areas</w:t>
      </w:r>
      <w:r>
        <w:t xml:space="preserve"> or</w:t>
      </w:r>
      <w:r w:rsidRPr="007322D5">
        <w:t xml:space="preserve"> </w:t>
      </w:r>
      <w:r>
        <w:t xml:space="preserve">a </w:t>
      </w:r>
      <w:r w:rsidRPr="007322D5">
        <w:t>reduc</w:t>
      </w:r>
      <w:r>
        <w:t>tion in</w:t>
      </w:r>
      <w:r w:rsidRPr="007322D5">
        <w:t xml:space="preserve"> seating capacity. </w:t>
      </w:r>
    </w:p>
    <w:p w14:paraId="27A6422B" w14:textId="07033010" w:rsidR="005456F0" w:rsidRDefault="005456F0" w:rsidP="005456F0">
      <w:pPr>
        <w:pStyle w:val="Heading4"/>
      </w:pPr>
      <w:r>
        <w:t>Preferred option</w:t>
      </w:r>
    </w:p>
    <w:p w14:paraId="304543BD" w14:textId="2154EE0A" w:rsidR="005456F0" w:rsidRDefault="005456F0" w:rsidP="005456F0">
      <w:r>
        <w:t xml:space="preserve">Informed by the outcomes of consultation, impacts, cost and outcomes analysis above, the preferred option is the </w:t>
      </w:r>
      <w:r w:rsidRPr="00DE4BC7">
        <w:rPr>
          <w:b/>
        </w:rPr>
        <w:t>regulatory option</w:t>
      </w:r>
      <w:r w:rsidR="00D87323">
        <w:rPr>
          <w:b/>
        </w:rPr>
        <w:t xml:space="preserve"> with revisions</w:t>
      </w:r>
      <w:r>
        <w:t xml:space="preserve">. </w:t>
      </w:r>
    </w:p>
    <w:p w14:paraId="5AA7DB55" w14:textId="3BA9C4D3" w:rsidR="00EC56A5" w:rsidRPr="004B7ECA" w:rsidRDefault="00EC56A5" w:rsidP="00EC56A5">
      <w:pPr>
        <w:pStyle w:val="Style5"/>
        <w:framePr w:wrap="around"/>
      </w:pPr>
      <w:r>
        <w:t xml:space="preserve">In response to concerns regarding the limited space available at bus stops, this option will be refined to include a minimum requirement of one priority seat and one allocated space for bus stops. </w:t>
      </w:r>
    </w:p>
    <w:p w14:paraId="45B8DAEC" w14:textId="77777777" w:rsidR="00EC56A5" w:rsidRDefault="00EC56A5" w:rsidP="005456F0"/>
    <w:p w14:paraId="6C447483" w14:textId="2AE2468A" w:rsidR="005456F0" w:rsidRDefault="08D050C4" w:rsidP="005456F0">
      <w:r>
        <w:t>The regulatory option was the preferred option amongst the stakeholders who expressed a preference during the consultation process (14 out of 20). There was agreement the regulatory option would provide clarity for operators and providers and would enhance consistency and inclusion for people with disability and carers. The costs in implementing the regulatory option were noted as minimal and likely to only involve floor marking and signage.</w:t>
      </w:r>
    </w:p>
    <w:p w14:paraId="1936B10A" w14:textId="77777777" w:rsidR="00C40DB2" w:rsidRDefault="005456F0" w:rsidP="005456F0">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62329264" w14:textId="77777777" w:rsidR="00C40DB2" w:rsidRDefault="00C40DB2" w:rsidP="00C40DB2">
      <w:r>
        <w:br w:type="page"/>
      </w:r>
    </w:p>
    <w:p w14:paraId="4926E44A" w14:textId="458229D2" w:rsidR="00C40DB2" w:rsidRPr="00D250CD" w:rsidRDefault="00C40DB2" w:rsidP="003B77C8">
      <w:pPr>
        <w:pStyle w:val="Heading2"/>
        <w:numPr>
          <w:ilvl w:val="0"/>
          <w:numId w:val="27"/>
        </w:numPr>
        <w:ind w:hanging="720"/>
      </w:pPr>
      <w:bookmarkStart w:id="447" w:name="_Toc127351781"/>
      <w:bookmarkStart w:id="448" w:name="_Toc140239739"/>
      <w:r w:rsidRPr="00D250CD">
        <w:lastRenderedPageBreak/>
        <w:t>Accessible toilets with equal proportion of left- and right-hand configurations</w:t>
      </w:r>
      <w:bookmarkEnd w:id="447"/>
      <w:bookmarkEnd w:id="448"/>
    </w:p>
    <w:p w14:paraId="7410BC2D" w14:textId="77777777" w:rsidR="00C40DB2" w:rsidRDefault="00C40DB2" w:rsidP="00C40DB2">
      <w:pPr>
        <w:pStyle w:val="Heading4"/>
        <w:tabs>
          <w:tab w:val="left" w:pos="284"/>
        </w:tabs>
      </w:pPr>
      <w:r>
        <w:t>Issue</w:t>
      </w:r>
    </w:p>
    <w:p w14:paraId="41100D9F" w14:textId="77777777" w:rsidR="00C40DB2" w:rsidRPr="00856AE8" w:rsidRDefault="00C40DB2" w:rsidP="00C40DB2">
      <w:pPr>
        <w:tabs>
          <w:tab w:val="left" w:pos="284"/>
        </w:tabs>
      </w:pPr>
      <w:r w:rsidRPr="00856AE8">
        <w:t xml:space="preserve">Accessible toilets are not always provided in equal proportion of left- and right-hand design, leaving some people with disability unable to use them. </w:t>
      </w:r>
      <w:r>
        <w:t>Where</w:t>
      </w:r>
      <w:r w:rsidRPr="00856AE8">
        <w:t xml:space="preserve"> accessible toilets on conveyances with an equal proportion of left- and right-hand configurations</w:t>
      </w:r>
      <w:r>
        <w:t xml:space="preserve"> is provided, </w:t>
      </w:r>
      <w:r w:rsidRPr="00856AE8">
        <w:t xml:space="preserve">people can choose an accessible toilet design </w:t>
      </w:r>
      <w:r>
        <w:t>suits</w:t>
      </w:r>
      <w:r w:rsidRPr="00856AE8">
        <w:t xml:space="preserve"> their needs. </w:t>
      </w:r>
    </w:p>
    <w:p w14:paraId="1FE76F98" w14:textId="77777777" w:rsidR="00C40DB2" w:rsidRDefault="00C40DB2" w:rsidP="00C40DB2">
      <w:pPr>
        <w:tabs>
          <w:tab w:val="left" w:pos="284"/>
        </w:tabs>
      </w:pPr>
      <w:r>
        <w:t>Collective government action would ensure accessible toilets are provided in equal proportion of left- and right-hand design and would promote consistency with the Premises Standards, as well as addressing key stakeholder issues raised through the Transport Standards review process.</w:t>
      </w:r>
    </w:p>
    <w:p w14:paraId="0CB0E41A" w14:textId="77777777" w:rsidR="00C40DB2" w:rsidRDefault="00C40DB2" w:rsidP="00C40DB2">
      <w:pPr>
        <w:pStyle w:val="Heading4"/>
        <w:tabs>
          <w:tab w:val="left" w:pos="284"/>
        </w:tabs>
      </w:pPr>
      <w:r>
        <w:t>Reform options</w:t>
      </w:r>
    </w:p>
    <w:p w14:paraId="792B70AA" w14:textId="77777777" w:rsidR="00C40DB2" w:rsidRDefault="00C40DB2" w:rsidP="00C40DB2">
      <w:pPr>
        <w:tabs>
          <w:tab w:val="left" w:pos="284"/>
        </w:tabs>
      </w:pPr>
      <w:r>
        <w:t>Following is a summary of the proposed options for this reform. Full details of each reform option is provided at Appendix A.</w:t>
      </w:r>
    </w:p>
    <w:p w14:paraId="128E24F1" w14:textId="03E8E781" w:rsidR="00C40DB2" w:rsidRPr="005B09D3" w:rsidRDefault="00C40DB2" w:rsidP="00C40DB2">
      <w:pPr>
        <w:pStyle w:val="Tablefigureheading"/>
      </w:pPr>
      <w:bookmarkStart w:id="449" w:name="_Toc122446405"/>
      <w:bookmarkStart w:id="450" w:name="_Toc139969245"/>
      <w:r w:rsidRPr="005B09D3">
        <w:t xml:space="preserve">Table </w:t>
      </w:r>
      <w:fldSimple w:instr=" SEQ Table \* ARABIC ">
        <w:r w:rsidR="00DC26AC">
          <w:rPr>
            <w:noProof/>
          </w:rPr>
          <w:t>87</w:t>
        </w:r>
      </w:fldSimple>
      <w:r w:rsidRPr="005B09D3">
        <w:rPr>
          <w:noProof/>
        </w:rPr>
        <w:t>:</w:t>
      </w:r>
      <w:r w:rsidRPr="005B09D3">
        <w:t xml:space="preserve"> Reform options for accessible toilets with equal proportion of left- and right-hand configurations</w:t>
      </w:r>
      <w:bookmarkEnd w:id="449"/>
      <w:bookmarkEnd w:id="450"/>
    </w:p>
    <w:tbl>
      <w:tblPr>
        <w:tblStyle w:val="DefaultTable1"/>
        <w:tblW w:w="9072" w:type="dxa"/>
        <w:tblLook w:val="04A0" w:firstRow="1" w:lastRow="0" w:firstColumn="1" w:lastColumn="0" w:noHBand="0" w:noVBand="1"/>
        <w:tblCaption w:val="Reform options for accessible toilets with equal proportion of left- and right-hand configurations"/>
        <w:tblDescription w:val="This table provides a description of each of the options for this reform area. Status quo, non-regulatory and regulatory."/>
      </w:tblPr>
      <w:tblGrid>
        <w:gridCol w:w="2232"/>
        <w:gridCol w:w="6840"/>
      </w:tblGrid>
      <w:tr w:rsidR="00C40DB2" w:rsidRPr="003964B8" w14:paraId="04853FF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22BFCB3" w14:textId="77777777" w:rsidR="00C40DB2" w:rsidRPr="003964B8" w:rsidRDefault="00C40DB2" w:rsidP="00C40DB2">
            <w:r>
              <w:t>Option</w:t>
            </w:r>
          </w:p>
        </w:tc>
        <w:tc>
          <w:tcPr>
            <w:tcW w:w="6840" w:type="dxa"/>
          </w:tcPr>
          <w:p w14:paraId="1C8A665A" w14:textId="77777777" w:rsidR="00C40DB2" w:rsidRPr="003964B8" w:rsidRDefault="00C40DB2" w:rsidP="00C40DB2">
            <w:pPr>
              <w:cnfStyle w:val="100000000000" w:firstRow="1" w:lastRow="0" w:firstColumn="0" w:lastColumn="0" w:oddVBand="0" w:evenVBand="0" w:oddHBand="0" w:evenHBand="0" w:firstRowFirstColumn="0" w:firstRowLastColumn="0" w:lastRowFirstColumn="0" w:lastRowLastColumn="0"/>
            </w:pPr>
            <w:r>
              <w:t>Description</w:t>
            </w:r>
          </w:p>
        </w:tc>
      </w:tr>
      <w:tr w:rsidR="00C40DB2" w:rsidRPr="003964B8" w14:paraId="07B3F5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6F3EC8E" w14:textId="77777777" w:rsidR="00C40DB2" w:rsidRPr="00653914" w:rsidRDefault="00C40DB2" w:rsidP="00C40DB2">
            <w:r w:rsidRPr="00653914">
              <w:t>Status Quo</w:t>
            </w:r>
          </w:p>
        </w:tc>
        <w:tc>
          <w:tcPr>
            <w:tcW w:w="6840" w:type="dxa"/>
          </w:tcPr>
          <w:p w14:paraId="56C6C6CC" w14:textId="324E42BE" w:rsidR="00C40DB2" w:rsidRDefault="00C40DB2" w:rsidP="00C40DB2">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require </w:t>
            </w:r>
            <w:r w:rsidRPr="00905805">
              <w:t>toilets of both left</w:t>
            </w:r>
            <w:r w:rsidR="00642F09">
              <w:t>-</w:t>
            </w:r>
            <w:r w:rsidRPr="00905805">
              <w:t xml:space="preserve"> and right</w:t>
            </w:r>
            <w:r w:rsidR="00642F09">
              <w:t>-</w:t>
            </w:r>
            <w:r w:rsidRPr="00905805">
              <w:t xml:space="preserve">hand </w:t>
            </w:r>
            <w:r w:rsidR="00642F09">
              <w:t>design</w:t>
            </w:r>
            <w:r w:rsidRPr="00905805">
              <w:t xml:space="preserve"> where a train or ferry has two or more accessible toilets</w:t>
            </w:r>
            <w:r>
              <w:t>.</w:t>
            </w:r>
          </w:p>
          <w:p w14:paraId="22C55754" w14:textId="77777777" w:rsidR="00C40DB2" w:rsidRPr="00B04D0E" w:rsidRDefault="00C40DB2" w:rsidP="00C40DB2">
            <w:pPr>
              <w:cnfStyle w:val="000000100000" w:firstRow="0" w:lastRow="0" w:firstColumn="0" w:lastColumn="0" w:oddVBand="0" w:evenVBand="0" w:oddHBand="1" w:evenHBand="0" w:firstRowFirstColumn="0" w:firstRowLastColumn="0" w:lastRowFirstColumn="0" w:lastRowLastColumn="0"/>
            </w:pPr>
            <w:r>
              <w:t>The Transport Standards</w:t>
            </w:r>
            <w:r w:rsidRPr="002A7AC6">
              <w:t xml:space="preserve"> would remain unchanged and no additional guidance would be issued.</w:t>
            </w:r>
          </w:p>
        </w:tc>
      </w:tr>
      <w:tr w:rsidR="00C40DB2" w:rsidRPr="003964B8" w14:paraId="0286112C"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DDD197F" w14:textId="77777777" w:rsidR="00C40DB2" w:rsidRPr="00653914" w:rsidRDefault="00C40DB2" w:rsidP="00C40DB2">
            <w:r>
              <w:t>Non-regulatory</w:t>
            </w:r>
          </w:p>
        </w:tc>
        <w:tc>
          <w:tcPr>
            <w:tcW w:w="6840" w:type="dxa"/>
          </w:tcPr>
          <w:p w14:paraId="4627DE40" w14:textId="0811DFB8" w:rsidR="00C40DB2" w:rsidRPr="00D27D68" w:rsidRDefault="00C40DB2" w:rsidP="00C40DB2">
            <w:pPr>
              <w:cnfStyle w:val="000000000000" w:firstRow="0" w:lastRow="0" w:firstColumn="0" w:lastColumn="0" w:oddVBand="0" w:evenVBand="0" w:oddHBand="0" w:evenHBand="0" w:firstRowFirstColumn="0" w:firstRowLastColumn="0" w:lastRowFirstColumn="0" w:lastRowLastColumn="0"/>
            </w:pPr>
            <w:r w:rsidRPr="00EE1DAD">
              <w:t xml:space="preserve">Guidance would be provided to include </w:t>
            </w:r>
            <w:r w:rsidRPr="00905805">
              <w:t>advice for equal or near equal proportions of left</w:t>
            </w:r>
            <w:r w:rsidR="00642F09">
              <w:t>-</w:t>
            </w:r>
            <w:r w:rsidRPr="00905805">
              <w:t xml:space="preserve"> and right-handed accessible toilets wh</w:t>
            </w:r>
            <w:r w:rsidR="00642F09">
              <w:t>ere</w:t>
            </w:r>
            <w:r w:rsidRPr="00905805">
              <w:t xml:space="preserve"> a ferry or train set </w:t>
            </w:r>
            <w:r w:rsidR="00642F09">
              <w:t>has</w:t>
            </w:r>
            <w:r w:rsidRPr="00905805">
              <w:t xml:space="preserve"> more than one unisex accessible toilet.</w:t>
            </w:r>
          </w:p>
        </w:tc>
      </w:tr>
      <w:tr w:rsidR="00C40DB2" w:rsidRPr="003964B8" w14:paraId="1B5095A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C4D893E" w14:textId="77777777" w:rsidR="00C40DB2" w:rsidRPr="00653914" w:rsidRDefault="00C40DB2" w:rsidP="00C40DB2">
            <w:r w:rsidRPr="00653914">
              <w:t>Regulatory</w:t>
            </w:r>
          </w:p>
        </w:tc>
        <w:tc>
          <w:tcPr>
            <w:tcW w:w="6840" w:type="dxa"/>
          </w:tcPr>
          <w:p w14:paraId="7596FB92" w14:textId="77777777" w:rsidR="00C40DB2" w:rsidRPr="00EE1DAD" w:rsidRDefault="00C40DB2" w:rsidP="00C40DB2">
            <w:pPr>
              <w:cnfStyle w:val="000000100000" w:firstRow="0" w:lastRow="0" w:firstColumn="0" w:lastColumn="0" w:oddVBand="0" w:evenVBand="0" w:oddHBand="1" w:evenHBand="0" w:firstRowFirstColumn="0" w:firstRowLastColumn="0" w:lastRowFirstColumn="0" w:lastRowLastColumn="0"/>
            </w:pPr>
            <w:r>
              <w:t xml:space="preserve">The </w:t>
            </w:r>
            <w:r w:rsidRPr="00EE1DAD">
              <w:t>Transport Standards</w:t>
            </w:r>
            <w:r>
              <w:t xml:space="preserve"> </w:t>
            </w:r>
            <w:r w:rsidRPr="00EE1DAD">
              <w:t>would be amended to</w:t>
            </w:r>
            <w:r>
              <w:t xml:space="preserve"> require</w:t>
            </w:r>
            <w:r w:rsidRPr="00490772">
              <w:t xml:space="preserve"> </w:t>
            </w:r>
            <w:r>
              <w:t xml:space="preserve">the following in </w:t>
            </w:r>
            <w:r w:rsidRPr="00490772">
              <w:t>ferries and trains</w:t>
            </w:r>
            <w:r>
              <w:t>:</w:t>
            </w:r>
          </w:p>
          <w:p w14:paraId="3C3DFE1C" w14:textId="77777777" w:rsidR="00C40DB2" w:rsidRPr="00EE1DAD" w:rsidRDefault="00C40DB2"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EE1DAD">
              <w:t>If toilets are provided, there must be at least one unisex accessible toilet without airlock available to passengers using wheelchairs or mobility aids.</w:t>
            </w:r>
          </w:p>
          <w:p w14:paraId="314A4B91" w14:textId="77777777" w:rsidR="00C40DB2" w:rsidRDefault="00C40DB2"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EE1DAD">
              <w:t>If two or more unisex accessible toilets are provided in a set of rail cars or on a ferry, these must be of both left and right hand and provided in equal or near equal proportion.</w:t>
            </w:r>
          </w:p>
          <w:p w14:paraId="0A41D9E3" w14:textId="77777777" w:rsidR="00C40DB2" w:rsidRPr="00D27D68" w:rsidRDefault="00C40DB2" w:rsidP="00C40DB2">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7D893C38" w14:textId="77777777" w:rsidR="00C40DB2" w:rsidRDefault="00C40DB2" w:rsidP="00C40DB2"/>
    <w:p w14:paraId="14D81E6B" w14:textId="77777777" w:rsidR="00C40DB2" w:rsidRDefault="00C40DB2" w:rsidP="00C40DB2">
      <w:pPr>
        <w:pStyle w:val="Heading4"/>
      </w:pPr>
      <w:r>
        <w:t>Cost benefit analysis</w:t>
      </w:r>
    </w:p>
    <w:p w14:paraId="42139BE7" w14:textId="77777777" w:rsidR="00C40DB2" w:rsidRPr="00C40DB2" w:rsidRDefault="00C40DB2" w:rsidP="00C40DB2">
      <w:pPr>
        <w:pStyle w:val="Heading5"/>
        <w:keepLines/>
        <w:spacing w:before="240"/>
        <w:rPr>
          <w:rFonts w:asciiTheme="majorHAnsi" w:eastAsiaTheme="majorEastAsia" w:hAnsiTheme="majorHAnsi" w:cstheme="majorBidi"/>
          <w:color w:val="44546A" w:themeColor="text2"/>
          <w:sz w:val="22"/>
          <w:szCs w:val="22"/>
          <w:lang w:val="en-AU"/>
        </w:rPr>
      </w:pPr>
      <w:r w:rsidRPr="00C40DB2">
        <w:rPr>
          <w:rFonts w:asciiTheme="majorHAnsi" w:eastAsiaTheme="majorEastAsia" w:hAnsiTheme="majorHAnsi" w:cstheme="majorBidi"/>
          <w:color w:val="44546A" w:themeColor="text2"/>
          <w:kern w:val="0"/>
          <w:sz w:val="22"/>
          <w:szCs w:val="22"/>
          <w:lang w:val="en-AU"/>
        </w:rPr>
        <w:t xml:space="preserve">Quantitative assessment </w:t>
      </w:r>
    </w:p>
    <w:p w14:paraId="4216D2AA" w14:textId="4C94B591" w:rsidR="00F26EC2" w:rsidRDefault="00C40DB2" w:rsidP="003B77C8">
      <w:r>
        <w:t>The following categories of quantitative costs and benefits were identified in the CBA as pertaining to the reform options.</w:t>
      </w:r>
      <w:r w:rsidR="00F26EC2">
        <w:br w:type="page"/>
      </w:r>
    </w:p>
    <w:p w14:paraId="61576F5E" w14:textId="77777777" w:rsidR="00C40DB2" w:rsidRPr="00595D2C" w:rsidRDefault="00C40DB2" w:rsidP="00C40DB2"/>
    <w:p w14:paraId="07DA2729" w14:textId="73954FFB" w:rsidR="00C40DB2" w:rsidRDefault="00C40DB2" w:rsidP="00C40DB2">
      <w:pPr>
        <w:pStyle w:val="Tablefigureheading"/>
      </w:pPr>
      <w:bookmarkStart w:id="451" w:name="_Toc122446406"/>
      <w:bookmarkStart w:id="452" w:name="_Toc139969246"/>
      <w:r>
        <w:t xml:space="preserve">Table </w:t>
      </w:r>
      <w:fldSimple w:instr=" SEQ Table \* ARABIC ">
        <w:r w:rsidR="00DC26AC">
          <w:rPr>
            <w:noProof/>
          </w:rPr>
          <w:t>88</w:t>
        </w:r>
      </w:fldSimple>
      <w:r>
        <w:t>: Benefit-cost ratios for a</w:t>
      </w:r>
      <w:r w:rsidRPr="00273CAA">
        <w:t>ccessible toilets with equal proportion of left- and right-hand configurations</w:t>
      </w:r>
      <w:bookmarkEnd w:id="451"/>
      <w:bookmarkEnd w:id="452"/>
    </w:p>
    <w:tbl>
      <w:tblPr>
        <w:tblStyle w:val="DefaultTable1"/>
        <w:tblW w:w="9781" w:type="dxa"/>
        <w:tblLayout w:type="fixed"/>
        <w:tblLook w:val="04A0" w:firstRow="1" w:lastRow="0" w:firstColumn="1" w:lastColumn="0" w:noHBand="0" w:noVBand="1"/>
        <w:tblCaption w:val="Benefit-cost ratios for accessible toilets with equal proportion of left- and right-hand configurations"/>
        <w:tblDescription w:val="This table provides the monetised benefits and costs for each of the options for this reform area."/>
      </w:tblPr>
      <w:tblGrid>
        <w:gridCol w:w="1134"/>
        <w:gridCol w:w="1560"/>
        <w:gridCol w:w="1752"/>
        <w:gridCol w:w="2084"/>
        <w:gridCol w:w="2084"/>
        <w:gridCol w:w="1167"/>
      </w:tblGrid>
      <w:tr w:rsidR="00C40DB2" w:rsidRPr="003964B8" w14:paraId="1BDB80F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tcPr>
          <w:p w14:paraId="571CFDE6" w14:textId="77777777" w:rsidR="00C40DB2" w:rsidRPr="00E97D5B" w:rsidRDefault="08D050C4" w:rsidP="00C40DB2">
            <w:r w:rsidRPr="08D050C4">
              <w:t>Reform option</w:t>
            </w:r>
          </w:p>
        </w:tc>
        <w:tc>
          <w:tcPr>
            <w:tcW w:w="1560" w:type="dxa"/>
          </w:tcPr>
          <w:p w14:paraId="0E454EA1"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52" w:type="dxa"/>
          </w:tcPr>
          <w:p w14:paraId="13E6237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2084" w:type="dxa"/>
          </w:tcPr>
          <w:p w14:paraId="7EEAA5A6"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2084" w:type="dxa"/>
          </w:tcPr>
          <w:p w14:paraId="0AE1DE5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167" w:type="dxa"/>
          </w:tcPr>
          <w:p w14:paraId="161AC3F0"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BCR</w:t>
            </w:r>
          </w:p>
        </w:tc>
      </w:tr>
      <w:tr w:rsidR="00C40DB2" w:rsidRPr="00B04D0E" w14:paraId="4EBA41F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EF04998" w14:textId="77777777" w:rsidR="00C40DB2" w:rsidRPr="00E97D5B" w:rsidRDefault="00C40DB2" w:rsidP="00C40DB2">
            <w:r w:rsidRPr="00E97D5B">
              <w:t>Status Quo</w:t>
            </w:r>
          </w:p>
        </w:tc>
        <w:tc>
          <w:tcPr>
            <w:tcW w:w="1560" w:type="dxa"/>
          </w:tcPr>
          <w:p w14:paraId="73442455"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52" w:type="dxa"/>
          </w:tcPr>
          <w:p w14:paraId="1832C219"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tcPr>
          <w:p w14:paraId="6E4CFE3D"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tcPr>
          <w:p w14:paraId="1AC25D1A"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7" w:type="dxa"/>
          </w:tcPr>
          <w:p w14:paraId="2D7A7A80"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C40DB2" w:rsidRPr="00B04D0E" w14:paraId="20B3E789" w14:textId="77777777" w:rsidTr="08D050C4">
        <w:tc>
          <w:tcPr>
            <w:cnfStyle w:val="001000000000" w:firstRow="0" w:lastRow="0" w:firstColumn="1" w:lastColumn="0" w:oddVBand="0" w:evenVBand="0" w:oddHBand="0" w:evenHBand="0" w:firstRowFirstColumn="0" w:firstRowLastColumn="0" w:lastRowFirstColumn="0" w:lastRowLastColumn="0"/>
            <w:tcW w:w="1134" w:type="dxa"/>
          </w:tcPr>
          <w:p w14:paraId="5A82574F" w14:textId="77777777" w:rsidR="00C40DB2" w:rsidRPr="00E97D5B" w:rsidRDefault="00C40DB2" w:rsidP="00C40DB2">
            <w:r w:rsidRPr="00E97D5B">
              <w:t xml:space="preserve">Non-regulatory </w:t>
            </w:r>
          </w:p>
        </w:tc>
        <w:tc>
          <w:tcPr>
            <w:tcW w:w="1560" w:type="dxa"/>
            <w:vAlign w:val="center"/>
          </w:tcPr>
          <w:p w14:paraId="555C47B7"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0.1</w:t>
            </w:r>
          </w:p>
        </w:tc>
        <w:tc>
          <w:tcPr>
            <w:tcW w:w="1752" w:type="dxa"/>
          </w:tcPr>
          <w:p w14:paraId="50382566" w14:textId="77777777" w:rsidR="00C40DB2" w:rsidRPr="00606FB4"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2084" w:type="dxa"/>
            <w:vAlign w:val="center"/>
          </w:tcPr>
          <w:p w14:paraId="14FFA5CE"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0.3</w:t>
            </w:r>
          </w:p>
        </w:tc>
        <w:tc>
          <w:tcPr>
            <w:tcW w:w="2084" w:type="dxa"/>
            <w:vAlign w:val="center"/>
          </w:tcPr>
          <w:p w14:paraId="2E888AF5" w14:textId="77777777" w:rsidR="00C40DB2" w:rsidRPr="005B09D3" w:rsidRDefault="00C40DB2" w:rsidP="00C40DB2">
            <w:pPr>
              <w:jc w:val="center"/>
              <w:cnfStyle w:val="000000000000" w:firstRow="0" w:lastRow="0" w:firstColumn="0" w:lastColumn="0" w:oddVBand="0" w:evenVBand="0" w:oddHBand="0" w:evenHBand="0" w:firstRowFirstColumn="0" w:firstRowLastColumn="0" w:lastRowFirstColumn="0" w:lastRowLastColumn="0"/>
              <w:rPr>
                <w:vertAlign w:val="superscript"/>
              </w:rPr>
            </w:pPr>
            <w:r w:rsidRPr="169A030C">
              <w:t>0.3</w:t>
            </w:r>
            <w:r w:rsidRPr="169A030C">
              <w:rPr>
                <w:vertAlign w:val="superscript"/>
              </w:rPr>
              <w:t>i</w:t>
            </w:r>
          </w:p>
        </w:tc>
        <w:tc>
          <w:tcPr>
            <w:tcW w:w="1167" w:type="dxa"/>
            <w:vAlign w:val="center"/>
          </w:tcPr>
          <w:p w14:paraId="4747988B"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pPr>
            <w:r w:rsidRPr="08D050C4">
              <w:t>0.22</w:t>
            </w:r>
          </w:p>
        </w:tc>
      </w:tr>
      <w:tr w:rsidR="00C40DB2" w:rsidRPr="00B04D0E" w14:paraId="2EC16B3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0C640D9" w14:textId="77777777" w:rsidR="00C40DB2" w:rsidRPr="00E97D5B" w:rsidRDefault="00C40DB2" w:rsidP="00C40DB2">
            <w:r w:rsidRPr="00E97D5B">
              <w:t>Regulatory</w:t>
            </w:r>
          </w:p>
        </w:tc>
        <w:tc>
          <w:tcPr>
            <w:tcW w:w="1560" w:type="dxa"/>
            <w:vAlign w:val="center"/>
          </w:tcPr>
          <w:p w14:paraId="40B282A6"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7.2</w:t>
            </w:r>
          </w:p>
        </w:tc>
        <w:tc>
          <w:tcPr>
            <w:tcW w:w="1752" w:type="dxa"/>
          </w:tcPr>
          <w:p w14:paraId="1B4AEE87" w14:textId="77777777" w:rsidR="00C40DB2" w:rsidRPr="00606FB4"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2084" w:type="dxa"/>
            <w:vAlign w:val="center"/>
          </w:tcPr>
          <w:p w14:paraId="24AD6AD1"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2.0</w:t>
            </w:r>
          </w:p>
        </w:tc>
        <w:tc>
          <w:tcPr>
            <w:tcW w:w="2084" w:type="dxa"/>
            <w:vAlign w:val="center"/>
          </w:tcPr>
          <w:p w14:paraId="2BE78920"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2.0</w:t>
            </w:r>
          </w:p>
        </w:tc>
        <w:tc>
          <w:tcPr>
            <w:tcW w:w="1167" w:type="dxa"/>
            <w:vAlign w:val="center"/>
          </w:tcPr>
          <w:p w14:paraId="6C84691D"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pPr>
            <w:r w:rsidRPr="08D050C4">
              <w:t>3.66</w:t>
            </w:r>
          </w:p>
        </w:tc>
      </w:tr>
    </w:tbl>
    <w:p w14:paraId="4D3B8D46" w14:textId="77777777" w:rsidR="00C40DB2" w:rsidRPr="00606FB4" w:rsidRDefault="00C40DB2" w:rsidP="00C40DB2">
      <w:pPr>
        <w:spacing w:before="120" w:after="0"/>
        <w:rPr>
          <w:sz w:val="18"/>
          <w:szCs w:val="18"/>
        </w:rPr>
      </w:pPr>
      <w:r w:rsidRPr="00606FB4">
        <w:rPr>
          <w:sz w:val="18"/>
          <w:szCs w:val="18"/>
          <w:vertAlign w:val="superscript"/>
        </w:rPr>
        <w:t>*</w:t>
      </w:r>
      <w:r w:rsidRPr="00606FB4">
        <w:rPr>
          <w:sz w:val="18"/>
          <w:szCs w:val="18"/>
        </w:rPr>
        <w:t>$M, 2022/23, real, discounted at 7% over a 15-year appraisal period after implementation of all reforms, assessed incrementally</w:t>
      </w:r>
    </w:p>
    <w:p w14:paraId="00A7A447" w14:textId="77777777" w:rsidR="00C40DB2" w:rsidRPr="00606FB4"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3A55F635" w14:textId="77777777" w:rsidR="00C40DB2" w:rsidRDefault="00C40DB2" w:rsidP="00C40DB2"/>
    <w:p w14:paraId="0ED334DC" w14:textId="77777777" w:rsidR="00C40DB2" w:rsidRDefault="00C40DB2" w:rsidP="00C40DB2">
      <w:pPr>
        <w:pStyle w:val="Heading6"/>
      </w:pPr>
      <w:r>
        <w:t>Considerations to note in interpreting analysis</w:t>
      </w:r>
    </w:p>
    <w:p w14:paraId="579FA68D" w14:textId="77777777" w:rsidR="00C40DB2" w:rsidRDefault="00C40DB2" w:rsidP="00C40DB2">
      <w:pPr>
        <w:pStyle w:val="Heading7"/>
      </w:pPr>
      <w:r w:rsidRPr="008F2C5A">
        <w:t>Limitations</w:t>
      </w:r>
    </w:p>
    <w:p w14:paraId="22C545C4" w14:textId="77777777" w:rsidR="00C40DB2" w:rsidRDefault="00C40DB2" w:rsidP="00C40DB2">
      <w:pPr>
        <w:pStyle w:val="Heading8"/>
      </w:pPr>
      <w:r>
        <w:t>Non-regulatory</w:t>
      </w:r>
    </w:p>
    <w:p w14:paraId="0512422E" w14:textId="49F7A84F" w:rsidR="00C40DB2" w:rsidRDefault="00C40DB2" w:rsidP="005B09D3">
      <w:pPr>
        <w:tabs>
          <w:tab w:val="left" w:pos="284"/>
        </w:tabs>
      </w:pPr>
      <w:r w:rsidRPr="00072DE0">
        <w:t xml:space="preserve">The costs and benefits associated with the non-regulatory reform are lower than its regulatory counterpart reflecting an assumed lower rate of compliance with the reform. </w:t>
      </w:r>
      <w:r>
        <w:t>An estimated rate of uptake of 75</w:t>
      </w:r>
      <w:r w:rsidR="00FB4BDA">
        <w:t xml:space="preserve"> per cent</w:t>
      </w:r>
      <w:r>
        <w:t xml:space="preserve"> of new assets was applied to the non-regulatory option based on the low cost and complexity of procuring both handed designs of accessible toilets where necessary. It is expected existing accessible toilets will not be upgraded due to the high cost and complexity of upgrades.</w:t>
      </w:r>
    </w:p>
    <w:p w14:paraId="28818740" w14:textId="77777777" w:rsidR="00C40DB2" w:rsidRDefault="00C40DB2" w:rsidP="00C40DB2">
      <w:pPr>
        <w:tabs>
          <w:tab w:val="left" w:pos="284"/>
        </w:tabs>
      </w:pPr>
      <w:r w:rsidRPr="00072DE0">
        <w:t>This implies that the benefits and costs quantified for this non-regulatory reform may not reflect future take-up of the reform.</w:t>
      </w:r>
    </w:p>
    <w:p w14:paraId="0C2E5FFF" w14:textId="77777777" w:rsidR="00C40DB2" w:rsidRDefault="00C40DB2" w:rsidP="00C40DB2">
      <w:pPr>
        <w:pStyle w:val="Heading8"/>
      </w:pPr>
      <w:r>
        <w:t>Regulatory option</w:t>
      </w:r>
    </w:p>
    <w:p w14:paraId="6A256086" w14:textId="77777777" w:rsidR="00C40DB2" w:rsidRPr="00072DE0" w:rsidRDefault="00C40DB2" w:rsidP="00C40DB2">
      <w:pPr>
        <w:tabs>
          <w:tab w:val="left" w:pos="284"/>
        </w:tabs>
      </w:pPr>
      <w:r w:rsidRPr="00072DE0">
        <w:t>The benefits and costs for this reform were proxied based on a limited number of data points and is not fully representative of national compliance</w:t>
      </w:r>
      <w:r>
        <w:t>.</w:t>
      </w:r>
    </w:p>
    <w:p w14:paraId="36F4D8EF" w14:textId="77777777" w:rsidR="00C40DB2" w:rsidRDefault="00C40DB2" w:rsidP="00C40DB2">
      <w:pPr>
        <w:tabs>
          <w:tab w:val="left" w:pos="284"/>
        </w:tabs>
      </w:pPr>
      <w:r w:rsidRPr="00072DE0">
        <w:t>Retrofitting existing accessible toilets are relatively low cost in comparison to the benefits of providing increased accessibility to accessible toilets.</w:t>
      </w:r>
    </w:p>
    <w:p w14:paraId="6A332402" w14:textId="77777777" w:rsidR="00C40DB2" w:rsidRPr="00C40DB2" w:rsidRDefault="00C40DB2" w:rsidP="00C40DB2">
      <w:pPr>
        <w:pStyle w:val="Heading5"/>
        <w:keepLines/>
        <w:spacing w:before="240"/>
        <w:rPr>
          <w:rFonts w:asciiTheme="majorHAnsi" w:eastAsiaTheme="majorEastAsia" w:hAnsiTheme="majorHAnsi" w:cstheme="majorBidi"/>
          <w:color w:val="44546A" w:themeColor="text2"/>
          <w:sz w:val="22"/>
          <w:szCs w:val="22"/>
          <w:lang w:val="en-AU"/>
        </w:rPr>
      </w:pPr>
      <w:r w:rsidRPr="00C40DB2">
        <w:rPr>
          <w:rFonts w:asciiTheme="majorHAnsi" w:eastAsiaTheme="majorEastAsia" w:hAnsiTheme="majorHAnsi" w:cstheme="majorBidi"/>
          <w:color w:val="44546A" w:themeColor="text2"/>
          <w:kern w:val="0"/>
          <w:sz w:val="22"/>
          <w:szCs w:val="22"/>
          <w:lang w:val="en-AU"/>
        </w:rPr>
        <w:t xml:space="preserve">Qualitative assessment </w:t>
      </w:r>
    </w:p>
    <w:p w14:paraId="46F9631A" w14:textId="77777777" w:rsidR="00C40DB2" w:rsidRPr="00F10FAA" w:rsidRDefault="00C40DB2" w:rsidP="00606FB4">
      <w:pPr>
        <w:tabs>
          <w:tab w:val="left" w:pos="284"/>
        </w:tabs>
      </w:pPr>
      <w:r>
        <w:t>The following categories of qualitative benefits were identified in the CBA as pertaining to the reform options.</w:t>
      </w:r>
    </w:p>
    <w:p w14:paraId="685BB861" w14:textId="3CF8945A" w:rsidR="00C40DB2" w:rsidRDefault="00C40DB2" w:rsidP="005B09D3">
      <w:pPr>
        <w:pStyle w:val="Tablefigureheading"/>
      </w:pPr>
      <w:bookmarkStart w:id="453" w:name="_Toc122446407"/>
      <w:bookmarkStart w:id="454" w:name="_Toc139969247"/>
      <w:r>
        <w:t xml:space="preserve">Table </w:t>
      </w:r>
      <w:fldSimple w:instr=" SEQ Table \* ARABIC ">
        <w:r w:rsidR="00DC26AC">
          <w:rPr>
            <w:noProof/>
          </w:rPr>
          <w:t>89</w:t>
        </w:r>
      </w:fldSimple>
      <w:r>
        <w:rPr>
          <w:noProof/>
        </w:rPr>
        <w:t>:</w:t>
      </w:r>
      <w:r w:rsidRPr="00EE3F5F">
        <w:rPr>
          <w:noProof/>
        </w:rPr>
        <w:t xml:space="preserve"> </w:t>
      </w:r>
      <w:r>
        <w:t>Qualitative benefits for a</w:t>
      </w:r>
      <w:r w:rsidRPr="00273CAA">
        <w:t>ccessible toilets with equal proportion of left- and right-hand configurations</w:t>
      </w:r>
      <w:bookmarkEnd w:id="453"/>
      <w:bookmarkEnd w:id="454"/>
    </w:p>
    <w:tbl>
      <w:tblPr>
        <w:tblStyle w:val="DefaultTable1"/>
        <w:tblW w:w="9781" w:type="dxa"/>
        <w:tblLayout w:type="fixed"/>
        <w:tblLook w:val="04A0" w:firstRow="1" w:lastRow="0" w:firstColumn="1" w:lastColumn="0" w:noHBand="0" w:noVBand="1"/>
        <w:tblCaption w:val="Qualitative benefits for accessible toilets with equal proportion of left- and right-hand configurations"/>
      </w:tblPr>
      <w:tblGrid>
        <w:gridCol w:w="1560"/>
        <w:gridCol w:w="1169"/>
        <w:gridCol w:w="1169"/>
        <w:gridCol w:w="1169"/>
        <w:gridCol w:w="1170"/>
        <w:gridCol w:w="1772"/>
        <w:gridCol w:w="1772"/>
      </w:tblGrid>
      <w:tr w:rsidR="00C40DB2" w:rsidRPr="000876AF" w14:paraId="521022A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60" w:type="dxa"/>
          </w:tcPr>
          <w:p w14:paraId="21BD5C93" w14:textId="77777777" w:rsidR="00C40DB2" w:rsidRPr="00E97D5B" w:rsidRDefault="08D050C4" w:rsidP="00C40DB2">
            <w:r w:rsidRPr="08D050C4">
              <w:t>Reform Option</w:t>
            </w:r>
          </w:p>
        </w:tc>
        <w:tc>
          <w:tcPr>
            <w:tcW w:w="1169" w:type="dxa"/>
          </w:tcPr>
          <w:p w14:paraId="78952620"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169" w:type="dxa"/>
          </w:tcPr>
          <w:p w14:paraId="0CE498B5"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169" w:type="dxa"/>
          </w:tcPr>
          <w:p w14:paraId="38C30DA1"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170" w:type="dxa"/>
          </w:tcPr>
          <w:p w14:paraId="2DEEA3F8"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772" w:type="dxa"/>
          </w:tcPr>
          <w:p w14:paraId="371529B3"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772" w:type="dxa"/>
          </w:tcPr>
          <w:p w14:paraId="41ED923E" w14:textId="77777777" w:rsidR="00C40DB2" w:rsidRPr="00E97D5B" w:rsidRDefault="08D050C4" w:rsidP="00C40DB2">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C40DB2" w:rsidRPr="000876AF" w14:paraId="3A0F5C7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0F0BA2" w14:textId="77777777" w:rsidR="00C40DB2" w:rsidRPr="00E97D5B" w:rsidRDefault="00C40DB2" w:rsidP="00C40DB2">
            <w:r w:rsidRPr="00E97D5B">
              <w:t>Status Quo</w:t>
            </w:r>
          </w:p>
        </w:tc>
        <w:tc>
          <w:tcPr>
            <w:tcW w:w="1169" w:type="dxa"/>
          </w:tcPr>
          <w:p w14:paraId="6C3E15F3"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9" w:type="dxa"/>
          </w:tcPr>
          <w:p w14:paraId="24DCEBC9"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69" w:type="dxa"/>
          </w:tcPr>
          <w:p w14:paraId="4A4E560F"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70" w:type="dxa"/>
          </w:tcPr>
          <w:p w14:paraId="3A4867B3"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06BF073C"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69854E0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C40DB2" w:rsidRPr="000876AF" w14:paraId="25970971" w14:textId="77777777" w:rsidTr="08D050C4">
        <w:tc>
          <w:tcPr>
            <w:cnfStyle w:val="001000000000" w:firstRow="0" w:lastRow="0" w:firstColumn="1" w:lastColumn="0" w:oddVBand="0" w:evenVBand="0" w:oddHBand="0" w:evenHBand="0" w:firstRowFirstColumn="0" w:firstRowLastColumn="0" w:lastRowFirstColumn="0" w:lastRowLastColumn="0"/>
            <w:tcW w:w="1560" w:type="dxa"/>
          </w:tcPr>
          <w:p w14:paraId="7A5A95EB" w14:textId="77777777" w:rsidR="00C40DB2" w:rsidRPr="00E97D5B" w:rsidRDefault="00C40DB2" w:rsidP="00C40DB2">
            <w:r w:rsidRPr="00E97D5B">
              <w:t xml:space="preserve">Non-regulatory </w:t>
            </w:r>
          </w:p>
        </w:tc>
        <w:tc>
          <w:tcPr>
            <w:tcW w:w="1169" w:type="dxa"/>
          </w:tcPr>
          <w:p w14:paraId="00365907" w14:textId="77777777" w:rsidR="00C40DB2" w:rsidRPr="00E97D5B" w:rsidRDefault="00C40DB2" w:rsidP="00C40DB2">
            <w:pPr>
              <w:jc w:val="center"/>
              <w:cnfStyle w:val="000000000000" w:firstRow="0" w:lastRow="0" w:firstColumn="0" w:lastColumn="0" w:oddVBand="0" w:evenVBand="0" w:oddHBand="0" w:evenHBand="0" w:firstRowFirstColumn="0" w:firstRowLastColumn="0" w:lastRowFirstColumn="0" w:lastRowLastColumn="0"/>
            </w:pPr>
            <w:r w:rsidRPr="00E97D5B">
              <w:t>Yes</w:t>
            </w:r>
          </w:p>
        </w:tc>
        <w:tc>
          <w:tcPr>
            <w:tcW w:w="1169" w:type="dxa"/>
          </w:tcPr>
          <w:p w14:paraId="40021060" w14:textId="77777777" w:rsidR="00C40DB2" w:rsidRPr="00E97D5B" w:rsidRDefault="00C40DB2" w:rsidP="00C40DB2">
            <w:pPr>
              <w:jc w:val="center"/>
              <w:cnfStyle w:val="000000000000" w:firstRow="0" w:lastRow="0" w:firstColumn="0" w:lastColumn="0" w:oddVBand="0" w:evenVBand="0" w:oddHBand="0" w:evenHBand="0" w:firstRowFirstColumn="0" w:firstRowLastColumn="0" w:lastRowFirstColumn="0" w:lastRowLastColumn="0"/>
            </w:pPr>
            <w:r w:rsidRPr="00E97D5B">
              <w:t>Yes</w:t>
            </w:r>
          </w:p>
        </w:tc>
        <w:tc>
          <w:tcPr>
            <w:tcW w:w="1169" w:type="dxa"/>
          </w:tcPr>
          <w:p w14:paraId="2A3AFA82"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170" w:type="dxa"/>
          </w:tcPr>
          <w:p w14:paraId="33A927F7"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72" w:type="dxa"/>
          </w:tcPr>
          <w:p w14:paraId="7B6F074B"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72" w:type="dxa"/>
          </w:tcPr>
          <w:p w14:paraId="6D77BCE8" w14:textId="77777777" w:rsidR="00C40DB2" w:rsidRPr="005B09D3" w:rsidRDefault="08D050C4" w:rsidP="08D050C4">
            <w:pPr>
              <w:jc w:val="cente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C40DB2" w:rsidRPr="000876AF" w14:paraId="20040E5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E5202F4" w14:textId="77777777" w:rsidR="00C40DB2" w:rsidRPr="00E97D5B" w:rsidRDefault="00C40DB2" w:rsidP="00C40DB2">
            <w:r w:rsidRPr="00E97D5B">
              <w:t>Regulatory</w:t>
            </w:r>
          </w:p>
        </w:tc>
        <w:tc>
          <w:tcPr>
            <w:tcW w:w="1169" w:type="dxa"/>
          </w:tcPr>
          <w:p w14:paraId="1B480862" w14:textId="77777777" w:rsidR="00C40DB2" w:rsidRPr="00E97D5B" w:rsidRDefault="00C40DB2" w:rsidP="00C40DB2">
            <w:pPr>
              <w:jc w:val="center"/>
              <w:cnfStyle w:val="000000100000" w:firstRow="0" w:lastRow="0" w:firstColumn="0" w:lastColumn="0" w:oddVBand="0" w:evenVBand="0" w:oddHBand="1" w:evenHBand="0" w:firstRowFirstColumn="0" w:firstRowLastColumn="0" w:lastRowFirstColumn="0" w:lastRowLastColumn="0"/>
            </w:pPr>
            <w:r w:rsidRPr="00E97D5B">
              <w:t>Yes</w:t>
            </w:r>
          </w:p>
        </w:tc>
        <w:tc>
          <w:tcPr>
            <w:tcW w:w="1169" w:type="dxa"/>
          </w:tcPr>
          <w:p w14:paraId="357664DB" w14:textId="77777777" w:rsidR="00C40DB2" w:rsidRPr="00E97D5B" w:rsidRDefault="00C40DB2" w:rsidP="00C40DB2">
            <w:pPr>
              <w:jc w:val="center"/>
              <w:cnfStyle w:val="000000100000" w:firstRow="0" w:lastRow="0" w:firstColumn="0" w:lastColumn="0" w:oddVBand="0" w:evenVBand="0" w:oddHBand="1" w:evenHBand="0" w:firstRowFirstColumn="0" w:firstRowLastColumn="0" w:lastRowFirstColumn="0" w:lastRowLastColumn="0"/>
            </w:pPr>
            <w:r w:rsidRPr="00E97D5B">
              <w:t>Yes</w:t>
            </w:r>
          </w:p>
        </w:tc>
        <w:tc>
          <w:tcPr>
            <w:tcW w:w="1169" w:type="dxa"/>
          </w:tcPr>
          <w:p w14:paraId="1A07E374"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170" w:type="dxa"/>
          </w:tcPr>
          <w:p w14:paraId="3BAD8DF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0C2C18BF"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72" w:type="dxa"/>
          </w:tcPr>
          <w:p w14:paraId="12BE0CF7" w14:textId="77777777" w:rsidR="00C40DB2" w:rsidRPr="005B09D3" w:rsidRDefault="08D050C4" w:rsidP="08D050C4">
            <w:pPr>
              <w:jc w:val="cente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56A6D255" w14:textId="77777777" w:rsidR="00C40DB2" w:rsidRDefault="00C40DB2" w:rsidP="00C40DB2"/>
    <w:p w14:paraId="58DFDF98" w14:textId="77777777" w:rsidR="00C40DB2" w:rsidRDefault="00C40DB2" w:rsidP="00C40DB2">
      <w:pPr>
        <w:pStyle w:val="Heading4"/>
        <w:tabs>
          <w:tab w:val="left" w:pos="284"/>
        </w:tabs>
      </w:pPr>
      <w:r>
        <w:lastRenderedPageBreak/>
        <w:t>Analysis of submissions</w:t>
      </w:r>
    </w:p>
    <w:p w14:paraId="1F91A675" w14:textId="77777777" w:rsidR="00C40DB2" w:rsidRPr="006929B6" w:rsidRDefault="00C40DB2" w:rsidP="00C40DB2">
      <w:pPr>
        <w:pStyle w:val="Heading5"/>
      </w:pPr>
      <w:r w:rsidRPr="006929B6">
        <w:t>Status quo</w:t>
      </w:r>
    </w:p>
    <w:p w14:paraId="31ABA0FC" w14:textId="77777777" w:rsidR="00C40DB2" w:rsidRDefault="08D050C4" w:rsidP="00C40DB2">
      <w:r>
        <w:t>Consultation findings indicated that accessible toilets not being provided in equal proportions of left- and right-hand configurations disadvantage people with disability. Hemiplegia resulting from brain injury randomly affects people with roughly equal proportions, favouring either the left or right hand. Depending on which hand and arm are most functional people will choose to use a left-hand toilet (pan to the left of the wheelchair) or right-hand toilet (pan to the right of the wheelchair).</w:t>
      </w:r>
    </w:p>
    <w:p w14:paraId="204BAC28" w14:textId="70D630FA" w:rsidR="00C40DB2" w:rsidRDefault="00C40DB2" w:rsidP="00C40DB2">
      <w:pPr>
        <w:pStyle w:val="Quote"/>
      </w:pPr>
      <w:r w:rsidRPr="005B2658">
        <w:t>My sister is also on a wheelchair. I'm right-handed</w:t>
      </w:r>
      <w:r w:rsidR="00642F09">
        <w:t>,</w:t>
      </w:r>
      <w:r w:rsidRPr="005B2658">
        <w:t xml:space="preserve"> but she's left-handed. She realised that the orientation of the handles, where the handles are - whether it's in a train or a bus or in the rest rooms at train stations, or wherever it may be that her requirements are quite different from mine… I think one thing that the </w:t>
      </w:r>
      <w:r>
        <w:t xml:space="preserve">[Transport] </w:t>
      </w:r>
      <w:r w:rsidRPr="005B2658">
        <w:t>Standards should incorporate is to cater for both left- and right-handed individuals so that, you’ve got ability to hold on where you need to.</w:t>
      </w:r>
      <w:r>
        <w:t xml:space="preserve"> </w:t>
      </w:r>
    </w:p>
    <w:p w14:paraId="12182E62" w14:textId="77777777" w:rsidR="00C40DB2" w:rsidRPr="009B3266" w:rsidRDefault="00C40DB2" w:rsidP="00C40DB2">
      <w:pPr>
        <w:pStyle w:val="Quote"/>
      </w:pPr>
      <w:r w:rsidRPr="00CD52CB">
        <w:t>Physical Disability Coun</w:t>
      </w:r>
      <w:r w:rsidRPr="009B3266">
        <w:t>cil of NSW</w:t>
      </w:r>
    </w:p>
    <w:p w14:paraId="44B833C0" w14:textId="77777777" w:rsidR="00C40DB2" w:rsidRDefault="00C40DB2" w:rsidP="00C40DB2">
      <w:r>
        <w:t>Feedback from all stakeholders indicated minimal support for maintaining the status quo. Feedback from all stakeholder groups acknowledged the importance of the configuration of toilets to ensure all passengers can safely use accessible toilet facilities. Consultation found lack of access to toileting facilities is a significant barrier for people with disability to travel, with some passengers avoiding travel on public transport if they are uncertain they will be able to easily access toilet facilities.</w:t>
      </w:r>
      <w:r w:rsidRPr="00B309CE">
        <w:t xml:space="preserve"> </w:t>
      </w:r>
    </w:p>
    <w:p w14:paraId="69A637E5" w14:textId="4E6E951B" w:rsidR="00C40DB2" w:rsidRDefault="08D050C4" w:rsidP="00C40DB2">
      <w:r>
        <w:t>Maintaining the status quo would continue to have negative impacts for people with disability, who favour either left</w:t>
      </w:r>
      <w:r w:rsidR="00642F09">
        <w:t>-</w:t>
      </w:r>
      <w:r>
        <w:t xml:space="preserve"> or right</w:t>
      </w:r>
      <w:r w:rsidR="00642F09">
        <w:t>-</w:t>
      </w:r>
      <w:r>
        <w:t xml:space="preserve">hand. Therefore, this option does not support the objectives of the Transport Standards to provide equality and independence, and remove discrimination for people with disability in relation to public transport. </w:t>
      </w:r>
    </w:p>
    <w:p w14:paraId="28BB42A8" w14:textId="77777777" w:rsidR="00C40DB2" w:rsidRDefault="00C40DB2" w:rsidP="00C40DB2">
      <w:r>
        <w:t>There are no ongoing costs for operators and providers with the status quo, however, there will continue to be negative impacts on community safety, amenity and accessibility.</w:t>
      </w:r>
    </w:p>
    <w:p w14:paraId="32F8E12D" w14:textId="77777777" w:rsidR="00C40DB2" w:rsidRPr="006929B6" w:rsidRDefault="00C40DB2" w:rsidP="00C40DB2">
      <w:pPr>
        <w:pStyle w:val="Heading5"/>
      </w:pPr>
      <w:r w:rsidRPr="006929B6">
        <w:t>Non-regulatory</w:t>
      </w:r>
    </w:p>
    <w:p w14:paraId="10E35364" w14:textId="77777777" w:rsidR="00C40DB2" w:rsidRDefault="00C40DB2" w:rsidP="00C40DB2">
      <w:r w:rsidRPr="00250121">
        <w:t>The non-regulatory option would encourage operators and providers to install both left</w:t>
      </w:r>
      <w:r>
        <w:t>-</w:t>
      </w:r>
      <w:r w:rsidRPr="00250121">
        <w:t xml:space="preserve"> and right-handed accessible toilets. Feedback from disability stakeholders indicated this will improve safety, </w:t>
      </w:r>
      <w:r>
        <w:t xml:space="preserve">access, </w:t>
      </w:r>
      <w:r w:rsidRPr="00250121">
        <w:t xml:space="preserve">and improve confidence </w:t>
      </w:r>
      <w:r>
        <w:t xml:space="preserve">for people with disability </w:t>
      </w:r>
      <w:r w:rsidRPr="00250121">
        <w:t xml:space="preserve">to use </w:t>
      </w:r>
      <w:r>
        <w:t xml:space="preserve">toileting facilities and travel on </w:t>
      </w:r>
      <w:r w:rsidRPr="00250121">
        <w:t xml:space="preserve">public transport. </w:t>
      </w:r>
      <w:r>
        <w:t>I</w:t>
      </w:r>
      <w:r w:rsidRPr="00250121">
        <w:t xml:space="preserve">ndustry and government </w:t>
      </w:r>
      <w:r>
        <w:t xml:space="preserve">submissions </w:t>
      </w:r>
      <w:r w:rsidRPr="00250121">
        <w:t>supported th</w:t>
      </w:r>
      <w:r>
        <w:t>ese anticipated outcomes.</w:t>
      </w:r>
    </w:p>
    <w:p w14:paraId="7C02E736" w14:textId="77777777" w:rsidR="00C40DB2" w:rsidRDefault="00C40DB2" w:rsidP="00C40DB2">
      <w:pPr>
        <w:pStyle w:val="Quote"/>
      </w:pPr>
      <w:r w:rsidRPr="007A531A">
        <w:t>Currently all accessible toilets on Queensland Rails suburban fleet are left hand toilets</w:t>
      </w:r>
      <w:r>
        <w:t>. The regulatory option and advice are welcome and will result in significant improvement.</w:t>
      </w:r>
      <w:r w:rsidRPr="007A531A">
        <w:t xml:space="preserve"> Providing both left and right options where possible can mean the difference between being able to use a toilet or not for some people.</w:t>
      </w:r>
      <w:r>
        <w:t xml:space="preserve"> </w:t>
      </w:r>
    </w:p>
    <w:p w14:paraId="166CF230" w14:textId="77777777" w:rsidR="00C40DB2" w:rsidRPr="009B3266" w:rsidRDefault="00C40DB2" w:rsidP="00C40DB2">
      <w:pPr>
        <w:pStyle w:val="Quote"/>
      </w:pPr>
      <w:r w:rsidRPr="00CD52CB">
        <w:t xml:space="preserve">Queenslanders With Disability Network </w:t>
      </w:r>
    </w:p>
    <w:p w14:paraId="6C93E0BE" w14:textId="77777777" w:rsidR="00C40DB2" w:rsidRDefault="00C40DB2" w:rsidP="00C40DB2">
      <w:r>
        <w:t xml:space="preserve">There was mixed support from operators and providers and governments between the regulatory and non-regulatory options. Feedback indicated there are challenges to implementing </w:t>
      </w:r>
      <w:r w:rsidRPr="009B3266">
        <w:t>left- and right-handed accessible toilets</w:t>
      </w:r>
      <w:r w:rsidRPr="009B3266" w:rsidDel="009B3266">
        <w:t xml:space="preserve"> </w:t>
      </w:r>
      <w:r>
        <w:t xml:space="preserve">on-board conveyances, particularly retrospectively. For example, rail car sets (e.g. 3 rail cars run together) are often used in different combinations, making it challenging to guarantee toilets of both hands would be available. There would be a high cost to retrofit and / reconfigure existing assets. In addition, upgrades would interrupt service operations (i.e. rail network operations). </w:t>
      </w:r>
    </w:p>
    <w:p w14:paraId="0021D9E8" w14:textId="77777777" w:rsidR="00C40DB2" w:rsidRPr="00244F46" w:rsidRDefault="00C40DB2" w:rsidP="00C40DB2">
      <w:r>
        <w:t xml:space="preserve">Feedback from the disability community argues additional guidance alone would not be adopted in sufficient locations to address the barriers faced by people with disability. To the extent guidance is adopted, people with disability would be able to access accessible public toilets where they otherwise would not have been able to. </w:t>
      </w:r>
    </w:p>
    <w:p w14:paraId="2DB13694" w14:textId="77777777" w:rsidR="00C40DB2" w:rsidRPr="006929B6" w:rsidRDefault="00C40DB2" w:rsidP="00C40DB2">
      <w:pPr>
        <w:pStyle w:val="Heading5"/>
      </w:pPr>
      <w:r w:rsidRPr="006929B6">
        <w:lastRenderedPageBreak/>
        <w:t>Regulatory</w:t>
      </w:r>
    </w:p>
    <w:p w14:paraId="0287A66F" w14:textId="77777777" w:rsidR="00C40DB2" w:rsidRDefault="00C40DB2" w:rsidP="00C40DB2">
      <w:r>
        <w:t xml:space="preserve">The regulatory option would require the provision of accessible toilets in both left- and right-handed formats. </w:t>
      </w:r>
    </w:p>
    <w:p w14:paraId="2908A9F2" w14:textId="77777777" w:rsidR="00C40DB2" w:rsidRDefault="08D050C4" w:rsidP="00C40DB2">
      <w:r>
        <w:t>All submissions from people with disability and disability organisations support regulation on the grounds it would provide the broadest improvements for people with disability. These impacts include improved confidence to use public transport, increased safety when using accessible toilets, and increased amenity owing to greater availability of accessible toilets. These benefits are particularly important for people with disability who struggle to transition from wheelchair to toilet without the appropriate layout for their needs.</w:t>
      </w:r>
    </w:p>
    <w:p w14:paraId="4C6C768B" w14:textId="77777777" w:rsidR="00C40DB2" w:rsidRDefault="00C40DB2" w:rsidP="00C40DB2">
      <w:bookmarkStart w:id="455" w:name="_Hlk121926370"/>
      <w:r>
        <w:t xml:space="preserve">Submissions from three state governments also support the regulatory option arguing these requirements will remove discrimination from public transport services and improve consistency across the public transport network. </w:t>
      </w:r>
    </w:p>
    <w:p w14:paraId="780C83DD" w14:textId="77777777" w:rsidR="00C40DB2" w:rsidRDefault="00C40DB2" w:rsidP="00C40DB2">
      <w:pPr>
        <w:pStyle w:val="Quote"/>
      </w:pPr>
      <w:r w:rsidRPr="005B2658">
        <w:t>Providing an equal proportion of left- and right-hand configurations provides those with disabilities the freedom of feeling safe to use public transport without fear of being unable to use facilities that may not be safe or suited to their disability. Providing equal facilities helps to increase independence and inclusion.</w:t>
      </w:r>
      <w:r>
        <w:t xml:space="preserve"> </w:t>
      </w:r>
    </w:p>
    <w:p w14:paraId="132BBF88" w14:textId="77777777" w:rsidR="00C40DB2" w:rsidRPr="004D6389" w:rsidRDefault="00C40DB2" w:rsidP="00C40DB2">
      <w:pPr>
        <w:pStyle w:val="Quote"/>
      </w:pPr>
      <w:r w:rsidRPr="004D6389">
        <w:t>Queensland Government Department of Transport and Main Roads</w:t>
      </w:r>
    </w:p>
    <w:p w14:paraId="105F7CD5" w14:textId="3499B27C" w:rsidR="00C40DB2" w:rsidRPr="00A23D1C" w:rsidRDefault="00C40DB2" w:rsidP="00C40DB2">
      <w:r>
        <w:t xml:space="preserve">However, government submissions argue it is not feasible to have both toilet configurations available on existing conveyances, due to operational constraints and the high cost to retrofit / reconfigure existing conveyances, as discussed under the non-regulatory analysis above. Concerns </w:t>
      </w:r>
      <w:r w:rsidR="00642F09">
        <w:t>were raised</w:t>
      </w:r>
      <w:r>
        <w:t xml:space="preserve"> that regulating the proposed regulatory option would not guarantee rail car sets with both configurations of toilets. However, these challenges have not been fully quantified through consultation feedback. </w:t>
      </w:r>
    </w:p>
    <w:bookmarkEnd w:id="455"/>
    <w:p w14:paraId="3A44A23D" w14:textId="77777777" w:rsidR="00C40DB2" w:rsidRDefault="00C40DB2" w:rsidP="00C40DB2">
      <w:r>
        <w:t xml:space="preserve">Mandating the provision of left- and right-hand accessible toilets would likely lead to a greater use of accessible toilets relative to the non-regulatory option. Ensuring toilets of left- and right-hand configurations would ensure people with disability can </w:t>
      </w:r>
      <w:r w:rsidRPr="00D60277">
        <w:t>choose an accessible toilet design suits their needs</w:t>
      </w:r>
      <w:r>
        <w:t xml:space="preserve"> on ferries and trains and remove barriers and discrimination for people with disability on public transport.</w:t>
      </w:r>
    </w:p>
    <w:p w14:paraId="7610D41A" w14:textId="77777777" w:rsidR="00C40DB2" w:rsidRDefault="00C40DB2" w:rsidP="00C40DB2">
      <w:pPr>
        <w:pStyle w:val="Heading4"/>
      </w:pPr>
      <w:r>
        <w:t>Preferred option</w:t>
      </w:r>
    </w:p>
    <w:p w14:paraId="7EA5D065" w14:textId="74DD242F" w:rsidR="00C40DB2" w:rsidRDefault="00C40DB2" w:rsidP="00C40DB2">
      <w:r>
        <w:t xml:space="preserve">Informed by the outcomes of consultation, stakeholder impacts, cost and outcomes analysis, the preferred option is the </w:t>
      </w:r>
      <w:r>
        <w:rPr>
          <w:b/>
        </w:rPr>
        <w:t>regulatory option</w:t>
      </w:r>
      <w:r w:rsidR="00E373EB">
        <w:rPr>
          <w:b/>
          <w:bCs/>
        </w:rPr>
        <w:t xml:space="preserve"> with revisions</w:t>
      </w:r>
      <w:r>
        <w:t>.</w:t>
      </w:r>
    </w:p>
    <w:p w14:paraId="29C6E8E0" w14:textId="77777777" w:rsidR="00C40DB2" w:rsidRPr="004B7ECA" w:rsidRDefault="00C40DB2" w:rsidP="00E373EB">
      <w:pPr>
        <w:pStyle w:val="Style5"/>
        <w:framePr w:wrap="around"/>
      </w:pPr>
      <w:r>
        <w:t xml:space="preserve">Stakeholder concerns about the retrofitting and / or reconfiguring ferries and / or trains will be resolved by only requiring the provision of both left and right-handed accessible toilets on new conveyances. </w:t>
      </w:r>
    </w:p>
    <w:p w14:paraId="1F540F6C" w14:textId="77777777" w:rsidR="00346787" w:rsidRDefault="00E373EB" w:rsidP="00346787">
      <w:pPr>
        <w:spacing w:before="120" w:after="120"/>
      </w:pPr>
      <w:r>
        <w:br/>
      </w:r>
      <w:r w:rsidR="00346787">
        <w:t xml:space="preserve">This option will ensure the safety and accessibility of people with disability will be enhanced through the provision of left- and right-hand configurations of accessible toilets and encourage operators and providers to construct multiple configurations of accessible toilets. </w:t>
      </w:r>
    </w:p>
    <w:p w14:paraId="4EE09B29" w14:textId="626B0B08" w:rsidR="00606FB4" w:rsidRDefault="00C40DB2" w:rsidP="00C40DB2">
      <w:r>
        <w:t>The preferred option will be implemented through amendments to the Transport Standards and Guidelines. Operators and providers will be required to meet new Transport Standards requirements prospectively with a trigger mechanism.</w:t>
      </w:r>
    </w:p>
    <w:p w14:paraId="19AD602B" w14:textId="77777777" w:rsidR="00606FB4" w:rsidRDefault="00606FB4" w:rsidP="00606FB4">
      <w:r>
        <w:br w:type="page"/>
      </w:r>
    </w:p>
    <w:p w14:paraId="2B4F1728" w14:textId="4E94E059" w:rsidR="00606FB4" w:rsidRPr="001E53A0" w:rsidRDefault="00606FB4" w:rsidP="003B77C8">
      <w:pPr>
        <w:pStyle w:val="Heading2"/>
        <w:numPr>
          <w:ilvl w:val="0"/>
          <w:numId w:val="27"/>
        </w:numPr>
        <w:ind w:hanging="720"/>
      </w:pPr>
      <w:bookmarkStart w:id="456" w:name="_Toc127351782"/>
      <w:bookmarkStart w:id="457" w:name="_Toc140239740"/>
      <w:r w:rsidRPr="001E53A0">
        <w:lastRenderedPageBreak/>
        <w:t>Emergency call buttons in accessible toilets</w:t>
      </w:r>
      <w:bookmarkEnd w:id="456"/>
      <w:bookmarkEnd w:id="457"/>
    </w:p>
    <w:p w14:paraId="14382297" w14:textId="77777777" w:rsidR="00606FB4" w:rsidRDefault="00606FB4" w:rsidP="00606FB4">
      <w:pPr>
        <w:pStyle w:val="Heading4"/>
        <w:tabs>
          <w:tab w:val="left" w:pos="284"/>
        </w:tabs>
      </w:pPr>
      <w:r>
        <w:t>Issue</w:t>
      </w:r>
    </w:p>
    <w:p w14:paraId="4893B227" w14:textId="77777777" w:rsidR="00606FB4" w:rsidRPr="00BE0D9D" w:rsidRDefault="08D050C4" w:rsidP="08D050C4">
      <w:pPr>
        <w:tabs>
          <w:tab w:val="left" w:pos="284"/>
        </w:tabs>
        <w:rPr>
          <w:b/>
          <w:bCs/>
        </w:rPr>
      </w:pPr>
      <w:r>
        <w:t>Emergency call buttons are not frequently installed in unisex accessible toilets. Without emergency call buttons, a person in distress may not be able to request help. If emergency call buttons are installed in accessible toilets at compliant heights (greater than 900 millimetres above floor), they may not be reachable by a person who has fallen to the floor to request help.</w:t>
      </w:r>
    </w:p>
    <w:p w14:paraId="65265DF4" w14:textId="77777777" w:rsidR="00606FB4" w:rsidRDefault="00606FB4" w:rsidP="00606FB4">
      <w:pPr>
        <w:tabs>
          <w:tab w:val="left" w:pos="284"/>
        </w:tabs>
      </w:pPr>
      <w:r>
        <w:t>Collective government action would ensure people are able to signal for help in an emergency while using accessible toilets and address key stakeholder issues raised through the Transport Standards review process.</w:t>
      </w:r>
    </w:p>
    <w:p w14:paraId="0BEF470A" w14:textId="77777777" w:rsidR="00606FB4" w:rsidRDefault="00606FB4" w:rsidP="00606FB4">
      <w:pPr>
        <w:pStyle w:val="Heading4"/>
        <w:tabs>
          <w:tab w:val="left" w:pos="284"/>
        </w:tabs>
      </w:pPr>
      <w:r>
        <w:t>Reform options</w:t>
      </w:r>
    </w:p>
    <w:p w14:paraId="75850599" w14:textId="77777777" w:rsidR="00606FB4" w:rsidRDefault="00606FB4" w:rsidP="00606FB4">
      <w:pPr>
        <w:tabs>
          <w:tab w:val="left" w:pos="284"/>
        </w:tabs>
      </w:pPr>
      <w:r>
        <w:t>Following is a summary of the proposed options for this reform. Full details of each reform option is provided at Appendix A.</w:t>
      </w:r>
    </w:p>
    <w:p w14:paraId="0B34BCEA" w14:textId="7DE0695B" w:rsidR="00606FB4" w:rsidRDefault="00606FB4" w:rsidP="00606FB4">
      <w:pPr>
        <w:pStyle w:val="Tablefigureheading"/>
      </w:pPr>
      <w:bookmarkStart w:id="458" w:name="_Toc122446408"/>
      <w:bookmarkStart w:id="459" w:name="_Toc139969248"/>
      <w:r>
        <w:t xml:space="preserve">Table </w:t>
      </w:r>
      <w:fldSimple w:instr=" SEQ Table \* ARABIC ">
        <w:r w:rsidR="00DC26AC">
          <w:rPr>
            <w:noProof/>
          </w:rPr>
          <w:t>90</w:t>
        </w:r>
      </w:fldSimple>
      <w:r>
        <w:rPr>
          <w:noProof/>
        </w:rPr>
        <w:t>:</w:t>
      </w:r>
      <w:r>
        <w:t xml:space="preserve"> Reform options for emergency call buttons in accessible toilets</w:t>
      </w:r>
      <w:bookmarkEnd w:id="458"/>
      <w:bookmarkEnd w:id="459"/>
    </w:p>
    <w:tbl>
      <w:tblPr>
        <w:tblStyle w:val="DefaultTable1"/>
        <w:tblW w:w="9072" w:type="dxa"/>
        <w:tblLook w:val="04A0" w:firstRow="1" w:lastRow="0" w:firstColumn="1" w:lastColumn="0" w:noHBand="0" w:noVBand="1"/>
        <w:tblCaption w:val="Reform options for emergency call buttons in accessible toilets"/>
        <w:tblDescription w:val="This table provides a description of each of the options for this reform area. Status quo, non-regulatory and regulatory."/>
      </w:tblPr>
      <w:tblGrid>
        <w:gridCol w:w="2232"/>
        <w:gridCol w:w="6840"/>
      </w:tblGrid>
      <w:tr w:rsidR="00606FB4" w:rsidRPr="003964B8" w14:paraId="7905FC3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1401A14"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1335262B"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34ADA411"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5AA937A"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2BE8935A" w14:textId="77777777" w:rsidR="00606FB4" w:rsidRPr="000630B3" w:rsidRDefault="00606FB4" w:rsidP="00606FB4">
            <w:pPr>
              <w:cnfStyle w:val="000000100000" w:firstRow="0" w:lastRow="0" w:firstColumn="0" w:lastColumn="0" w:oddVBand="0" w:evenVBand="0" w:oddHBand="1" w:evenHBand="0" w:firstRowFirstColumn="0" w:firstRowLastColumn="0" w:lastRowFirstColumn="0" w:lastRowLastColumn="0"/>
            </w:pPr>
            <w:r w:rsidRPr="169A030C">
              <w:t xml:space="preserve">The Transport Standards would continue not to require emergency call buttons in accessible unisex toilets. </w:t>
            </w:r>
          </w:p>
          <w:p w14:paraId="1469AA0E"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w:t>
            </w:r>
            <w:r w:rsidRPr="169A030C">
              <w:t>Standards</w:t>
            </w:r>
            <w:r>
              <w:t xml:space="preserve"> </w:t>
            </w:r>
            <w:r w:rsidRPr="002A7AC6">
              <w:t>would remain unchanged and no guidance would be issued.</w:t>
            </w:r>
          </w:p>
        </w:tc>
      </w:tr>
      <w:tr w:rsidR="00606FB4" w:rsidRPr="003964B8" w14:paraId="682F6E9B" w14:textId="77777777" w:rsidTr="08D050C4">
        <w:trPr>
          <w:cantSplit/>
        </w:trPr>
        <w:tc>
          <w:tcPr>
            <w:cnfStyle w:val="001000000000" w:firstRow="0" w:lastRow="0" w:firstColumn="1" w:lastColumn="0" w:oddVBand="0" w:evenVBand="0" w:oddHBand="0" w:evenHBand="0" w:firstRowFirstColumn="0" w:firstRowLastColumn="0" w:lastRowFirstColumn="0" w:lastRowLastColumn="0"/>
            <w:tcW w:w="2232" w:type="dxa"/>
          </w:tcPr>
          <w:p w14:paraId="047BF6DF" w14:textId="77777777" w:rsidR="00606FB4" w:rsidRPr="004A463A" w:rsidRDefault="00606FB4" w:rsidP="00606FB4">
            <w:pPr>
              <w:pStyle w:val="Tabletext"/>
              <w:rPr>
                <w:rFonts w:asciiTheme="minorHAnsi" w:hAnsiTheme="minorHAnsi" w:cstheme="minorBidi"/>
              </w:rPr>
            </w:pPr>
            <w:r w:rsidRPr="169A030C">
              <w:rPr>
                <w:rFonts w:asciiTheme="minorHAnsi" w:hAnsiTheme="minorHAnsi" w:cstheme="minorBidi"/>
              </w:rPr>
              <w:t>Non-regulatory</w:t>
            </w:r>
          </w:p>
        </w:tc>
        <w:tc>
          <w:tcPr>
            <w:tcW w:w="6840" w:type="dxa"/>
          </w:tcPr>
          <w:p w14:paraId="22BA828F" w14:textId="77777777" w:rsidR="00606FB4" w:rsidRPr="00D27D68"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69A030C">
              <w:rPr>
                <w:rFonts w:asciiTheme="minorHAnsi" w:eastAsiaTheme="minorEastAsia" w:hAnsiTheme="minorHAnsi" w:cstheme="minorBidi"/>
                <w:color w:val="auto"/>
                <w:lang w:val="en-US"/>
              </w:rPr>
              <w:t>Guidance would be updated to include advice on accessible toilets, including the provision of emergency call buttons in accessible toilets, including, but not limited to, that emergency call buttons should be able to be reached from the floor and toilet pan.</w:t>
            </w:r>
          </w:p>
        </w:tc>
      </w:tr>
      <w:tr w:rsidR="00606FB4" w:rsidRPr="003964B8" w14:paraId="46D6EAC2"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7EB31529" w14:textId="77777777" w:rsidR="00606FB4" w:rsidRPr="004A463A" w:rsidRDefault="00606FB4" w:rsidP="00606FB4">
            <w:pPr>
              <w:pStyle w:val="Tabletext"/>
              <w:rPr>
                <w:rFonts w:asciiTheme="minorHAnsi" w:hAnsiTheme="minorHAnsi" w:cstheme="minorBidi"/>
              </w:rPr>
            </w:pPr>
            <w:r w:rsidRPr="169A030C">
              <w:rPr>
                <w:rFonts w:asciiTheme="minorHAnsi" w:hAnsiTheme="minorHAnsi" w:cstheme="minorBidi"/>
              </w:rPr>
              <w:t>Regulatory</w:t>
            </w:r>
          </w:p>
        </w:tc>
        <w:tc>
          <w:tcPr>
            <w:tcW w:w="6840" w:type="dxa"/>
          </w:tcPr>
          <w:p w14:paraId="373FB277"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169A030C">
              <w:t>The Transport Standards would be amended to include requirements for emergency call buttons in accessible toilets, including button location requirements, luminance contrast, and identification by braille and tactile signs. The regulatory option includes 2 sub-options in relation to the location of the button</w:t>
            </w:r>
            <w:r w:rsidR="000630B3" w:rsidRPr="169A030C">
              <w:t>.</w:t>
            </w:r>
          </w:p>
          <w:p w14:paraId="21AE60B7" w14:textId="77777777" w:rsidR="000630B3" w:rsidRPr="002A530F" w:rsidRDefault="000630B3" w:rsidP="000630B3">
            <w:pPr>
              <w:cnfStyle w:val="000000100000" w:firstRow="0" w:lastRow="0" w:firstColumn="0" w:lastColumn="0" w:oddVBand="0" w:evenVBand="0" w:oddHBand="1" w:evenHBand="0" w:firstRowFirstColumn="0" w:firstRowLastColumn="0" w:lastRowFirstColumn="0" w:lastRowLastColumn="0"/>
              <w:rPr>
                <w:b/>
              </w:rPr>
            </w:pPr>
            <w:r w:rsidRPr="002A530F">
              <w:rPr>
                <w:b/>
              </w:rPr>
              <w:t>Option 1</w:t>
            </w:r>
          </w:p>
          <w:p w14:paraId="39C10C05" w14:textId="77777777" w:rsidR="000630B3" w:rsidRPr="000630B3" w:rsidRDefault="08D050C4" w:rsidP="08D050C4">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8D050C4">
              <w:t>One button is to be adjacent to the pan, 900 to 1200 millimetres above finished floor and within reach of a person sitting on the pan. The other button is to be at 300 to 400 millimetres above finished floor and forward of the pan.</w:t>
            </w:r>
          </w:p>
          <w:p w14:paraId="3DF6F6DB" w14:textId="77777777" w:rsidR="000630B3" w:rsidRPr="002A530F" w:rsidRDefault="000630B3" w:rsidP="000630B3">
            <w:pPr>
              <w:cnfStyle w:val="000000100000" w:firstRow="0" w:lastRow="0" w:firstColumn="0" w:lastColumn="0" w:oddVBand="0" w:evenVBand="0" w:oddHBand="1" w:evenHBand="0" w:firstRowFirstColumn="0" w:firstRowLastColumn="0" w:lastRowFirstColumn="0" w:lastRowLastColumn="0"/>
              <w:rPr>
                <w:b/>
              </w:rPr>
            </w:pPr>
            <w:r w:rsidRPr="002A530F">
              <w:rPr>
                <w:b/>
              </w:rPr>
              <w:t xml:space="preserve">Option </w:t>
            </w:r>
            <w:r>
              <w:rPr>
                <w:b/>
              </w:rPr>
              <w:t>2</w:t>
            </w:r>
          </w:p>
          <w:p w14:paraId="4668FDA2" w14:textId="77777777" w:rsidR="000630B3" w:rsidRDefault="08D050C4" w:rsidP="08D050C4">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8D050C4">
              <w:t>One button may share the space with the flush control adjacent to the pan as per AS1428.1 (2009) Design for access and mobility, Clause 15.2.5 Figure 40.B. The other button must be 300 to 400 millimetres above finished floor and 150 to 900 millimetres forward of the pan.</w:t>
            </w:r>
          </w:p>
          <w:p w14:paraId="44D71408" w14:textId="77777777" w:rsidR="000630B3" w:rsidRPr="000630B3" w:rsidRDefault="000630B3" w:rsidP="000630B3">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rFonts w:cstheme="minorHAnsi"/>
                <w:szCs w:val="24"/>
              </w:rPr>
            </w:pPr>
          </w:p>
          <w:p w14:paraId="0A284B21"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169A030C">
              <w:t>Guidance would be provided to reflect any new requirements.</w:t>
            </w:r>
          </w:p>
        </w:tc>
      </w:tr>
    </w:tbl>
    <w:p w14:paraId="26059791" w14:textId="77777777" w:rsidR="006A1CDA" w:rsidRDefault="006A1CDA" w:rsidP="006A1CDA">
      <w:pPr>
        <w:pStyle w:val="BodyText"/>
      </w:pPr>
    </w:p>
    <w:p w14:paraId="121D8820" w14:textId="77777777" w:rsidR="00606FB4" w:rsidRDefault="00606FB4" w:rsidP="00606FB4">
      <w:pPr>
        <w:pStyle w:val="Heading4"/>
        <w:tabs>
          <w:tab w:val="left" w:pos="284"/>
        </w:tabs>
      </w:pPr>
      <w:r>
        <w:t>Cost benefit analysis</w:t>
      </w:r>
    </w:p>
    <w:p w14:paraId="11FBFAF6"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Quantitative assessment </w:t>
      </w:r>
    </w:p>
    <w:p w14:paraId="0AD75FD9" w14:textId="77777777" w:rsidR="00606FB4" w:rsidRPr="00595D2C" w:rsidRDefault="00606FB4" w:rsidP="00606FB4">
      <w:r>
        <w:t xml:space="preserve">The following categories of quantitative costs and benefits were identified in the CBA as pertaining to the reform options. </w:t>
      </w:r>
    </w:p>
    <w:p w14:paraId="0384CF51" w14:textId="63AA64C9" w:rsidR="00606FB4" w:rsidRDefault="00606FB4" w:rsidP="00606FB4">
      <w:pPr>
        <w:pStyle w:val="Caption"/>
        <w:keepNext/>
      </w:pPr>
      <w:bookmarkStart w:id="460" w:name="_Toc122446409"/>
      <w:bookmarkStart w:id="461" w:name="_Toc139969249"/>
      <w:r>
        <w:lastRenderedPageBreak/>
        <w:t xml:space="preserve">Table </w:t>
      </w:r>
      <w:fldSimple w:instr=" SEQ Table \* ARABIC ">
        <w:r w:rsidR="00DC26AC">
          <w:rPr>
            <w:noProof/>
          </w:rPr>
          <w:t>91</w:t>
        </w:r>
      </w:fldSimple>
      <w:r>
        <w:t>: Benefit-cost ratios for emergency call buttons in accessible toilets</w:t>
      </w:r>
      <w:bookmarkEnd w:id="460"/>
      <w:bookmarkEnd w:id="461"/>
    </w:p>
    <w:tbl>
      <w:tblPr>
        <w:tblStyle w:val="DefaultTable1"/>
        <w:tblW w:w="9864" w:type="dxa"/>
        <w:tblLook w:val="04A0" w:firstRow="1" w:lastRow="0" w:firstColumn="1" w:lastColumn="0" w:noHBand="0" w:noVBand="1"/>
        <w:tblCaption w:val="Benefit-cost ratios for emergency call buttons in accessible toilets"/>
        <w:tblDescription w:val="This table provides the monetised benefits and costs for each of the options for this reform area."/>
      </w:tblPr>
      <w:tblGrid>
        <w:gridCol w:w="2410"/>
        <w:gridCol w:w="1230"/>
        <w:gridCol w:w="1648"/>
        <w:gridCol w:w="1692"/>
        <w:gridCol w:w="1684"/>
        <w:gridCol w:w="1200"/>
      </w:tblGrid>
      <w:tr w:rsidR="00606FB4" w:rsidRPr="003964B8" w14:paraId="317A465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191214D8" w14:textId="77777777" w:rsidR="00606FB4" w:rsidRPr="007A751F" w:rsidRDefault="08D050C4" w:rsidP="00606FB4">
            <w:r w:rsidRPr="08D050C4">
              <w:t>Reform Option</w:t>
            </w:r>
          </w:p>
        </w:tc>
        <w:tc>
          <w:tcPr>
            <w:tcW w:w="1230" w:type="dxa"/>
          </w:tcPr>
          <w:p w14:paraId="65B661B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648" w:type="dxa"/>
          </w:tcPr>
          <w:p w14:paraId="20CF424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692" w:type="dxa"/>
          </w:tcPr>
          <w:p w14:paraId="4A2EA2B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684" w:type="dxa"/>
          </w:tcPr>
          <w:p w14:paraId="7A25292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00" w:type="dxa"/>
          </w:tcPr>
          <w:p w14:paraId="7EA8EC3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42DACCF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E9E534" w14:textId="77777777" w:rsidR="00606FB4" w:rsidRPr="00653914" w:rsidRDefault="00606FB4" w:rsidP="00606FB4">
            <w:r w:rsidRPr="00653914">
              <w:t>Status Quo</w:t>
            </w:r>
          </w:p>
        </w:tc>
        <w:tc>
          <w:tcPr>
            <w:tcW w:w="1230" w:type="dxa"/>
          </w:tcPr>
          <w:p w14:paraId="3A0AD50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8" w:type="dxa"/>
          </w:tcPr>
          <w:p w14:paraId="4C9C59C5"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92" w:type="dxa"/>
          </w:tcPr>
          <w:p w14:paraId="252CB2AF"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84" w:type="dxa"/>
          </w:tcPr>
          <w:p w14:paraId="3ECFAE6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00" w:type="dxa"/>
          </w:tcPr>
          <w:p w14:paraId="4063770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7B5B0259"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5EF6161E" w14:textId="77777777" w:rsidR="00606FB4" w:rsidRPr="00653914" w:rsidRDefault="00606FB4" w:rsidP="00606FB4">
            <w:r>
              <w:t xml:space="preserve">Non-regulatory </w:t>
            </w:r>
          </w:p>
        </w:tc>
        <w:tc>
          <w:tcPr>
            <w:tcW w:w="1230" w:type="dxa"/>
            <w:vAlign w:val="center"/>
          </w:tcPr>
          <w:p w14:paraId="21BB5671"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8D050C4">
              <w:t>191.1</w:t>
            </w:r>
          </w:p>
        </w:tc>
        <w:tc>
          <w:tcPr>
            <w:tcW w:w="1648" w:type="dxa"/>
          </w:tcPr>
          <w:p w14:paraId="2AEFE2DA"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92" w:type="dxa"/>
            <w:vAlign w:val="center"/>
          </w:tcPr>
          <w:p w14:paraId="4FDE88B4"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2.9</w:t>
            </w:r>
          </w:p>
        </w:tc>
        <w:tc>
          <w:tcPr>
            <w:tcW w:w="1684" w:type="dxa"/>
            <w:vAlign w:val="center"/>
          </w:tcPr>
          <w:p w14:paraId="272F547B" w14:textId="77777777" w:rsidR="00606FB4" w:rsidRPr="000630B3"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169A030C">
              <w:t>2.9</w:t>
            </w:r>
            <w:r w:rsidR="000630B3" w:rsidRPr="169A030C">
              <w:rPr>
                <w:vertAlign w:val="superscript"/>
              </w:rPr>
              <w:t>i</w:t>
            </w:r>
          </w:p>
        </w:tc>
        <w:tc>
          <w:tcPr>
            <w:tcW w:w="1200" w:type="dxa"/>
            <w:vAlign w:val="center"/>
          </w:tcPr>
          <w:p w14:paraId="5DC8CC85"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66.78</w:t>
            </w:r>
          </w:p>
        </w:tc>
      </w:tr>
      <w:tr w:rsidR="00606FB4" w:rsidRPr="00B04D0E" w14:paraId="79818F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D761015" w14:textId="77777777" w:rsidR="00606FB4" w:rsidRPr="00653914" w:rsidRDefault="00606FB4" w:rsidP="00606FB4">
            <w:r>
              <w:t>Regulatory</w:t>
            </w:r>
          </w:p>
        </w:tc>
        <w:tc>
          <w:tcPr>
            <w:tcW w:w="1230" w:type="dxa"/>
            <w:vAlign w:val="center"/>
          </w:tcPr>
          <w:p w14:paraId="6553EA4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1349.6</w:t>
            </w:r>
          </w:p>
        </w:tc>
        <w:tc>
          <w:tcPr>
            <w:tcW w:w="1648" w:type="dxa"/>
          </w:tcPr>
          <w:p w14:paraId="5F50120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92" w:type="dxa"/>
            <w:vAlign w:val="center"/>
          </w:tcPr>
          <w:p w14:paraId="1DD0FED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18.4</w:t>
            </w:r>
          </w:p>
        </w:tc>
        <w:tc>
          <w:tcPr>
            <w:tcW w:w="1684" w:type="dxa"/>
            <w:vAlign w:val="center"/>
          </w:tcPr>
          <w:p w14:paraId="75CC9B6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18.4</w:t>
            </w:r>
          </w:p>
        </w:tc>
        <w:tc>
          <w:tcPr>
            <w:tcW w:w="1200" w:type="dxa"/>
            <w:vAlign w:val="center"/>
          </w:tcPr>
          <w:p w14:paraId="457375F8"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pPr>
            <w:r w:rsidRPr="08D050C4">
              <w:t>73.30</w:t>
            </w:r>
          </w:p>
        </w:tc>
      </w:tr>
    </w:tbl>
    <w:p w14:paraId="7A5C84E8" w14:textId="77777777" w:rsidR="00606FB4" w:rsidRPr="000630B3" w:rsidRDefault="00606FB4" w:rsidP="00606FB4">
      <w:pPr>
        <w:spacing w:before="120" w:after="0"/>
        <w:rPr>
          <w:sz w:val="18"/>
          <w:szCs w:val="18"/>
        </w:rPr>
      </w:pPr>
      <w:r w:rsidRPr="000630B3">
        <w:rPr>
          <w:sz w:val="18"/>
          <w:szCs w:val="18"/>
          <w:vertAlign w:val="superscript"/>
        </w:rPr>
        <w:t>*</w:t>
      </w:r>
      <w:r w:rsidRPr="000630B3">
        <w:rPr>
          <w:sz w:val="18"/>
          <w:szCs w:val="18"/>
        </w:rPr>
        <w:t>$M, 2022/23, real, discounted at 7% over a 15-year appraisal period after implementation of all reforms, assessed incrementally</w:t>
      </w:r>
    </w:p>
    <w:p w14:paraId="4A63A0CE" w14:textId="77777777" w:rsidR="00606FB4" w:rsidRPr="000630B3"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6B1CE7A9" w14:textId="77777777" w:rsidR="000630B3" w:rsidRDefault="000630B3" w:rsidP="000630B3"/>
    <w:p w14:paraId="4EF01CA7" w14:textId="77777777" w:rsidR="00606FB4" w:rsidRDefault="00606FB4" w:rsidP="00606FB4">
      <w:pPr>
        <w:pStyle w:val="Heading6"/>
      </w:pPr>
      <w:r>
        <w:t>Considerations to note in interpreting analysis</w:t>
      </w:r>
    </w:p>
    <w:p w14:paraId="6C881FFC" w14:textId="77777777" w:rsidR="00606FB4" w:rsidRDefault="00606FB4" w:rsidP="000630B3">
      <w:pPr>
        <w:pStyle w:val="Heading7"/>
      </w:pPr>
      <w:r w:rsidRPr="008F2C5A">
        <w:t>Limitations</w:t>
      </w:r>
    </w:p>
    <w:p w14:paraId="3D400746" w14:textId="77777777" w:rsidR="00606FB4" w:rsidRDefault="00606FB4" w:rsidP="000630B3">
      <w:pPr>
        <w:pStyle w:val="Heading8"/>
      </w:pPr>
      <w:r>
        <w:t>Non-regulatory</w:t>
      </w:r>
    </w:p>
    <w:p w14:paraId="5C63E4AA" w14:textId="77777777" w:rsidR="00606FB4" w:rsidRPr="0056439C" w:rsidRDefault="00606FB4" w:rsidP="00606FB4">
      <w:r w:rsidRPr="0056439C">
        <w:t xml:space="preserve">The costs and benefits associated with the non-regulatory reform are lower than its regulatory counterpart reflecting an assumed lower rate of compliance with the reform e.g. compliance is more likely to occur with new or upgraded facilities and less likely with existing assets. </w:t>
      </w:r>
    </w:p>
    <w:p w14:paraId="7F483E99" w14:textId="77777777" w:rsidR="00606FB4" w:rsidRDefault="00606FB4" w:rsidP="000630B3">
      <w:pPr>
        <w:pStyle w:val="Heading8"/>
      </w:pPr>
      <w:r>
        <w:t>Regulatory option</w:t>
      </w:r>
    </w:p>
    <w:p w14:paraId="1196628E" w14:textId="77777777" w:rsidR="00606FB4" w:rsidRPr="00FB4BDA" w:rsidRDefault="00606FB4" w:rsidP="00606FB4">
      <w:r w:rsidRPr="007170B7">
        <w:t xml:space="preserve">The benefits for this reform apply to all public transport users improving safety and amenity in accessible toilets. </w:t>
      </w:r>
      <w:r w:rsidRPr="00FB4BDA">
        <w:rPr>
          <w:rFonts w:ascii="Calibri" w:hAnsi="Calibri" w:cs="Calibri"/>
          <w:shd w:val="clear" w:color="auto" w:fill="FFFFFF"/>
        </w:rPr>
        <w:t>This reform would improve safety and amenity for all public transport users at a relatively low cost.</w:t>
      </w:r>
    </w:p>
    <w:p w14:paraId="514F9583" w14:textId="77777777" w:rsidR="00606FB4" w:rsidRPr="000C3FAA" w:rsidRDefault="00606FB4" w:rsidP="00606FB4">
      <w:r w:rsidRPr="00FB4BDA">
        <w:t xml:space="preserve">The costs for this reform were estimated from benchmarks for each state and jurisdiction. These cost </w:t>
      </w:r>
      <w:r w:rsidRPr="007170B7">
        <w:t>estimates are not reflective of differences in construction or delivery costs that could be incurred at different sites.</w:t>
      </w:r>
    </w:p>
    <w:p w14:paraId="752797B5" w14:textId="77777777" w:rsidR="00606FB4" w:rsidRPr="00FB4BDA" w:rsidRDefault="00606FB4" w:rsidP="000630B3">
      <w:pPr>
        <w:pStyle w:val="Heading7"/>
        <w:rPr>
          <w:color w:val="auto"/>
        </w:rPr>
      </w:pPr>
      <w:r w:rsidRPr="00F87E76">
        <w:t>Interdependencies</w:t>
      </w:r>
    </w:p>
    <w:p w14:paraId="0AF3E1C9" w14:textId="3986D415" w:rsidR="00606FB4" w:rsidRPr="00FB4BDA" w:rsidRDefault="00606FB4" w:rsidP="00606FB4">
      <w:r w:rsidRPr="00FB4BDA">
        <w:t>An estimated rate of uptake of 15</w:t>
      </w:r>
      <w:r w:rsidR="00FB4BDA">
        <w:t xml:space="preserve"> per cent</w:t>
      </w:r>
      <w:r w:rsidRPr="00FB4BDA">
        <w:t xml:space="preserve"> was applied to the non-regulatory option based on the high cost and complexity of installing, operating and maintaining emergency communication systems. </w:t>
      </w:r>
      <w:r w:rsidRPr="00FB4BDA">
        <w:rPr>
          <w:rFonts w:ascii="Calibri" w:hAnsi="Calibri" w:cs="Calibri"/>
          <w:shd w:val="clear" w:color="auto" w:fill="FFFFFF"/>
        </w:rPr>
        <w:t>This reform would improve safety and amenity for all public transport users at a relatively low cost.</w:t>
      </w:r>
    </w:p>
    <w:p w14:paraId="49298634"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Qualitative assessment </w:t>
      </w:r>
    </w:p>
    <w:p w14:paraId="590E5CD8" w14:textId="77777777" w:rsidR="008762D5" w:rsidRDefault="00606FB4" w:rsidP="00606FB4">
      <w:r>
        <w:t>The following categories of qualitative benefits were identified in the CBA as pertaining to the reform options.</w:t>
      </w:r>
    </w:p>
    <w:p w14:paraId="75763C9F" w14:textId="31D41716" w:rsidR="00606FB4" w:rsidRDefault="00606FB4" w:rsidP="000630B3">
      <w:pPr>
        <w:pStyle w:val="Tablefigureheading"/>
      </w:pPr>
      <w:bookmarkStart w:id="462" w:name="_Toc122446410"/>
      <w:bookmarkStart w:id="463" w:name="_Toc139969250"/>
      <w:r>
        <w:t xml:space="preserve">Table </w:t>
      </w:r>
      <w:fldSimple w:instr=" SEQ Table \* ARABIC ">
        <w:r w:rsidR="00DC26AC">
          <w:rPr>
            <w:noProof/>
          </w:rPr>
          <w:t>92</w:t>
        </w:r>
      </w:fldSimple>
      <w:r>
        <w:rPr>
          <w:noProof/>
        </w:rPr>
        <w:t>:</w:t>
      </w:r>
      <w:r w:rsidRPr="00EE3F5F">
        <w:rPr>
          <w:noProof/>
        </w:rPr>
        <w:t xml:space="preserve"> </w:t>
      </w:r>
      <w:r>
        <w:t>Qualitative benefits for emergency call buttons in accessible toilets</w:t>
      </w:r>
      <w:bookmarkEnd w:id="462"/>
      <w:bookmarkEnd w:id="463"/>
    </w:p>
    <w:tbl>
      <w:tblPr>
        <w:tblStyle w:val="DefaultTable1"/>
        <w:tblW w:w="9864" w:type="dxa"/>
        <w:tblLook w:val="04A0" w:firstRow="1" w:lastRow="0" w:firstColumn="1" w:lastColumn="0" w:noHBand="0" w:noVBand="1"/>
        <w:tblCaption w:val="Qualitative benefits for emergency call buttons in accessible toilets"/>
      </w:tblPr>
      <w:tblGrid>
        <w:gridCol w:w="1213"/>
        <w:gridCol w:w="1343"/>
        <w:gridCol w:w="1626"/>
        <w:gridCol w:w="1300"/>
        <w:gridCol w:w="1278"/>
        <w:gridCol w:w="1641"/>
        <w:gridCol w:w="1463"/>
      </w:tblGrid>
      <w:tr w:rsidR="00606FB4" w:rsidRPr="007A751F" w14:paraId="008C1B8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400A92E" w14:textId="77777777" w:rsidR="00606FB4" w:rsidRPr="007A751F" w:rsidRDefault="08D050C4" w:rsidP="00606FB4">
            <w:r w:rsidRPr="08D050C4">
              <w:t>Reform Option</w:t>
            </w:r>
          </w:p>
        </w:tc>
        <w:tc>
          <w:tcPr>
            <w:tcW w:w="1343" w:type="dxa"/>
          </w:tcPr>
          <w:p w14:paraId="386728A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688F211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55F5B02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4D736324"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EAF44E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4F3302F"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0954B4E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A0889BF" w14:textId="77777777" w:rsidR="00606FB4" w:rsidRPr="00653914" w:rsidRDefault="00606FB4" w:rsidP="00606FB4">
            <w:r w:rsidRPr="00653914">
              <w:t>Status Quo</w:t>
            </w:r>
          </w:p>
        </w:tc>
        <w:tc>
          <w:tcPr>
            <w:tcW w:w="1343" w:type="dxa"/>
          </w:tcPr>
          <w:p w14:paraId="5499225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11C7C45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37C4973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0BE9459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0F1F5EF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418AEA8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471EFC2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1ACFD07" w14:textId="77777777" w:rsidR="00606FB4" w:rsidRPr="00653914" w:rsidRDefault="00606FB4" w:rsidP="00606FB4">
            <w:r>
              <w:t xml:space="preserve">Non-regulatory </w:t>
            </w:r>
          </w:p>
        </w:tc>
        <w:tc>
          <w:tcPr>
            <w:tcW w:w="1343" w:type="dxa"/>
          </w:tcPr>
          <w:p w14:paraId="3473B9BB"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56A8F9A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300" w:type="dxa"/>
          </w:tcPr>
          <w:p w14:paraId="2B7E306B"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23144DEB"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41" w:type="dxa"/>
          </w:tcPr>
          <w:p w14:paraId="5CFDEA10"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463" w:type="dxa"/>
          </w:tcPr>
          <w:p w14:paraId="140962C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606FB4" w:rsidRPr="00B04D0E" w14:paraId="1D8A95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BD37AC" w14:textId="77777777" w:rsidR="00606FB4" w:rsidRPr="00653914" w:rsidRDefault="00606FB4" w:rsidP="00606FB4">
            <w:r>
              <w:t>Regulatory</w:t>
            </w:r>
          </w:p>
        </w:tc>
        <w:tc>
          <w:tcPr>
            <w:tcW w:w="1343" w:type="dxa"/>
          </w:tcPr>
          <w:p w14:paraId="180D757D"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760F222"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3D35E542"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7A8E5D3"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0585A91F"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73B5B917"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68906A0C" w14:textId="77777777" w:rsidR="000630B3" w:rsidRDefault="000630B3" w:rsidP="000630B3"/>
    <w:p w14:paraId="07412BB9" w14:textId="77777777" w:rsidR="00606FB4" w:rsidRPr="004C16F7" w:rsidRDefault="00606FB4" w:rsidP="00606FB4">
      <w:pPr>
        <w:pStyle w:val="Heading4"/>
        <w:tabs>
          <w:tab w:val="left" w:pos="284"/>
        </w:tabs>
      </w:pPr>
      <w:r>
        <w:lastRenderedPageBreak/>
        <w:t xml:space="preserve">Analysis of submissions </w:t>
      </w:r>
    </w:p>
    <w:p w14:paraId="6A37181E" w14:textId="77777777" w:rsidR="00606FB4" w:rsidRPr="006929B6" w:rsidRDefault="00606FB4" w:rsidP="00606FB4">
      <w:pPr>
        <w:pStyle w:val="Heading5"/>
      </w:pPr>
      <w:r w:rsidRPr="006929B6">
        <w:t>Status quo</w:t>
      </w:r>
    </w:p>
    <w:p w14:paraId="5EA534C7" w14:textId="77777777" w:rsidR="00606FB4" w:rsidRDefault="00606FB4" w:rsidP="00606FB4">
      <w:r>
        <w:t xml:space="preserve">Under the status quo, the requirements for accessible toilets would remain unchanged, and operators and providers would not be encouraged to install emergency call buttons. </w:t>
      </w:r>
      <w:r w:rsidRPr="004D50B9">
        <w:t>Consultation findings have indicated that</w:t>
      </w:r>
      <w:r>
        <w:t xml:space="preserve"> under the status quo people with disability can encountering difficulties using public toilets, and when they do encounter difficulties, it can be challenging to call for assistance. In these cases where people can ask for assistance, their confidence to use public transport and their safety are improved. Some sanitary facilities have emergency call buttons installed within them, although this practice is not common, particularly for unstaffed locations. </w:t>
      </w:r>
    </w:p>
    <w:p w14:paraId="02E69621" w14:textId="275B9B32" w:rsidR="00606FB4" w:rsidRDefault="00606FB4" w:rsidP="00606FB4">
      <w:r>
        <w:t>Submissions from the disability community did not support the status quo, agreeing there are risks when transferring from and to toilets. Eight submissions from across disability community, state governments and operators and providers stressed the importance of people with disability being able to seek assistance when in need, however</w:t>
      </w:r>
      <w:r w:rsidR="00381F02">
        <w:t>,</w:t>
      </w:r>
      <w:r>
        <w:t xml:space="preserve"> did not demonstrate that lack of emergency call buttons is a barrier for people with disability to using public transport. </w:t>
      </w:r>
    </w:p>
    <w:p w14:paraId="631A2FAD" w14:textId="77777777" w:rsidR="00606FB4" w:rsidRDefault="00606FB4" w:rsidP="00606FB4">
      <w:r>
        <w:t>Maintaining status quo has no additional on-going costs for public transports operators and providers, however there are negative impacts on community safety, amenity, and accessibility.</w:t>
      </w:r>
    </w:p>
    <w:p w14:paraId="7EA3E8D2" w14:textId="77777777" w:rsidR="00606FB4" w:rsidRPr="006929B6" w:rsidRDefault="00606FB4" w:rsidP="00606FB4">
      <w:pPr>
        <w:pStyle w:val="Heading5"/>
      </w:pPr>
      <w:r w:rsidRPr="006929B6">
        <w:t>Non-regulatory</w:t>
      </w:r>
    </w:p>
    <w:p w14:paraId="7127C37C" w14:textId="77777777" w:rsidR="00606FB4" w:rsidRDefault="00606FB4" w:rsidP="00606FB4">
      <w:r>
        <w:t xml:space="preserve">Feedback from the disability community indicated, where guidance is adopted, it will improve safety, reduce wellbeing and security concerns for people with disability, and improve their confidence to use public transport. Submissions from industry and government, except one submission, did not oppose the provision of guidance and indicated guidance is already adopted in some jurisdictions for new builds. </w:t>
      </w:r>
    </w:p>
    <w:p w14:paraId="1D836E59" w14:textId="77777777" w:rsidR="00606FB4" w:rsidRDefault="00606FB4" w:rsidP="00606FB4">
      <w:r>
        <w:t>Support for regulatory and non-regulatory options was mixed from operators and providers and governments. Feedback indicated there are challenges to installing emergency call buttons on-board conveyances, particularly retrospectively. Three submissions expressed concerns about intentional or unintentional misuse and vandalism of these features, reducing their effectiveness. This suggests the option requires careful co-design with people with disability to ensure its effectiveness.</w:t>
      </w:r>
    </w:p>
    <w:p w14:paraId="562D2160" w14:textId="77777777" w:rsidR="00606FB4" w:rsidRDefault="00606FB4" w:rsidP="00606FB4">
      <w:pPr>
        <w:pStyle w:val="Quote"/>
      </w:pPr>
      <w:r w:rsidRPr="003764AE">
        <w:t xml:space="preserve">TMR's engagement with the disability sector indicates that having two buttons at differing heights provides a safer option if someone falls from the pan and cannot reach a high button. Therefore, the regulatory and </w:t>
      </w:r>
      <w:r>
        <w:t>non-regulatory</w:t>
      </w:r>
      <w:r w:rsidRPr="003764AE">
        <w:t xml:space="preserve"> options both provide enough clarity as to not discriminate against people with disability and ensure their ability to use public transport.</w:t>
      </w:r>
      <w:r>
        <w:t xml:space="preserve"> </w:t>
      </w:r>
    </w:p>
    <w:p w14:paraId="1C663FF0" w14:textId="77777777" w:rsidR="00606FB4" w:rsidRPr="00276B1E" w:rsidRDefault="00606FB4" w:rsidP="00606FB4">
      <w:pPr>
        <w:pStyle w:val="Quote"/>
      </w:pPr>
      <w:r>
        <w:t xml:space="preserve">Queensland Government </w:t>
      </w:r>
      <w:r w:rsidRPr="00276B1E">
        <w:t>Department of Transport and Main Roads</w:t>
      </w:r>
    </w:p>
    <w:p w14:paraId="19AF886C" w14:textId="77777777" w:rsidR="00606FB4" w:rsidRDefault="00606FB4" w:rsidP="00606FB4">
      <w:r>
        <w:t xml:space="preserve">Power provision and communications cabling to implement emergency call buttons in accessible toilets were noted as costly and technically challenging to install in existing conveyances. Several submissions also noted staffing costs and maintenance would impose a significant cost. Finally, submissions raised concerns about how the system would be implemented in unstaffed locations. For these reasons, many submissions from government and operators and providers prefer the non-regulatory option or propose amending the regulatory option to a performance-based solution. </w:t>
      </w:r>
    </w:p>
    <w:p w14:paraId="7E114D7B" w14:textId="77777777" w:rsidR="00606FB4" w:rsidRPr="002D36A3" w:rsidRDefault="00606FB4" w:rsidP="00606FB4">
      <w:r>
        <w:t xml:space="preserve">The non-regulatory option would offer operators and providers flexibility to manage the issue through bespoke solutions that suit their operating environment. Where installed, emergency call buttons will improve the safety of people using accessible public toilets who require assistance. </w:t>
      </w:r>
    </w:p>
    <w:p w14:paraId="78D65500" w14:textId="77777777" w:rsidR="00606FB4" w:rsidRPr="006929B6" w:rsidRDefault="00606FB4" w:rsidP="00606FB4">
      <w:pPr>
        <w:pStyle w:val="Heading5"/>
      </w:pPr>
      <w:r w:rsidRPr="006929B6">
        <w:t>Regulatory</w:t>
      </w:r>
    </w:p>
    <w:p w14:paraId="5187E1CD" w14:textId="77777777" w:rsidR="00606FB4" w:rsidRDefault="00606FB4" w:rsidP="00606FB4">
      <w:r>
        <w:t xml:space="preserve">Submissions from governments were </w:t>
      </w:r>
      <w:r w:rsidRPr="004E3138">
        <w:t>divided</w:t>
      </w:r>
      <w:r>
        <w:t xml:space="preserve"> on whether emergency call buttons should be required in the Transport Standards. Submissions from industry did not raise concerns about the technical requirements for emergency call buttons, noting the additional button would not be a significant additional cost. Submissions indicated emergency call buttons are installed on an irregular basis, but are becoming more common. </w:t>
      </w:r>
    </w:p>
    <w:p w14:paraId="64EE589A" w14:textId="210FA53A" w:rsidR="00606FB4" w:rsidRDefault="08D050C4" w:rsidP="00606FB4">
      <w:r>
        <w:lastRenderedPageBreak/>
        <w:t>All feedback from people with disability and disability organisations support</w:t>
      </w:r>
      <w:r w:rsidR="00381F02">
        <w:t>ed</w:t>
      </w:r>
      <w:r>
        <w:t xml:space="preserve"> regulation on the grounds the regulatory option provides the broadest improvements in safety and accessibility for people with disability. These submissions broadly supported consistency of use and placement of emergency call buttons at reachable heights for people with disability. Submissions raised risks when transferring from transferring to </w:t>
      </w:r>
      <w:r w:rsidR="00381F02">
        <w:t>and</w:t>
      </w:r>
      <w:r>
        <w:t xml:space="preserve"> from </w:t>
      </w:r>
      <w:r w:rsidR="00381F02">
        <w:t>toilets</w:t>
      </w:r>
      <w:r>
        <w:t xml:space="preserve"> and noted concerns and difficulties for people with disability when using accessible toilets. Impacts on people with disability would include improved confidence to use public transport and increased safety when using accessible toilets. Mandating the provision of emergency call buttons in </w:t>
      </w:r>
      <w:r w:rsidR="00381F02">
        <w:t xml:space="preserve">accessible </w:t>
      </w:r>
      <w:r>
        <w:t>toilets would likely lead to a greater confidence for people to use accessible toilets and improved safety relative to the non-regulatory option.</w:t>
      </w:r>
    </w:p>
    <w:p w14:paraId="26C9F1B3" w14:textId="77777777" w:rsidR="00606FB4" w:rsidRDefault="00606FB4" w:rsidP="00606FB4">
      <w:pPr>
        <w:pStyle w:val="Quote"/>
      </w:pPr>
      <w:r w:rsidRPr="00FF3A7F">
        <w:t xml:space="preserve">Safety and security are significant concerns for people with disability, particularly for people who rely on support to travel independently. It is important that emergency call buttons are placed within reach of the pan or from the floor in the incident of a fall. </w:t>
      </w:r>
    </w:p>
    <w:p w14:paraId="2C4A2D21" w14:textId="77777777" w:rsidR="00606FB4" w:rsidRDefault="00606FB4" w:rsidP="00606FB4">
      <w:pPr>
        <w:pStyle w:val="Quote"/>
      </w:pPr>
      <w:r w:rsidRPr="00004638">
        <w:t>Queenslanders with Disability Network</w:t>
      </w:r>
    </w:p>
    <w:p w14:paraId="34B2214F" w14:textId="293BF6D8" w:rsidR="00606FB4" w:rsidRPr="002D36A3" w:rsidRDefault="00606FB4" w:rsidP="00606FB4">
      <w:r>
        <w:t xml:space="preserve">Two submissions raised concerns the proposed regulatory requirements may not offer operators and providers the flexibility to adopt the best system </w:t>
      </w:r>
      <w:r w:rsidR="00381F02">
        <w:t xml:space="preserve">to </w:t>
      </w:r>
      <w:r>
        <w:t xml:space="preserve">ensure people with disability are able to </w:t>
      </w:r>
      <w:r w:rsidRPr="00266509">
        <w:t>seek assistance when using accessible toilet facilities</w:t>
      </w:r>
      <w:r>
        <w:t xml:space="preserve"> in an emergency. The requirements are unclear for locations and conveyances which are unstaffed, or have staff who are unable to respond to provide assistance. Mandating these requirements, particularly for existing assets, is likely to have a substantial cost impact to the public transport industry, and will impose numerous technical and operational challenges that may impede adoption of the requirements, such as staffing, maintenance and cabling. </w:t>
      </w:r>
    </w:p>
    <w:p w14:paraId="30B490C4" w14:textId="77777777" w:rsidR="00606FB4" w:rsidRDefault="00606FB4" w:rsidP="00606FB4">
      <w:pPr>
        <w:pStyle w:val="Heading4"/>
      </w:pPr>
      <w:r>
        <w:t>Preferred option</w:t>
      </w:r>
    </w:p>
    <w:p w14:paraId="4FDA6A50" w14:textId="77777777" w:rsidR="00346787" w:rsidRDefault="00606FB4" w:rsidP="00606FB4">
      <w:r>
        <w:t xml:space="preserve">Informed by the outcomes of consultation, stakeholder impacts, cost and outcomes analysis, the preferred option is </w:t>
      </w:r>
      <w:r w:rsidRPr="000F58D8">
        <w:t>the</w:t>
      </w:r>
      <w:r>
        <w:rPr>
          <w:b/>
        </w:rPr>
        <w:t xml:space="preserve"> non-regulatory option</w:t>
      </w:r>
      <w:r>
        <w:t xml:space="preserve">. </w:t>
      </w:r>
    </w:p>
    <w:p w14:paraId="1A228A78" w14:textId="050A31B7" w:rsidR="00606FB4" w:rsidRDefault="00606FB4" w:rsidP="00606FB4">
      <w:r>
        <w:t xml:space="preserve">Whilst consultation findings </w:t>
      </w:r>
      <w:r w:rsidR="00381F02">
        <w:t>indicated</w:t>
      </w:r>
      <w:r>
        <w:t xml:space="preserve"> people with disability being able to call for help in an emergency improves confidence and safety in these instances, findings did not demonstrate the absence of emergency call buttons was a barrier to accessing public transport. Consultation findings did not determine a lack of emergency call buttons was a significant safety barrier or reduced confidence to use public transport. </w:t>
      </w:r>
    </w:p>
    <w:p w14:paraId="3A26DA36" w14:textId="37603818" w:rsidR="00606FB4" w:rsidRDefault="00606FB4" w:rsidP="00606FB4">
      <w:r>
        <w:t>The non-regulatory option will provide operators and providers with best practice guidance to encourage increased usage of emergency call buttons in accessible toilets in ferries, accessible rail cars, premise</w:t>
      </w:r>
      <w:r w:rsidR="00381F02">
        <w:t>s</w:t>
      </w:r>
      <w:r>
        <w:t>, except for premises to which the Premises Standards apply</w:t>
      </w:r>
      <w:r w:rsidR="00381F02">
        <w:t>,</w:t>
      </w:r>
      <w:r>
        <w:t xml:space="preserve"> and infrastructure. This will encourage best practice where emergency call buttons are installed. Guidance will offer flexibility for operators and providers to manage unique operational and technical requirements and challenges across varying public transport modes, while increasing the safety, accessibility and amenity for people with disability.</w:t>
      </w:r>
    </w:p>
    <w:p w14:paraId="7F8E216E" w14:textId="77777777" w:rsidR="00606FB4" w:rsidRDefault="00606FB4" w:rsidP="00606FB4">
      <w:r>
        <w:t xml:space="preserve">The preferred option will be implemented through inclusion in a revised Whole Journey Guide. </w:t>
      </w:r>
    </w:p>
    <w:p w14:paraId="0AA574AC" w14:textId="77777777" w:rsidR="00606FB4" w:rsidRDefault="00606FB4" w:rsidP="00606FB4">
      <w:r>
        <w:br w:type="page"/>
      </w:r>
    </w:p>
    <w:p w14:paraId="087999C5" w14:textId="520E1A39" w:rsidR="00606FB4" w:rsidRPr="006748DB" w:rsidRDefault="00606FB4" w:rsidP="003B77C8">
      <w:pPr>
        <w:pStyle w:val="Heading2"/>
        <w:numPr>
          <w:ilvl w:val="0"/>
          <w:numId w:val="27"/>
        </w:numPr>
        <w:ind w:hanging="720"/>
      </w:pPr>
      <w:bookmarkStart w:id="464" w:name="_Toc127351783"/>
      <w:bookmarkStart w:id="465" w:name="_Toc140239741"/>
      <w:r w:rsidRPr="006748DB">
        <w:lastRenderedPageBreak/>
        <w:t>Ambulant toilets</w:t>
      </w:r>
      <w:bookmarkEnd w:id="464"/>
      <w:bookmarkEnd w:id="465"/>
    </w:p>
    <w:p w14:paraId="3C0CBF48" w14:textId="77777777" w:rsidR="00606FB4" w:rsidRDefault="00606FB4" w:rsidP="00606FB4">
      <w:pPr>
        <w:pStyle w:val="Heading4"/>
        <w:tabs>
          <w:tab w:val="left" w:pos="284"/>
        </w:tabs>
      </w:pPr>
      <w:r>
        <w:t>Issue</w:t>
      </w:r>
    </w:p>
    <w:p w14:paraId="50130725" w14:textId="77777777" w:rsidR="00606FB4" w:rsidRDefault="00606FB4" w:rsidP="00606FB4">
      <w:r>
        <w:t>T</w:t>
      </w:r>
      <w:r w:rsidRPr="007379A7">
        <w:t xml:space="preserve">here are no requirements </w:t>
      </w:r>
      <w:r>
        <w:t xml:space="preserve">in the Transport Standards </w:t>
      </w:r>
      <w:r w:rsidRPr="007379A7">
        <w:t xml:space="preserve">for the provision of ambulant toilets, which may present a barrier to people with ambulant disabilities in using public transport. </w:t>
      </w:r>
      <w:r>
        <w:t xml:space="preserve">Ambulant toilets include accessible features, such as bilateral grabrails and extra length that accommodates a walking aid. </w:t>
      </w:r>
    </w:p>
    <w:p w14:paraId="0505F60E" w14:textId="77777777" w:rsidR="00606FB4" w:rsidRPr="00BA206C" w:rsidRDefault="00606FB4" w:rsidP="00606FB4">
      <w:r w:rsidRPr="00F82EAD">
        <w:t xml:space="preserve">Collective government action </w:t>
      </w:r>
      <w:r>
        <w:t xml:space="preserve">would improve the accessibility of toilets, promote consistency with the Premises Standards, and address key stakeholder issues raised through the Transport Standards review process. </w:t>
      </w:r>
    </w:p>
    <w:p w14:paraId="50BD21DF" w14:textId="77777777" w:rsidR="00606FB4" w:rsidRDefault="00606FB4" w:rsidP="00606FB4">
      <w:pPr>
        <w:pStyle w:val="Heading4"/>
        <w:tabs>
          <w:tab w:val="left" w:pos="284"/>
        </w:tabs>
      </w:pPr>
      <w:r>
        <w:t>Reform options</w:t>
      </w:r>
    </w:p>
    <w:p w14:paraId="02C936FD" w14:textId="77777777" w:rsidR="00606FB4" w:rsidRDefault="00606FB4" w:rsidP="00606FB4">
      <w:pPr>
        <w:tabs>
          <w:tab w:val="left" w:pos="284"/>
        </w:tabs>
      </w:pPr>
      <w:r>
        <w:t>Following is a summary of the proposed options for this reform. Full details of each reform option is provided at Appendix A.</w:t>
      </w:r>
    </w:p>
    <w:p w14:paraId="7C4F4C9E" w14:textId="4E503A12" w:rsidR="00606FB4" w:rsidRDefault="00606FB4" w:rsidP="000630B3">
      <w:pPr>
        <w:pStyle w:val="Tablefigureheading"/>
      </w:pPr>
      <w:bookmarkStart w:id="466" w:name="_Toc122446411"/>
      <w:bookmarkStart w:id="467" w:name="_Toc139969251"/>
      <w:r>
        <w:t xml:space="preserve">Table </w:t>
      </w:r>
      <w:fldSimple w:instr=" SEQ Table \* ARABIC ">
        <w:r w:rsidR="00DC26AC">
          <w:rPr>
            <w:noProof/>
          </w:rPr>
          <w:t>93</w:t>
        </w:r>
      </w:fldSimple>
      <w:r>
        <w:t>: Reform options for ambulant toilets</w:t>
      </w:r>
      <w:bookmarkEnd w:id="466"/>
      <w:bookmarkEnd w:id="467"/>
    </w:p>
    <w:tbl>
      <w:tblPr>
        <w:tblStyle w:val="DefaultTable1"/>
        <w:tblW w:w="9072" w:type="dxa"/>
        <w:tblLook w:val="04A0" w:firstRow="1" w:lastRow="0" w:firstColumn="1" w:lastColumn="0" w:noHBand="0" w:noVBand="1"/>
        <w:tblCaption w:val="Reform options for ambulant toilets"/>
        <w:tblDescription w:val="This table provides a description of each of the options for this reform area. Status quo, non-regulatory and regulatory."/>
      </w:tblPr>
      <w:tblGrid>
        <w:gridCol w:w="2232"/>
        <w:gridCol w:w="6840"/>
      </w:tblGrid>
      <w:tr w:rsidR="00606FB4" w:rsidRPr="003964B8" w14:paraId="3ABD235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3B38E6" w14:textId="77777777" w:rsidR="00606FB4" w:rsidRPr="003964B8" w:rsidRDefault="00606FB4" w:rsidP="00606FB4">
            <w:r>
              <w:t>Option</w:t>
            </w:r>
          </w:p>
        </w:tc>
        <w:tc>
          <w:tcPr>
            <w:tcW w:w="6840" w:type="dxa"/>
          </w:tcPr>
          <w:p w14:paraId="40027E89" w14:textId="77777777" w:rsidR="00606FB4" w:rsidRPr="003964B8" w:rsidRDefault="00606FB4" w:rsidP="00606FB4">
            <w:pPr>
              <w:cnfStyle w:val="100000000000" w:firstRow="1" w:lastRow="0" w:firstColumn="0" w:lastColumn="0" w:oddVBand="0" w:evenVBand="0" w:oddHBand="0" w:evenHBand="0" w:firstRowFirstColumn="0" w:firstRowLastColumn="0" w:lastRowFirstColumn="0" w:lastRowLastColumn="0"/>
            </w:pPr>
            <w:r>
              <w:t>Description</w:t>
            </w:r>
          </w:p>
        </w:tc>
      </w:tr>
      <w:tr w:rsidR="00606FB4" w:rsidRPr="003964B8" w14:paraId="176175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50184B8" w14:textId="77777777" w:rsidR="00606FB4" w:rsidRPr="00653914" w:rsidRDefault="00606FB4" w:rsidP="00606FB4">
            <w:r w:rsidRPr="00653914">
              <w:t>Status Quo</w:t>
            </w:r>
          </w:p>
        </w:tc>
        <w:tc>
          <w:tcPr>
            <w:tcW w:w="6840" w:type="dxa"/>
          </w:tcPr>
          <w:p w14:paraId="264D3E98" w14:textId="75530D84"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will continue to not include provisions for ambulant toilets in conveyances, infrastructure or in premises to which the Premises Standards do not apply.</w:t>
            </w:r>
          </w:p>
          <w:p w14:paraId="7C670616"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remain unchanged and no Guidance would be issued.</w:t>
            </w:r>
          </w:p>
        </w:tc>
      </w:tr>
      <w:tr w:rsidR="00606FB4" w:rsidRPr="003964B8" w14:paraId="7ABCE45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0D34AEA" w14:textId="77777777" w:rsidR="00606FB4" w:rsidRPr="00653914" w:rsidRDefault="00606FB4" w:rsidP="00606FB4">
            <w:r>
              <w:t>Non-regulatory</w:t>
            </w:r>
          </w:p>
        </w:tc>
        <w:tc>
          <w:tcPr>
            <w:tcW w:w="6840" w:type="dxa"/>
          </w:tcPr>
          <w:p w14:paraId="14ED9D6C" w14:textId="77777777" w:rsidR="00606FB4" w:rsidRPr="00D27D68" w:rsidRDefault="00606FB4" w:rsidP="00606FB4">
            <w:pPr>
              <w:cnfStyle w:val="000000000000" w:firstRow="0" w:lastRow="0" w:firstColumn="0" w:lastColumn="0" w:oddVBand="0" w:evenVBand="0" w:oddHBand="0" w:evenHBand="0" w:firstRowFirstColumn="0" w:firstRowLastColumn="0" w:lastRowFirstColumn="0" w:lastRowLastColumn="0"/>
            </w:pPr>
            <w:r w:rsidRPr="0075195E">
              <w:t>Guidance would be updated to provide advice on the installation of ambulant toilets</w:t>
            </w:r>
            <w:r>
              <w:t>, including design considerations.</w:t>
            </w:r>
          </w:p>
        </w:tc>
      </w:tr>
      <w:tr w:rsidR="00606FB4" w:rsidRPr="003964B8" w14:paraId="2F948620" w14:textId="77777777" w:rsidTr="08D050C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32" w:type="dxa"/>
          </w:tcPr>
          <w:p w14:paraId="3B91C377" w14:textId="77777777" w:rsidR="00606FB4" w:rsidRPr="00653914" w:rsidRDefault="00606FB4" w:rsidP="00606FB4">
            <w:r w:rsidRPr="00653914">
              <w:t>Regulatory</w:t>
            </w:r>
          </w:p>
        </w:tc>
        <w:tc>
          <w:tcPr>
            <w:tcW w:w="6840" w:type="dxa"/>
          </w:tcPr>
          <w:p w14:paraId="6204737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75195E">
              <w:t xml:space="preserve">The Transport Standards would </w:t>
            </w:r>
            <w:r>
              <w:t xml:space="preserve">be amended to </w:t>
            </w:r>
            <w:r w:rsidRPr="0075195E">
              <w:t xml:space="preserve">include requirements for the provision of ambulant toilets </w:t>
            </w:r>
            <w:r>
              <w:t xml:space="preserve">in </w:t>
            </w:r>
            <w:r w:rsidRPr="005D109A">
              <w:t>ferries, accessible rail cars, infrastructure and premises except premises to which the Premises Standards apply</w:t>
            </w:r>
            <w:r w:rsidRPr="0075195E">
              <w:t>, including</w:t>
            </w:r>
            <w:r>
              <w:t xml:space="preserve"> compliance with relevant Australian Standards and designation requirements for unisex or gender specific toilets.</w:t>
            </w:r>
          </w:p>
          <w:p w14:paraId="5FCF5248"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6FEA37AA" w14:textId="77777777" w:rsidR="000630B3" w:rsidRDefault="000630B3" w:rsidP="008762D5"/>
    <w:p w14:paraId="07665DE3" w14:textId="77777777" w:rsidR="00606FB4" w:rsidRDefault="00606FB4" w:rsidP="00606FB4">
      <w:pPr>
        <w:pStyle w:val="Heading4"/>
        <w:tabs>
          <w:tab w:val="left" w:pos="284"/>
        </w:tabs>
      </w:pPr>
      <w:r>
        <w:t>Cost benefit analysis</w:t>
      </w:r>
    </w:p>
    <w:p w14:paraId="7D2C7AF1"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Quantitative assessment </w:t>
      </w:r>
    </w:p>
    <w:p w14:paraId="2E757992" w14:textId="5DAFED85" w:rsidR="00800BEF" w:rsidRDefault="00606FB4" w:rsidP="00606FB4">
      <w:r>
        <w:t xml:space="preserve">The following categories of quantitative costs and benefits were identified in the CBA as pertaining to the reform options. </w:t>
      </w:r>
    </w:p>
    <w:p w14:paraId="4137FC5B" w14:textId="77777777" w:rsidR="00800BEF" w:rsidRDefault="00800BEF">
      <w:pPr>
        <w:spacing w:line="259" w:lineRule="auto"/>
      </w:pPr>
      <w:r>
        <w:br w:type="page"/>
      </w:r>
    </w:p>
    <w:p w14:paraId="19514425" w14:textId="77777777" w:rsidR="00606FB4" w:rsidRPr="00595D2C" w:rsidRDefault="00606FB4" w:rsidP="00606FB4"/>
    <w:p w14:paraId="6BC59FFE" w14:textId="14098174" w:rsidR="00606FB4" w:rsidRDefault="00606FB4" w:rsidP="000630B3">
      <w:pPr>
        <w:pStyle w:val="Tablefigureheading"/>
      </w:pPr>
      <w:bookmarkStart w:id="468" w:name="_Toc122446412"/>
      <w:bookmarkStart w:id="469" w:name="_Toc139969252"/>
      <w:r>
        <w:t xml:space="preserve">Table </w:t>
      </w:r>
      <w:fldSimple w:instr=" SEQ Table \* ARABIC ">
        <w:r w:rsidR="00DC26AC">
          <w:rPr>
            <w:noProof/>
          </w:rPr>
          <w:t>94</w:t>
        </w:r>
      </w:fldSimple>
      <w:r>
        <w:t>: Benefit-cost ratios for ambulant toilets</w:t>
      </w:r>
      <w:bookmarkEnd w:id="468"/>
      <w:bookmarkEnd w:id="469"/>
    </w:p>
    <w:tbl>
      <w:tblPr>
        <w:tblStyle w:val="DefaultTable1"/>
        <w:tblW w:w="9864" w:type="dxa"/>
        <w:tblLayout w:type="fixed"/>
        <w:tblLook w:val="04A0" w:firstRow="1" w:lastRow="0" w:firstColumn="1" w:lastColumn="0" w:noHBand="0" w:noVBand="1"/>
        <w:tblCaption w:val="Benefit-cost ratios for ambulant toilets"/>
        <w:tblDescription w:val="This table provides the monetised benefits and costs for each of the options for this reform area."/>
      </w:tblPr>
      <w:tblGrid>
        <w:gridCol w:w="2268"/>
        <w:gridCol w:w="1418"/>
        <w:gridCol w:w="1701"/>
        <w:gridCol w:w="1701"/>
        <w:gridCol w:w="1701"/>
        <w:gridCol w:w="1075"/>
      </w:tblGrid>
      <w:tr w:rsidR="00606FB4" w:rsidRPr="003964B8" w14:paraId="13BF5BF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1797B7D4" w14:textId="77777777" w:rsidR="00606FB4" w:rsidRPr="007A751F" w:rsidRDefault="08D050C4" w:rsidP="00606FB4">
            <w:r w:rsidRPr="08D050C4">
              <w:t>Reform Option</w:t>
            </w:r>
          </w:p>
        </w:tc>
        <w:tc>
          <w:tcPr>
            <w:tcW w:w="1418" w:type="dxa"/>
          </w:tcPr>
          <w:p w14:paraId="327410D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29B7C7C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0A76E5F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0E603C8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075" w:type="dxa"/>
          </w:tcPr>
          <w:p w14:paraId="1CFF933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444F496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F386C19" w14:textId="77777777" w:rsidR="00606FB4" w:rsidRPr="00653914" w:rsidRDefault="00606FB4" w:rsidP="00606FB4">
            <w:r w:rsidRPr="00653914">
              <w:t>Status Quo</w:t>
            </w:r>
          </w:p>
        </w:tc>
        <w:tc>
          <w:tcPr>
            <w:tcW w:w="1418" w:type="dxa"/>
          </w:tcPr>
          <w:p w14:paraId="2297D29A"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577176B"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4CA2390"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9C30DEC"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075" w:type="dxa"/>
          </w:tcPr>
          <w:p w14:paraId="5AFA02EE" w14:textId="77777777" w:rsidR="00606FB4" w:rsidRPr="000630B3"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37806F3C"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30BF4E81" w14:textId="77777777" w:rsidR="00606FB4" w:rsidRPr="00653914" w:rsidRDefault="00606FB4" w:rsidP="00606FB4">
            <w:r>
              <w:t xml:space="preserve">Non-regulatory </w:t>
            </w:r>
          </w:p>
        </w:tc>
        <w:tc>
          <w:tcPr>
            <w:tcW w:w="1418" w:type="dxa"/>
            <w:vAlign w:val="center"/>
          </w:tcPr>
          <w:p w14:paraId="36338826"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47.2</w:t>
            </w:r>
          </w:p>
        </w:tc>
        <w:tc>
          <w:tcPr>
            <w:tcW w:w="1701" w:type="dxa"/>
          </w:tcPr>
          <w:p w14:paraId="71FAF91C"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4433A92C"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43.0</w:t>
            </w:r>
          </w:p>
        </w:tc>
        <w:tc>
          <w:tcPr>
            <w:tcW w:w="1701" w:type="dxa"/>
            <w:vAlign w:val="center"/>
          </w:tcPr>
          <w:p w14:paraId="0CEDDC85" w14:textId="77777777" w:rsidR="00606FB4" w:rsidRPr="000630B3"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169A030C">
              <w:t>43.0</w:t>
            </w:r>
            <w:r w:rsidR="000630B3" w:rsidRPr="169A030C">
              <w:rPr>
                <w:vertAlign w:val="superscript"/>
              </w:rPr>
              <w:t>i</w:t>
            </w:r>
          </w:p>
        </w:tc>
        <w:tc>
          <w:tcPr>
            <w:tcW w:w="1075" w:type="dxa"/>
            <w:vAlign w:val="center"/>
          </w:tcPr>
          <w:p w14:paraId="1C31A47F" w14:textId="77777777" w:rsidR="00606FB4" w:rsidRPr="000630B3" w:rsidRDefault="08D050C4" w:rsidP="08D050C4">
            <w:pPr>
              <w:cnfStyle w:val="000000000000" w:firstRow="0" w:lastRow="0" w:firstColumn="0" w:lastColumn="0" w:oddVBand="0" w:evenVBand="0" w:oddHBand="0" w:evenHBand="0" w:firstRowFirstColumn="0" w:firstRowLastColumn="0" w:lastRowFirstColumn="0" w:lastRowLastColumn="0"/>
            </w:pPr>
            <w:r w:rsidRPr="08D050C4">
              <w:t>1.10</w:t>
            </w:r>
          </w:p>
        </w:tc>
      </w:tr>
      <w:tr w:rsidR="00606FB4" w:rsidRPr="00B04D0E" w14:paraId="2F5F35D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5381521" w14:textId="77777777" w:rsidR="00606FB4" w:rsidRPr="00653914" w:rsidRDefault="00606FB4" w:rsidP="00606FB4">
            <w:r>
              <w:t>Regulatory</w:t>
            </w:r>
          </w:p>
        </w:tc>
        <w:tc>
          <w:tcPr>
            <w:tcW w:w="1418" w:type="dxa"/>
            <w:vAlign w:val="center"/>
          </w:tcPr>
          <w:p w14:paraId="638F860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129.7</w:t>
            </w:r>
          </w:p>
        </w:tc>
        <w:tc>
          <w:tcPr>
            <w:tcW w:w="1701" w:type="dxa"/>
          </w:tcPr>
          <w:p w14:paraId="1414A73D"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701" w:type="dxa"/>
            <w:vAlign w:val="center"/>
          </w:tcPr>
          <w:p w14:paraId="77607E9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103.7</w:t>
            </w:r>
          </w:p>
        </w:tc>
        <w:tc>
          <w:tcPr>
            <w:tcW w:w="1701" w:type="dxa"/>
            <w:vAlign w:val="center"/>
          </w:tcPr>
          <w:p w14:paraId="4BE53FDF"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103.7</w:t>
            </w:r>
          </w:p>
        </w:tc>
        <w:tc>
          <w:tcPr>
            <w:tcW w:w="1075" w:type="dxa"/>
            <w:vAlign w:val="center"/>
          </w:tcPr>
          <w:p w14:paraId="34D01FC2"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pPr>
            <w:r w:rsidRPr="08D050C4">
              <w:t>1.25</w:t>
            </w:r>
          </w:p>
        </w:tc>
      </w:tr>
    </w:tbl>
    <w:p w14:paraId="72A11CD8" w14:textId="77777777" w:rsidR="00606FB4" w:rsidRPr="00F730F8" w:rsidRDefault="00606FB4" w:rsidP="00606FB4">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29DC7CF6" w14:textId="77777777" w:rsidR="00606FB4"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0AB2B1D4" w14:textId="77777777" w:rsidR="000630B3" w:rsidRDefault="000630B3" w:rsidP="000630B3"/>
    <w:p w14:paraId="045CB7EF" w14:textId="77777777" w:rsidR="00606FB4" w:rsidRDefault="00606FB4" w:rsidP="00606FB4">
      <w:pPr>
        <w:pStyle w:val="Heading6"/>
      </w:pPr>
      <w:r>
        <w:t>Considerations to note in interpreting analysis</w:t>
      </w:r>
    </w:p>
    <w:p w14:paraId="7408FBDA" w14:textId="77777777" w:rsidR="00606FB4" w:rsidRDefault="00606FB4" w:rsidP="000630B3">
      <w:pPr>
        <w:pStyle w:val="Heading7"/>
      </w:pPr>
      <w:r w:rsidRPr="008F2C5A">
        <w:t>Limitations</w:t>
      </w:r>
    </w:p>
    <w:p w14:paraId="17B2C499" w14:textId="77777777" w:rsidR="00606FB4" w:rsidRDefault="00606FB4" w:rsidP="000630B3">
      <w:pPr>
        <w:pStyle w:val="Heading8"/>
      </w:pPr>
      <w:r>
        <w:t>Non-regulatory</w:t>
      </w:r>
    </w:p>
    <w:p w14:paraId="402CD25C" w14:textId="2C2B50DD" w:rsidR="000630B3" w:rsidRPr="008762D5" w:rsidRDefault="00606FB4" w:rsidP="008762D5">
      <w:pPr>
        <w:pStyle w:val="Listparagraphbullets"/>
        <w:numPr>
          <w:ilvl w:val="0"/>
          <w:numId w:val="0"/>
        </w:numPr>
        <w:autoSpaceDE w:val="0"/>
        <w:autoSpaceDN w:val="0"/>
        <w:spacing w:after="0"/>
      </w:pPr>
      <w:r w:rsidRPr="000B4305">
        <w:t xml:space="preserve">The costs and benefits associated with the non-regulatory reform are lower than its regulatory counterpart reflecting an assumed lower rate of compliance with the reform. </w:t>
      </w:r>
      <w:r>
        <w:t>An estimated rate of uptake of 50</w:t>
      </w:r>
      <w:r w:rsidR="00C827CA">
        <w:t xml:space="preserve"> per cent</w:t>
      </w:r>
      <w:r>
        <w:t xml:space="preserve"> was applied to the non-regulatory option based on submissions from operators and providers indicating they would adopt the guidance as it is relatively easy to adopt where feasible, such as in infrastructure.</w:t>
      </w:r>
      <w:r w:rsidRPr="000B4305">
        <w:t xml:space="preserve"> This implies that the benefits and costs quantified for this non-regulatory reform may not reflect future take-up of the reform.</w:t>
      </w:r>
    </w:p>
    <w:p w14:paraId="128EF6C8" w14:textId="77777777" w:rsidR="00606FB4" w:rsidRDefault="00606FB4" w:rsidP="000630B3">
      <w:pPr>
        <w:pStyle w:val="Heading8"/>
      </w:pPr>
      <w:r>
        <w:t>Regulatory option</w:t>
      </w:r>
    </w:p>
    <w:p w14:paraId="119E0497" w14:textId="77777777" w:rsidR="00606FB4" w:rsidRDefault="00606FB4" w:rsidP="000630B3">
      <w:pPr>
        <w:pStyle w:val="Listparagraphbullets"/>
        <w:numPr>
          <w:ilvl w:val="0"/>
          <w:numId w:val="0"/>
        </w:numPr>
        <w:autoSpaceDE w:val="0"/>
        <w:autoSpaceDN w:val="0"/>
        <w:spacing w:after="0"/>
      </w:pPr>
      <w:r w:rsidRPr="000B4305">
        <w:t>The benefits and costs associated wi</w:t>
      </w:r>
      <w:r w:rsidRPr="004B3526">
        <w:rPr>
          <w:rStyle w:val="ListparagraphbulletsChar"/>
        </w:rPr>
        <w:t>t</w:t>
      </w:r>
      <w:r w:rsidRPr="000B4305">
        <w:t>h this reform were estimated from limited data points from the survey and publicly available data proxied to a national level. The costs were developed by RLB and are not reflective of variation in construction or delivery costs that could be incurred at different sites.</w:t>
      </w:r>
    </w:p>
    <w:p w14:paraId="7622D597" w14:textId="77777777" w:rsidR="00606FB4" w:rsidRPr="000630B3" w:rsidRDefault="00606FB4" w:rsidP="000630B3">
      <w:pPr>
        <w:pStyle w:val="Heading5"/>
        <w:keepLines/>
        <w:spacing w:before="240"/>
        <w:rPr>
          <w:rFonts w:asciiTheme="majorHAnsi" w:eastAsiaTheme="majorEastAsia" w:hAnsiTheme="majorHAnsi" w:cstheme="majorBidi"/>
          <w:color w:val="44546A" w:themeColor="text2"/>
          <w:sz w:val="22"/>
          <w:szCs w:val="22"/>
          <w:lang w:val="en-AU"/>
        </w:rPr>
      </w:pPr>
      <w:r w:rsidRPr="000630B3">
        <w:rPr>
          <w:rFonts w:asciiTheme="majorHAnsi" w:eastAsiaTheme="majorEastAsia" w:hAnsiTheme="majorHAnsi" w:cstheme="majorBidi"/>
          <w:color w:val="44546A" w:themeColor="text2"/>
          <w:kern w:val="0"/>
          <w:sz w:val="22"/>
          <w:szCs w:val="22"/>
          <w:lang w:val="en-AU"/>
        </w:rPr>
        <w:t xml:space="preserve">Qualitative assessment </w:t>
      </w:r>
    </w:p>
    <w:p w14:paraId="3168FFA9" w14:textId="77777777" w:rsidR="008762D5" w:rsidRDefault="00606FB4" w:rsidP="008762D5">
      <w:r>
        <w:t>The following categories of qualitative benefits were identified in the CBA as pertaining to the reform options.</w:t>
      </w:r>
      <w:bookmarkStart w:id="470" w:name="_Toc122446413"/>
    </w:p>
    <w:p w14:paraId="2424CF56" w14:textId="6DBBEC59" w:rsidR="00606FB4" w:rsidRDefault="008762D5" w:rsidP="008762D5">
      <w:pPr>
        <w:pStyle w:val="Tablefigureheading"/>
      </w:pPr>
      <w:bookmarkStart w:id="471" w:name="_Toc139969253"/>
      <w:r>
        <w:t>T</w:t>
      </w:r>
      <w:r w:rsidR="00606FB4">
        <w:t xml:space="preserve">able </w:t>
      </w:r>
      <w:fldSimple w:instr=" SEQ Table \* ARABIC ">
        <w:r w:rsidR="00DC26AC">
          <w:rPr>
            <w:noProof/>
          </w:rPr>
          <w:t>95</w:t>
        </w:r>
      </w:fldSimple>
      <w:r w:rsidR="00606FB4">
        <w:rPr>
          <w:noProof/>
        </w:rPr>
        <w:t>:</w:t>
      </w:r>
      <w:r w:rsidR="00606FB4" w:rsidRPr="00EE3F5F">
        <w:rPr>
          <w:noProof/>
        </w:rPr>
        <w:t xml:space="preserve"> </w:t>
      </w:r>
      <w:r w:rsidR="00606FB4">
        <w:t>Qualitative benefits for ambulant toilets</w:t>
      </w:r>
      <w:bookmarkEnd w:id="470"/>
      <w:bookmarkEnd w:id="471"/>
    </w:p>
    <w:tbl>
      <w:tblPr>
        <w:tblStyle w:val="DefaultTable1"/>
        <w:tblW w:w="9864" w:type="dxa"/>
        <w:tblLook w:val="04A0" w:firstRow="1" w:lastRow="0" w:firstColumn="1" w:lastColumn="0" w:noHBand="0" w:noVBand="1"/>
        <w:tblCaption w:val="Qualitative benefits for ambulant toilets"/>
      </w:tblPr>
      <w:tblGrid>
        <w:gridCol w:w="1213"/>
        <w:gridCol w:w="1343"/>
        <w:gridCol w:w="1626"/>
        <w:gridCol w:w="1300"/>
        <w:gridCol w:w="1278"/>
        <w:gridCol w:w="1641"/>
        <w:gridCol w:w="1463"/>
      </w:tblGrid>
      <w:tr w:rsidR="00606FB4" w:rsidRPr="007A751F" w14:paraId="3D65949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332E106" w14:textId="77777777" w:rsidR="00606FB4" w:rsidRPr="007A751F" w:rsidRDefault="08D050C4" w:rsidP="00606FB4">
            <w:r w:rsidRPr="08D050C4">
              <w:t>Reform Option</w:t>
            </w:r>
          </w:p>
        </w:tc>
        <w:tc>
          <w:tcPr>
            <w:tcW w:w="1343" w:type="dxa"/>
          </w:tcPr>
          <w:p w14:paraId="41EF614C"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17746A57"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68205B41"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C59A9A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6CF1C4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627BAB40"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1BAEA96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D020C44" w14:textId="77777777" w:rsidR="00606FB4" w:rsidRPr="00653914" w:rsidRDefault="00606FB4" w:rsidP="00606FB4">
            <w:r w:rsidRPr="00653914">
              <w:t>Status Quo</w:t>
            </w:r>
          </w:p>
        </w:tc>
        <w:tc>
          <w:tcPr>
            <w:tcW w:w="1343" w:type="dxa"/>
          </w:tcPr>
          <w:p w14:paraId="529D7B5F" w14:textId="77777777" w:rsidR="00606FB4" w:rsidRPr="008762D5" w:rsidRDefault="08D050C4" w:rsidP="08D050C4">
            <w:pPr>
              <w:tabs>
                <w:tab w:val="left" w:pos="564"/>
              </w:tabs>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E92D049"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614D8C7C"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7135692"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BED23F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3897733"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585B2CD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6A5D85F" w14:textId="77777777" w:rsidR="00606FB4" w:rsidRPr="00653914" w:rsidRDefault="00606FB4" w:rsidP="00606FB4">
            <w:r>
              <w:t xml:space="preserve">Non-regulatory </w:t>
            </w:r>
          </w:p>
        </w:tc>
        <w:tc>
          <w:tcPr>
            <w:tcW w:w="1343" w:type="dxa"/>
          </w:tcPr>
          <w:p w14:paraId="736A62F7"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53638F3F"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D7B44EC"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6D0FCDD3"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641" w:type="dxa"/>
          </w:tcPr>
          <w:p w14:paraId="12580B6B"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463" w:type="dxa"/>
          </w:tcPr>
          <w:p w14:paraId="56BAD3C6" w14:textId="77777777" w:rsidR="00606FB4" w:rsidRPr="008762D5"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r>
      <w:tr w:rsidR="00606FB4" w:rsidRPr="00B04D0E" w14:paraId="5F48740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CD4331C" w14:textId="77777777" w:rsidR="00606FB4" w:rsidRPr="00653914" w:rsidRDefault="00606FB4" w:rsidP="00606FB4">
            <w:r>
              <w:t>Regulatory</w:t>
            </w:r>
          </w:p>
        </w:tc>
        <w:tc>
          <w:tcPr>
            <w:tcW w:w="1343" w:type="dxa"/>
          </w:tcPr>
          <w:p w14:paraId="33B98E71"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09A53A6"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6B87F5E6"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59F1564A"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1A8837B7"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76CE315B" w14:textId="77777777" w:rsidR="00606FB4" w:rsidRPr="008762D5"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bl>
    <w:p w14:paraId="7997459E" w14:textId="77777777" w:rsidR="008762D5" w:rsidRDefault="008762D5" w:rsidP="008762D5">
      <w:bookmarkStart w:id="472" w:name="_Toc97635092"/>
    </w:p>
    <w:p w14:paraId="3B56B6E2" w14:textId="77777777" w:rsidR="00606FB4" w:rsidRPr="004C16F7" w:rsidRDefault="00606FB4" w:rsidP="00606FB4">
      <w:pPr>
        <w:pStyle w:val="Heading4"/>
        <w:tabs>
          <w:tab w:val="left" w:pos="284"/>
        </w:tabs>
      </w:pPr>
      <w:r>
        <w:t xml:space="preserve">Analysis of submissions </w:t>
      </w:r>
    </w:p>
    <w:p w14:paraId="08B2D8F1" w14:textId="77777777" w:rsidR="00606FB4" w:rsidRPr="00EB4CDD" w:rsidRDefault="00606FB4" w:rsidP="00606FB4">
      <w:pPr>
        <w:pStyle w:val="Heading5"/>
      </w:pPr>
      <w:r w:rsidRPr="00EB4CDD">
        <w:t>Status quo</w:t>
      </w:r>
    </w:p>
    <w:p w14:paraId="50394B0D" w14:textId="77777777" w:rsidR="00606FB4" w:rsidRDefault="00606FB4" w:rsidP="00606FB4">
      <w:r>
        <w:t xml:space="preserve">Under the status quo, there will continue to be no requirements for the provision of ambulant toilets in the Transport Standards. </w:t>
      </w:r>
      <w:r w:rsidRPr="004D50B9">
        <w:t>Consultation findings have indicated that</w:t>
      </w:r>
      <w:r>
        <w:t xml:space="preserve"> under the status quo, people who need handrails or support to transfer to or from a toilet rely on unisex accessible bathrooms for these features, </w:t>
      </w:r>
      <w:r>
        <w:lastRenderedPageBreak/>
        <w:t xml:space="preserve">which only have handrails on one side. This means people who otherwise do not need accessible toilet facilities must use these toilets, rather than being able to use standard toilets. The cohort of people who use accessible toilets benefit from different features to the group that benefits from using ambulant toilets. </w:t>
      </w:r>
    </w:p>
    <w:p w14:paraId="4100FFB9" w14:textId="77777777" w:rsidR="00606FB4" w:rsidRDefault="00606FB4" w:rsidP="00606FB4">
      <w:pPr>
        <w:pStyle w:val="Quote"/>
        <w:rPr>
          <w:shd w:val="clear" w:color="auto" w:fill="FFFFFF"/>
        </w:rPr>
      </w:pPr>
      <w:r>
        <w:rPr>
          <w:shd w:val="clear" w:color="auto" w:fill="FFFFFF"/>
        </w:rPr>
        <w:t>In cases where only standard accessible toilets are provided, people who are ambulant often choose to use the accessible toilet. Accessible and ambulant toilets serve different groups with different needs; therefore, it is optimal to provide both options.</w:t>
      </w:r>
    </w:p>
    <w:p w14:paraId="5E5F396B" w14:textId="77777777" w:rsidR="00606FB4" w:rsidRPr="001D3EFF" w:rsidRDefault="00606FB4" w:rsidP="00606FB4">
      <w:pPr>
        <w:pStyle w:val="Quote"/>
        <w:rPr>
          <w:shd w:val="clear" w:color="auto" w:fill="FFFFFF"/>
        </w:rPr>
      </w:pPr>
      <w:r>
        <w:rPr>
          <w:shd w:val="clear" w:color="auto" w:fill="FFFFFF"/>
        </w:rPr>
        <w:t>Queenslanders with Disability Network</w:t>
      </w:r>
    </w:p>
    <w:p w14:paraId="062A9637" w14:textId="77777777" w:rsidR="00606FB4" w:rsidRDefault="00606FB4" w:rsidP="00606FB4">
      <w:r>
        <w:t>No submissions supported the status quo option.</w:t>
      </w:r>
    </w:p>
    <w:p w14:paraId="2AD17561" w14:textId="6CC23B25" w:rsidR="00606FB4" w:rsidRDefault="00606FB4" w:rsidP="00606FB4">
      <w:r>
        <w:t xml:space="preserve">Maintaining status quo negatively impacts the amenity, accessibility and other community benefits, such as enhanced independence and inclusion and improved access to services, for people with disability. The status quo does not </w:t>
      </w:r>
      <w:r w:rsidRPr="001E1522">
        <w:t>provide equality and independence</w:t>
      </w:r>
      <w:r>
        <w:t xml:space="preserve"> or reduce </w:t>
      </w:r>
      <w:r w:rsidRPr="001E1522">
        <w:t>discrimination for people with disability in relation to public transport</w:t>
      </w:r>
      <w:r>
        <w:t xml:space="preserve">. Maintaining </w:t>
      </w:r>
      <w:r w:rsidR="00381F02">
        <w:t>the</w:t>
      </w:r>
      <w:r>
        <w:t xml:space="preserve"> status quo has no on-going costs for public transports operators and providers</w:t>
      </w:r>
      <w:r w:rsidR="00381F02">
        <w:t>;</w:t>
      </w:r>
      <w:r>
        <w:t xml:space="preserve"> however</w:t>
      </w:r>
      <w:r w:rsidR="00381F02">
        <w:t>,</w:t>
      </w:r>
      <w:r>
        <w:t xml:space="preserve"> there are negative impacts to community amenity and accessibility.</w:t>
      </w:r>
    </w:p>
    <w:p w14:paraId="4090C2F6" w14:textId="77777777" w:rsidR="00606FB4" w:rsidRPr="00EB4CDD" w:rsidRDefault="00606FB4" w:rsidP="00606FB4">
      <w:pPr>
        <w:pStyle w:val="Heading5"/>
      </w:pPr>
      <w:r w:rsidRPr="00EB4CDD">
        <w:t>Non-regulatory</w:t>
      </w:r>
    </w:p>
    <w:p w14:paraId="0C941E1A" w14:textId="77777777" w:rsidR="00606FB4" w:rsidRDefault="00606FB4" w:rsidP="00606FB4">
      <w:r>
        <w:t xml:space="preserve">One submission from government and three submissions from industry supported the non-regulatory option. These submissions agreed </w:t>
      </w:r>
      <w:bookmarkStart w:id="473" w:name="_Hlk119493057"/>
      <w:r>
        <w:t>that improvements to the design of ambulant toilets would result in accessibility benefits for passengers, and additional guidance would be beneficial to designers</w:t>
      </w:r>
      <w:bookmarkEnd w:id="473"/>
      <w:r>
        <w:t xml:space="preserve">. </w:t>
      </w:r>
    </w:p>
    <w:p w14:paraId="295390E8" w14:textId="77777777" w:rsidR="00606FB4" w:rsidRPr="003849C9" w:rsidRDefault="08D050C4" w:rsidP="00606FB4">
      <w:r>
        <w:t xml:space="preserve">Two submissions from operators and providers noted, however, that the spatial constraints of conveyances must be considered. Similarly, one submission noted that the implementation of new requirements in existing infrastructure may be impacted by external factors, including engineering challenges and other regulations. For this reason, the retrospective implementation of new requirements was noted as a potential issue, which may render implementation unfeasible. These submissions favoured the non-regulatory option as it provides a greater level of flexibility to accommodate constraints, whilst allowing designers to still provide accessible facilities to passengers. </w:t>
      </w:r>
      <w:bookmarkStart w:id="474" w:name="_Hlk119495002"/>
      <w:bookmarkEnd w:id="474"/>
    </w:p>
    <w:p w14:paraId="05EAD65F" w14:textId="77777777" w:rsidR="00606FB4" w:rsidRDefault="00606FB4" w:rsidP="00606FB4">
      <w:pPr>
        <w:pStyle w:val="Heading5"/>
        <w:rPr>
          <w:b w:val="0"/>
        </w:rPr>
      </w:pPr>
      <w:r w:rsidRPr="00EB4CDD">
        <w:t>Regulatory</w:t>
      </w:r>
    </w:p>
    <w:p w14:paraId="1D2EB5EF" w14:textId="74BD7182" w:rsidR="00606FB4" w:rsidRDefault="08D050C4" w:rsidP="00606FB4">
      <w:r>
        <w:t>All submissions from individuals, people with disability and disability organisations supported the regulatory option. Submissions noted the importance of certainty regarding the provision of ambulant toilets in providing confidence to people with disability when travelling o</w:t>
      </w:r>
      <w:r w:rsidR="00381F02">
        <w:t>n</w:t>
      </w:r>
      <w:r>
        <w:t xml:space="preserve"> public transport. Submissions noted currently, in most cases only a single unisex accessible toilet is provided. These facilities include different accessibility features to ambulant toilets, including only one grabrail adjacent to the pan, rather than two grabrails either side of the pan in ambulant toilets. One submission from an individual noted that the non-provision of ambulant toilets presents as a barrier to some passengers, and may deter people from using public transport. Submissions also noted the safety risks associated with people using facilities that are not fit-for-purpose, such as accessible toilets.</w:t>
      </w:r>
      <w:bookmarkStart w:id="475" w:name="_Hlk119485503"/>
      <w:bookmarkEnd w:id="475"/>
    </w:p>
    <w:p w14:paraId="240646E0" w14:textId="77777777" w:rsidR="00606FB4" w:rsidRDefault="00606FB4" w:rsidP="00606FB4">
      <w:r>
        <w:t xml:space="preserve">During consultation, participants also highlighted that consideration must be given to the needs of people with stomas. These stakeholders noted that if accessible and ambulant toilets are not designed appropriately, passengers may be subject to greater stress and the potential for medical accidents. </w:t>
      </w:r>
    </w:p>
    <w:p w14:paraId="1FD9C9EE" w14:textId="77777777" w:rsidR="00606FB4" w:rsidRDefault="00606FB4" w:rsidP="00606FB4">
      <w:pPr>
        <w:pStyle w:val="Quote"/>
      </w:pPr>
      <w:r w:rsidRPr="005E3DE5">
        <w:t>Across the country, disabled toilets don't cater for the needs of people with stomas, external bowel, medical appliances.  But on public transport, where there are toilets, really important that the mirror comes down to the bench that, there's extra space around the bench, that there's a bin and hooks to put appliances on.</w:t>
      </w:r>
    </w:p>
    <w:p w14:paraId="01247F0A" w14:textId="77777777" w:rsidR="00606FB4" w:rsidRDefault="00606FB4" w:rsidP="00606FB4">
      <w:pPr>
        <w:pStyle w:val="Quote"/>
      </w:pPr>
      <w:r w:rsidRPr="005E3DE5">
        <w:t>Stakeholder roundtable participant.</w:t>
      </w:r>
    </w:p>
    <w:p w14:paraId="702A525C" w14:textId="77777777" w:rsidR="00606FB4" w:rsidRDefault="00606FB4" w:rsidP="00606FB4">
      <w:r>
        <w:t xml:space="preserve">Four submissions from government and one submission from industry supported the regulatory option. </w:t>
      </w:r>
      <w:bookmarkStart w:id="476" w:name="_Hlk119485543"/>
      <w:r>
        <w:t xml:space="preserve">These submissions agreed that the greater provision and consistency of design of ambulant toilets in public transport infrastructure and conveyances would provide greater accessibility for people with an ambulant disability. </w:t>
      </w:r>
      <w:bookmarkEnd w:id="476"/>
      <w:r>
        <w:t xml:space="preserve">Submissions echoed feedback received from people with disability, noting that in circumstances where ambulant toilets are not provided, people who require ambulant toilets must use accessible toilets. </w:t>
      </w:r>
    </w:p>
    <w:p w14:paraId="22A68850" w14:textId="77777777" w:rsidR="00606FB4" w:rsidRDefault="00606FB4" w:rsidP="00606FB4">
      <w:r>
        <w:lastRenderedPageBreak/>
        <w:t xml:space="preserve">One submission from government noted that this practice impacts the safety of passengers, whilst also reducing access to accessible toilets who specifically need that facility. </w:t>
      </w:r>
      <w:bookmarkStart w:id="477" w:name="_Hlk119485557"/>
      <w:r>
        <w:t xml:space="preserve">All submissions from industry and government noted the retrospective implementation of the proposed requirements, particularly on conveyances, would be complex due to space constraints and potentially cost prohibitive. </w:t>
      </w:r>
      <w:bookmarkEnd w:id="477"/>
    </w:p>
    <w:p w14:paraId="69C831DD" w14:textId="77777777" w:rsidR="00606FB4" w:rsidRDefault="08D050C4" w:rsidP="00606FB4">
      <w:r>
        <w:t>Multiple submissions from industry and government suggested amendments to the proposed regulatory option. One submission suggested to support implementation, the Transport Standards be amended to include a definition for ‘accessible rail car’ and clearly articulate whether the requirement for an ambulant toilet is triggered by the type and number of toilets provided in totality in a train set, or only within a single accessible rail car. The submission stated that without this clarity, there is a risk of inconsistent interpretation which could result in unintended discriminatory outcomes for passengers. Similarly, the submission suggested greater clarity is required to demonstrate how the requirements would apply to booked services where there are different classes of travel. To recognise and accommodate the unique challenges of retrofit conveyances to meet new requirements for ambulant toilets, one submission from government suggested amending the proposal to shift implementation in conveyances to guidance.</w:t>
      </w:r>
    </w:p>
    <w:p w14:paraId="402DCC18" w14:textId="77777777" w:rsidR="00606FB4" w:rsidRDefault="00606FB4" w:rsidP="00606FB4">
      <w:pPr>
        <w:pStyle w:val="Heading4"/>
      </w:pPr>
      <w:r>
        <w:t>Preferred option</w:t>
      </w:r>
    </w:p>
    <w:p w14:paraId="37FB8245" w14:textId="77777777" w:rsidR="00606FB4" w:rsidRDefault="00606FB4" w:rsidP="00606FB4">
      <w:r>
        <w:t xml:space="preserve">Informed by the outcomes of consultation, stakeholder impacts, cost and outcomes analysis, the preferred option is the </w:t>
      </w:r>
      <w:r>
        <w:rPr>
          <w:b/>
        </w:rPr>
        <w:t>non-regulatory option</w:t>
      </w:r>
      <w:r>
        <w:t xml:space="preserve">. </w:t>
      </w:r>
    </w:p>
    <w:p w14:paraId="46C16AD5" w14:textId="77777777" w:rsidR="00606FB4" w:rsidRDefault="00606FB4" w:rsidP="00606FB4">
      <w:r>
        <w:t>During consultation, there was widespread acknowledgement that improvements to the design of ambulant toilets would result in accessibility benefits for passengers and additional guidance would be beneficial to designers.</w:t>
      </w:r>
    </w:p>
    <w:p w14:paraId="052C3816" w14:textId="77777777" w:rsidR="00606FB4" w:rsidRDefault="00606FB4" w:rsidP="00606FB4">
      <w:r>
        <w:t xml:space="preserve">Industry and government provided mixed support for the non-regulatory and regulatory options, while all submissions from the disability sector supported the regulatory option. A number of concerns were raised regarding the implementation of the proposed requirements in conveyances. Multiple submissions from government and industry which supported the regulatory option suggested amendments which would substantially alter the proposal compared to what was presented in the Consultation RIS. Similarly, submissions which supported both the non-regulatory and regulatory option highlighted the substantial complexities associated with retrofitting conveyances to meet new requirements, and stated that the proposed requirements reflect use-cases in the built environment, not in conveyances.  </w:t>
      </w:r>
    </w:p>
    <w:p w14:paraId="0C705B25" w14:textId="77777777" w:rsidR="00606FB4" w:rsidRDefault="08D050C4" w:rsidP="00606FB4">
      <w:r>
        <w:t>The non-regulatory option recognises the need for flexibility to accommodate design constraints of conveyances, whilst allowing designers to still provide accessible facilities to passengers where possible. The non-regulatory option also promotes alignment with the Premises Standards in premises to which the Premises Standards do not apply. Feedback received from two government submissions noted that it is already internal practice to build these facilities to meet Premises Standards requirements, and the impact of implementation in new assets will be minimal.</w:t>
      </w:r>
    </w:p>
    <w:p w14:paraId="4D6541EE" w14:textId="77777777" w:rsidR="00606FB4" w:rsidRDefault="00606FB4" w:rsidP="00606FB4">
      <w:r>
        <w:t xml:space="preserve">The preferred option will be implemented through inclusion in a revised Whole Journey Guide. </w:t>
      </w:r>
    </w:p>
    <w:p w14:paraId="409F16BC" w14:textId="77777777" w:rsidR="00606FB4" w:rsidRPr="007A061F" w:rsidRDefault="00606FB4" w:rsidP="00606FB4"/>
    <w:p w14:paraId="32380AE1" w14:textId="77777777" w:rsidR="00606FB4" w:rsidRPr="00D74122" w:rsidRDefault="00606FB4" w:rsidP="00606FB4">
      <w:r>
        <w:br w:type="page"/>
      </w:r>
    </w:p>
    <w:p w14:paraId="2B0638C0" w14:textId="748C588D" w:rsidR="00606FB4" w:rsidRDefault="00606FB4" w:rsidP="00DB49BC">
      <w:pPr>
        <w:pStyle w:val="Heading2"/>
        <w:numPr>
          <w:ilvl w:val="0"/>
          <w:numId w:val="27"/>
        </w:numPr>
        <w:ind w:hanging="720"/>
      </w:pPr>
      <w:bookmarkStart w:id="478" w:name="_Toc127351784"/>
      <w:bookmarkStart w:id="479" w:name="_Toc140239742"/>
      <w:r w:rsidRPr="00621039">
        <w:lastRenderedPageBreak/>
        <w:t>Lift specifications and enhancements</w:t>
      </w:r>
      <w:bookmarkEnd w:id="472"/>
      <w:bookmarkEnd w:id="478"/>
      <w:bookmarkEnd w:id="479"/>
    </w:p>
    <w:p w14:paraId="28BBDD84" w14:textId="77777777" w:rsidR="00606FB4" w:rsidRPr="001D52B2" w:rsidRDefault="00606FB4" w:rsidP="00606FB4">
      <w:pPr>
        <w:keepNext/>
        <w:keepLine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Issue</w:t>
      </w:r>
    </w:p>
    <w:p w14:paraId="4A2DDA88" w14:textId="77777777" w:rsidR="00606FB4" w:rsidRDefault="08D050C4" w:rsidP="00606FB4">
      <w:r>
        <w:t xml:space="preserve">The Australian Standards reference for lift requirements in the Transport Standards does not reflect current best practices and is not harmonised with current lift standards. The Transport Standard references do not include the technological advances over the last two decades, which improve accessibility features and address existing barriers to people living with disability. </w:t>
      </w:r>
    </w:p>
    <w:p w14:paraId="5C257B7B" w14:textId="416E4038" w:rsidR="00606FB4" w:rsidRDefault="00606FB4" w:rsidP="00606FB4">
      <w:r>
        <w:t xml:space="preserve">The Transport Standards reference AS1735.12 (1999) </w:t>
      </w:r>
      <w:r w:rsidRPr="00330661">
        <w:t>Lifts, escalators and moving walks</w:t>
      </w:r>
      <w:r>
        <w:t>, which ha</w:t>
      </w:r>
      <w:r w:rsidR="002E2C7D">
        <w:t>s</w:t>
      </w:r>
      <w:r>
        <w:t xml:space="preserve"> been superseded by AS1735.12 (2020) Lifts, escalators and moving walks. AS1735.12 (2020) stipulates accessibility requirements for new technologies</w:t>
      </w:r>
      <w:r w:rsidR="002E2C7D">
        <w:t>,</w:t>
      </w:r>
      <w:r>
        <w:t xml:space="preserve"> which otherwise present barriers to people with disability.</w:t>
      </w:r>
    </w:p>
    <w:p w14:paraId="24FF02FD" w14:textId="518C2768" w:rsidR="00606FB4" w:rsidRDefault="00606FB4" w:rsidP="00606FB4">
      <w:r>
        <w:t xml:space="preserve">Collective government action would ensure lift are accessible to people with disability, promote consistency with the Premises Standards, and address key stakeholder issues raised through the Transport Standards review process. </w:t>
      </w:r>
    </w:p>
    <w:p w14:paraId="74F8F5C5" w14:textId="77777777" w:rsidR="00606FB4" w:rsidRDefault="00606FB4" w:rsidP="00606FB4">
      <w:pPr>
        <w:pStyle w:val="Heading4"/>
        <w:tabs>
          <w:tab w:val="left" w:pos="284"/>
        </w:tabs>
      </w:pPr>
      <w:r>
        <w:t>Reform options</w:t>
      </w:r>
    </w:p>
    <w:p w14:paraId="0DF98FB0" w14:textId="77777777" w:rsidR="00606FB4" w:rsidRDefault="00606FB4" w:rsidP="00606FB4">
      <w:pPr>
        <w:tabs>
          <w:tab w:val="left" w:pos="284"/>
        </w:tabs>
      </w:pPr>
      <w:r>
        <w:t>Following is a summary of the proposed options for this reform. Full details of each reform option is provided at Appendix A.</w:t>
      </w:r>
    </w:p>
    <w:p w14:paraId="3A0A1600" w14:textId="1DB2EE87" w:rsidR="00606FB4" w:rsidRDefault="00606FB4" w:rsidP="00ED0F93">
      <w:pPr>
        <w:pStyle w:val="Tablefigureheading"/>
      </w:pPr>
      <w:bookmarkStart w:id="480" w:name="_Toc122446415"/>
      <w:bookmarkStart w:id="481" w:name="_Toc139969254"/>
      <w:r>
        <w:t xml:space="preserve">Table </w:t>
      </w:r>
      <w:fldSimple w:instr=" SEQ Table \* ARABIC ">
        <w:r w:rsidR="00DC26AC">
          <w:rPr>
            <w:noProof/>
          </w:rPr>
          <w:t>96</w:t>
        </w:r>
      </w:fldSimple>
      <w:r>
        <w:t>:</w:t>
      </w:r>
      <w:r w:rsidRPr="006C6F89">
        <w:t xml:space="preserve"> Reform options for lift specifications and enhancements</w:t>
      </w:r>
      <w:bookmarkEnd w:id="480"/>
      <w:bookmarkEnd w:id="481"/>
    </w:p>
    <w:tbl>
      <w:tblPr>
        <w:tblStyle w:val="DefaultTable1"/>
        <w:tblW w:w="9072" w:type="dxa"/>
        <w:tblLook w:val="04A0" w:firstRow="1" w:lastRow="0" w:firstColumn="1" w:lastColumn="0" w:noHBand="0" w:noVBand="1"/>
        <w:tblCaption w:val="Reform options for lift specifications and enhancements"/>
        <w:tblDescription w:val="This table provides a description of each of the options for this reform area. Status quo, non-regulatory and regulatory."/>
      </w:tblPr>
      <w:tblGrid>
        <w:gridCol w:w="2232"/>
        <w:gridCol w:w="6840"/>
      </w:tblGrid>
      <w:tr w:rsidR="00606FB4" w:rsidRPr="003964B8" w14:paraId="3CC155D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FFAC748" w14:textId="77777777" w:rsidR="00606FB4" w:rsidRPr="003964B8" w:rsidRDefault="00606FB4" w:rsidP="00606FB4">
            <w:r>
              <w:t>Option</w:t>
            </w:r>
          </w:p>
        </w:tc>
        <w:tc>
          <w:tcPr>
            <w:tcW w:w="6840" w:type="dxa"/>
          </w:tcPr>
          <w:p w14:paraId="42BBE15C" w14:textId="77777777" w:rsidR="00606FB4" w:rsidRPr="003964B8" w:rsidRDefault="00606FB4" w:rsidP="00606FB4">
            <w:pPr>
              <w:cnfStyle w:val="100000000000" w:firstRow="1" w:lastRow="0" w:firstColumn="0" w:lastColumn="0" w:oddVBand="0" w:evenVBand="0" w:oddHBand="0" w:evenHBand="0" w:firstRowFirstColumn="0" w:firstRowLastColumn="0" w:lastRowFirstColumn="0" w:lastRowLastColumn="0"/>
            </w:pPr>
            <w:r>
              <w:t>Description</w:t>
            </w:r>
          </w:p>
        </w:tc>
      </w:tr>
      <w:tr w:rsidR="00606FB4" w:rsidRPr="003964B8" w14:paraId="6079EA1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0072DFD" w14:textId="77777777" w:rsidR="00606FB4" w:rsidRPr="00653914" w:rsidRDefault="00606FB4" w:rsidP="00606FB4">
            <w:r w:rsidRPr="00653914">
              <w:t>Status Quo</w:t>
            </w:r>
          </w:p>
        </w:tc>
        <w:tc>
          <w:tcPr>
            <w:tcW w:w="6840" w:type="dxa"/>
          </w:tcPr>
          <w:p w14:paraId="0E7C19A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would continue to reference outdated Australian Standards for requirements for </w:t>
            </w:r>
            <w:r w:rsidRPr="005D109A">
              <w:t>lift accessibility requirements that do not consider technological advances in accessibility features</w:t>
            </w:r>
            <w:r>
              <w:t>.</w:t>
            </w:r>
          </w:p>
          <w:p w14:paraId="49F1E8B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t>
            </w:r>
            <w:r w:rsidRPr="005D109A">
              <w:t>would remain unchanged and no additional guidance would be issued.</w:t>
            </w:r>
          </w:p>
        </w:tc>
      </w:tr>
      <w:tr w:rsidR="00606FB4" w:rsidRPr="003964B8" w14:paraId="1D7EDB9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016F309" w14:textId="77777777" w:rsidR="00606FB4" w:rsidRPr="00653914" w:rsidRDefault="00606FB4" w:rsidP="00606FB4">
            <w:r>
              <w:t>Non-regulatory</w:t>
            </w:r>
          </w:p>
        </w:tc>
        <w:tc>
          <w:tcPr>
            <w:tcW w:w="6840" w:type="dxa"/>
          </w:tcPr>
          <w:p w14:paraId="4B768952" w14:textId="77777777" w:rsidR="00606FB4" w:rsidRPr="00D27D68" w:rsidRDefault="00606FB4" w:rsidP="00606FB4">
            <w:pPr>
              <w:cnfStyle w:val="000000000000" w:firstRow="0" w:lastRow="0" w:firstColumn="0" w:lastColumn="0" w:oddVBand="0" w:evenVBand="0" w:oddHBand="0" w:evenHBand="0" w:firstRowFirstColumn="0" w:firstRowLastColumn="0" w:lastRowFirstColumn="0" w:lastRowLastColumn="0"/>
            </w:pPr>
            <w:r>
              <w:t xml:space="preserve">Guidance </w:t>
            </w:r>
            <w:r w:rsidRPr="00C67A35">
              <w:t>would be updated to include best practice for enhanced lift accessibility</w:t>
            </w:r>
            <w:r>
              <w:t>, including recommended compliance with relevant Australian Standards.</w:t>
            </w:r>
          </w:p>
        </w:tc>
      </w:tr>
      <w:tr w:rsidR="00606FB4" w:rsidRPr="003964B8" w14:paraId="3FD69F1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6BB10AA" w14:textId="77777777" w:rsidR="00606FB4" w:rsidRPr="00653914" w:rsidRDefault="00606FB4" w:rsidP="00606FB4">
            <w:r w:rsidRPr="00653914">
              <w:t>Regulatory</w:t>
            </w:r>
          </w:p>
        </w:tc>
        <w:tc>
          <w:tcPr>
            <w:tcW w:w="6840" w:type="dxa"/>
          </w:tcPr>
          <w:p w14:paraId="717B174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be updated to include more contemporary Australian Standards references.</w:t>
            </w:r>
          </w:p>
          <w:p w14:paraId="1A3A0B77"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27A1D414" w14:textId="77777777" w:rsidR="00606FB4" w:rsidRDefault="00606FB4" w:rsidP="00606FB4">
      <w:pPr>
        <w:pStyle w:val="Heading4"/>
        <w:tabs>
          <w:tab w:val="left" w:pos="284"/>
        </w:tabs>
      </w:pPr>
      <w:r>
        <w:t>Cost benefit analysis</w:t>
      </w:r>
    </w:p>
    <w:p w14:paraId="0651C8E1" w14:textId="77777777" w:rsidR="00606FB4" w:rsidRPr="00ED0F93" w:rsidRDefault="00606FB4" w:rsidP="00ED0F93">
      <w:pPr>
        <w:pStyle w:val="Heading5"/>
        <w:keepLines/>
        <w:spacing w:before="240"/>
        <w:rPr>
          <w:rFonts w:asciiTheme="majorHAnsi" w:eastAsiaTheme="majorEastAsia" w:hAnsiTheme="majorHAnsi" w:cstheme="majorBidi"/>
          <w:color w:val="44546A" w:themeColor="text2"/>
          <w:sz w:val="22"/>
          <w:szCs w:val="22"/>
          <w:lang w:val="en-AU"/>
        </w:rPr>
      </w:pPr>
      <w:r w:rsidRPr="00ED0F93">
        <w:rPr>
          <w:rFonts w:asciiTheme="majorHAnsi" w:eastAsiaTheme="majorEastAsia" w:hAnsiTheme="majorHAnsi" w:cstheme="majorBidi"/>
          <w:color w:val="44546A" w:themeColor="text2"/>
          <w:kern w:val="0"/>
          <w:sz w:val="22"/>
          <w:szCs w:val="22"/>
          <w:lang w:val="en-AU"/>
        </w:rPr>
        <w:t xml:space="preserve">Quantitative assessment </w:t>
      </w:r>
    </w:p>
    <w:p w14:paraId="0A940967" w14:textId="0628FC5B" w:rsidR="00800BEF" w:rsidRDefault="00606FB4" w:rsidP="00606FB4">
      <w:r>
        <w:t xml:space="preserve">The following categories of quantitative costs and benefits were identified in the CBA as pertaining to the reform options. </w:t>
      </w:r>
    </w:p>
    <w:p w14:paraId="6D65DF16" w14:textId="77777777" w:rsidR="00800BEF" w:rsidRDefault="00800BEF">
      <w:pPr>
        <w:spacing w:line="259" w:lineRule="auto"/>
      </w:pPr>
      <w:r>
        <w:br w:type="page"/>
      </w:r>
    </w:p>
    <w:p w14:paraId="412D692F" w14:textId="77777777" w:rsidR="00606FB4" w:rsidRPr="00595D2C" w:rsidRDefault="00606FB4" w:rsidP="00606FB4"/>
    <w:p w14:paraId="6C396797" w14:textId="1572BE3F" w:rsidR="00606FB4" w:rsidRDefault="00606FB4" w:rsidP="00606FB4">
      <w:pPr>
        <w:pStyle w:val="Caption"/>
        <w:keepNext/>
      </w:pPr>
      <w:bookmarkStart w:id="482" w:name="_Toc122446416"/>
      <w:bookmarkStart w:id="483" w:name="_Toc139969255"/>
      <w:r>
        <w:t xml:space="preserve">Table </w:t>
      </w:r>
      <w:fldSimple w:instr=" SEQ Table \* ARABIC ">
        <w:r w:rsidR="00DC26AC">
          <w:rPr>
            <w:noProof/>
          </w:rPr>
          <w:t>97</w:t>
        </w:r>
      </w:fldSimple>
      <w:r>
        <w:t xml:space="preserve">: Benefit-cost ratios </w:t>
      </w:r>
      <w:r w:rsidRPr="006C6F89">
        <w:t>for lift specifications and enhancements</w:t>
      </w:r>
      <w:bookmarkEnd w:id="482"/>
      <w:bookmarkEnd w:id="483"/>
    </w:p>
    <w:tbl>
      <w:tblPr>
        <w:tblStyle w:val="DefaultTable1"/>
        <w:tblW w:w="9864" w:type="dxa"/>
        <w:tblLook w:val="04A0" w:firstRow="1" w:lastRow="0" w:firstColumn="1" w:lastColumn="0" w:noHBand="0" w:noVBand="1"/>
        <w:tblCaption w:val="Benefit-cost ratios for lift specifications and enhancements"/>
        <w:tblDescription w:val="This table provides the monetised benefits and costs for each of the options for this reform area."/>
      </w:tblPr>
      <w:tblGrid>
        <w:gridCol w:w="1214"/>
        <w:gridCol w:w="1531"/>
        <w:gridCol w:w="1791"/>
        <w:gridCol w:w="1573"/>
        <w:gridCol w:w="1539"/>
        <w:gridCol w:w="2216"/>
      </w:tblGrid>
      <w:tr w:rsidR="00606FB4" w:rsidRPr="003964B8" w14:paraId="7FB057E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1480E61" w14:textId="77777777" w:rsidR="00606FB4" w:rsidRPr="007A751F" w:rsidRDefault="08D050C4" w:rsidP="00606FB4">
            <w:r w:rsidRPr="08D050C4">
              <w:t>Reform Option</w:t>
            </w:r>
          </w:p>
        </w:tc>
        <w:tc>
          <w:tcPr>
            <w:tcW w:w="1531" w:type="dxa"/>
          </w:tcPr>
          <w:p w14:paraId="745C894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D0AAA1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3D2B99E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CBC2E8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6A52A5D2"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606FB4" w:rsidRPr="00B04D0E" w14:paraId="004286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B2856D7" w14:textId="77777777" w:rsidR="00606FB4" w:rsidRPr="00653914" w:rsidRDefault="00606FB4" w:rsidP="00606FB4">
            <w:r w:rsidRPr="00653914">
              <w:t>Status Quo</w:t>
            </w:r>
          </w:p>
        </w:tc>
        <w:tc>
          <w:tcPr>
            <w:tcW w:w="1531" w:type="dxa"/>
          </w:tcPr>
          <w:p w14:paraId="45983293"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791" w:type="dxa"/>
          </w:tcPr>
          <w:p w14:paraId="7AD8FB47"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73" w:type="dxa"/>
          </w:tcPr>
          <w:p w14:paraId="712CD6BD"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39" w:type="dxa"/>
          </w:tcPr>
          <w:p w14:paraId="60370BEA"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2216" w:type="dxa"/>
          </w:tcPr>
          <w:p w14:paraId="3AD10891"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t>-</w:t>
            </w:r>
          </w:p>
        </w:tc>
      </w:tr>
      <w:tr w:rsidR="00606FB4" w:rsidRPr="00B04D0E" w14:paraId="20C25C1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132DF46D" w14:textId="77777777" w:rsidR="00606FB4" w:rsidRPr="00653914" w:rsidRDefault="00606FB4" w:rsidP="00606FB4">
            <w:r>
              <w:t xml:space="preserve">Non-regulatory </w:t>
            </w:r>
          </w:p>
        </w:tc>
        <w:tc>
          <w:tcPr>
            <w:tcW w:w="1531" w:type="dxa"/>
            <w:vAlign w:val="center"/>
          </w:tcPr>
          <w:p w14:paraId="6506C7F9"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0.6</w:t>
            </w:r>
          </w:p>
        </w:tc>
        <w:tc>
          <w:tcPr>
            <w:tcW w:w="1791" w:type="dxa"/>
          </w:tcPr>
          <w:p w14:paraId="50328383"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CEC25C3"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19.6</w:t>
            </w:r>
          </w:p>
        </w:tc>
        <w:tc>
          <w:tcPr>
            <w:tcW w:w="1539" w:type="dxa"/>
            <w:vAlign w:val="center"/>
          </w:tcPr>
          <w:p w14:paraId="4A717644"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19.6</w:t>
            </w:r>
          </w:p>
        </w:tc>
        <w:tc>
          <w:tcPr>
            <w:tcW w:w="2216" w:type="dxa"/>
            <w:vAlign w:val="center"/>
          </w:tcPr>
          <w:p w14:paraId="7DD2F307" w14:textId="77777777" w:rsidR="00606FB4" w:rsidRPr="00B04D0E" w:rsidRDefault="08D050C4" w:rsidP="00606FB4">
            <w:pPr>
              <w:cnfStyle w:val="000000000000" w:firstRow="0" w:lastRow="0" w:firstColumn="0" w:lastColumn="0" w:oddVBand="0" w:evenVBand="0" w:oddHBand="0" w:evenHBand="0" w:firstRowFirstColumn="0" w:firstRowLastColumn="0" w:lastRowFirstColumn="0" w:lastRowLastColumn="0"/>
            </w:pPr>
            <w:r w:rsidRPr="08D050C4">
              <w:rPr>
                <w:rFonts w:ascii="Arial" w:hAnsi="Arial" w:cs="Arial"/>
                <w:sz w:val="18"/>
                <w:szCs w:val="18"/>
              </w:rPr>
              <w:t>0.03</w:t>
            </w:r>
          </w:p>
        </w:tc>
      </w:tr>
      <w:tr w:rsidR="00606FB4" w:rsidRPr="00B04D0E" w14:paraId="7A2E77D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B52A9DA" w14:textId="77777777" w:rsidR="00606FB4" w:rsidRPr="00653914" w:rsidRDefault="00606FB4" w:rsidP="00606FB4">
            <w:r>
              <w:t>Regulatory</w:t>
            </w:r>
          </w:p>
        </w:tc>
        <w:tc>
          <w:tcPr>
            <w:tcW w:w="1531" w:type="dxa"/>
            <w:vAlign w:val="center"/>
          </w:tcPr>
          <w:p w14:paraId="0D4AFA72"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27.9</w:t>
            </w:r>
          </w:p>
        </w:tc>
        <w:tc>
          <w:tcPr>
            <w:tcW w:w="1791" w:type="dxa"/>
          </w:tcPr>
          <w:p w14:paraId="1076B09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346288F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100.0</w:t>
            </w:r>
          </w:p>
        </w:tc>
        <w:tc>
          <w:tcPr>
            <w:tcW w:w="1539" w:type="dxa"/>
            <w:vAlign w:val="center"/>
          </w:tcPr>
          <w:p w14:paraId="432E722F"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100.0</w:t>
            </w:r>
          </w:p>
        </w:tc>
        <w:tc>
          <w:tcPr>
            <w:tcW w:w="2216" w:type="dxa"/>
            <w:vAlign w:val="center"/>
          </w:tcPr>
          <w:p w14:paraId="67DF3CDA"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0.28</w:t>
            </w:r>
          </w:p>
        </w:tc>
      </w:tr>
    </w:tbl>
    <w:p w14:paraId="63B894F3" w14:textId="77777777" w:rsidR="00606FB4" w:rsidRPr="00F730F8" w:rsidRDefault="00606FB4" w:rsidP="00606FB4">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B37154E" w14:textId="77777777" w:rsidR="00606FB4"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4B3921CF" w14:textId="77777777" w:rsidR="00606FB4" w:rsidRPr="00F730F8" w:rsidRDefault="00606FB4" w:rsidP="00606FB4">
      <w:pPr>
        <w:spacing w:before="120" w:after="0"/>
        <w:rPr>
          <w:sz w:val="20"/>
          <w:szCs w:val="20"/>
        </w:rPr>
      </w:pPr>
      <w:r w:rsidRPr="169A030C">
        <w:rPr>
          <w:sz w:val="20"/>
          <w:szCs w:val="20"/>
          <w:vertAlign w:val="superscript"/>
        </w:rPr>
        <w:t>(ii)</w:t>
      </w:r>
      <w:r w:rsidRPr="169A030C">
        <w:rPr>
          <w:sz w:val="20"/>
          <w:szCs w:val="20"/>
        </w:rPr>
        <w:t>The benefits and costs presented in the table above are rounded to two decimal places and calculated to four decimal places in the CBA workbook, which may result in zero values in the table.</w:t>
      </w:r>
    </w:p>
    <w:p w14:paraId="69D2DF2F" w14:textId="77777777" w:rsidR="00ED0F93" w:rsidRDefault="00ED0F93" w:rsidP="00ED0F93"/>
    <w:p w14:paraId="59C8F7DF" w14:textId="77777777" w:rsidR="00606FB4" w:rsidRDefault="00606FB4" w:rsidP="00606FB4">
      <w:pPr>
        <w:pStyle w:val="Heading6"/>
      </w:pPr>
      <w:r>
        <w:t>Considerations to note in interpreting analysis</w:t>
      </w:r>
    </w:p>
    <w:p w14:paraId="0DDA1223" w14:textId="77777777" w:rsidR="00606FB4" w:rsidRDefault="00606FB4" w:rsidP="00ED0F93">
      <w:pPr>
        <w:pStyle w:val="Heading7"/>
      </w:pPr>
      <w:r w:rsidRPr="008F2C5A">
        <w:t>Limitations</w:t>
      </w:r>
    </w:p>
    <w:p w14:paraId="01F68051" w14:textId="77777777" w:rsidR="00606FB4" w:rsidRDefault="00606FB4" w:rsidP="00ED0F93">
      <w:pPr>
        <w:pStyle w:val="Heading8"/>
      </w:pPr>
      <w:r>
        <w:t>Non-regulatory option</w:t>
      </w:r>
    </w:p>
    <w:p w14:paraId="68A54E5C" w14:textId="5F5E7F05" w:rsidR="00606FB4" w:rsidRPr="008078BF" w:rsidRDefault="00606FB4" w:rsidP="00ED0F93">
      <w:r w:rsidRPr="008078BF">
        <w:t xml:space="preserve">The costs and benefits associated with the non-regulatory reform are lower than its regulatory counterpart reflecting an assumed lower rate of compliance with the reform. </w:t>
      </w:r>
      <w:r>
        <w:t>An estimated rate of uptake of 75</w:t>
      </w:r>
      <w:r w:rsidR="00C827CA">
        <w:t xml:space="preserve"> per cent</w:t>
      </w:r>
      <w:r>
        <w:t xml:space="preserve"> for new assets was applied to the non-regulatory option based on submissions indicating many lifts are procured to meet these requirements. Existing assets were not assumed to be upgraded to implement the guidance based on the high cost and complexity upgrade.</w:t>
      </w:r>
      <w:r w:rsidRPr="008078BF">
        <w:t xml:space="preserve"> This implies that the benefits and costs quantified for this non-regulatory reform may not reflect future take-up of the reform.</w:t>
      </w:r>
    </w:p>
    <w:p w14:paraId="28BBFC56" w14:textId="77777777" w:rsidR="00606FB4" w:rsidRDefault="00606FB4" w:rsidP="00ED0F93">
      <w:pPr>
        <w:pStyle w:val="Heading8"/>
      </w:pPr>
      <w:r>
        <w:t>Regulatory option:</w:t>
      </w:r>
    </w:p>
    <w:p w14:paraId="4ECC42B6" w14:textId="77777777" w:rsidR="00606FB4" w:rsidRPr="008078BF" w:rsidRDefault="00606FB4" w:rsidP="00ED0F93">
      <w:r w:rsidRPr="008078BF">
        <w:t xml:space="preserve">The benefits and costs for this reform were estimated using inputs from the survey and costs provided by RLB quantity surveyors. The benefits and costs do not reflect the full extent of compliance or variation in construction or delivery costs that could be incurred at different sites. </w:t>
      </w:r>
    </w:p>
    <w:p w14:paraId="0D28274C" w14:textId="77777777" w:rsidR="00606FB4" w:rsidRDefault="00606FB4" w:rsidP="00ED0F93">
      <w:r w:rsidRPr="008078BF">
        <w:t>Lifts covered by the Premises Standards were compliant, implying cost implications for remaining lifts and with benefits impacting a small cohort of beneficiaries.</w:t>
      </w:r>
    </w:p>
    <w:p w14:paraId="587846A8" w14:textId="77777777" w:rsidR="00606FB4" w:rsidRDefault="00606FB4" w:rsidP="00ED0F93">
      <w:pPr>
        <w:pStyle w:val="Heading7"/>
      </w:pPr>
      <w:r w:rsidRPr="003713C1">
        <w:t>Interdependencies</w:t>
      </w:r>
    </w:p>
    <w:p w14:paraId="193B6FC7" w14:textId="77777777" w:rsidR="00606FB4" w:rsidRPr="003713C1" w:rsidRDefault="08D050C4" w:rsidP="00ED0F93">
      <w:r>
        <w:t>This reform improves safety, amenity and accessibility for all public transport users. The accessibility benefits of this reform will only be realised if there was equitable access across the whole public transport journey, with benefits reliant on implementation of other reforms relating to lift infrastructure.</w:t>
      </w:r>
    </w:p>
    <w:p w14:paraId="183BE97B" w14:textId="77777777" w:rsidR="00606FB4" w:rsidRPr="00ED0F93" w:rsidRDefault="00606FB4" w:rsidP="00ED0F93">
      <w:pPr>
        <w:pStyle w:val="Heading5"/>
        <w:keepLines/>
        <w:spacing w:before="240"/>
        <w:rPr>
          <w:rFonts w:asciiTheme="majorHAnsi" w:eastAsiaTheme="majorEastAsia" w:hAnsiTheme="majorHAnsi" w:cstheme="majorBidi"/>
          <w:color w:val="44546A" w:themeColor="text2"/>
          <w:sz w:val="22"/>
          <w:szCs w:val="22"/>
          <w:lang w:val="en-AU"/>
        </w:rPr>
      </w:pPr>
      <w:r w:rsidRPr="00ED0F93">
        <w:rPr>
          <w:rFonts w:asciiTheme="majorHAnsi" w:eastAsiaTheme="majorEastAsia" w:hAnsiTheme="majorHAnsi" w:cstheme="majorBidi"/>
          <w:color w:val="44546A" w:themeColor="text2"/>
          <w:kern w:val="0"/>
          <w:sz w:val="22"/>
          <w:szCs w:val="22"/>
          <w:lang w:val="en-AU"/>
        </w:rPr>
        <w:t xml:space="preserve">Qualitative assessment </w:t>
      </w:r>
    </w:p>
    <w:p w14:paraId="4D78D266" w14:textId="56073985" w:rsidR="00800BEF" w:rsidRDefault="00606FB4" w:rsidP="00606FB4">
      <w:r>
        <w:t>The following categories of qualitative benefits were identified in the CBA as pertaining to the reform options.</w:t>
      </w:r>
    </w:p>
    <w:p w14:paraId="6E3684A5" w14:textId="77777777" w:rsidR="00800BEF" w:rsidRDefault="00800BEF">
      <w:pPr>
        <w:spacing w:line="259" w:lineRule="auto"/>
      </w:pPr>
      <w:r>
        <w:br w:type="page"/>
      </w:r>
    </w:p>
    <w:p w14:paraId="4D627AA0" w14:textId="77777777" w:rsidR="00606FB4" w:rsidRPr="00F10FAA" w:rsidRDefault="00606FB4" w:rsidP="00606FB4"/>
    <w:p w14:paraId="2F2C6E2B" w14:textId="4B81F2AA" w:rsidR="00606FB4" w:rsidRDefault="00606FB4" w:rsidP="00ED0F93">
      <w:pPr>
        <w:pStyle w:val="Tablefigureheading"/>
      </w:pPr>
      <w:bookmarkStart w:id="484" w:name="_Toc122446417"/>
      <w:bookmarkStart w:id="485" w:name="_Toc139969256"/>
      <w:r>
        <w:t xml:space="preserve">Table </w:t>
      </w:r>
      <w:fldSimple w:instr=" SEQ Table \* ARABIC ">
        <w:r w:rsidR="00DC26AC">
          <w:rPr>
            <w:noProof/>
          </w:rPr>
          <w:t>98</w:t>
        </w:r>
      </w:fldSimple>
      <w:r>
        <w:rPr>
          <w:noProof/>
        </w:rPr>
        <w:t>:</w:t>
      </w:r>
      <w:r w:rsidRPr="00EE3F5F">
        <w:rPr>
          <w:noProof/>
        </w:rPr>
        <w:t xml:space="preserve"> </w:t>
      </w:r>
      <w:r>
        <w:t xml:space="preserve">Qualitative benefits </w:t>
      </w:r>
      <w:r w:rsidRPr="006C6F89">
        <w:t>for lift specifications and enhancements</w:t>
      </w:r>
      <w:bookmarkEnd w:id="484"/>
      <w:bookmarkEnd w:id="485"/>
    </w:p>
    <w:tbl>
      <w:tblPr>
        <w:tblStyle w:val="DefaultTable1"/>
        <w:tblW w:w="9864" w:type="dxa"/>
        <w:tblLook w:val="04A0" w:firstRow="1" w:lastRow="0" w:firstColumn="1" w:lastColumn="0" w:noHBand="0" w:noVBand="1"/>
        <w:tblCaption w:val="Qualitative benefits for lift specifications and enhancements"/>
      </w:tblPr>
      <w:tblGrid>
        <w:gridCol w:w="1213"/>
        <w:gridCol w:w="1343"/>
        <w:gridCol w:w="1626"/>
        <w:gridCol w:w="1300"/>
        <w:gridCol w:w="1278"/>
        <w:gridCol w:w="1641"/>
        <w:gridCol w:w="1463"/>
      </w:tblGrid>
      <w:tr w:rsidR="00606FB4" w:rsidRPr="007A751F" w14:paraId="37EB24E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68B3CAA" w14:textId="77777777" w:rsidR="00606FB4" w:rsidRPr="007A751F" w:rsidRDefault="08D050C4" w:rsidP="00606FB4">
            <w:r w:rsidRPr="08D050C4">
              <w:t>Reform Option</w:t>
            </w:r>
          </w:p>
        </w:tc>
        <w:tc>
          <w:tcPr>
            <w:tcW w:w="1343" w:type="dxa"/>
          </w:tcPr>
          <w:p w14:paraId="36A325D1"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BEE978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B37A5E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20E5626C"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AFD7D5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09BD22C2"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6BA6FBA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2F35CC7" w14:textId="77777777" w:rsidR="00606FB4" w:rsidRPr="00653914" w:rsidRDefault="00606FB4" w:rsidP="00606FB4">
            <w:r w:rsidRPr="00653914">
              <w:t>Status Quo</w:t>
            </w:r>
          </w:p>
        </w:tc>
        <w:tc>
          <w:tcPr>
            <w:tcW w:w="1343" w:type="dxa"/>
          </w:tcPr>
          <w:p w14:paraId="5D3B143C"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3E8428C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6F1C1741"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23B4F9B9"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70DCF144" w14:textId="77777777" w:rsidR="00606FB4" w:rsidRPr="00B04D0E"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6720AD58"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r>
      <w:tr w:rsidR="00606FB4" w:rsidRPr="00B04D0E" w14:paraId="2151B2F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01245F0" w14:textId="77777777" w:rsidR="00606FB4" w:rsidRPr="00653914" w:rsidRDefault="00606FB4" w:rsidP="00606FB4">
            <w:r>
              <w:t xml:space="preserve">Non-regulatory </w:t>
            </w:r>
          </w:p>
        </w:tc>
        <w:tc>
          <w:tcPr>
            <w:tcW w:w="1343" w:type="dxa"/>
          </w:tcPr>
          <w:p w14:paraId="5811C840"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3D3C24B4"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758F29E" w14:textId="77777777" w:rsidR="00606FB4" w:rsidRDefault="08D050C4" w:rsidP="00606FB4">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3A608073"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32C8895"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7E807692"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r>
      <w:tr w:rsidR="00606FB4" w:rsidRPr="00B04D0E" w14:paraId="09EAD08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64B147B" w14:textId="77777777" w:rsidR="00606FB4" w:rsidRPr="00653914" w:rsidRDefault="00606FB4" w:rsidP="00606FB4">
            <w:r>
              <w:t>Regulatory</w:t>
            </w:r>
          </w:p>
        </w:tc>
        <w:tc>
          <w:tcPr>
            <w:tcW w:w="1343" w:type="dxa"/>
          </w:tcPr>
          <w:p w14:paraId="195D845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33AB7073"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305BA00" w14:textId="77777777" w:rsidR="00606FB4" w:rsidRDefault="08D050C4" w:rsidP="00606FB4">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1DBD841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A823EE1"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1B2F842"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r>
    </w:tbl>
    <w:p w14:paraId="104D6DC8" w14:textId="77777777" w:rsidR="00ED0F93" w:rsidRDefault="00ED0F93" w:rsidP="00ED0F93">
      <w:pPr>
        <w:pStyle w:val="Normalcentred"/>
      </w:pPr>
    </w:p>
    <w:p w14:paraId="05795CBD" w14:textId="77777777" w:rsidR="00606FB4" w:rsidRPr="004C16F7" w:rsidRDefault="00606FB4" w:rsidP="00606FB4">
      <w:pPr>
        <w:pStyle w:val="Heading4"/>
        <w:tabs>
          <w:tab w:val="left" w:pos="284"/>
        </w:tabs>
      </w:pPr>
      <w:r>
        <w:t xml:space="preserve">Analysis of submissions </w:t>
      </w:r>
    </w:p>
    <w:p w14:paraId="1BE7724A" w14:textId="77777777" w:rsidR="00606FB4" w:rsidRPr="00EB4CDD" w:rsidRDefault="00606FB4" w:rsidP="00606FB4">
      <w:pPr>
        <w:pStyle w:val="Heading5"/>
      </w:pPr>
      <w:r w:rsidRPr="00EB4CDD">
        <w:t>Status quo</w:t>
      </w:r>
    </w:p>
    <w:p w14:paraId="19183A21"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Since AS1735.12 (1999) was developed, there have been further iterations of the standard, most recently a 2020 version. If the Transport Standards continues to reference an obsolete standard, this may result in transport infrastructure that may not include best practice in lift design and features. </w:t>
      </w:r>
    </w:p>
    <w:p w14:paraId="517AD523" w14:textId="5D42225A"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Governments submissions were the only stakeholders who supported the status quo, and only one provided commentary, which argued lifts in </w:t>
      </w:r>
      <w:r w:rsidR="00C827CA">
        <w:rPr>
          <w:rFonts w:ascii="Calibri" w:eastAsia="Calibri" w:hAnsi="Calibri" w:cs="Times New Roman"/>
          <w:color w:val="000000" w:themeColor="text1"/>
        </w:rPr>
        <w:t>t</w:t>
      </w:r>
      <w:r w:rsidRPr="169A030C">
        <w:rPr>
          <w:rFonts w:ascii="Calibri" w:eastAsia="Calibri" w:hAnsi="Calibri" w:cs="Times New Roman"/>
          <w:color w:val="000000" w:themeColor="text1"/>
        </w:rPr>
        <w:t>ransport premises should not be treated differently to lifts in other accessible buildings.</w:t>
      </w:r>
    </w:p>
    <w:p w14:paraId="704F6EB0"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Maintaining the status quo would retain references to a lift standard which is over two decades old. The advances in lift design and features which benefit people living with disability would not be incorporated into the Transport Standards or align with industry best practice.</w:t>
      </w:r>
    </w:p>
    <w:p w14:paraId="3208D94C" w14:textId="34262FB4"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status quo does not meet the objectives of the Transport Standards to remove discrimination against people with disability concerning public transport services. Maintaining the status quo has no ongoing costs or additional regulatory burden for public transport operators and providers; however, negative impacts on community accessibility would remain.</w:t>
      </w:r>
    </w:p>
    <w:p w14:paraId="1884FDD9" w14:textId="77777777" w:rsidR="00606FB4" w:rsidRPr="00651D58" w:rsidRDefault="00606FB4" w:rsidP="00606FB4">
      <w:pPr>
        <w:pStyle w:val="Heading5"/>
      </w:pPr>
      <w:r w:rsidRPr="00651D58">
        <w:t>Non-regulatory</w:t>
      </w:r>
    </w:p>
    <w:p w14:paraId="6218303C" w14:textId="7AB65A6C"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Guidance proposed in the non-regulatory option is intended to help public transport owners and operators to reduce the barriers to accessing public transport for people living with disability.</w:t>
      </w:r>
      <w:r w:rsidR="002E2C7D">
        <w:rPr>
          <w:rFonts w:ascii="Calibri" w:eastAsia="Calibri" w:hAnsi="Calibri" w:cs="Times New Roman"/>
          <w:color w:val="000000" w:themeColor="text1"/>
        </w:rPr>
        <w:t xml:space="preserve"> </w:t>
      </w:r>
      <w:r w:rsidRPr="169A030C">
        <w:rPr>
          <w:rFonts w:ascii="Calibri" w:eastAsia="Calibri" w:hAnsi="Calibri" w:cs="Times New Roman"/>
          <w:color w:val="000000" w:themeColor="text1"/>
        </w:rPr>
        <w:t>Guidance would provide information on audible wayfinding, tactile requirements, and use of hearing loops all of which have been established as barriers to people with disability using public transport.</w:t>
      </w:r>
    </w:p>
    <w:p w14:paraId="54FF4816" w14:textId="10D914EB"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Feedback from one government and one public transport operator supported the non-regulatory option. The government submission cited discrepancies, such as the handrail requirements in the 2020 lift standard compared with other parts of the Transport Standards. The submission raised a concern about alignment with the Premises Standards, which does not reference the 2020 lift standards at the time of writing. However, alignment in lift references in the NCC and Premises Standards is a priority. The Premises Standard review findings in 2021, stated that alignment amongst referenced standards was a key priority</w:t>
      </w:r>
      <w:r>
        <w:t xml:space="preserve">. </w:t>
      </w:r>
    </w:p>
    <w:p w14:paraId="607D491C" w14:textId="77777777" w:rsidR="00606FB4" w:rsidRPr="00651D58" w:rsidRDefault="00606FB4" w:rsidP="00606FB4">
      <w:pPr>
        <w:pStyle w:val="Heading5"/>
      </w:pPr>
      <w:r w:rsidRPr="00651D58">
        <w:t>Regulatory</w:t>
      </w:r>
    </w:p>
    <w:p w14:paraId="416A9E33" w14:textId="77777777" w:rsidR="00606FB4" w:rsidRPr="008907F0" w:rsidRDefault="08D050C4" w:rsidP="00606FB4">
      <w:r>
        <w:t xml:space="preserve">Since industry has moved to newer lift standards, the longer the Transport Standards lift requirements are not harmonised, features that assist people with disability to overcome barriers to using public transport will remain. Most submissions to this reform supported the regulatory option. </w:t>
      </w:r>
    </w:p>
    <w:p w14:paraId="3243DB00" w14:textId="77777777" w:rsidR="00606FB4" w:rsidRPr="00386528" w:rsidRDefault="08D050C4" w:rsidP="00606FB4">
      <w:r>
        <w:t xml:space="preserve">Submissions supporting the regulatory option where from individuals, people with disability and disability organisations, governments and transport owners and operators. A common thread amongst these different </w:t>
      </w:r>
      <w:r>
        <w:lastRenderedPageBreak/>
        <w:t>stakeholders was the need for consistency and clarity for lift requirements, the benefits from promoting inclusion, and reducing the barriers for people with disability accessing public transport.</w:t>
      </w:r>
    </w:p>
    <w:p w14:paraId="70356BFC" w14:textId="11CD3C7B" w:rsidR="00606FB4" w:rsidRDefault="00606FB4" w:rsidP="00606FB4">
      <w:r>
        <w:t>While the submission</w:t>
      </w:r>
      <w:r w:rsidR="002E2C7D">
        <w:t>s</w:t>
      </w:r>
      <w:r>
        <w:t xml:space="preserve"> converged on the need to update references with the Transport Standards to AS1735</w:t>
      </w:r>
      <w:r w:rsidR="00C827CA">
        <w:t>.12</w:t>
      </w:r>
      <w:r>
        <w:t xml:space="preserve"> (2020) edition, there were concerns raised by disability, government, and industry stakeholders.</w:t>
      </w:r>
    </w:p>
    <w:p w14:paraId="4C7C8C58" w14:textId="77777777" w:rsidR="00606FB4" w:rsidRDefault="00606FB4" w:rsidP="00606FB4">
      <w:r>
        <w:t>Disability advocates identified that AS1735.12 (2020) addresses a large number of existing accessibility issues; however, the standard does not address all the barriers encountered by people who are vision impaired. For vision-impaired stakeholders, lifts that use touchscreen and more recent technologies may not provide tactile alternatives. Vision-impaired disability advocates also argued for more through cars (door on both sides) rather than turnaround lift cars. These disability advocates supported the regulatory option but recommended further consultation to address the issues they identified.</w:t>
      </w:r>
    </w:p>
    <w:p w14:paraId="6120F817" w14:textId="77777777" w:rsidR="00606FB4" w:rsidRDefault="00606FB4" w:rsidP="00606FB4">
      <w:r>
        <w:t>Government and industry stakeholders who supported the regulatory option specified their preferences were for amended lift references that apply to new lift installations. Their concerns related to older lift installations, especially those with smaller car sizes, which may require replacement with a wider lift shaft to accommodate the new lift standards and would be prohibitively expensive.</w:t>
      </w:r>
    </w:p>
    <w:p w14:paraId="48DA6851" w14:textId="77777777" w:rsidR="00606FB4" w:rsidRDefault="00606FB4" w:rsidP="00606FB4">
      <w:r>
        <w:t>Many existing lifts would meet the regulatory requirements, and this would reduce the scope of lifts requiring retrofitting. For older lift installations, many of which would be operating near their end-of-life, there are equivalent access and unjustifiable hardship provisions which address those lift installations where retrofitting would be prohibitively expensive. The provision for alternative solutions would also apply to heritage transport infrastructure.</w:t>
      </w:r>
    </w:p>
    <w:p w14:paraId="7DE0BCB8" w14:textId="77777777" w:rsidR="00606FB4" w:rsidRPr="00651D58" w:rsidRDefault="00606FB4" w:rsidP="00606FB4">
      <w:pPr>
        <w:pStyle w:val="Heading4"/>
      </w:pPr>
      <w:r w:rsidRPr="00651D58">
        <w:t>Preferred option</w:t>
      </w:r>
    </w:p>
    <w:p w14:paraId="31B4E21F" w14:textId="77777777" w:rsidR="00606FB4" w:rsidRDefault="00606FB4" w:rsidP="00606FB4">
      <w:r>
        <w:t xml:space="preserve">Informed by the outcomes of consultation, impacts, cost and outcomes analysis above, the preferred option is the </w:t>
      </w:r>
      <w:r w:rsidRPr="008E1471">
        <w:rPr>
          <w:b/>
        </w:rPr>
        <w:t>regulatory option</w:t>
      </w:r>
      <w:r>
        <w:t>.</w:t>
      </w:r>
    </w:p>
    <w:p w14:paraId="34BE7ED0" w14:textId="31C25FA7" w:rsidR="00606FB4" w:rsidRDefault="08D050C4" w:rsidP="00606FB4">
      <w:r>
        <w:t>The preferred option will ensure many safety and accessibility improvements over the last two decades are realised in transport infrastructure. The industry has been installing lifts for 5-10 years that exceed the AS1735.12 (1999) requirements. The safety and accessibility improvements would improve access and confidence in using public transport for people with disability.</w:t>
      </w:r>
    </w:p>
    <w:p w14:paraId="0B13CF27" w14:textId="05E405FA" w:rsidR="00606FB4" w:rsidRDefault="00606FB4" w:rsidP="00606FB4">
      <w:r>
        <w:t xml:space="preserve">The preferred regulatory option, supported by most stakeholders, ensures that barriers to accessing public transport, addressed in the updated lift standards, are implemented in all new public transport lift installations. The preferred option ensures that Transport operators and providers have greater certainty that they meet their responsibilities under the </w:t>
      </w:r>
      <w:r w:rsidR="00EC4AB9">
        <w:t>DDA</w:t>
      </w:r>
      <w:r>
        <w:t>.</w:t>
      </w:r>
    </w:p>
    <w:p w14:paraId="11FED0A1" w14:textId="76A9DD69" w:rsidR="00EC4AB9" w:rsidRDefault="00606FB4" w:rsidP="00606FB4">
      <w:r>
        <w:t>The preferred option will be implemented through amendments to the Transport Standards and Guidelines. Operators and providers will be required to meet the new Transport Standards requirements prospectively with a trigger mechanism.</w:t>
      </w:r>
      <w:r w:rsidR="002E2C7D">
        <w:t xml:space="preserve"> This will address concerns regarding retrofitting older lifts.</w:t>
      </w:r>
    </w:p>
    <w:p w14:paraId="334A346C" w14:textId="172C51CC" w:rsidR="4C4858D8" w:rsidRDefault="4C4858D8" w:rsidP="4C4858D8">
      <w:pPr>
        <w:spacing w:before="240"/>
        <w:outlineLvl w:val="3"/>
        <w:rPr>
          <w:rFonts w:ascii="Calibri" w:eastAsia="Times New Roman" w:hAnsi="Calibri" w:cs="Times New Roman"/>
          <w:b/>
          <w:bCs/>
          <w:color w:val="49515C"/>
          <w:sz w:val="26"/>
          <w:szCs w:val="26"/>
        </w:rPr>
      </w:pPr>
      <w:r w:rsidRPr="4C4858D8">
        <w:rPr>
          <w:rFonts w:ascii="Calibri" w:eastAsia="Times New Roman" w:hAnsi="Calibri" w:cs="Times New Roman"/>
          <w:b/>
          <w:bCs/>
          <w:color w:val="49515C"/>
          <w:sz w:val="26"/>
          <w:szCs w:val="26"/>
        </w:rPr>
        <w:t>Interaction with Stage 1 reform area</w:t>
      </w:r>
    </w:p>
    <w:p w14:paraId="47E58BDA" w14:textId="172C51CC" w:rsidR="4C4858D8" w:rsidRDefault="4C4858D8" w:rsidP="4C4858D8">
      <w:pPr>
        <w:pStyle w:val="Tablefigureheading"/>
      </w:pPr>
      <w:r>
        <w:t xml:space="preserve">Table </w:t>
      </w:r>
      <w:r w:rsidRPr="4C4858D8">
        <w:rPr>
          <w:noProof/>
        </w:rPr>
        <w:t xml:space="preserve">100: Interactions with Stage 1 </w:t>
      </w:r>
      <w:r>
        <w:t>for lift specifications and enhancements</w:t>
      </w:r>
    </w:p>
    <w:tbl>
      <w:tblPr>
        <w:tblStyle w:val="DefaultTable1"/>
        <w:tblW w:w="0" w:type="auto"/>
        <w:tblLook w:val="04A0" w:firstRow="1" w:lastRow="0" w:firstColumn="1" w:lastColumn="0" w:noHBand="0" w:noVBand="1"/>
        <w:tblCaption w:val="Interactions with Stage 1 for lift specifications and enhancements"/>
        <w:tblDescription w:val="This table provides a descrption of the interactions with stage 1 reform areas. "/>
      </w:tblPr>
      <w:tblGrid>
        <w:gridCol w:w="2127"/>
        <w:gridCol w:w="3868"/>
        <w:gridCol w:w="3869"/>
      </w:tblGrid>
      <w:tr w:rsidR="4C4858D8" w14:paraId="4DEE712F" w14:textId="77777777" w:rsidTr="4C485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DBF3552" w14:textId="77777777" w:rsidR="4C4858D8" w:rsidRDefault="4C4858D8">
            <w:r>
              <w:t>Stage 1 reform area</w:t>
            </w:r>
          </w:p>
        </w:tc>
        <w:tc>
          <w:tcPr>
            <w:tcW w:w="3868" w:type="dxa"/>
          </w:tcPr>
          <w:p w14:paraId="7A2CF969" w14:textId="77777777" w:rsidR="4C4858D8" w:rsidRDefault="4C4858D8">
            <w:pPr>
              <w:cnfStyle w:val="100000000000" w:firstRow="1" w:lastRow="0" w:firstColumn="0" w:lastColumn="0" w:oddVBand="0" w:evenVBand="0" w:oddHBand="0" w:evenHBand="0" w:firstRowFirstColumn="0" w:firstRowLastColumn="0" w:lastRowFirstColumn="0" w:lastRowLastColumn="0"/>
            </w:pPr>
            <w:r>
              <w:t>Interaction with Stage 2 reform area</w:t>
            </w:r>
          </w:p>
        </w:tc>
        <w:tc>
          <w:tcPr>
            <w:tcW w:w="3869" w:type="dxa"/>
          </w:tcPr>
          <w:p w14:paraId="045305EB" w14:textId="77777777" w:rsidR="4C4858D8" w:rsidRDefault="4C4858D8">
            <w:pPr>
              <w:cnfStyle w:val="100000000000" w:firstRow="1" w:lastRow="0" w:firstColumn="0" w:lastColumn="0" w:oddVBand="0" w:evenVBand="0" w:oddHBand="0" w:evenHBand="0" w:firstRowFirstColumn="0" w:firstRowLastColumn="0" w:lastRowFirstColumn="0" w:lastRowLastColumn="0"/>
            </w:pPr>
            <w:r>
              <w:t>Details</w:t>
            </w:r>
          </w:p>
        </w:tc>
      </w:tr>
      <w:tr w:rsidR="4C4858D8" w14:paraId="12EE9ACC" w14:textId="77777777" w:rsidTr="4C4858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ED7D31" w:themeColor="accent2"/>
              <w:left w:val="nil"/>
              <w:bottom w:val="single" w:sz="4" w:space="0" w:color="ED7D31" w:themeColor="accent2"/>
              <w:right w:val="single" w:sz="4" w:space="0" w:color="ED7D31" w:themeColor="accent2"/>
            </w:tcBorders>
          </w:tcPr>
          <w:p w14:paraId="5BE2D694" w14:textId="77777777" w:rsidR="4C4858D8" w:rsidRDefault="4C4858D8">
            <w:pPr>
              <w:rPr>
                <w:b w:val="0"/>
              </w:rPr>
            </w:pPr>
            <w:r>
              <w:rPr>
                <w:b w:val="0"/>
              </w:rPr>
              <w:t>Chapter 5.6: Lifts</w:t>
            </w:r>
          </w:p>
        </w:tc>
        <w:tc>
          <w:tcPr>
            <w:tcW w:w="386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3C89BBCD" w14:textId="439807EF" w:rsidR="4C4858D8" w:rsidRDefault="4C4858D8">
            <w:pPr>
              <w:cnfStyle w:val="000000100000" w:firstRow="0" w:lastRow="0" w:firstColumn="0" w:lastColumn="0" w:oddVBand="0" w:evenVBand="0" w:oddHBand="1" w:evenHBand="0" w:firstRowFirstColumn="0" w:firstRowLastColumn="0" w:lastRowFirstColumn="0" w:lastRowLastColumn="0"/>
            </w:pPr>
            <w:r>
              <w:t>Both reform areas seek to reform lift specifications, however</w:t>
            </w:r>
            <w:r w:rsidR="0056669A">
              <w:t>,</w:t>
            </w:r>
            <w:r>
              <w:t xml:space="preserve"> reference different Australian Standards for lifts.</w:t>
            </w:r>
          </w:p>
        </w:tc>
        <w:tc>
          <w:tcPr>
            <w:tcW w:w="3869" w:type="dxa"/>
            <w:tcBorders>
              <w:top w:val="single" w:sz="4" w:space="0" w:color="ED7D31" w:themeColor="accent2"/>
              <w:left w:val="single" w:sz="4" w:space="0" w:color="ED7D31" w:themeColor="accent2"/>
              <w:bottom w:val="single" w:sz="4" w:space="0" w:color="ED7D31" w:themeColor="accent2"/>
              <w:right w:val="nil"/>
            </w:tcBorders>
          </w:tcPr>
          <w:p w14:paraId="39BFC0F5" w14:textId="77777777" w:rsidR="4C4858D8" w:rsidRDefault="4C4858D8">
            <w:pPr>
              <w:cnfStyle w:val="000000100000" w:firstRow="0" w:lastRow="0" w:firstColumn="0" w:lastColumn="0" w:oddVBand="0" w:evenVBand="0" w:oddHBand="1" w:evenHBand="0" w:firstRowFirstColumn="0" w:firstRowLastColumn="0" w:lastRowFirstColumn="0" w:lastRowLastColumn="0"/>
            </w:pPr>
            <w:r>
              <w:t>Stage 1, Chapter 5.6 Lifts retains AS1735.12 (1999)</w:t>
            </w:r>
            <w:r w:rsidRPr="4C4858D8">
              <w:rPr>
                <w:i/>
                <w:iCs/>
              </w:rPr>
              <w:t>.</w:t>
            </w:r>
          </w:p>
          <w:p w14:paraId="787D8F1D" w14:textId="77777777" w:rsidR="4C4858D8" w:rsidRDefault="4C4858D8">
            <w:pPr>
              <w:cnfStyle w:val="000000100000" w:firstRow="0" w:lastRow="0" w:firstColumn="0" w:lastColumn="0" w:oddVBand="0" w:evenVBand="0" w:oddHBand="1" w:evenHBand="0" w:firstRowFirstColumn="0" w:firstRowLastColumn="0" w:lastRowFirstColumn="0" w:lastRowLastColumn="0"/>
            </w:pPr>
            <w:r>
              <w:t>Stage 2, Lift specifications and enhancements, regulatory option proposes AS1735.12 (2020).</w:t>
            </w:r>
          </w:p>
        </w:tc>
      </w:tr>
    </w:tbl>
    <w:p w14:paraId="5BDB08C4" w14:textId="172C51CC" w:rsidR="4C4858D8" w:rsidRDefault="4C4858D8" w:rsidP="4C4858D8">
      <w:pPr>
        <w:spacing w:before="240"/>
      </w:pPr>
      <w:r>
        <w:t>Stage 2 references to AS1735.12 (2020) would override the reference to stage 1 Chapter 5.6 in AS1735.12 (1999). Stage 1 reforms are contained and clarified in the 2020 version of the lift standard.</w:t>
      </w:r>
    </w:p>
    <w:p w14:paraId="0830A9C8" w14:textId="58293F32" w:rsidR="00C827CA" w:rsidRDefault="00C827CA">
      <w:pPr>
        <w:spacing w:line="259" w:lineRule="auto"/>
      </w:pPr>
      <w:r>
        <w:br w:type="page"/>
      </w:r>
    </w:p>
    <w:p w14:paraId="416A3B01" w14:textId="77777777" w:rsidR="4C4858D8" w:rsidRDefault="4C4858D8" w:rsidP="4C4858D8"/>
    <w:p w14:paraId="77967292" w14:textId="77777777" w:rsidR="00606FB4" w:rsidRPr="00FA3352" w:rsidRDefault="00606FB4" w:rsidP="00DB49BC">
      <w:pPr>
        <w:pStyle w:val="Heading2"/>
        <w:numPr>
          <w:ilvl w:val="0"/>
          <w:numId w:val="27"/>
        </w:numPr>
        <w:ind w:hanging="720"/>
      </w:pPr>
      <w:bookmarkStart w:id="486" w:name="_Toc97635093"/>
      <w:bookmarkStart w:id="487" w:name="_Toc127351785"/>
      <w:bookmarkStart w:id="488" w:name="_Toc140239743"/>
      <w:bookmarkStart w:id="489" w:name="_Toc97635094"/>
      <w:r w:rsidRPr="00FA3352">
        <w:t>Specifications for escalators and inclined travellators</w:t>
      </w:r>
      <w:bookmarkEnd w:id="486"/>
      <w:bookmarkEnd w:id="487"/>
      <w:bookmarkEnd w:id="488"/>
    </w:p>
    <w:p w14:paraId="61B6532F" w14:textId="77777777" w:rsidR="00606FB4" w:rsidRPr="00621039" w:rsidRDefault="00606FB4" w:rsidP="00606FB4">
      <w:pPr>
        <w:pStyle w:val="Heading4"/>
        <w:tabs>
          <w:tab w:val="left" w:pos="284"/>
        </w:tabs>
      </w:pPr>
      <w:r w:rsidRPr="00621039">
        <w:t>Issue</w:t>
      </w:r>
    </w:p>
    <w:p w14:paraId="2AA20D90" w14:textId="77777777" w:rsidR="00606FB4" w:rsidRDefault="00606FB4" w:rsidP="00606FB4">
      <w:r>
        <w:t>Some escalators and inclined travellators installed in public transport sites are not wide enough to be accessible to people with disability.</w:t>
      </w:r>
    </w:p>
    <w:p w14:paraId="25EF1ED6" w14:textId="77777777" w:rsidR="00606FB4" w:rsidRDefault="08D050C4" w:rsidP="00606FB4">
      <w:r>
        <w:t>Transport Standards section 2.4, Minimum unobstructed width, provides a minimum unobstructed width for moving pathways (850 millimetres), it is silent on specifications for escalators and inclined travellators.</w:t>
      </w:r>
    </w:p>
    <w:p w14:paraId="617EC331" w14:textId="0758C8BF" w:rsidR="00606FB4" w:rsidRDefault="08D050C4" w:rsidP="00606FB4">
      <w:r>
        <w:t>The Transport Standards and other accessible premises often specify 850 millimetres access. Where escalators and inclined travellators do not have 850</w:t>
      </w:r>
      <w:r w:rsidR="00C827CA">
        <w:t xml:space="preserve"> </w:t>
      </w:r>
      <w:r>
        <w:t>millimetre minimum widths, they are not aligned with other transport conveyances and accessible premises which may interrupt a person’s journey.</w:t>
      </w:r>
    </w:p>
    <w:p w14:paraId="57132BA1" w14:textId="77777777" w:rsidR="00606FB4" w:rsidRDefault="00606FB4" w:rsidP="00606FB4">
      <w:r w:rsidRPr="00D52926">
        <w:t>The absence of these technical specifications creates uncertainty for what a safe, accessible minimum width should be when installing escalators and inclined travellators.</w:t>
      </w:r>
    </w:p>
    <w:p w14:paraId="157DB0DC" w14:textId="77777777" w:rsidR="00606FB4" w:rsidRPr="00F82EAD" w:rsidRDefault="00606FB4" w:rsidP="00606FB4">
      <w:r w:rsidRPr="00F82EAD">
        <w:t xml:space="preserve">Collective government action </w:t>
      </w:r>
      <w:r>
        <w:t>would</w:t>
      </w:r>
      <w:r w:rsidRPr="00F82EAD">
        <w:t xml:space="preserve"> ensure </w:t>
      </w:r>
      <w:r>
        <w:t>escalators and inclined travellators are accessible, promote consistency with the Premises Standards and address key stakeholder issues raised through the Transport Standards review process.</w:t>
      </w:r>
    </w:p>
    <w:p w14:paraId="11F69495" w14:textId="77777777" w:rsidR="00606FB4" w:rsidRDefault="00606FB4" w:rsidP="00606FB4">
      <w:pPr>
        <w:pStyle w:val="Heading4"/>
        <w:tabs>
          <w:tab w:val="left" w:pos="284"/>
        </w:tabs>
      </w:pPr>
      <w:r>
        <w:t>Reform options</w:t>
      </w:r>
    </w:p>
    <w:p w14:paraId="3BAED57F" w14:textId="77777777" w:rsidR="00606FB4" w:rsidRDefault="00606FB4" w:rsidP="00606FB4">
      <w:pPr>
        <w:tabs>
          <w:tab w:val="left" w:pos="284"/>
        </w:tabs>
      </w:pPr>
      <w:bookmarkStart w:id="490" w:name="_Toc122446418"/>
      <w:r>
        <w:t>Following is a summary of the proposed options for this reform. Full details of each reform option is provided at Appendix A.</w:t>
      </w:r>
    </w:p>
    <w:p w14:paraId="3D4139E9" w14:textId="0DA480C7" w:rsidR="00606FB4" w:rsidRDefault="00606FB4" w:rsidP="003F3997">
      <w:pPr>
        <w:pStyle w:val="Tablefigureheading"/>
      </w:pPr>
      <w:bookmarkStart w:id="491" w:name="_Toc139969257"/>
      <w:r>
        <w:t xml:space="preserve">Table </w:t>
      </w:r>
      <w:fldSimple w:instr=" SEQ Table \* ARABIC ">
        <w:r w:rsidR="00DC26AC">
          <w:rPr>
            <w:noProof/>
          </w:rPr>
          <w:t>99</w:t>
        </w:r>
      </w:fldSimple>
      <w:r>
        <w:t>:</w:t>
      </w:r>
      <w:r w:rsidRPr="007403BF">
        <w:t xml:space="preserve"> Reform options </w:t>
      </w:r>
      <w:r>
        <w:t xml:space="preserve">for </w:t>
      </w:r>
      <w:r w:rsidRPr="007403BF">
        <w:t>specifications for escalators and inclined travellators</w:t>
      </w:r>
      <w:bookmarkEnd w:id="490"/>
      <w:bookmarkEnd w:id="491"/>
    </w:p>
    <w:tbl>
      <w:tblPr>
        <w:tblStyle w:val="DefaultTable1"/>
        <w:tblW w:w="9072" w:type="dxa"/>
        <w:tblLook w:val="04A0" w:firstRow="1" w:lastRow="0" w:firstColumn="1" w:lastColumn="0" w:noHBand="0" w:noVBand="1"/>
        <w:tblCaption w:val="Reform options specifications for escalators and inclined travellators"/>
        <w:tblDescription w:val="This table provides a description of each of the options for this reform area. Status quo, non-regulatory and regulatory."/>
      </w:tblPr>
      <w:tblGrid>
        <w:gridCol w:w="2232"/>
        <w:gridCol w:w="6840"/>
      </w:tblGrid>
      <w:tr w:rsidR="00606FB4" w:rsidRPr="003964B8" w14:paraId="61C2F1F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A577225"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57C2A864"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108D163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EC8C727"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478CEEC5"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C67A35">
              <w:t xml:space="preserve">The Transport Standards </w:t>
            </w:r>
            <w:r>
              <w:t xml:space="preserve">will continue not to provide </w:t>
            </w:r>
            <w:r w:rsidRPr="00C67A35">
              <w:t xml:space="preserve">specifications </w:t>
            </w:r>
            <w:r>
              <w:t xml:space="preserve">for </w:t>
            </w:r>
            <w:r w:rsidRPr="00C67A35">
              <w:t>minimum clear width requirements for escalators and inclined travellators.</w:t>
            </w:r>
          </w:p>
          <w:p w14:paraId="04B0DFF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rsidRPr="00C67A35">
              <w:t>The Transport Standards would remain unchanged and no additional guidance would be issued.</w:t>
            </w:r>
          </w:p>
        </w:tc>
      </w:tr>
      <w:tr w:rsidR="00606FB4" w:rsidRPr="003964B8" w14:paraId="6225FFA1"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F9A361E" w14:textId="77777777" w:rsidR="00606FB4" w:rsidRPr="004A463A" w:rsidRDefault="00606FB4" w:rsidP="004A463A">
            <w:pPr>
              <w:pStyle w:val="Tabletext"/>
              <w:tabs>
                <w:tab w:val="left" w:pos="284"/>
              </w:tabs>
              <w:rPr>
                <w:rFonts w:asciiTheme="minorHAnsi" w:hAnsiTheme="minorHAnsi" w:cstheme="minorBidi"/>
                <w:color w:val="auto"/>
              </w:rPr>
            </w:pPr>
            <w:r w:rsidRPr="169A030C">
              <w:rPr>
                <w:rFonts w:asciiTheme="minorHAnsi" w:hAnsiTheme="minorHAnsi" w:cstheme="minorBidi"/>
                <w:color w:val="auto"/>
              </w:rPr>
              <w:t>Non-regulatory</w:t>
            </w:r>
          </w:p>
        </w:tc>
        <w:tc>
          <w:tcPr>
            <w:tcW w:w="6840" w:type="dxa"/>
          </w:tcPr>
          <w:p w14:paraId="2A1AD339" w14:textId="77777777" w:rsidR="00606FB4" w:rsidRPr="00D27D68" w:rsidRDefault="08D050C4" w:rsidP="08D050C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8D050C4">
              <w:rPr>
                <w:rFonts w:asciiTheme="minorHAnsi" w:eastAsiaTheme="minorEastAsia" w:hAnsiTheme="minorHAnsi" w:cstheme="minorBidi"/>
                <w:color w:val="auto"/>
                <w:lang w:val="en-US"/>
              </w:rPr>
              <w:t>Guidance would be updated to recommend a minimum width of 850 millimetres for escalators and inclined travellators, and that escalators and inclined travellators should not be the sole means of access to premises and infrastructure for passengers.</w:t>
            </w:r>
          </w:p>
        </w:tc>
      </w:tr>
      <w:tr w:rsidR="00606FB4" w:rsidRPr="003964B8" w14:paraId="49A34C5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CCC018" w14:textId="77777777" w:rsidR="00606FB4" w:rsidRPr="004A463A" w:rsidRDefault="00606FB4" w:rsidP="004A463A">
            <w:pPr>
              <w:pStyle w:val="Tabletext"/>
              <w:tabs>
                <w:tab w:val="left" w:pos="284"/>
              </w:tabs>
              <w:rPr>
                <w:rFonts w:asciiTheme="minorHAnsi" w:hAnsiTheme="minorHAnsi" w:cstheme="minorBidi"/>
              </w:rPr>
            </w:pPr>
            <w:r w:rsidRPr="169A030C">
              <w:rPr>
                <w:rFonts w:asciiTheme="minorHAnsi" w:hAnsiTheme="minorHAnsi" w:cstheme="minorBidi"/>
              </w:rPr>
              <w:t>Regulatory</w:t>
            </w:r>
          </w:p>
        </w:tc>
        <w:tc>
          <w:tcPr>
            <w:tcW w:w="6840" w:type="dxa"/>
          </w:tcPr>
          <w:p w14:paraId="57F2352E"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rsidRPr="00097442">
              <w:t xml:space="preserve">The </w:t>
            </w:r>
            <w:r>
              <w:t>Transport Standards</w:t>
            </w:r>
            <w:r w:rsidRPr="00097442">
              <w:t xml:space="preserve"> </w:t>
            </w:r>
            <w:r>
              <w:t>would be amended to</w:t>
            </w:r>
            <w:r w:rsidRPr="00097442">
              <w:t xml:space="preserve"> </w:t>
            </w:r>
            <w:r>
              <w:t xml:space="preserve">include </w:t>
            </w:r>
            <w:r w:rsidRPr="00097442">
              <w:t xml:space="preserve">minimum width specifications for escalators and moving walkways and </w:t>
            </w:r>
            <w:r>
              <w:t xml:space="preserve">requirement </w:t>
            </w:r>
            <w:r w:rsidRPr="00097442">
              <w:t>they are not to be the sole means of access</w:t>
            </w:r>
            <w:r>
              <w:t xml:space="preserve"> </w:t>
            </w:r>
            <w:r w:rsidRPr="00C67A35">
              <w:t>to premises and infrastructure for passengers</w:t>
            </w:r>
            <w:r w:rsidRPr="00097442">
              <w:t>.</w:t>
            </w:r>
          </w:p>
          <w:p w14:paraId="01EF0519" w14:textId="77777777" w:rsidR="00606FB4"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F41129">
              <w:t xml:space="preserve">Guidance would be provided to reflect </w:t>
            </w:r>
            <w:r>
              <w:t xml:space="preserve">any </w:t>
            </w:r>
            <w:r w:rsidRPr="00F41129">
              <w:t>new requirements.</w:t>
            </w:r>
          </w:p>
        </w:tc>
      </w:tr>
    </w:tbl>
    <w:p w14:paraId="18B3E77F" w14:textId="77777777" w:rsidR="003F3997" w:rsidRDefault="003F3997" w:rsidP="003F3997"/>
    <w:p w14:paraId="48C4A75D" w14:textId="77777777" w:rsidR="00606FB4" w:rsidRDefault="00606FB4" w:rsidP="00606FB4">
      <w:pPr>
        <w:pStyle w:val="Heading4"/>
        <w:tabs>
          <w:tab w:val="left" w:pos="284"/>
        </w:tabs>
      </w:pPr>
      <w:r>
        <w:t>Cost benefit analysis</w:t>
      </w:r>
    </w:p>
    <w:p w14:paraId="3B55656A" w14:textId="77777777" w:rsidR="00606FB4" w:rsidRPr="003F3997" w:rsidRDefault="00606FB4" w:rsidP="003F3997">
      <w:pPr>
        <w:pStyle w:val="Heading5"/>
        <w:keepLines/>
        <w:spacing w:before="240"/>
        <w:rPr>
          <w:rFonts w:asciiTheme="majorHAnsi" w:eastAsiaTheme="majorEastAsia" w:hAnsiTheme="majorHAnsi" w:cstheme="majorBidi"/>
          <w:color w:val="44546A" w:themeColor="text2"/>
          <w:sz w:val="22"/>
          <w:szCs w:val="22"/>
          <w:lang w:val="en-AU"/>
        </w:rPr>
      </w:pPr>
      <w:r w:rsidRPr="003F3997">
        <w:rPr>
          <w:rFonts w:asciiTheme="majorHAnsi" w:eastAsiaTheme="majorEastAsia" w:hAnsiTheme="majorHAnsi" w:cstheme="majorBidi"/>
          <w:color w:val="44546A" w:themeColor="text2"/>
          <w:kern w:val="0"/>
          <w:sz w:val="22"/>
          <w:szCs w:val="22"/>
          <w:lang w:val="en-AU"/>
        </w:rPr>
        <w:t xml:space="preserve">Quantitative assessment </w:t>
      </w:r>
    </w:p>
    <w:p w14:paraId="56206A0D" w14:textId="77777777" w:rsidR="00606FB4" w:rsidRPr="00595D2C" w:rsidRDefault="00606FB4" w:rsidP="00606FB4">
      <w:r>
        <w:t xml:space="preserve">The following categories of quantitative costs and benefits were identified in the CBA as pertaining to the reform options. </w:t>
      </w:r>
    </w:p>
    <w:p w14:paraId="349146B2" w14:textId="1E205C10" w:rsidR="00606FB4" w:rsidRDefault="00606FB4" w:rsidP="003F3997">
      <w:pPr>
        <w:pStyle w:val="Tablefigureheading"/>
      </w:pPr>
      <w:bookmarkStart w:id="492" w:name="_Toc122446419"/>
      <w:bookmarkStart w:id="493" w:name="_Toc139969258"/>
      <w:r>
        <w:lastRenderedPageBreak/>
        <w:t xml:space="preserve">Table </w:t>
      </w:r>
      <w:fldSimple w:instr=" SEQ Table \* ARABIC ">
        <w:r w:rsidR="00DC26AC">
          <w:rPr>
            <w:noProof/>
          </w:rPr>
          <w:t>100</w:t>
        </w:r>
      </w:fldSimple>
      <w:r>
        <w:t xml:space="preserve">: Benefit-cost ratios for </w:t>
      </w:r>
      <w:r w:rsidRPr="007403BF">
        <w:t>specifications for escalators and inclined travellators</w:t>
      </w:r>
      <w:bookmarkEnd w:id="492"/>
      <w:bookmarkEnd w:id="493"/>
    </w:p>
    <w:tbl>
      <w:tblPr>
        <w:tblStyle w:val="DefaultTable1"/>
        <w:tblW w:w="9864" w:type="dxa"/>
        <w:tblLook w:val="04A0" w:firstRow="1" w:lastRow="0" w:firstColumn="1" w:lastColumn="0" w:noHBand="0" w:noVBand="1"/>
        <w:tblCaption w:val="Benefit-cost ratios for specifications for escalators and inclined travellators"/>
        <w:tblDescription w:val="This table provides the monetised benefits and costs for each of the options for this reform area."/>
      </w:tblPr>
      <w:tblGrid>
        <w:gridCol w:w="2268"/>
        <w:gridCol w:w="1276"/>
        <w:gridCol w:w="1701"/>
        <w:gridCol w:w="1701"/>
        <w:gridCol w:w="1701"/>
        <w:gridCol w:w="1217"/>
      </w:tblGrid>
      <w:tr w:rsidR="00606FB4" w:rsidRPr="003964B8" w14:paraId="0FAC224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14:paraId="4451E990" w14:textId="77777777" w:rsidR="00606FB4" w:rsidRPr="007A751F" w:rsidRDefault="08D050C4" w:rsidP="00606FB4">
            <w:r w:rsidRPr="08D050C4">
              <w:t>Reform Option</w:t>
            </w:r>
          </w:p>
        </w:tc>
        <w:tc>
          <w:tcPr>
            <w:tcW w:w="1276" w:type="dxa"/>
          </w:tcPr>
          <w:p w14:paraId="157A1D6B"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01" w:type="dxa"/>
          </w:tcPr>
          <w:p w14:paraId="08C75F20"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701" w:type="dxa"/>
          </w:tcPr>
          <w:p w14:paraId="63990C84"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701" w:type="dxa"/>
          </w:tcPr>
          <w:p w14:paraId="0181FF2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1217" w:type="dxa"/>
          </w:tcPr>
          <w:p w14:paraId="7325E416"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BCR</w:t>
            </w:r>
          </w:p>
        </w:tc>
      </w:tr>
      <w:tr w:rsidR="00606FB4" w:rsidRPr="00B04D0E" w14:paraId="1745814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9AC77D4" w14:textId="77777777" w:rsidR="00606FB4" w:rsidRPr="00653914" w:rsidRDefault="00606FB4" w:rsidP="00606FB4">
            <w:r w:rsidRPr="00653914">
              <w:t>Status Quo</w:t>
            </w:r>
          </w:p>
        </w:tc>
        <w:tc>
          <w:tcPr>
            <w:tcW w:w="1276" w:type="dxa"/>
          </w:tcPr>
          <w:p w14:paraId="487DDF06"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1FE1CF4F"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34DAD348"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tcPr>
          <w:p w14:paraId="49E832DE"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17" w:type="dxa"/>
          </w:tcPr>
          <w:p w14:paraId="6BF453F3"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50E7CA21" w14:textId="77777777" w:rsidTr="08D050C4">
        <w:tc>
          <w:tcPr>
            <w:cnfStyle w:val="001000000000" w:firstRow="0" w:lastRow="0" w:firstColumn="1" w:lastColumn="0" w:oddVBand="0" w:evenVBand="0" w:oddHBand="0" w:evenHBand="0" w:firstRowFirstColumn="0" w:firstRowLastColumn="0" w:lastRowFirstColumn="0" w:lastRowLastColumn="0"/>
            <w:tcW w:w="2268" w:type="dxa"/>
          </w:tcPr>
          <w:p w14:paraId="607E095D" w14:textId="77777777" w:rsidR="00606FB4" w:rsidRPr="00653914" w:rsidRDefault="00606FB4" w:rsidP="00606FB4">
            <w:r>
              <w:t xml:space="preserve">Non-regulatory </w:t>
            </w:r>
          </w:p>
        </w:tc>
        <w:tc>
          <w:tcPr>
            <w:tcW w:w="1276" w:type="dxa"/>
            <w:vAlign w:val="center"/>
          </w:tcPr>
          <w:p w14:paraId="5E3A1CEF"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17.0</w:t>
            </w:r>
          </w:p>
        </w:tc>
        <w:tc>
          <w:tcPr>
            <w:tcW w:w="1701" w:type="dxa"/>
          </w:tcPr>
          <w:p w14:paraId="7674E918"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701" w:type="dxa"/>
            <w:vAlign w:val="center"/>
          </w:tcPr>
          <w:p w14:paraId="7E1F299D"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14.8</w:t>
            </w:r>
          </w:p>
        </w:tc>
        <w:tc>
          <w:tcPr>
            <w:tcW w:w="1701" w:type="dxa"/>
            <w:vAlign w:val="center"/>
          </w:tcPr>
          <w:p w14:paraId="0C8C5B75"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14.8</w:t>
            </w:r>
          </w:p>
        </w:tc>
        <w:tc>
          <w:tcPr>
            <w:tcW w:w="1217" w:type="dxa"/>
            <w:vAlign w:val="center"/>
          </w:tcPr>
          <w:p w14:paraId="7F9D4EDF"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pPr>
            <w:r w:rsidRPr="08D050C4">
              <w:t>1.16</w:t>
            </w:r>
          </w:p>
        </w:tc>
      </w:tr>
      <w:tr w:rsidR="00606FB4" w:rsidRPr="00B04D0E" w14:paraId="49D2325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7423D69" w14:textId="77777777" w:rsidR="00606FB4" w:rsidRPr="00653914" w:rsidRDefault="00606FB4" w:rsidP="00606FB4">
            <w:r>
              <w:t>Regulatory</w:t>
            </w:r>
          </w:p>
        </w:tc>
        <w:tc>
          <w:tcPr>
            <w:tcW w:w="1276" w:type="dxa"/>
            <w:vAlign w:val="center"/>
          </w:tcPr>
          <w:p w14:paraId="733AD4C9"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325.3</w:t>
            </w:r>
          </w:p>
        </w:tc>
        <w:tc>
          <w:tcPr>
            <w:tcW w:w="1701" w:type="dxa"/>
          </w:tcPr>
          <w:p w14:paraId="33021596"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701" w:type="dxa"/>
            <w:vAlign w:val="center"/>
          </w:tcPr>
          <w:p w14:paraId="7202EAFD"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c>
          <w:tcPr>
            <w:tcW w:w="1701" w:type="dxa"/>
            <w:vAlign w:val="center"/>
          </w:tcPr>
          <w:p w14:paraId="74FDE165"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c>
          <w:tcPr>
            <w:tcW w:w="1217" w:type="dxa"/>
            <w:vAlign w:val="center"/>
          </w:tcPr>
          <w:p w14:paraId="4ABCD8B3"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pPr>
            <w:r w:rsidRPr="08D050C4">
              <w:t>5.70</w:t>
            </w:r>
          </w:p>
        </w:tc>
      </w:tr>
    </w:tbl>
    <w:p w14:paraId="1FE2930B" w14:textId="77777777" w:rsidR="00606FB4" w:rsidRPr="003F3997" w:rsidRDefault="00606FB4" w:rsidP="00606FB4">
      <w:pPr>
        <w:spacing w:before="120" w:after="0"/>
        <w:rPr>
          <w:sz w:val="18"/>
          <w:szCs w:val="18"/>
        </w:rPr>
      </w:pPr>
      <w:r w:rsidRPr="003F3997">
        <w:rPr>
          <w:sz w:val="18"/>
          <w:szCs w:val="18"/>
          <w:vertAlign w:val="superscript"/>
        </w:rPr>
        <w:t>*</w:t>
      </w:r>
      <w:r w:rsidRPr="003F3997">
        <w:rPr>
          <w:sz w:val="18"/>
          <w:szCs w:val="18"/>
        </w:rPr>
        <w:t>$M, 2022/23, real, discounted at 7% over a 15-year appraisal period after implementation of all reforms, assessed incrementally</w:t>
      </w:r>
    </w:p>
    <w:p w14:paraId="522FD97F" w14:textId="77777777" w:rsidR="00606FB4" w:rsidRPr="003F3997" w:rsidRDefault="08D050C4" w:rsidP="08D050C4">
      <w:pPr>
        <w:spacing w:before="120" w:after="0"/>
        <w:rPr>
          <w:sz w:val="18"/>
          <w:szCs w:val="18"/>
        </w:rPr>
      </w:pPr>
      <w:r w:rsidRPr="08D050C4">
        <w:rPr>
          <w:sz w:val="18"/>
          <w:szCs w:val="18"/>
          <w:vertAlign w:val="superscript"/>
        </w:rPr>
        <w:t>(i)</w:t>
      </w:r>
      <w:r w:rsidRPr="08D050C4">
        <w:rPr>
          <w:sz w:val="18"/>
          <w:szCs w:val="18"/>
        </w:rPr>
        <w:t>Non-regulatory compliance rates are calculated using assumptions about retrospective and prospective take-up rates, and are not a percentage of the regulatory costs.</w:t>
      </w:r>
    </w:p>
    <w:p w14:paraId="10B7C870" w14:textId="77777777" w:rsidR="003F3997" w:rsidRDefault="003F3997" w:rsidP="003F3997">
      <w:pPr>
        <w:pStyle w:val="Normalcentred"/>
      </w:pPr>
    </w:p>
    <w:p w14:paraId="7591285B" w14:textId="77777777" w:rsidR="00606FB4" w:rsidRDefault="00606FB4" w:rsidP="00606FB4">
      <w:pPr>
        <w:pStyle w:val="Heading6"/>
      </w:pPr>
      <w:r>
        <w:t>Considerations to note in interpreting analysis</w:t>
      </w:r>
    </w:p>
    <w:p w14:paraId="5CC629B0" w14:textId="77777777" w:rsidR="00606FB4" w:rsidRDefault="00606FB4" w:rsidP="003F3997">
      <w:pPr>
        <w:pStyle w:val="Heading7"/>
      </w:pPr>
      <w:r w:rsidRPr="008F2C5A">
        <w:t>Limitations</w:t>
      </w:r>
    </w:p>
    <w:p w14:paraId="393A1DE1" w14:textId="77777777" w:rsidR="00606FB4" w:rsidRDefault="00606FB4" w:rsidP="003F3997">
      <w:pPr>
        <w:pStyle w:val="Heading8"/>
      </w:pPr>
      <w:r>
        <w:t>Non-regulatory option</w:t>
      </w:r>
    </w:p>
    <w:p w14:paraId="05990B85" w14:textId="365D9285" w:rsidR="00606FB4" w:rsidRDefault="00606FB4" w:rsidP="003F3997">
      <w:r w:rsidRPr="008078BF">
        <w:t>The costs and benefits associated with the non-regulatory reform are lower than its regulatory counterpart reflecting an assumed lower rate of compliance with the reform. An estimated rate of uptake of 75</w:t>
      </w:r>
      <w:r w:rsidR="00C827CA">
        <w:t xml:space="preserve"> per cent</w:t>
      </w:r>
      <w:r w:rsidRPr="008078BF">
        <w:t xml:space="preserve"> for new assets was applied to the non-regulatory option based on submissions indicating many escalators are procured to meet the minimum width indicated in guidance. Existing assets were not assumed to be upgraded to implement the guidance based on the high cost and complexity to upgrade. This implies that the benefits and costs quantified for this non-regulatory reform may not reflect future take-up of the reform.</w:t>
      </w:r>
    </w:p>
    <w:p w14:paraId="5B5BAB6E" w14:textId="77777777" w:rsidR="00606FB4" w:rsidRDefault="00606FB4" w:rsidP="003F3997">
      <w:pPr>
        <w:pStyle w:val="Heading8"/>
      </w:pPr>
      <w:r>
        <w:t>Regulatory option</w:t>
      </w:r>
    </w:p>
    <w:p w14:paraId="66CC8B0D" w14:textId="77777777" w:rsidR="00606FB4" w:rsidRPr="008078BF" w:rsidRDefault="00606FB4" w:rsidP="003F3997">
      <w:r w:rsidRPr="008078BF">
        <w:t>The benefits and costs for this reform were estimated based on limited data from survey responses and costs estimated by RLB.</w:t>
      </w:r>
    </w:p>
    <w:p w14:paraId="4FFF67BC" w14:textId="77777777" w:rsidR="00606FB4" w:rsidRDefault="00606FB4" w:rsidP="003F3997">
      <w:r w:rsidRPr="008078BF">
        <w:t>The costs for this reform reflect replacement of escalators and travellators at a small number of sites nationally, providing safety and amenity benefits to all users of public transport.</w:t>
      </w:r>
    </w:p>
    <w:p w14:paraId="143B745C" w14:textId="77777777" w:rsidR="00606FB4" w:rsidRDefault="00606FB4" w:rsidP="003F3997">
      <w:pPr>
        <w:pStyle w:val="Heading7"/>
      </w:pPr>
      <w:r w:rsidRPr="005F2BF9">
        <w:t xml:space="preserve">Interdependencies </w:t>
      </w:r>
    </w:p>
    <w:p w14:paraId="47EBB7D3" w14:textId="77777777" w:rsidR="00606FB4" w:rsidRPr="008078BF" w:rsidRDefault="08D050C4" w:rsidP="003F3997">
      <w:r>
        <w:t>The accessibility benefits of this reform will only be realised if there was equitable access across the whole public transport journey, with benefits reliant on implementation of other reforms such as grabrails on access paths, doors on access paths, nominated assistance boarding points and others.</w:t>
      </w:r>
    </w:p>
    <w:p w14:paraId="38F801A7" w14:textId="77777777" w:rsidR="00606FB4" w:rsidRPr="003F3997" w:rsidRDefault="00606FB4" w:rsidP="003F3997">
      <w:pPr>
        <w:pStyle w:val="Heading5"/>
        <w:keepLines/>
        <w:spacing w:before="240"/>
        <w:rPr>
          <w:rFonts w:asciiTheme="majorHAnsi" w:eastAsiaTheme="majorEastAsia" w:hAnsiTheme="majorHAnsi" w:cstheme="majorBidi"/>
          <w:color w:val="44546A" w:themeColor="text2"/>
          <w:sz w:val="22"/>
          <w:szCs w:val="22"/>
          <w:lang w:val="en-AU"/>
        </w:rPr>
      </w:pPr>
      <w:r w:rsidRPr="003F3997">
        <w:rPr>
          <w:rFonts w:asciiTheme="majorHAnsi" w:eastAsiaTheme="majorEastAsia" w:hAnsiTheme="majorHAnsi" w:cstheme="majorBidi"/>
          <w:color w:val="44546A" w:themeColor="text2"/>
          <w:kern w:val="0"/>
          <w:sz w:val="22"/>
          <w:szCs w:val="22"/>
          <w:lang w:val="en-AU"/>
        </w:rPr>
        <w:t xml:space="preserve">Qualitative assessment </w:t>
      </w:r>
    </w:p>
    <w:p w14:paraId="1D644201" w14:textId="77777777" w:rsidR="00606FB4" w:rsidRPr="00F10FAA" w:rsidRDefault="00606FB4" w:rsidP="00606FB4">
      <w:r>
        <w:t>The following categories of qualitative benefits were identified in the CBA as pertaining to the reform options.</w:t>
      </w:r>
    </w:p>
    <w:p w14:paraId="2A44EE24" w14:textId="16F16CA1" w:rsidR="00606FB4" w:rsidRDefault="00606FB4" w:rsidP="003F3997">
      <w:pPr>
        <w:pStyle w:val="Tablefigureheading"/>
      </w:pPr>
      <w:bookmarkStart w:id="494" w:name="_Toc122446420"/>
      <w:bookmarkStart w:id="495" w:name="_Toc139969259"/>
      <w:r>
        <w:t xml:space="preserve">Table </w:t>
      </w:r>
      <w:fldSimple w:instr=" SEQ Table \* ARABIC ">
        <w:r w:rsidR="00DC26AC">
          <w:rPr>
            <w:noProof/>
          </w:rPr>
          <w:t>101</w:t>
        </w:r>
      </w:fldSimple>
      <w:r>
        <w:rPr>
          <w:noProof/>
        </w:rPr>
        <w:t>:</w:t>
      </w:r>
      <w:r w:rsidRPr="00EE3F5F">
        <w:rPr>
          <w:noProof/>
        </w:rPr>
        <w:t xml:space="preserve"> </w:t>
      </w:r>
      <w:r>
        <w:t xml:space="preserve">Qualitative benefits for </w:t>
      </w:r>
      <w:r w:rsidRPr="007403BF">
        <w:t>specifications for escalators and inclined travellators</w:t>
      </w:r>
      <w:bookmarkEnd w:id="494"/>
      <w:bookmarkEnd w:id="495"/>
    </w:p>
    <w:tbl>
      <w:tblPr>
        <w:tblStyle w:val="DefaultTable1"/>
        <w:tblW w:w="9864" w:type="dxa"/>
        <w:tblLook w:val="04A0" w:firstRow="1" w:lastRow="0" w:firstColumn="1" w:lastColumn="0" w:noHBand="0" w:noVBand="1"/>
        <w:tblCaption w:val="Qualitative benefits for specifications for escalators and inclined travellators"/>
      </w:tblPr>
      <w:tblGrid>
        <w:gridCol w:w="1213"/>
        <w:gridCol w:w="1343"/>
        <w:gridCol w:w="1626"/>
        <w:gridCol w:w="1300"/>
        <w:gridCol w:w="1278"/>
        <w:gridCol w:w="1641"/>
        <w:gridCol w:w="1463"/>
      </w:tblGrid>
      <w:tr w:rsidR="00606FB4" w:rsidRPr="007A751F" w14:paraId="1A75E3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170A363" w14:textId="77777777" w:rsidR="00606FB4" w:rsidRPr="007A751F" w:rsidRDefault="08D050C4" w:rsidP="00606FB4">
            <w:r w:rsidRPr="08D050C4">
              <w:t>Reform Option</w:t>
            </w:r>
          </w:p>
        </w:tc>
        <w:tc>
          <w:tcPr>
            <w:tcW w:w="1343" w:type="dxa"/>
          </w:tcPr>
          <w:p w14:paraId="4938CB4E"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2DC4DF9"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8A80CBD"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61FDB335"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5CD0DE88" w14:textId="77777777" w:rsidR="00606FB4" w:rsidRPr="007A751F" w:rsidRDefault="08D050C4" w:rsidP="00606FB4">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53F5DEEC" w14:textId="77777777" w:rsidR="00606FB4" w:rsidRDefault="08D050C4" w:rsidP="00606FB4">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606FB4" w:rsidRPr="00B04D0E" w14:paraId="68D78FA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7A817BB" w14:textId="77777777" w:rsidR="00606FB4" w:rsidRPr="00653914" w:rsidRDefault="00606FB4" w:rsidP="00606FB4">
            <w:r w:rsidRPr="00653914">
              <w:t>Status Quo</w:t>
            </w:r>
          </w:p>
        </w:tc>
        <w:tc>
          <w:tcPr>
            <w:tcW w:w="1343" w:type="dxa"/>
          </w:tcPr>
          <w:p w14:paraId="46A3238B"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26" w:type="dxa"/>
          </w:tcPr>
          <w:p w14:paraId="7B9777B0"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300" w:type="dxa"/>
          </w:tcPr>
          <w:p w14:paraId="7CD7A63A"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810F2AE"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641" w:type="dxa"/>
          </w:tcPr>
          <w:p w14:paraId="3D3B07E7"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463" w:type="dxa"/>
          </w:tcPr>
          <w:p w14:paraId="1CAB0B27"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r>
      <w:tr w:rsidR="00606FB4" w:rsidRPr="00B04D0E" w14:paraId="494152A6"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AF44F3" w14:textId="77777777" w:rsidR="00606FB4" w:rsidRPr="00653914" w:rsidRDefault="00606FB4" w:rsidP="00606FB4">
            <w:r>
              <w:t xml:space="preserve">Non-regulatory </w:t>
            </w:r>
          </w:p>
        </w:tc>
        <w:tc>
          <w:tcPr>
            <w:tcW w:w="1343" w:type="dxa"/>
          </w:tcPr>
          <w:p w14:paraId="4EF4F019"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25ABD669"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C4D4021" w14:textId="77777777" w:rsidR="00606FB4" w:rsidRPr="003F3997"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8D050C4">
              <w:rPr>
                <w:sz w:val="21"/>
                <w:szCs w:val="21"/>
              </w:rPr>
              <w:t>-</w:t>
            </w:r>
          </w:p>
        </w:tc>
        <w:tc>
          <w:tcPr>
            <w:tcW w:w="1278" w:type="dxa"/>
          </w:tcPr>
          <w:p w14:paraId="4AA1FE7D" w14:textId="77777777" w:rsidR="00606FB4"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43ACECB5"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5C01B9CA" w14:textId="77777777" w:rsidR="00606FB4" w:rsidRPr="00B04D0E" w:rsidRDefault="00606FB4" w:rsidP="00606FB4">
            <w:pPr>
              <w:cnfStyle w:val="000000000000" w:firstRow="0" w:lastRow="0" w:firstColumn="0" w:lastColumn="0" w:oddVBand="0" w:evenVBand="0" w:oddHBand="0" w:evenHBand="0" w:firstRowFirstColumn="0" w:firstRowLastColumn="0" w:lastRowFirstColumn="0" w:lastRowLastColumn="0"/>
            </w:pPr>
            <w:r>
              <w:t>Yes</w:t>
            </w:r>
          </w:p>
        </w:tc>
      </w:tr>
      <w:tr w:rsidR="00606FB4" w:rsidRPr="00B04D0E" w14:paraId="5506B1D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A0C8318" w14:textId="77777777" w:rsidR="00606FB4" w:rsidRPr="00653914" w:rsidRDefault="00606FB4" w:rsidP="00606FB4">
            <w:r>
              <w:t>Regulatory</w:t>
            </w:r>
          </w:p>
        </w:tc>
        <w:tc>
          <w:tcPr>
            <w:tcW w:w="1343" w:type="dxa"/>
          </w:tcPr>
          <w:p w14:paraId="7D0E12EC"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1FF8D475"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27FB5590" w14:textId="77777777" w:rsidR="00606FB4" w:rsidRPr="003F3997"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8D050C4">
              <w:rPr>
                <w:sz w:val="21"/>
                <w:szCs w:val="21"/>
              </w:rPr>
              <w:t>-</w:t>
            </w:r>
          </w:p>
        </w:tc>
        <w:tc>
          <w:tcPr>
            <w:tcW w:w="1278" w:type="dxa"/>
          </w:tcPr>
          <w:p w14:paraId="700E2C9B"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6AD23875"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1DCCCDFA"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Yes</w:t>
            </w:r>
          </w:p>
        </w:tc>
      </w:tr>
    </w:tbl>
    <w:p w14:paraId="7CE11330" w14:textId="77777777" w:rsidR="00606FB4" w:rsidRPr="004C16F7" w:rsidRDefault="00606FB4" w:rsidP="00606FB4">
      <w:pPr>
        <w:pStyle w:val="Heading4"/>
        <w:tabs>
          <w:tab w:val="left" w:pos="284"/>
        </w:tabs>
      </w:pPr>
      <w:r>
        <w:lastRenderedPageBreak/>
        <w:t xml:space="preserve">Analysis of submissions </w:t>
      </w:r>
    </w:p>
    <w:p w14:paraId="61AA1E55" w14:textId="77777777" w:rsidR="00606FB4" w:rsidRPr="003C118B" w:rsidRDefault="00606FB4" w:rsidP="00606FB4">
      <w:pPr>
        <w:pStyle w:val="Heading5"/>
      </w:pPr>
      <w:r w:rsidRPr="003C118B">
        <w:t>Status quo</w:t>
      </w:r>
    </w:p>
    <w:p w14:paraId="37F6CA68" w14:textId="77777777" w:rsidR="0056669A"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Under the status quo some passengers will continue to be unable to traverse escalators and inclined travellators where they do not have minimum accessible widths. Safety and accessibility </w:t>
      </w:r>
      <w:r w:rsidR="0056669A">
        <w:rPr>
          <w:rFonts w:ascii="Calibri" w:eastAsia="Calibri" w:hAnsi="Calibri" w:cs="Times New Roman"/>
          <w:color w:val="000000" w:themeColor="text1"/>
        </w:rPr>
        <w:t xml:space="preserve">concerns </w:t>
      </w:r>
      <w:r w:rsidRPr="169A030C">
        <w:rPr>
          <w:rFonts w:ascii="Calibri" w:eastAsia="Calibri" w:hAnsi="Calibri" w:cs="Times New Roman"/>
          <w:color w:val="000000" w:themeColor="text1"/>
        </w:rPr>
        <w:t>regarding narrow escalators or inclined travellators will continue.</w:t>
      </w:r>
      <w:r w:rsidR="0056669A">
        <w:rPr>
          <w:rFonts w:ascii="Calibri" w:eastAsia="Calibri" w:hAnsi="Calibri" w:cs="Times New Roman"/>
          <w:color w:val="000000" w:themeColor="text1"/>
        </w:rPr>
        <w:t xml:space="preserve"> </w:t>
      </w:r>
      <w:r w:rsidRPr="169A030C">
        <w:rPr>
          <w:rFonts w:ascii="Calibri" w:eastAsia="Calibri" w:hAnsi="Calibri" w:cs="Times New Roman"/>
          <w:color w:val="000000" w:themeColor="text1"/>
        </w:rPr>
        <w:t xml:space="preserve">Supporting the status quo may result in escalators and inclined travellators remaining unchanged. </w:t>
      </w:r>
    </w:p>
    <w:p w14:paraId="0DA8A8EA" w14:textId="2D8B698E"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status quo had </w:t>
      </w:r>
      <w:r w:rsidR="0056669A">
        <w:rPr>
          <w:rFonts w:ascii="Calibri" w:eastAsia="Calibri" w:hAnsi="Calibri" w:cs="Times New Roman"/>
          <w:color w:val="000000" w:themeColor="text1"/>
        </w:rPr>
        <w:t xml:space="preserve">support from </w:t>
      </w:r>
      <w:r w:rsidRPr="169A030C">
        <w:rPr>
          <w:rFonts w:ascii="Calibri" w:eastAsia="Calibri" w:hAnsi="Calibri" w:cs="Times New Roman"/>
          <w:color w:val="000000" w:themeColor="text1"/>
        </w:rPr>
        <w:t>a small number of submissions</w:t>
      </w:r>
      <w:r w:rsidR="0056669A">
        <w:rPr>
          <w:rFonts w:ascii="Calibri" w:eastAsia="Calibri" w:hAnsi="Calibri" w:cs="Times New Roman"/>
          <w:color w:val="000000" w:themeColor="text1"/>
        </w:rPr>
        <w:t>, all</w:t>
      </w:r>
      <w:r w:rsidRPr="169A030C">
        <w:rPr>
          <w:rFonts w:ascii="Calibri" w:eastAsia="Calibri" w:hAnsi="Calibri" w:cs="Times New Roman"/>
          <w:color w:val="000000" w:themeColor="text1"/>
        </w:rPr>
        <w:t xml:space="preserve"> from government stakeholders. One government submission supported the status quo because they were no longer installing escalators or inclined travellators in new infrastructure builds due to maintenance costs and breakdowns. Another submission supported the status quo because they believed the reforms were not targeted to travellators and they did </w:t>
      </w:r>
      <w:r w:rsidR="0056669A">
        <w:rPr>
          <w:rFonts w:ascii="Calibri" w:eastAsia="Calibri" w:hAnsi="Calibri" w:cs="Times New Roman"/>
          <w:color w:val="000000" w:themeColor="text1"/>
        </w:rPr>
        <w:t xml:space="preserve">not </w:t>
      </w:r>
      <w:r w:rsidRPr="169A030C">
        <w:rPr>
          <w:rFonts w:ascii="Calibri" w:eastAsia="Calibri" w:hAnsi="Calibri" w:cs="Times New Roman"/>
          <w:color w:val="000000" w:themeColor="text1"/>
        </w:rPr>
        <w:t xml:space="preserve">believe escalators were an issue. </w:t>
      </w:r>
    </w:p>
    <w:p w14:paraId="1A64C8F7" w14:textId="77777777" w:rsidR="00606FB4" w:rsidRPr="001D52B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status quo option is unlikely to involve new costs to operators and providers and would not introduce additional regulatory burdens or associated administrative costs. However, negative impacts on community accessibility would remain.</w:t>
      </w:r>
    </w:p>
    <w:p w14:paraId="277E68CD" w14:textId="77777777" w:rsidR="00606FB4" w:rsidRPr="003C118B" w:rsidRDefault="00606FB4" w:rsidP="00606FB4">
      <w:pPr>
        <w:pStyle w:val="Heading5"/>
      </w:pPr>
      <w:r w:rsidRPr="003C118B">
        <w:t>Non-regulatory</w:t>
      </w:r>
    </w:p>
    <w:p w14:paraId="3787355F" w14:textId="737EFC3F"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guidance proposed in the non-regulatory option is intended to reduce barriers to accessing public transport by providing advice on minimum widths necessary to make escalators and inclined travellators accessible. Guidance would assist public transport owners and operators to consider best practice when procuring or retrofitting these goods.</w:t>
      </w:r>
    </w:p>
    <w:p w14:paraId="5917607E" w14:textId="77777777" w:rsidR="00606FB4"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Whole Journey Guide would be updated to include guidance that recommends a minimum width of 850 millimeters for escalators and inclined travellators. </w:t>
      </w:r>
    </w:p>
    <w:p w14:paraId="70DD9996" w14:textId="59FBB924"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non-regulatory option received the least su</w:t>
      </w:r>
      <w:r w:rsidR="0056669A">
        <w:rPr>
          <w:rFonts w:ascii="Calibri" w:eastAsia="Calibri" w:hAnsi="Calibri" w:cs="Times New Roman"/>
          <w:color w:val="000000" w:themeColor="text1"/>
        </w:rPr>
        <w:t>pport - t</w:t>
      </w:r>
      <w:r w:rsidRPr="169A030C">
        <w:rPr>
          <w:rFonts w:ascii="Calibri" w:eastAsia="Calibri" w:hAnsi="Calibri" w:cs="Times New Roman"/>
          <w:color w:val="000000" w:themeColor="text1"/>
        </w:rPr>
        <w:t>here were no submissions supporting the non-regulatory option from disability stakeholders.</w:t>
      </w:r>
    </w:p>
    <w:p w14:paraId="005A0B34"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Feedback from one government and one public transport operator supported the non-regulatory option. The government submission indicated there were safety risks by encouraging people with mobility aids to use escalators. Inclined travellators posed fewer safety issues for people using mobility aids.</w:t>
      </w:r>
    </w:p>
    <w:p w14:paraId="196C792C"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width of escalators and travellators may be limited by site constraints and structural elements, such as platform widths and heritage requirements. The non-regulatory options would allow alternatives to be considered in the context of the site's constraints. </w:t>
      </w:r>
    </w:p>
    <w:p w14:paraId="71715810" w14:textId="77777777" w:rsidR="00606FB4" w:rsidRPr="003C118B" w:rsidRDefault="00606FB4" w:rsidP="00606FB4">
      <w:pPr>
        <w:pStyle w:val="Heading5"/>
      </w:pPr>
      <w:r w:rsidRPr="003C118B">
        <w:t>Regulatory</w:t>
      </w:r>
    </w:p>
    <w:p w14:paraId="244C462C" w14:textId="77777777" w:rsidR="00606FB4" w:rsidRDefault="00606FB4" w:rsidP="00606FB4">
      <w:r w:rsidRPr="169A030C">
        <w:rPr>
          <w:rFonts w:ascii="Calibri" w:eastAsia="Calibri" w:hAnsi="Calibri" w:cs="Times New Roman"/>
          <w:color w:val="000000" w:themeColor="text1"/>
        </w:rPr>
        <w:t xml:space="preserve">The requirements proposed in the regulatory option would ensure </w:t>
      </w:r>
      <w:r>
        <w:t>escalators and inclined travellators installed in public transport sites are wide enough to be accessible to people with disability.</w:t>
      </w:r>
    </w:p>
    <w:p w14:paraId="1D2CC24E" w14:textId="77777777" w:rsidR="00606FB4" w:rsidRPr="00386528" w:rsidRDefault="08D050C4" w:rsidP="08D050C4">
      <w:pPr>
        <w:rPr>
          <w:rFonts w:ascii="Calibri" w:eastAsia="Calibri" w:hAnsi="Calibri" w:cs="Times New Roman"/>
          <w:color w:val="000000" w:themeColor="text1"/>
        </w:rPr>
      </w:pPr>
      <w:r w:rsidRPr="08D050C4">
        <w:rPr>
          <w:rFonts w:ascii="Calibri" w:eastAsia="Calibri" w:hAnsi="Calibri" w:cs="Times New Roman"/>
          <w:color w:val="000000" w:themeColor="text1"/>
        </w:rPr>
        <w:t>The regulatory option received the most support. All disability stakeholders supported the regulatory option. Disability stakeholders emphasised the benefits of being able to use escalators and travellators, such as increased access to facilities and conveyances and improved safety.</w:t>
      </w:r>
    </w:p>
    <w:p w14:paraId="5926E647" w14:textId="77777777" w:rsidR="00606FB4" w:rsidRPr="005A54A3" w:rsidRDefault="00606FB4" w:rsidP="00606FB4">
      <w:pPr>
        <w:pStyle w:val="Quote"/>
      </w:pPr>
      <w:r w:rsidRPr="005A54A3">
        <w:t>Escalators and inclined travellators are useful for many people who are ambulant and have a disability providing they are designed appropriately and have sufficient width. People who use canes, crutches or other aids find that narrower escalators and travelators present challenges to the safe use of the aids, and similar challenges arise for people who use guide or assistance dogs in cases where the dog cannot be positioned beside them in a narrow space. Designing escalators and inclined travellators ensures most efficient and seamless movement for people who otherwise find lifts and stairs less effective for their needs</w:t>
      </w:r>
    </w:p>
    <w:p w14:paraId="445D179F" w14:textId="77777777" w:rsidR="00606FB4" w:rsidRPr="005D7AA9" w:rsidRDefault="00606FB4" w:rsidP="00606FB4">
      <w:pPr>
        <w:pStyle w:val="Quote"/>
      </w:pPr>
      <w:r w:rsidRPr="005A54A3">
        <w:t>Queenslander</w:t>
      </w:r>
      <w:r>
        <w:t>s</w:t>
      </w:r>
      <w:r w:rsidRPr="005A54A3">
        <w:t xml:space="preserve"> with Disability Network</w:t>
      </w:r>
    </w:p>
    <w:p w14:paraId="426002D5"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lastRenderedPageBreak/>
        <w:t xml:space="preserve">There were concerns raised by government and industry stakeholders about the retrospective application of these requirements, which would be costly and, in many instances, technically complex to implement. The money may be better spent on improving alternative access options. </w:t>
      </w:r>
    </w:p>
    <w:p w14:paraId="78597792" w14:textId="225352FA"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regulatory option target</w:t>
      </w:r>
      <w:r w:rsidR="00136EE8">
        <w:rPr>
          <w:rFonts w:ascii="Calibri" w:eastAsia="Calibri" w:hAnsi="Calibri" w:cs="Times New Roman"/>
          <w:color w:val="000000" w:themeColor="text1"/>
        </w:rPr>
        <w:t>s</w:t>
      </w:r>
      <w:r w:rsidRPr="169A030C">
        <w:rPr>
          <w:rFonts w:ascii="Calibri" w:eastAsia="Calibri" w:hAnsi="Calibri" w:cs="Times New Roman"/>
          <w:color w:val="000000" w:themeColor="text1"/>
        </w:rPr>
        <w:t xml:space="preserve"> minimum requirements and would be complemented by guidance to outline best practice if transport owners and operator choose to exceed the minimum requirements. The Transport Standards Guidelines and The Whole Journey Guide would be updated to reflect new requirements and provide specific guidelines outlined in the non-regulatory options.</w:t>
      </w:r>
    </w:p>
    <w:p w14:paraId="1B4D2636" w14:textId="77777777" w:rsidR="00606FB4" w:rsidRPr="001D52B2" w:rsidRDefault="00606FB4" w:rsidP="00606FB4">
      <w:pPr>
        <w:keepNext/>
        <w:keepLine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79BF96FE"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Informed by the outcomes of consultation, impacts, cost and outcomes analysis above, the preferred option is the </w:t>
      </w:r>
      <w:r w:rsidRPr="169A030C">
        <w:rPr>
          <w:rFonts w:ascii="Calibri" w:eastAsia="Calibri" w:hAnsi="Calibri" w:cs="Times New Roman"/>
          <w:b/>
          <w:color w:val="000000" w:themeColor="text1"/>
        </w:rPr>
        <w:t>regulatory option</w:t>
      </w:r>
      <w:r w:rsidRPr="169A030C">
        <w:rPr>
          <w:rFonts w:ascii="Calibri" w:eastAsia="Calibri" w:hAnsi="Calibri" w:cs="Times New Roman"/>
          <w:color w:val="000000" w:themeColor="text1"/>
        </w:rPr>
        <w:t>.</w:t>
      </w:r>
    </w:p>
    <w:p w14:paraId="46108303"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Transport Standards would include new minimum width specifications for escalators and moving walkways and that they are not to be the sole means of access. </w:t>
      </w:r>
    </w:p>
    <w:p w14:paraId="027EE3EF" w14:textId="77777777" w:rsidR="00606FB4" w:rsidRPr="00071182" w:rsidRDefault="00606FB4" w:rsidP="00606FB4">
      <w:pPr>
        <w:rPr>
          <w:rFonts w:ascii="Calibri" w:eastAsia="Calibri" w:hAnsi="Calibri" w:cs="Times New Roman"/>
          <w:color w:val="000000" w:themeColor="text1"/>
        </w:rPr>
      </w:pPr>
      <w:r w:rsidRPr="169A030C">
        <w:rPr>
          <w:rFonts w:ascii="Calibri" w:eastAsia="Calibri" w:hAnsi="Calibri" w:cs="Times New Roman"/>
          <w:color w:val="000000" w:themeColor="text1"/>
        </w:rPr>
        <w:t>The requirements would pertain to premises (except premises to which the Premises Standards apply) and infrastructure (except airports that do not accept regular public transport services.)</w:t>
      </w:r>
    </w:p>
    <w:p w14:paraId="58FAF322" w14:textId="77777777" w:rsidR="00606FB4" w:rsidRPr="002A7AC6" w:rsidRDefault="00606FB4" w:rsidP="00606FB4">
      <w:pPr>
        <w:tabs>
          <w:tab w:val="left" w:pos="284"/>
        </w:tabs>
      </w:pPr>
      <w:r w:rsidRPr="169A030C">
        <w:rPr>
          <w:rFonts w:ascii="Calibri" w:eastAsia="Calibri" w:hAnsi="Calibri" w:cs="Times New Roman"/>
          <w:color w:val="000000" w:themeColor="text1"/>
        </w:rPr>
        <w:t xml:space="preserve">The regulatory option would be supported by updated guidance in both the Transport Standards Guidelines and The Whole Journey Guide. </w:t>
      </w:r>
      <w:r>
        <w:t xml:space="preserve">Updated guidance in the </w:t>
      </w:r>
      <w:r w:rsidRPr="003150E9">
        <w:t>Transport Standards Guidelines</w:t>
      </w:r>
      <w:r>
        <w:t xml:space="preserve"> will provide additional information to operators and providers on how new requirements in the Transport Standards can be met, and be supported by further guidance </w:t>
      </w:r>
      <w:r w:rsidRPr="0046784A">
        <w:t>in the Whole Journey Guide</w:t>
      </w:r>
      <w:r w:rsidRPr="00AB4867">
        <w:t xml:space="preserve"> </w:t>
      </w:r>
      <w:r>
        <w:t>where suggested guidance extends beyond what will be required in the amended Transport Standards.</w:t>
      </w:r>
    </w:p>
    <w:p w14:paraId="09E3B641" w14:textId="21315670" w:rsidR="00606FB4" w:rsidRPr="005D7AA9" w:rsidRDefault="00606FB4" w:rsidP="00606FB4">
      <w:pPr>
        <w:rPr>
          <w:rFonts w:ascii="Calibri" w:eastAsia="Calibri" w:hAnsi="Calibri" w:cs="Times New Roman"/>
          <w:i/>
          <w:color w:val="000000" w:themeColor="text1"/>
        </w:rPr>
      </w:pPr>
      <w:r w:rsidRPr="169A030C">
        <w:rPr>
          <w:rFonts w:ascii="Calibri" w:eastAsia="Calibri" w:hAnsi="Calibri" w:cs="Times New Roman"/>
          <w:color w:val="000000" w:themeColor="text1"/>
        </w:rPr>
        <w:t>The preferred option ensures people living with disability have improved safety and accessibility when using escalators and inclined travellators. The preferred option provides transport owners and providers greater certainty that they meet their responsibilities under the</w:t>
      </w:r>
      <w:r w:rsidR="00C827CA">
        <w:rPr>
          <w:rFonts w:ascii="Calibri" w:eastAsia="Calibri" w:hAnsi="Calibri" w:cs="Times New Roman"/>
          <w:color w:val="000000" w:themeColor="text1"/>
        </w:rPr>
        <w:t xml:space="preserve"> DDA.</w:t>
      </w:r>
    </w:p>
    <w:p w14:paraId="7FD39E4C" w14:textId="77777777" w:rsidR="00606FB4" w:rsidRPr="005D7AA9" w:rsidRDefault="00606FB4" w:rsidP="00606FB4">
      <w:pPr>
        <w:sectPr w:rsidR="00606FB4" w:rsidRPr="005D7AA9" w:rsidSect="00606FB4">
          <w:pgSz w:w="11906" w:h="16838" w:code="9"/>
          <w:pgMar w:top="1021" w:right="1021" w:bottom="1021" w:left="1021" w:header="510" w:footer="567" w:gutter="0"/>
          <w:cols w:space="708"/>
          <w:docGrid w:linePitch="360"/>
        </w:sectPr>
      </w:pPr>
      <w:r>
        <w:t>The preferred option will be implemented through amendments to the Transport Standards and Guidelines. Operators and providers will be required to meet the new Transport Standards requirements prospectively with a trigger mechanism.</w:t>
      </w:r>
    </w:p>
    <w:p w14:paraId="746CBCC5" w14:textId="06A90E3C" w:rsidR="00606FB4" w:rsidRPr="003D6BDE" w:rsidRDefault="00606FB4" w:rsidP="006B66D3">
      <w:pPr>
        <w:pStyle w:val="Heading2"/>
        <w:numPr>
          <w:ilvl w:val="0"/>
          <w:numId w:val="27"/>
        </w:numPr>
        <w:ind w:hanging="720"/>
      </w:pPr>
      <w:bookmarkStart w:id="496" w:name="_Toc127351786"/>
      <w:bookmarkStart w:id="497" w:name="_Toc140239744"/>
      <w:r w:rsidRPr="003D6BDE">
        <w:lastRenderedPageBreak/>
        <w:t xml:space="preserve">Poles, </w:t>
      </w:r>
      <w:r w:rsidRPr="00E20E92">
        <w:t>objects</w:t>
      </w:r>
      <w:r w:rsidRPr="003D6BDE">
        <w:t xml:space="preserve"> and luminance contrast</w:t>
      </w:r>
      <w:bookmarkEnd w:id="489"/>
      <w:bookmarkEnd w:id="496"/>
      <w:bookmarkEnd w:id="497"/>
    </w:p>
    <w:p w14:paraId="0A92D8D1" w14:textId="77777777" w:rsidR="00606FB4" w:rsidRPr="00621039" w:rsidRDefault="00606FB4" w:rsidP="00606FB4">
      <w:pPr>
        <w:pStyle w:val="Heading4"/>
        <w:tabs>
          <w:tab w:val="left" w:pos="284"/>
        </w:tabs>
      </w:pPr>
      <w:r w:rsidRPr="00621039">
        <w:t>Issue</w:t>
      </w:r>
    </w:p>
    <w:p w14:paraId="3E947828" w14:textId="35A3F7DC" w:rsidR="00606FB4" w:rsidRDefault="00606FB4" w:rsidP="00606FB4">
      <w:pPr>
        <w:tabs>
          <w:tab w:val="left" w:pos="284"/>
        </w:tabs>
      </w:pPr>
      <w:r w:rsidRPr="008873BB">
        <w:t>People with vision or cognitive impairments may inadvertently walk into or strike an object that abuts an access path,</w:t>
      </w:r>
      <w:r>
        <w:t xml:space="preserve"> i</w:t>
      </w:r>
      <w:r w:rsidR="00D55090">
        <w:t>f</w:t>
      </w:r>
      <w:r w:rsidRPr="008873BB">
        <w:t xml:space="preserve"> unseen or unperceived. People with vision or cognitive impairments rely on luminance contrast to identify objects and navigate around them.</w:t>
      </w:r>
    </w:p>
    <w:p w14:paraId="60D27324" w14:textId="77777777" w:rsidR="00606FB4" w:rsidRPr="008873BB" w:rsidRDefault="00606FB4" w:rsidP="00606FB4">
      <w:pPr>
        <w:tabs>
          <w:tab w:val="left" w:pos="284"/>
        </w:tabs>
      </w:pPr>
      <w:r>
        <w:t xml:space="preserve">For people with vision or cognitive impairments the navigation and safety issues are compounded by the inconsistent application and effectiveness of luminance contrast solutions. </w:t>
      </w:r>
    </w:p>
    <w:p w14:paraId="04981967" w14:textId="2FAEF2D8" w:rsidR="00606FB4" w:rsidRPr="008873BB" w:rsidRDefault="00606FB4" w:rsidP="00606FB4">
      <w:pPr>
        <w:tabs>
          <w:tab w:val="left" w:pos="284"/>
        </w:tabs>
      </w:pPr>
      <w:r>
        <w:t>T</w:t>
      </w:r>
      <w:r w:rsidRPr="008873BB">
        <w:t xml:space="preserve">he Transport Standards </w:t>
      </w:r>
      <w:r>
        <w:t xml:space="preserve">set </w:t>
      </w:r>
      <w:r w:rsidRPr="008873BB">
        <w:t>require</w:t>
      </w:r>
      <w:r>
        <w:t>ments for</w:t>
      </w:r>
      <w:r w:rsidRPr="008873BB">
        <w:t xml:space="preserve"> luminance contrast with a background for obstacles</w:t>
      </w:r>
      <w:r w:rsidR="00D55090">
        <w:t>,</w:t>
      </w:r>
      <w:r>
        <w:t xml:space="preserve"> but does not provide </w:t>
      </w:r>
      <w:r w:rsidRPr="008873BB">
        <w:t>reference</w:t>
      </w:r>
      <w:r>
        <w:t>s</w:t>
      </w:r>
      <w:r w:rsidRPr="008873BB">
        <w:t xml:space="preserve"> for measuring or calculating luminance contrast. Additionally, there </w:t>
      </w:r>
      <w:r>
        <w:t>is not</w:t>
      </w:r>
      <w:r w:rsidRPr="008873BB">
        <w:t xml:space="preserve"> </w:t>
      </w:r>
      <w:r w:rsidR="00D55090">
        <w:t xml:space="preserve">a </w:t>
      </w:r>
      <w:r w:rsidRPr="008873BB">
        <w:t>clear definition of what constitutes a background. Pavements, walls, conveyances or even distant objects or buildings may form a background</w:t>
      </w:r>
    </w:p>
    <w:p w14:paraId="5A13386B" w14:textId="77777777" w:rsidR="00606FB4" w:rsidRPr="00C16CE9" w:rsidRDefault="00606FB4" w:rsidP="00606FB4">
      <w:r w:rsidRPr="00F82EAD">
        <w:t xml:space="preserve">Collective government action </w:t>
      </w:r>
      <w:r>
        <w:t>would</w:t>
      </w:r>
      <w:r w:rsidRPr="00F82EAD">
        <w:t xml:space="preserve"> ensure </w:t>
      </w:r>
      <w:r>
        <w:t xml:space="preserve">poles, objects and luminance contrast requirements are clear and address key stakeholder issues raised through the Transport Standards review process and promote consistency with the Premises Standards. </w:t>
      </w:r>
    </w:p>
    <w:p w14:paraId="2E683CF6" w14:textId="77777777" w:rsidR="00606FB4" w:rsidRDefault="00606FB4" w:rsidP="00606FB4">
      <w:pPr>
        <w:pStyle w:val="Heading4"/>
        <w:tabs>
          <w:tab w:val="left" w:pos="284"/>
        </w:tabs>
      </w:pPr>
      <w:r>
        <w:t>Reform options</w:t>
      </w:r>
    </w:p>
    <w:p w14:paraId="6FF765E8" w14:textId="77777777" w:rsidR="00606FB4" w:rsidRDefault="00606FB4" w:rsidP="00606FB4">
      <w:pPr>
        <w:tabs>
          <w:tab w:val="left" w:pos="284"/>
        </w:tabs>
      </w:pPr>
      <w:r>
        <w:t>Following is a summary of the proposed options for this reform. Full details of each reform option is provided at Appendix A.</w:t>
      </w:r>
    </w:p>
    <w:p w14:paraId="010D6C7F" w14:textId="00506896" w:rsidR="00606FB4" w:rsidRDefault="00606FB4" w:rsidP="00C16CE9">
      <w:pPr>
        <w:pStyle w:val="Tablefigureheading"/>
      </w:pPr>
      <w:bookmarkStart w:id="498" w:name="_Toc122446421"/>
      <w:bookmarkStart w:id="499" w:name="_Toc139969260"/>
      <w:r>
        <w:t xml:space="preserve">Table </w:t>
      </w:r>
      <w:fldSimple w:instr=" SEQ Table \* ARABIC ">
        <w:r w:rsidR="00DC26AC">
          <w:rPr>
            <w:noProof/>
          </w:rPr>
          <w:t>102</w:t>
        </w:r>
      </w:fldSimple>
      <w:r>
        <w:t>: Reform options for p</w:t>
      </w:r>
      <w:r w:rsidRPr="007403BF">
        <w:t>oles, objects and luminance contrast</w:t>
      </w:r>
      <w:bookmarkEnd w:id="498"/>
      <w:bookmarkEnd w:id="499"/>
    </w:p>
    <w:tbl>
      <w:tblPr>
        <w:tblStyle w:val="DefaultTable1"/>
        <w:tblW w:w="9072" w:type="dxa"/>
        <w:tblLook w:val="04A0" w:firstRow="1" w:lastRow="0" w:firstColumn="1" w:lastColumn="0" w:noHBand="0" w:noVBand="1"/>
        <w:tblCaption w:val="Reform options for Poles, objects and luminance contrast"/>
        <w:tblDescription w:val="This table provides a description of each of the options for this reform area. Status quo, non-regulatory and regulatory."/>
      </w:tblPr>
      <w:tblGrid>
        <w:gridCol w:w="2232"/>
        <w:gridCol w:w="6840"/>
      </w:tblGrid>
      <w:tr w:rsidR="00606FB4" w:rsidRPr="003964B8" w14:paraId="66EE441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B07F74F" w14:textId="77777777" w:rsidR="00606FB4" w:rsidRPr="003964B8" w:rsidRDefault="00606FB4" w:rsidP="00606FB4">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tcPr>
          <w:p w14:paraId="7BA79439" w14:textId="77777777" w:rsidR="00606FB4" w:rsidRPr="003964B8"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606FB4" w:rsidRPr="003964B8" w14:paraId="7D15A50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B82503" w14:textId="77777777" w:rsidR="00606FB4" w:rsidRPr="004A463A" w:rsidRDefault="00606FB4" w:rsidP="00606FB4">
            <w:pPr>
              <w:pStyle w:val="Tabletext"/>
              <w:tabs>
                <w:tab w:val="left" w:pos="284"/>
              </w:tabs>
              <w:rPr>
                <w:rFonts w:asciiTheme="minorHAnsi" w:hAnsiTheme="minorHAnsi" w:cstheme="minorBidi"/>
              </w:rPr>
            </w:pPr>
            <w:r w:rsidRPr="169A030C">
              <w:rPr>
                <w:rFonts w:asciiTheme="minorHAnsi" w:hAnsiTheme="minorHAnsi" w:cstheme="minorBidi"/>
              </w:rPr>
              <w:t>Status Quo</w:t>
            </w:r>
          </w:p>
        </w:tc>
        <w:tc>
          <w:tcPr>
            <w:tcW w:w="6840" w:type="dxa"/>
          </w:tcPr>
          <w:p w14:paraId="7C70D66D"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 xml:space="preserve">The Transport Standards will continue not to define a </w:t>
            </w:r>
            <w:r w:rsidRPr="007F1A37">
              <w:t>background</w:t>
            </w:r>
            <w:r>
              <w:t xml:space="preserve"> for the purpose of </w:t>
            </w:r>
            <w:r w:rsidRPr="007F1A37">
              <w:t>measuring or calculating luminance contrast.</w:t>
            </w:r>
          </w:p>
          <w:p w14:paraId="0FDF1AD9" w14:textId="77777777" w:rsidR="00606FB4" w:rsidRPr="00B04D0E"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606FB4" w:rsidRPr="003964B8" w14:paraId="60E658F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26A336D" w14:textId="77777777" w:rsidR="00606FB4" w:rsidRPr="004A463A" w:rsidRDefault="00606FB4" w:rsidP="004A463A">
            <w:pPr>
              <w:pStyle w:val="Tabletext"/>
              <w:tabs>
                <w:tab w:val="left" w:pos="284"/>
              </w:tabs>
              <w:rPr>
                <w:rFonts w:asciiTheme="minorHAnsi" w:hAnsiTheme="minorHAnsi" w:cstheme="minorBidi"/>
                <w:color w:val="auto"/>
              </w:rPr>
            </w:pPr>
            <w:r w:rsidRPr="169A030C">
              <w:rPr>
                <w:rFonts w:asciiTheme="minorHAnsi" w:hAnsiTheme="minorHAnsi" w:cstheme="minorBidi"/>
                <w:color w:val="auto"/>
              </w:rPr>
              <w:t>Non-Regulatory</w:t>
            </w:r>
          </w:p>
        </w:tc>
        <w:tc>
          <w:tcPr>
            <w:tcW w:w="6840" w:type="dxa"/>
          </w:tcPr>
          <w:p w14:paraId="7F43A38D" w14:textId="77777777" w:rsidR="00606FB4" w:rsidRPr="00D27D68"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169A030C">
              <w:rPr>
                <w:rFonts w:asciiTheme="minorHAnsi" w:eastAsiaTheme="minorEastAsia" w:hAnsiTheme="minorHAnsi" w:cstheme="minorBidi"/>
                <w:color w:val="auto"/>
                <w:lang w:val="en-US"/>
              </w:rPr>
              <w:t>Guidance would be updated to include best practice guidance for determining the luminance contrast of poles and obstacles adjacent to access paths.</w:t>
            </w:r>
          </w:p>
        </w:tc>
      </w:tr>
      <w:tr w:rsidR="00606FB4" w:rsidRPr="003964B8" w14:paraId="486D1D2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FEF3E83" w14:textId="77777777" w:rsidR="00606FB4" w:rsidRPr="004A463A" w:rsidRDefault="00606FB4" w:rsidP="004A463A">
            <w:pPr>
              <w:pStyle w:val="Tabletext"/>
              <w:tabs>
                <w:tab w:val="left" w:pos="284"/>
              </w:tabs>
              <w:rPr>
                <w:rFonts w:asciiTheme="minorHAnsi" w:hAnsiTheme="minorHAnsi" w:cstheme="minorBidi"/>
              </w:rPr>
            </w:pPr>
            <w:r w:rsidRPr="169A030C">
              <w:rPr>
                <w:rFonts w:asciiTheme="minorHAnsi" w:hAnsiTheme="minorHAnsi" w:cstheme="minorBidi"/>
              </w:rPr>
              <w:t>Regulatory</w:t>
            </w:r>
          </w:p>
        </w:tc>
        <w:tc>
          <w:tcPr>
            <w:tcW w:w="6840" w:type="dxa"/>
          </w:tcPr>
          <w:p w14:paraId="183E186F" w14:textId="77777777" w:rsidR="00606FB4" w:rsidRDefault="00606FB4" w:rsidP="00606FB4">
            <w:pPr>
              <w:cnfStyle w:val="000000100000" w:firstRow="0" w:lastRow="0" w:firstColumn="0" w:lastColumn="0" w:oddVBand="0" w:evenVBand="0" w:oddHBand="1" w:evenHBand="0" w:firstRowFirstColumn="0" w:firstRowLastColumn="0" w:lastRowFirstColumn="0" w:lastRowLastColumn="0"/>
            </w:pPr>
            <w:r>
              <w:t>The Transport Standards would be amended to ensure p</w:t>
            </w:r>
            <w:r w:rsidRPr="00C67A35">
              <w:t>oles, columns, stanchions, bollards and fixtures</w:t>
            </w:r>
            <w:r>
              <w:t xml:space="preserve"> do not project onto an access path. There are 2 regulatory options that were consulted on, both containing sub-options.</w:t>
            </w:r>
          </w:p>
          <w:p w14:paraId="213C2315" w14:textId="77777777" w:rsidR="00606FB4" w:rsidRPr="001273C8" w:rsidRDefault="00606FB4" w:rsidP="00606FB4">
            <w:pPr>
              <w:cnfStyle w:val="000000100000" w:firstRow="0" w:lastRow="0" w:firstColumn="0" w:lastColumn="0" w:oddVBand="0" w:evenVBand="0" w:oddHBand="1" w:evenHBand="0" w:firstRowFirstColumn="0" w:firstRowLastColumn="0" w:lastRowFirstColumn="0" w:lastRowLastColumn="0"/>
              <w:rPr>
                <w:b/>
              </w:rPr>
            </w:pPr>
            <w:r w:rsidRPr="001273C8">
              <w:rPr>
                <w:b/>
              </w:rPr>
              <w:t>Option 1</w:t>
            </w:r>
          </w:p>
          <w:p w14:paraId="1B1A9E6B" w14:textId="77777777" w:rsidR="00606FB4" w:rsidRPr="006D3318" w:rsidRDefault="00606FB4" w:rsidP="00606FB4">
            <w:pPr>
              <w:cnfStyle w:val="000000100000" w:firstRow="0" w:lastRow="0" w:firstColumn="0" w:lastColumn="0" w:oddVBand="0" w:evenVBand="0" w:oddHBand="1" w:evenHBand="0" w:firstRowFirstColumn="0" w:firstRowLastColumn="0" w:lastRowFirstColumn="0" w:lastRowLastColumn="0"/>
            </w:pPr>
            <w:r w:rsidRPr="006D3318">
              <w:t>Objects that do abut an access path must:</w:t>
            </w:r>
          </w:p>
          <w:p w14:paraId="673C34C7" w14:textId="1954E087" w:rsidR="00606FB4" w:rsidRDefault="08D050C4" w:rsidP="00606FB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Sub-option 1 - </w:t>
            </w:r>
            <w:r w:rsidRPr="08D050C4">
              <w:rPr>
                <w:rFonts w:asciiTheme="minorHAnsi" w:hAnsiTheme="minorHAnsi"/>
                <w:lang w:val="en-US" w:eastAsia="en-US"/>
              </w:rPr>
              <w:t>Must have a luminance contrast of no less than 30</w:t>
            </w:r>
            <w:r w:rsidR="00C827CA">
              <w:rPr>
                <w:rFonts w:asciiTheme="minorHAnsi" w:hAnsiTheme="minorHAnsi"/>
                <w:lang w:val="en-US" w:eastAsia="en-US"/>
              </w:rPr>
              <w:t xml:space="preserve"> per cent</w:t>
            </w:r>
            <w:r w:rsidRPr="08D050C4">
              <w:rPr>
                <w:rFonts w:asciiTheme="minorHAnsi" w:hAnsiTheme="minorHAnsi"/>
                <w:lang w:val="en-US" w:eastAsia="en-US"/>
              </w:rPr>
              <w:t xml:space="preserve"> when viewed against the surrounding floor or pavement or against other fixed surfaces that are within two metres of the obstacle.</w:t>
            </w:r>
          </w:p>
          <w:p w14:paraId="0BC1A231" w14:textId="63D8C4F7" w:rsidR="00606FB4" w:rsidRDefault="08D050C4" w:rsidP="00606FB4">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Sub-option 2 - </w:t>
            </w:r>
            <w:r w:rsidRPr="08D050C4">
              <w:rPr>
                <w:rFonts w:asciiTheme="minorHAnsi" w:hAnsiTheme="minorHAnsi"/>
                <w:lang w:val="en-US" w:eastAsia="en-US"/>
              </w:rPr>
              <w:t>Must have a luminance contrast strip at least 75 millimetres wide of no less than 60</w:t>
            </w:r>
            <w:r w:rsidR="00C827CA">
              <w:rPr>
                <w:rFonts w:asciiTheme="minorHAnsi" w:hAnsiTheme="minorHAnsi"/>
                <w:lang w:val="en-US" w:eastAsia="en-US"/>
              </w:rPr>
              <w:t xml:space="preserve"> per cent</w:t>
            </w:r>
            <w:r w:rsidRPr="08D050C4">
              <w:rPr>
                <w:rFonts w:asciiTheme="minorHAnsi" w:hAnsiTheme="minorHAnsi"/>
                <w:lang w:val="en-US" w:eastAsia="en-US"/>
              </w:rPr>
              <w:t xml:space="preserve"> located 900 to 1000 millimetres above ground when viewed against the surrounding floor or pavement or against other fixed surfaces that are within two metres of the obstacle.</w:t>
            </w:r>
          </w:p>
          <w:p w14:paraId="1E77FADC" w14:textId="77777777" w:rsidR="00606FB4" w:rsidRPr="001273C8" w:rsidRDefault="00606FB4" w:rsidP="00606FB4">
            <w:pPr>
              <w:cnfStyle w:val="000000100000" w:firstRow="0" w:lastRow="0" w:firstColumn="0" w:lastColumn="0" w:oddVBand="0" w:evenVBand="0" w:oddHBand="1" w:evenHBand="0" w:firstRowFirstColumn="0" w:firstRowLastColumn="0" w:lastRowFirstColumn="0" w:lastRowLastColumn="0"/>
              <w:rPr>
                <w:b/>
              </w:rPr>
            </w:pPr>
            <w:r w:rsidRPr="001273C8">
              <w:rPr>
                <w:b/>
              </w:rPr>
              <w:t xml:space="preserve">Option </w:t>
            </w:r>
            <w:r>
              <w:rPr>
                <w:b/>
              </w:rPr>
              <w:t>2</w:t>
            </w:r>
          </w:p>
          <w:p w14:paraId="7BDF8137" w14:textId="77777777" w:rsidR="00C16CE9" w:rsidRPr="00D27D68" w:rsidRDefault="00606FB4" w:rsidP="00606FB4">
            <w:pPr>
              <w:cnfStyle w:val="000000100000" w:firstRow="0" w:lastRow="0" w:firstColumn="0" w:lastColumn="0" w:oddVBand="0" w:evenVBand="0" w:oddHBand="1" w:evenHBand="0" w:firstRowFirstColumn="0" w:firstRowLastColumn="0" w:lastRowFirstColumn="0" w:lastRowLastColumn="0"/>
            </w:pPr>
            <w:r w:rsidRPr="00C16CE9">
              <w:t>For obstacles within public spaces, the sub-options at option 1 above.</w:t>
            </w:r>
            <w:r w:rsidR="00C16CE9">
              <w:t xml:space="preserve"> </w:t>
            </w:r>
            <w:r w:rsidRPr="001273C8">
              <w:t xml:space="preserve">Luminance contrast testing of surfaces, objects and fixtures other than tactile ground surface indicators must be determined </w:t>
            </w:r>
            <w:r>
              <w:t>as per the relevant Australian Standard.</w:t>
            </w:r>
          </w:p>
        </w:tc>
      </w:tr>
    </w:tbl>
    <w:p w14:paraId="1D036876" w14:textId="77777777" w:rsidR="00606FB4" w:rsidRDefault="00606FB4" w:rsidP="00606FB4">
      <w:pPr>
        <w:pStyle w:val="Heading4"/>
      </w:pPr>
      <w:r>
        <w:lastRenderedPageBreak/>
        <w:t>Cost benefit analysis</w:t>
      </w:r>
    </w:p>
    <w:p w14:paraId="26CB38CE" w14:textId="5305518E" w:rsidR="00606FB4" w:rsidRPr="007D162C" w:rsidRDefault="00606FB4" w:rsidP="00C16CE9">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Quantitative</w:t>
      </w:r>
      <w:r w:rsidR="00BD5A88" w:rsidRPr="007D162C">
        <w:rPr>
          <w:rFonts w:asciiTheme="majorHAnsi" w:eastAsiaTheme="majorEastAsia" w:hAnsiTheme="majorHAnsi" w:cstheme="majorBidi"/>
          <w:color w:val="44546A" w:themeColor="text2"/>
          <w:kern w:val="0"/>
          <w:sz w:val="22"/>
          <w:szCs w:val="22"/>
          <w:lang w:val="en-AU"/>
        </w:rPr>
        <w:t xml:space="preserve"> and qualitative</w:t>
      </w:r>
      <w:r w:rsidRPr="007D162C">
        <w:rPr>
          <w:rFonts w:asciiTheme="majorHAnsi" w:eastAsiaTheme="majorEastAsia" w:hAnsiTheme="majorHAnsi" w:cstheme="majorBidi"/>
          <w:color w:val="44546A" w:themeColor="text2"/>
          <w:kern w:val="0"/>
          <w:sz w:val="22"/>
          <w:szCs w:val="22"/>
          <w:lang w:val="en-AU"/>
        </w:rPr>
        <w:t xml:space="preserve"> assessment </w:t>
      </w:r>
    </w:p>
    <w:p w14:paraId="278F3152" w14:textId="77777777" w:rsidR="00BD5A88" w:rsidRPr="007D162C" w:rsidRDefault="00606FB4" w:rsidP="00606FB4">
      <w:r w:rsidRPr="007D162C">
        <w:t>This assessment included a high-level summary of the definitional reform and potential impacts for poles, objects and luminance contrast.</w:t>
      </w:r>
    </w:p>
    <w:p w14:paraId="6DA401FD" w14:textId="77777777" w:rsidR="004B2D4C" w:rsidRPr="007D162C" w:rsidRDefault="08D050C4" w:rsidP="004B2D4C">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5D4F0AAE" w14:textId="0DECD303" w:rsidR="00606FB4" w:rsidRPr="007D162C" w:rsidRDefault="08D050C4" w:rsidP="00606FB4">
      <w:r w:rsidRPr="007D162C">
        <w:t xml:space="preserve">There are identified non-monetised benefits for people with disability associated with definitional reforms. These qualitative benefits improve outcomes for people with disability and are important for decision-makers to consider, in addition to the monetised costs and benefits. </w:t>
      </w:r>
    </w:p>
    <w:p w14:paraId="3C5998DE" w14:textId="77777777" w:rsidR="00606FB4" w:rsidRPr="007D162C" w:rsidRDefault="00606FB4" w:rsidP="00606FB4">
      <w:pPr>
        <w:pStyle w:val="Heading4"/>
        <w:tabs>
          <w:tab w:val="left" w:pos="284"/>
        </w:tabs>
      </w:pPr>
      <w:r w:rsidRPr="007D162C">
        <w:t xml:space="preserve">Analysis of submissions </w:t>
      </w:r>
    </w:p>
    <w:p w14:paraId="544A4674" w14:textId="77777777" w:rsidR="00606FB4" w:rsidRPr="007D162C" w:rsidRDefault="00606FB4" w:rsidP="00606FB4">
      <w:pPr>
        <w:pStyle w:val="Heading5"/>
      </w:pPr>
      <w:r w:rsidRPr="007D162C">
        <w:t>Status quo</w:t>
      </w:r>
    </w:p>
    <w:p w14:paraId="407DA6C2" w14:textId="7B282C26" w:rsidR="00606FB4" w:rsidRPr="007D162C" w:rsidRDefault="00606FB4" w:rsidP="00606FB4">
      <w:r w:rsidRPr="007D162C">
        <w:t>People with vision or cognitive impairments rely on luminance contrast to identify objects and navigate around them. Without consistent application and measurement of luminance contrast requirements, people with vision or cognitive impairments may inadvertently walk into or strike an object that abuts an access path, i</w:t>
      </w:r>
      <w:r w:rsidR="00D55090">
        <w:t>f</w:t>
      </w:r>
      <w:r w:rsidRPr="007D162C">
        <w:t xml:space="preserve"> unseen or unperceived.</w:t>
      </w:r>
    </w:p>
    <w:p w14:paraId="2F73396B" w14:textId="77777777" w:rsidR="00606FB4" w:rsidRPr="007D162C" w:rsidRDefault="00606FB4" w:rsidP="00606FB4">
      <w:r w:rsidRPr="007D162C">
        <w:t>The status quo would ensure that the Transport Standards do not define requirements for luminance contrast tests for poles and objects adjacent to paths resulting in the suboptimal provision of luminance contrasting strips under the existing regulations.</w:t>
      </w:r>
    </w:p>
    <w:p w14:paraId="726E88A6" w14:textId="77777777" w:rsidR="00606FB4" w:rsidRPr="007D162C" w:rsidRDefault="00606FB4" w:rsidP="00606FB4">
      <w:r w:rsidRPr="007D162C">
        <w:t xml:space="preserve">There were no submissions in support of the status quo. </w:t>
      </w:r>
    </w:p>
    <w:p w14:paraId="157D2CC9" w14:textId="0B91FCE1" w:rsidR="00606FB4" w:rsidRPr="007D162C" w:rsidRDefault="00606FB4" w:rsidP="00606FB4">
      <w:r w:rsidRPr="007D162C">
        <w:t>This option is unlikely to involve new costs to operators and providers and would not introduce additional regulatory burdens or associated administrative costs. However, people with vision or cognitive impairments may continue to inadvertently walk into or strike an object that abuts an access path, i</w:t>
      </w:r>
      <w:r w:rsidR="00D55090">
        <w:t>f</w:t>
      </w:r>
      <w:r w:rsidRPr="007D162C">
        <w:t xml:space="preserve"> unseen or unperceived.</w:t>
      </w:r>
    </w:p>
    <w:p w14:paraId="7E2BE4D2" w14:textId="77777777" w:rsidR="00606FB4" w:rsidRPr="007D162C" w:rsidRDefault="00606FB4" w:rsidP="00606FB4">
      <w:pPr>
        <w:pStyle w:val="Heading5"/>
      </w:pPr>
      <w:r w:rsidRPr="007D162C">
        <w:t>Non-regulatory</w:t>
      </w:r>
    </w:p>
    <w:p w14:paraId="2765B502" w14:textId="31BB7F4E" w:rsidR="00606FB4" w:rsidRPr="007D162C" w:rsidRDefault="08D050C4" w:rsidP="00606FB4">
      <w:r w:rsidRPr="007D162C">
        <w:t xml:space="preserve">Guidance would provide transport owners and operators with best practice information on how and when to implement and measure luminance contrast requirements. To the extent that guidance is utilised by transport owners and operators, passengers with vision or cognitive impairments would have enhanced safety while travelling or wayfinding. The likelihood of inadvertently striking an unseen or unperceived object will be diminished. </w:t>
      </w:r>
      <w:r w:rsidR="00606FB4" w:rsidRPr="007D162C">
        <w:t>Transport owners and providers will have a rigorous and more achievable methodology for ensuring objects abutting access paths' meet the luminance contrast requirements with their backgrounds.</w:t>
      </w:r>
    </w:p>
    <w:p w14:paraId="70CA9136" w14:textId="49669816" w:rsidR="00606FB4" w:rsidRPr="007D162C" w:rsidRDefault="00606FB4" w:rsidP="00606FB4">
      <w:r w:rsidRPr="007D162C">
        <w:t>There were no submission supporting the non-regulatory option from disability stakeholders.</w:t>
      </w:r>
      <w:r w:rsidR="00D55090">
        <w:t xml:space="preserve"> </w:t>
      </w:r>
      <w:r w:rsidRPr="007D162C">
        <w:t xml:space="preserve">Government and industry submissions supporting the non-regulatory options cited the potential benefit of more innovative solutions and the flexibility of guidance for implementing luminance contrast across a range of transport infrastructure. </w:t>
      </w:r>
    </w:p>
    <w:p w14:paraId="2631B097" w14:textId="77777777" w:rsidR="00606FB4" w:rsidRPr="007D162C" w:rsidRDefault="00606FB4" w:rsidP="00606FB4">
      <w:r w:rsidRPr="007D162C">
        <w:t>Implementation costs will only be incurred, and benefits achieved to the level that operators and providers implement guidance. Operators and providers can manage the implementation (and related costs) to suit their operational requirements, including staging the implementation.</w:t>
      </w:r>
    </w:p>
    <w:p w14:paraId="5B5060F4" w14:textId="22F749BF" w:rsidR="00606FB4" w:rsidRPr="007D162C" w:rsidRDefault="08D050C4" w:rsidP="00606FB4">
      <w:r w:rsidRPr="007D162C">
        <w:t>The non-regulatory approach would help to address the lack of harmonisation between the disability standards sitting under th</w:t>
      </w:r>
      <w:r w:rsidR="00C827CA">
        <w:t>e DDA</w:t>
      </w:r>
      <w:r w:rsidRPr="007D162C">
        <w:t>, which is an essential element of the Transport Standards modernisation reform process.</w:t>
      </w:r>
    </w:p>
    <w:p w14:paraId="35A45126" w14:textId="77777777" w:rsidR="00606FB4" w:rsidRPr="007D162C" w:rsidRDefault="00606FB4" w:rsidP="00606FB4">
      <w:r w:rsidRPr="007D162C">
        <w:t>Costs were not estimated as this reform was a definitional change, with no material cost implications.</w:t>
      </w:r>
    </w:p>
    <w:p w14:paraId="7BC9F6D8" w14:textId="77777777" w:rsidR="00606FB4" w:rsidRPr="007D162C" w:rsidRDefault="00606FB4" w:rsidP="00606FB4">
      <w:pPr>
        <w:pStyle w:val="Heading5"/>
      </w:pPr>
      <w:r w:rsidRPr="007D162C">
        <w:lastRenderedPageBreak/>
        <w:t>Regulatory</w:t>
      </w:r>
    </w:p>
    <w:p w14:paraId="0E0FA6B8" w14:textId="77777777" w:rsidR="00606FB4" w:rsidRPr="007D162C" w:rsidRDefault="00606FB4" w:rsidP="00606FB4">
      <w:r w:rsidRPr="007D162C">
        <w:t xml:space="preserve">The regulatory option would provide enhanced safety for people with vision or cognitive impairments while travelling or wayfinding. The likelihood of inadvertently striking an unseen or unperceived object will be diminished. </w:t>
      </w:r>
    </w:p>
    <w:p w14:paraId="683D39B2" w14:textId="20A570F7" w:rsidR="00606FB4" w:rsidRPr="007D162C" w:rsidRDefault="00606FB4" w:rsidP="00606FB4">
      <w:r w:rsidRPr="007D162C">
        <w:t>Transport owners and providers will have a rigorous and more achievable methodology for ensuring objects abutting access paths' meet the luminance contrast requirements with their backgrounds.</w:t>
      </w:r>
      <w:r w:rsidR="00D55090">
        <w:t xml:space="preserve"> </w:t>
      </w:r>
      <w:r w:rsidRPr="007D162C">
        <w:t>However, operators and providers may face higher costs in adopting the new requirements if they have not already implemented appropriate luminance contrast requirements and measured their effectiveness.</w:t>
      </w:r>
    </w:p>
    <w:p w14:paraId="0FDB5355" w14:textId="56314DF9" w:rsidR="00606FB4" w:rsidRPr="007D162C" w:rsidRDefault="00606FB4" w:rsidP="00606FB4">
      <w:r w:rsidRPr="007D162C">
        <w:t>The regulatory options would ensure the greater alignment amongst disability standards, specifically the Premises Standards, which has requirements for measuring and implementing luminance contrast. The inconsistency of the requirements for people with disability moving from conveyances and public transport infrastructure into premises compounds the safety and accessibility issue for people with disability.</w:t>
      </w:r>
    </w:p>
    <w:p w14:paraId="099B0B65" w14:textId="4051605C" w:rsidR="00606FB4" w:rsidRPr="007D162C" w:rsidRDefault="00606FB4" w:rsidP="00606FB4">
      <w:r w:rsidRPr="007D162C">
        <w:t>The regulatory option received the most submission across all stakeholder groups.</w:t>
      </w:r>
      <w:r w:rsidR="00D55090">
        <w:t xml:space="preserve"> </w:t>
      </w:r>
      <w:r w:rsidR="08D050C4" w:rsidRPr="007D162C">
        <w:t xml:space="preserve">All disability stakeholders’ submissions supported the regulatory option. Disability stakeholder argued that the provision of consistent luminance colour contrast requirements and measurements would result in improved navigation by people living with vision and/or cognitively impairments. </w:t>
      </w:r>
    </w:p>
    <w:p w14:paraId="1C10CDAD" w14:textId="74167F60" w:rsidR="00606FB4" w:rsidRPr="007D162C" w:rsidRDefault="08D050C4" w:rsidP="00606FB4">
      <w:r w:rsidRPr="007D162C">
        <w:t>Government and industry stakeholders recognised the benefits of regulation for people with disability and they welcomed the clarity that regulation would provide for implementing and testing luminance contrast requirements. Another point raised in some of these submissions was the benefit of aligning luminance contrast requirements with building premises.</w:t>
      </w:r>
    </w:p>
    <w:p w14:paraId="4BAF313A" w14:textId="1C6C3A45" w:rsidR="00606FB4" w:rsidRPr="007D162C" w:rsidRDefault="00606FB4" w:rsidP="00606FB4">
      <w:r w:rsidRPr="007D162C">
        <w:t xml:space="preserve">Most of the submissions from the government, industry, and some disability stakeholders, supported option 1 and sub-option 1. Sub-option 1 was the application of the luminance contrast requirements to access paths only. Broader application (option 2) was desirable but considered too complex to implement and public spaces were often outside of transport owners and provider jurisdiction. Stakeholders </w:t>
      </w:r>
      <w:r w:rsidR="007B3370">
        <w:t>advised</w:t>
      </w:r>
      <w:r w:rsidRPr="007D162C">
        <w:t xml:space="preserve"> sub-option 1 was sufficiently prescriptive, but also allowed for flexible implementation, where necessary.</w:t>
      </w:r>
    </w:p>
    <w:p w14:paraId="1B004D92" w14:textId="77777777" w:rsidR="00606FB4" w:rsidRPr="007D162C" w:rsidRDefault="08D050C4" w:rsidP="00606FB4">
      <w:r w:rsidRPr="007D162C">
        <w:t>Some individuals living with disability and disability advocates supported option 2, which had a broader scope (into public spaces) and higher luminance contrast rates. The main reason for supporting this option was to maximise the benefits for people living with disability compared with the status quo. Several of these submissions noted the potential complexity of implementing the requirements in public space.</w:t>
      </w:r>
    </w:p>
    <w:p w14:paraId="75ACA929" w14:textId="77777777" w:rsidR="00606FB4" w:rsidRPr="007D162C" w:rsidRDefault="00606FB4" w:rsidP="00606FB4">
      <w:r w:rsidRPr="007D162C">
        <w:t>Costs were not estimated as this reform was a definitional change, with no material cost implications.</w:t>
      </w:r>
    </w:p>
    <w:p w14:paraId="7BE282E7" w14:textId="77777777" w:rsidR="00606FB4" w:rsidRPr="007D162C" w:rsidRDefault="00606FB4" w:rsidP="00606FB4">
      <w:pPr>
        <w:pStyle w:val="Heading4"/>
      </w:pPr>
      <w:r w:rsidRPr="007D162C">
        <w:t>Preferred option</w:t>
      </w:r>
    </w:p>
    <w:p w14:paraId="3BC4BF3F" w14:textId="77777777" w:rsidR="00606FB4" w:rsidRPr="007D162C" w:rsidRDefault="00606FB4" w:rsidP="00606FB4">
      <w:r w:rsidRPr="007D162C">
        <w:t xml:space="preserve">Informed by the outcomes of the consultation, impacts, cost and outcomes analysis above, the preferred option is </w:t>
      </w:r>
      <w:r w:rsidRPr="007D162C">
        <w:rPr>
          <w:b/>
          <w:bCs/>
        </w:rPr>
        <w:t>regulatory option 1, sub-option 1</w:t>
      </w:r>
      <w:r w:rsidRPr="007D162C">
        <w:t>.</w:t>
      </w:r>
    </w:p>
    <w:p w14:paraId="05E999F3" w14:textId="10321060" w:rsidR="00606FB4" w:rsidRPr="007D162C" w:rsidRDefault="00606FB4" w:rsidP="00606FB4">
      <w:r w:rsidRPr="007D162C">
        <w:t xml:space="preserve">Most government and industry stakeholders supported the preferred regulatory option </w:t>
      </w:r>
      <w:r w:rsidR="007B3370">
        <w:t>and sub-option</w:t>
      </w:r>
      <w:r w:rsidRPr="007D162C">
        <w:t xml:space="preserve"> to improve outcomes for people with vision and cognitive impairments and to ensure consistency and clarity in meeting the objectives of the Transport Standards and ensure greater alignment with other disability standards. </w:t>
      </w:r>
    </w:p>
    <w:p w14:paraId="6DC3AC62" w14:textId="3BEEB46F" w:rsidR="00606FB4" w:rsidRPr="007D162C" w:rsidRDefault="00606FB4" w:rsidP="00606FB4">
      <w:r w:rsidRPr="007D162C">
        <w:t xml:space="preserve">While some disability stakeholders did support regulatory option 2, submissions </w:t>
      </w:r>
      <w:r w:rsidR="007B3370">
        <w:t xml:space="preserve">demonstrated </w:t>
      </w:r>
      <w:r w:rsidRPr="007D162C">
        <w:t xml:space="preserve">the complexity </w:t>
      </w:r>
      <w:r w:rsidR="0063133C">
        <w:t>of</w:t>
      </w:r>
      <w:r w:rsidRPr="007D162C">
        <w:t xml:space="preserve"> implement</w:t>
      </w:r>
      <w:r w:rsidR="0063133C">
        <w:t>ing</w:t>
      </w:r>
      <w:r w:rsidRPr="007D162C">
        <w:t xml:space="preserve"> luminance contrast requirements in public spaces more broadly, in part due to the scope of the Transport Standards. </w:t>
      </w:r>
    </w:p>
    <w:p w14:paraId="06B912C8" w14:textId="64E08BA3" w:rsidR="00606FB4" w:rsidRPr="007D162C" w:rsidRDefault="00606FB4" w:rsidP="00606FB4">
      <w:r w:rsidRPr="007D162C">
        <w:t xml:space="preserve">The definitional nature of the regulatory option and the aligning of requirements with existing practices in the </w:t>
      </w:r>
      <w:r w:rsidR="00C827CA">
        <w:t xml:space="preserve">NCC </w:t>
      </w:r>
      <w:r w:rsidRPr="007D162C">
        <w:t xml:space="preserve">and the Premises Standards meant that the costs for implementing the preferred options were negligible. </w:t>
      </w:r>
    </w:p>
    <w:p w14:paraId="05123AC8" w14:textId="1559CAB4" w:rsidR="00606FB4" w:rsidRPr="007D162C" w:rsidRDefault="00606FB4" w:rsidP="00606FB4">
      <w:r w:rsidRPr="007D162C">
        <w:t xml:space="preserve">The preferred option would address the navigation and safety issues associated with suboptimal implementation and measurement of luminance contrast solutions for people with vision and/or cognitive </w:t>
      </w:r>
      <w:r w:rsidRPr="007D162C">
        <w:lastRenderedPageBreak/>
        <w:t>impairment, and the preferred would be minor and clarifying for Transport owners and providers with little to no regulatory burden.</w:t>
      </w:r>
      <w:r w:rsidR="00660025" w:rsidRPr="007D162C">
        <w:t xml:space="preserve"> This is because the reform area would not introduce new requirements or require upgrades to existing compliant infrastructure. </w:t>
      </w:r>
    </w:p>
    <w:p w14:paraId="6401A49E" w14:textId="6C80AE43" w:rsidR="00660025" w:rsidRPr="007D162C" w:rsidRDefault="00606FB4" w:rsidP="00606FB4">
      <w:r w:rsidRPr="007D162C">
        <w:t xml:space="preserve">The preferred option will be implemented through amendments to the Transport Standards and Guidelines. </w:t>
      </w:r>
      <w:r w:rsidR="00660025" w:rsidRPr="007D162C">
        <w:t xml:space="preserve">Operators and providers will be required to meet the new Transport Standards </w:t>
      </w:r>
      <w:r w:rsidR="00924580" w:rsidRPr="007D162C">
        <w:t>prospectively</w:t>
      </w:r>
      <w:r w:rsidR="00660025" w:rsidRPr="007D162C">
        <w:t xml:space="preserve">. </w:t>
      </w:r>
      <w:r w:rsidR="006B3781" w:rsidRPr="007D162C">
        <w:t xml:space="preserve">Although the existing </w:t>
      </w:r>
      <w:r w:rsidR="00541D2E" w:rsidRPr="007D162C">
        <w:t>requirements do not change, most government stakeholders suggested prospective implementation would be appropriate</w:t>
      </w:r>
      <w:r w:rsidR="00660025" w:rsidRPr="007D162C">
        <w:t xml:space="preserve"> because of</w:t>
      </w:r>
      <w:r w:rsidR="00541D2E" w:rsidRPr="007D162C">
        <w:t xml:space="preserve"> the existing complexity of accurately measuring and determining the </w:t>
      </w:r>
      <w:r w:rsidR="005924D7" w:rsidRPr="007D162C">
        <w:t xml:space="preserve">appropriate </w:t>
      </w:r>
      <w:r w:rsidR="00541D2E" w:rsidRPr="007D162C">
        <w:t xml:space="preserve">background to measure against. </w:t>
      </w:r>
    </w:p>
    <w:p w14:paraId="09C37E92" w14:textId="1E1D7881" w:rsidR="00660025" w:rsidRPr="007D162C" w:rsidRDefault="00660025" w:rsidP="00660025">
      <w:pPr>
        <w:sectPr w:rsidR="00660025" w:rsidRPr="007D162C" w:rsidSect="00606FB4">
          <w:pgSz w:w="11906" w:h="16838" w:code="9"/>
          <w:pgMar w:top="1021" w:right="1021" w:bottom="1021" w:left="1021" w:header="510" w:footer="567" w:gutter="0"/>
          <w:cols w:space="708"/>
          <w:docGrid w:linePitch="360"/>
        </w:sectPr>
      </w:pPr>
    </w:p>
    <w:p w14:paraId="0583CCCB" w14:textId="79257DF1" w:rsidR="00606FB4" w:rsidRPr="007D162C" w:rsidRDefault="00606FB4" w:rsidP="006B66D3">
      <w:pPr>
        <w:pStyle w:val="Heading2"/>
        <w:numPr>
          <w:ilvl w:val="0"/>
          <w:numId w:val="27"/>
        </w:numPr>
        <w:ind w:hanging="720"/>
      </w:pPr>
      <w:bookmarkStart w:id="500" w:name="_Toc127351787"/>
      <w:bookmarkStart w:id="501" w:name="_Toc140239745"/>
      <w:r w:rsidRPr="007D162C">
        <w:lastRenderedPageBreak/>
        <w:t>Lighting</w:t>
      </w:r>
      <w:bookmarkEnd w:id="500"/>
      <w:bookmarkEnd w:id="501"/>
    </w:p>
    <w:p w14:paraId="2C5446D6" w14:textId="77777777" w:rsidR="00606FB4" w:rsidRPr="007D162C" w:rsidRDefault="00606FB4" w:rsidP="00606FB4">
      <w:pPr>
        <w:pStyle w:val="Heading4"/>
        <w:tabs>
          <w:tab w:val="left" w:pos="284"/>
        </w:tabs>
      </w:pPr>
      <w:r w:rsidRPr="007D162C">
        <w:t>Issue</w:t>
      </w:r>
    </w:p>
    <w:p w14:paraId="382E5756" w14:textId="77777777" w:rsidR="00606FB4" w:rsidRPr="007D162C" w:rsidRDefault="00606FB4" w:rsidP="00606FB4">
      <w:pPr>
        <w:spacing w:before="240" w:after="240"/>
      </w:pPr>
      <w:r w:rsidRPr="007D162C">
        <w:t xml:space="preserve">The Transport Standards requirements for lighting do not provide adequate guidance for lighting designers to deliver appropriate lighting solutions for the diverse and nuanced needs of people with disability. </w:t>
      </w:r>
    </w:p>
    <w:p w14:paraId="64D93EAE" w14:textId="77777777" w:rsidR="00606FB4" w:rsidRPr="007D162C" w:rsidRDefault="00606FB4" w:rsidP="00606FB4">
      <w:pPr>
        <w:spacing w:before="240" w:after="240"/>
      </w:pPr>
      <w:r w:rsidRPr="007D162C">
        <w:t>Lighting is essential to support safe movement and the ability carry out tasks necessary for people with disability to use public transport. Lighting requirements must also reflect the unique safety, contextual and operational requirements of the public transport environments.</w:t>
      </w:r>
    </w:p>
    <w:p w14:paraId="7D467B24" w14:textId="496B2114" w:rsidR="00606FB4" w:rsidRPr="007D162C" w:rsidRDefault="00606FB4" w:rsidP="00606FB4">
      <w:pPr>
        <w:tabs>
          <w:tab w:val="left" w:pos="284"/>
        </w:tabs>
      </w:pPr>
      <w:r w:rsidRPr="007D162C">
        <w:t>The Transport Standards requirements ensure a light level (lux) is provided at various locations throughout public transport assets</w:t>
      </w:r>
      <w:r w:rsidR="0063133C">
        <w:t>,</w:t>
      </w:r>
      <w:r w:rsidRPr="007D162C">
        <w:t xml:space="preserve"> but these requirements are not fit for purpose in the public transport context for all people with disability.</w:t>
      </w:r>
    </w:p>
    <w:p w14:paraId="13EEFD6E" w14:textId="77777777" w:rsidR="00606FB4" w:rsidRPr="007D162C" w:rsidRDefault="00606FB4" w:rsidP="00606FB4">
      <w:r w:rsidRPr="007D162C">
        <w:t xml:space="preserve">Collective government action to ensure lighting requirements are accessible and achievable and address key stakeholder issues raised through the Transport Standards review process and promote consistency with the Premises Standards. </w:t>
      </w:r>
    </w:p>
    <w:p w14:paraId="527D276C" w14:textId="77777777" w:rsidR="00606FB4" w:rsidRPr="007D162C" w:rsidRDefault="00606FB4" w:rsidP="00606FB4">
      <w:pPr>
        <w:pStyle w:val="Heading4"/>
        <w:tabs>
          <w:tab w:val="left" w:pos="284"/>
        </w:tabs>
      </w:pPr>
      <w:r w:rsidRPr="007D162C">
        <w:t>Reform options</w:t>
      </w:r>
    </w:p>
    <w:p w14:paraId="265E387F" w14:textId="77777777" w:rsidR="00606FB4" w:rsidRPr="007D162C" w:rsidRDefault="00606FB4" w:rsidP="00606FB4">
      <w:pPr>
        <w:tabs>
          <w:tab w:val="left" w:pos="284"/>
        </w:tabs>
      </w:pPr>
      <w:r w:rsidRPr="007D162C">
        <w:t>Following is a summary of the proposed options for this reform. Full details of each reform option is provided at Appendix A.</w:t>
      </w:r>
    </w:p>
    <w:p w14:paraId="07AA26F3" w14:textId="2FCA2401" w:rsidR="00606FB4" w:rsidRPr="007D162C" w:rsidRDefault="00606FB4" w:rsidP="004A463A">
      <w:pPr>
        <w:pStyle w:val="Tablefigureheading"/>
      </w:pPr>
      <w:bookmarkStart w:id="502" w:name="_Toc122446423"/>
      <w:bookmarkStart w:id="503" w:name="_Toc139969261"/>
      <w:r w:rsidRPr="007D162C">
        <w:t xml:space="preserve">Table </w:t>
      </w:r>
      <w:fldSimple w:instr=" SEQ Table \* ARABIC ">
        <w:r w:rsidR="00DC26AC">
          <w:rPr>
            <w:noProof/>
          </w:rPr>
          <w:t>103</w:t>
        </w:r>
      </w:fldSimple>
      <w:r w:rsidRPr="007D162C">
        <w:t>: Reform options for lighting</w:t>
      </w:r>
      <w:bookmarkEnd w:id="502"/>
      <w:bookmarkEnd w:id="503"/>
    </w:p>
    <w:tbl>
      <w:tblPr>
        <w:tblStyle w:val="DefaultTable1"/>
        <w:tblW w:w="9072" w:type="dxa"/>
        <w:tblLook w:val="04A0" w:firstRow="1" w:lastRow="0" w:firstColumn="1" w:lastColumn="0" w:noHBand="0" w:noVBand="1"/>
        <w:tblCaption w:val="Reform options for lighting"/>
        <w:tblDescription w:val="This table provides a description of each of the options for this reform area. Status quo, non-regulatory and regulatory."/>
      </w:tblPr>
      <w:tblGrid>
        <w:gridCol w:w="2232"/>
        <w:gridCol w:w="6840"/>
      </w:tblGrid>
      <w:tr w:rsidR="00606FB4" w:rsidRPr="007D162C" w14:paraId="352219F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5A4DE58" w14:textId="77777777" w:rsidR="00606FB4" w:rsidRPr="007D162C" w:rsidRDefault="00606FB4" w:rsidP="00606FB4">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40F293EF" w14:textId="77777777" w:rsidR="00606FB4" w:rsidRPr="007D162C" w:rsidRDefault="00606FB4" w:rsidP="00606FB4">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606FB4" w:rsidRPr="007D162C" w14:paraId="103D827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4B8A12" w14:textId="77777777" w:rsidR="00606FB4" w:rsidRPr="007D162C" w:rsidRDefault="00606FB4" w:rsidP="00606FB4">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04FCD738"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to provide provision for lighting that do not provide adequate requirements for lighting designers to deliver appropriate lighting solutions. </w:t>
            </w:r>
          </w:p>
          <w:p w14:paraId="72D92A6D"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606FB4" w:rsidRPr="007D162C" w14:paraId="3087E49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2C22A28" w14:textId="77777777" w:rsidR="00606FB4" w:rsidRPr="007D162C" w:rsidRDefault="00606FB4"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0DD7F2BD" w14:textId="77777777" w:rsidR="00606FB4" w:rsidRPr="007D162C" w:rsidRDefault="00606FB4" w:rsidP="00606FB4">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07D162C">
              <w:rPr>
                <w:rFonts w:asciiTheme="minorHAnsi" w:eastAsiaTheme="minorEastAsia" w:hAnsiTheme="minorHAnsi" w:cstheme="minorBidi"/>
                <w:color w:val="auto"/>
                <w:lang w:val="en-US"/>
              </w:rPr>
              <w:t>Guidance would be updated to include advice on lighting design within public transport environments, including a set of transport-specific technical guidelines.</w:t>
            </w:r>
          </w:p>
        </w:tc>
      </w:tr>
      <w:tr w:rsidR="00606FB4" w:rsidRPr="007D162C" w14:paraId="39591AC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859944D" w14:textId="77777777" w:rsidR="00606FB4" w:rsidRPr="007D162C" w:rsidRDefault="00606FB4"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p w14:paraId="4F9B3C31" w14:textId="77777777" w:rsidR="00606FB4" w:rsidRPr="007D162C" w:rsidRDefault="00606FB4" w:rsidP="004A463A">
            <w:pPr>
              <w:pStyle w:val="Tabletext"/>
              <w:tabs>
                <w:tab w:val="left" w:pos="284"/>
              </w:tabs>
              <w:rPr>
                <w:rFonts w:asciiTheme="minorHAnsi" w:hAnsiTheme="minorHAnsi" w:cstheme="minorHAnsi"/>
              </w:rPr>
            </w:pPr>
          </w:p>
        </w:tc>
        <w:tc>
          <w:tcPr>
            <w:tcW w:w="6840" w:type="dxa"/>
          </w:tcPr>
          <w:p w14:paraId="11610510" w14:textId="77777777" w:rsidR="00606FB4" w:rsidRPr="007D162C" w:rsidRDefault="00606FB4" w:rsidP="006821D4">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ensure lighting requirements meet the unique safety, contextual and operational requirements of the public transport environments.</w:t>
            </w:r>
          </w:p>
          <w:p w14:paraId="520BE172"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There are 4 regulatory options that were consulted on.</w:t>
            </w:r>
          </w:p>
          <w:p w14:paraId="2CD4B9D1"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p w14:paraId="77E953E0"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4D43A71E"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would require that lighting associated with a public transport facility be provided to a level appropriate to the location and to enable safe completion of tasks.</w:t>
            </w:r>
          </w:p>
          <w:p w14:paraId="376F15B9"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3BA11C4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would update Australian Standards requirements for elements specific to public transport environments.</w:t>
            </w:r>
          </w:p>
          <w:p w14:paraId="2EC74B07"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3</w:t>
            </w:r>
          </w:p>
          <w:p w14:paraId="2E9626F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This option would update Australian Standards requirements for elements specific to public transport environments and include prescriptive requirements, specific to colour temperature.</w:t>
            </w:r>
          </w:p>
          <w:p w14:paraId="51614F8F"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b/>
              </w:rPr>
            </w:pPr>
            <w:r w:rsidRPr="007D162C">
              <w:rPr>
                <w:b/>
              </w:rPr>
              <w:t>Option 4</w:t>
            </w:r>
          </w:p>
          <w:p w14:paraId="1D35F087"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This option includes prescriptive lighting design requirements for elements within public transport environments.</w:t>
            </w:r>
          </w:p>
        </w:tc>
      </w:tr>
    </w:tbl>
    <w:p w14:paraId="2A64EC75" w14:textId="77777777" w:rsidR="006821D4" w:rsidRPr="007D162C" w:rsidRDefault="006821D4" w:rsidP="006821D4"/>
    <w:p w14:paraId="7CD005C3" w14:textId="77777777" w:rsidR="00606FB4" w:rsidRPr="007D162C" w:rsidRDefault="00606FB4" w:rsidP="00606FB4">
      <w:pPr>
        <w:pStyle w:val="Heading4"/>
      </w:pPr>
      <w:r w:rsidRPr="007D162C">
        <w:t>Cost benefit analysis</w:t>
      </w:r>
    </w:p>
    <w:p w14:paraId="537A120F" w14:textId="77777777" w:rsidR="00606FB4" w:rsidRPr="007D162C" w:rsidRDefault="00606FB4" w:rsidP="006821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D13ABFC" w14:textId="77777777" w:rsidR="00606FB4" w:rsidRPr="007D162C" w:rsidRDefault="00606FB4" w:rsidP="00606FB4">
      <w:r w:rsidRPr="007D162C">
        <w:t xml:space="preserve">The following categories of quantitative costs and benefits were identified in the CBA as pertaining to the reform options. </w:t>
      </w:r>
    </w:p>
    <w:p w14:paraId="46B9908E" w14:textId="18677113" w:rsidR="00606FB4" w:rsidRPr="007D162C" w:rsidRDefault="00606FB4" w:rsidP="009B6BDD">
      <w:pPr>
        <w:pStyle w:val="Tablefigureheading"/>
      </w:pPr>
      <w:bookmarkStart w:id="504" w:name="_Toc122446424"/>
      <w:bookmarkStart w:id="505" w:name="_Toc139969262"/>
      <w:r w:rsidRPr="007D162C">
        <w:t xml:space="preserve">Table </w:t>
      </w:r>
      <w:fldSimple w:instr=" SEQ Table \* ARABIC ">
        <w:r w:rsidR="00DC26AC">
          <w:rPr>
            <w:noProof/>
          </w:rPr>
          <w:t>104</w:t>
        </w:r>
      </w:fldSimple>
      <w:r w:rsidRPr="007D162C">
        <w:t>: Benefit-cost ratios for lighting</w:t>
      </w:r>
      <w:bookmarkEnd w:id="504"/>
      <w:bookmarkEnd w:id="505"/>
    </w:p>
    <w:tbl>
      <w:tblPr>
        <w:tblStyle w:val="DefaultTable1"/>
        <w:tblW w:w="9864" w:type="dxa"/>
        <w:tblLook w:val="04A0" w:firstRow="1" w:lastRow="0" w:firstColumn="1" w:lastColumn="0" w:noHBand="0" w:noVBand="1"/>
        <w:tblCaption w:val="Benefit-cost ratios for lighting"/>
        <w:tblDescription w:val="This table provides the monetised benefits and costs for each of the options for this reform area."/>
      </w:tblPr>
      <w:tblGrid>
        <w:gridCol w:w="2410"/>
        <w:gridCol w:w="1232"/>
        <w:gridCol w:w="1648"/>
        <w:gridCol w:w="1692"/>
        <w:gridCol w:w="1685"/>
        <w:gridCol w:w="1197"/>
      </w:tblGrid>
      <w:tr w:rsidR="00606FB4" w:rsidRPr="007D162C" w14:paraId="014F168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10" w:type="dxa"/>
          </w:tcPr>
          <w:p w14:paraId="57EB5F4B" w14:textId="77777777" w:rsidR="00606FB4" w:rsidRPr="007D162C" w:rsidRDefault="08D050C4" w:rsidP="00606FB4">
            <w:r w:rsidRPr="007D162C">
              <w:t>Reform Option</w:t>
            </w:r>
          </w:p>
        </w:tc>
        <w:tc>
          <w:tcPr>
            <w:tcW w:w="1232" w:type="dxa"/>
          </w:tcPr>
          <w:p w14:paraId="7BB39390"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648" w:type="dxa"/>
          </w:tcPr>
          <w:p w14:paraId="3330FAEB"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692" w:type="dxa"/>
          </w:tcPr>
          <w:p w14:paraId="7916C9BB"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685" w:type="dxa"/>
          </w:tcPr>
          <w:p w14:paraId="7A460C42"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197" w:type="dxa"/>
          </w:tcPr>
          <w:p w14:paraId="6C512D98"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BCR</w:t>
            </w:r>
          </w:p>
        </w:tc>
      </w:tr>
      <w:tr w:rsidR="00606FB4" w:rsidRPr="007D162C" w14:paraId="1F8F78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220320D" w14:textId="77777777" w:rsidR="00606FB4" w:rsidRPr="007D162C" w:rsidRDefault="00606FB4" w:rsidP="00606FB4">
            <w:r w:rsidRPr="007D162C">
              <w:t>Status Quo</w:t>
            </w:r>
          </w:p>
        </w:tc>
        <w:tc>
          <w:tcPr>
            <w:tcW w:w="1232" w:type="dxa"/>
          </w:tcPr>
          <w:p w14:paraId="382D03FA"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48" w:type="dxa"/>
          </w:tcPr>
          <w:p w14:paraId="31FE584D"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tcPr>
          <w:p w14:paraId="058E4A9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85" w:type="dxa"/>
          </w:tcPr>
          <w:p w14:paraId="3ECFE9FB"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197" w:type="dxa"/>
          </w:tcPr>
          <w:p w14:paraId="4950105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r>
      <w:tr w:rsidR="00606FB4" w:rsidRPr="007D162C" w14:paraId="408B6BBD"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5DFC74A4" w14:textId="77777777" w:rsidR="00606FB4" w:rsidRPr="007D162C" w:rsidRDefault="00606FB4" w:rsidP="00606FB4">
            <w:r w:rsidRPr="007D162C">
              <w:t xml:space="preserve">Non-regulatory </w:t>
            </w:r>
          </w:p>
        </w:tc>
        <w:tc>
          <w:tcPr>
            <w:tcW w:w="1232" w:type="dxa"/>
            <w:vAlign w:val="center"/>
          </w:tcPr>
          <w:p w14:paraId="39139816"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116.1</w:t>
            </w:r>
          </w:p>
        </w:tc>
        <w:tc>
          <w:tcPr>
            <w:tcW w:w="1648" w:type="dxa"/>
          </w:tcPr>
          <w:p w14:paraId="3FBE5C09"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04DD8929"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21.8</w:t>
            </w:r>
          </w:p>
        </w:tc>
        <w:tc>
          <w:tcPr>
            <w:tcW w:w="1685" w:type="dxa"/>
            <w:vAlign w:val="center"/>
          </w:tcPr>
          <w:p w14:paraId="41E38CBD"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21.8</w:t>
            </w:r>
            <w:r w:rsidR="009B6BDD" w:rsidRPr="007D162C">
              <w:rPr>
                <w:vertAlign w:val="superscript"/>
              </w:rPr>
              <w:t>i</w:t>
            </w:r>
          </w:p>
        </w:tc>
        <w:tc>
          <w:tcPr>
            <w:tcW w:w="1197" w:type="dxa"/>
            <w:vAlign w:val="center"/>
          </w:tcPr>
          <w:p w14:paraId="519AF3E5"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5.33</w:t>
            </w:r>
          </w:p>
        </w:tc>
      </w:tr>
      <w:tr w:rsidR="00606FB4" w:rsidRPr="007D162C" w14:paraId="586C428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FB0F971" w14:textId="77777777" w:rsidR="00606FB4" w:rsidRPr="007D162C" w:rsidRDefault="00606FB4" w:rsidP="00606FB4">
            <w:r w:rsidRPr="007D162C">
              <w:t>Regulatory option 1</w:t>
            </w:r>
          </w:p>
        </w:tc>
        <w:tc>
          <w:tcPr>
            <w:tcW w:w="1232" w:type="dxa"/>
            <w:vAlign w:val="center"/>
          </w:tcPr>
          <w:p w14:paraId="035E3E58"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77.8</w:t>
            </w:r>
          </w:p>
        </w:tc>
        <w:tc>
          <w:tcPr>
            <w:tcW w:w="1648" w:type="dxa"/>
          </w:tcPr>
          <w:p w14:paraId="518A64B9"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vAlign w:val="center"/>
          </w:tcPr>
          <w:p w14:paraId="4546F43C"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20.1</w:t>
            </w:r>
          </w:p>
        </w:tc>
        <w:tc>
          <w:tcPr>
            <w:tcW w:w="1685" w:type="dxa"/>
            <w:vAlign w:val="center"/>
          </w:tcPr>
          <w:p w14:paraId="4E14724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vertAlign w:val="superscript"/>
              </w:rPr>
            </w:pPr>
            <w:r w:rsidRPr="007D162C">
              <w:t>20.1</w:t>
            </w:r>
            <w:r w:rsidR="009B6BDD" w:rsidRPr="007D162C">
              <w:rPr>
                <w:vertAlign w:val="superscript"/>
              </w:rPr>
              <w:t>i</w:t>
            </w:r>
          </w:p>
        </w:tc>
        <w:tc>
          <w:tcPr>
            <w:tcW w:w="1197" w:type="dxa"/>
            <w:vAlign w:val="center"/>
          </w:tcPr>
          <w:p w14:paraId="01709E0E"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3.87</w:t>
            </w:r>
          </w:p>
        </w:tc>
      </w:tr>
      <w:tr w:rsidR="00606FB4" w:rsidRPr="007D162C" w14:paraId="162C40EF"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4C40D470" w14:textId="77777777" w:rsidR="00606FB4" w:rsidRPr="007D162C" w:rsidRDefault="00606FB4" w:rsidP="00606FB4">
            <w:r w:rsidRPr="007D162C">
              <w:t>Regulatory option 2</w:t>
            </w:r>
          </w:p>
        </w:tc>
        <w:tc>
          <w:tcPr>
            <w:tcW w:w="1232" w:type="dxa"/>
            <w:vAlign w:val="center"/>
          </w:tcPr>
          <w:p w14:paraId="6E22B61C"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155.5</w:t>
            </w:r>
          </w:p>
        </w:tc>
        <w:tc>
          <w:tcPr>
            <w:tcW w:w="1648" w:type="dxa"/>
          </w:tcPr>
          <w:p w14:paraId="44B13FD1"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5EEA0147"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29.0</w:t>
            </w:r>
          </w:p>
        </w:tc>
        <w:tc>
          <w:tcPr>
            <w:tcW w:w="1685" w:type="dxa"/>
            <w:vAlign w:val="center"/>
          </w:tcPr>
          <w:p w14:paraId="523FDE2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29.0</w:t>
            </w:r>
            <w:r w:rsidR="009B6BDD" w:rsidRPr="007D162C">
              <w:rPr>
                <w:vertAlign w:val="superscript"/>
              </w:rPr>
              <w:t>i</w:t>
            </w:r>
          </w:p>
        </w:tc>
        <w:tc>
          <w:tcPr>
            <w:tcW w:w="1197" w:type="dxa"/>
            <w:vAlign w:val="center"/>
          </w:tcPr>
          <w:p w14:paraId="773A6471"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5.36</w:t>
            </w:r>
          </w:p>
        </w:tc>
      </w:tr>
      <w:tr w:rsidR="00606FB4" w:rsidRPr="007D162C" w14:paraId="46ECD01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AC3CA4B" w14:textId="77777777" w:rsidR="00606FB4" w:rsidRPr="007D162C" w:rsidRDefault="00606FB4" w:rsidP="00606FB4">
            <w:r w:rsidRPr="007D162C">
              <w:t>Regulatory option 3</w:t>
            </w:r>
          </w:p>
        </w:tc>
        <w:tc>
          <w:tcPr>
            <w:tcW w:w="1232" w:type="dxa"/>
            <w:vAlign w:val="center"/>
          </w:tcPr>
          <w:p w14:paraId="0434854D"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233.3</w:t>
            </w:r>
          </w:p>
        </w:tc>
        <w:tc>
          <w:tcPr>
            <w:tcW w:w="1648" w:type="dxa"/>
          </w:tcPr>
          <w:p w14:paraId="6DEA9D95" w14:textId="77777777" w:rsidR="00606FB4" w:rsidRPr="007D162C" w:rsidRDefault="08D050C4" w:rsidP="00606FB4">
            <w:pPr>
              <w:cnfStyle w:val="000000100000" w:firstRow="0" w:lastRow="0" w:firstColumn="0" w:lastColumn="0" w:oddVBand="0" w:evenVBand="0" w:oddHBand="1" w:evenHBand="0" w:firstRowFirstColumn="0" w:firstRowLastColumn="0" w:lastRowFirstColumn="0" w:lastRowLastColumn="0"/>
            </w:pPr>
            <w:r w:rsidRPr="007D162C">
              <w:t>-</w:t>
            </w:r>
          </w:p>
        </w:tc>
        <w:tc>
          <w:tcPr>
            <w:tcW w:w="1692" w:type="dxa"/>
            <w:vAlign w:val="center"/>
          </w:tcPr>
          <w:p w14:paraId="5CAC4953"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35.7</w:t>
            </w:r>
          </w:p>
        </w:tc>
        <w:tc>
          <w:tcPr>
            <w:tcW w:w="1685" w:type="dxa"/>
            <w:vAlign w:val="center"/>
          </w:tcPr>
          <w:p w14:paraId="5885DA14"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rPr>
                <w:vertAlign w:val="superscript"/>
              </w:rPr>
            </w:pPr>
            <w:r w:rsidRPr="007D162C">
              <w:t>35.7</w:t>
            </w:r>
            <w:r w:rsidR="009B6BDD" w:rsidRPr="007D162C">
              <w:rPr>
                <w:vertAlign w:val="superscript"/>
              </w:rPr>
              <w:t>i</w:t>
            </w:r>
          </w:p>
        </w:tc>
        <w:tc>
          <w:tcPr>
            <w:tcW w:w="1197" w:type="dxa"/>
            <w:vAlign w:val="center"/>
          </w:tcPr>
          <w:p w14:paraId="220C24CF"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6.53</w:t>
            </w:r>
          </w:p>
        </w:tc>
      </w:tr>
      <w:tr w:rsidR="00606FB4" w:rsidRPr="007D162C" w14:paraId="46D76D23" w14:textId="77777777" w:rsidTr="08D050C4">
        <w:tc>
          <w:tcPr>
            <w:cnfStyle w:val="001000000000" w:firstRow="0" w:lastRow="0" w:firstColumn="1" w:lastColumn="0" w:oddVBand="0" w:evenVBand="0" w:oddHBand="0" w:evenHBand="0" w:firstRowFirstColumn="0" w:firstRowLastColumn="0" w:lastRowFirstColumn="0" w:lastRowLastColumn="0"/>
            <w:tcW w:w="2410" w:type="dxa"/>
          </w:tcPr>
          <w:p w14:paraId="05F91493" w14:textId="77777777" w:rsidR="00606FB4" w:rsidRPr="007D162C" w:rsidRDefault="00606FB4" w:rsidP="00606FB4">
            <w:r w:rsidRPr="007D162C">
              <w:t>Regulatory option 4</w:t>
            </w:r>
          </w:p>
        </w:tc>
        <w:tc>
          <w:tcPr>
            <w:tcW w:w="1232" w:type="dxa"/>
            <w:vAlign w:val="center"/>
          </w:tcPr>
          <w:p w14:paraId="3F9700AD"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311.0</w:t>
            </w:r>
          </w:p>
        </w:tc>
        <w:tc>
          <w:tcPr>
            <w:tcW w:w="1648" w:type="dxa"/>
          </w:tcPr>
          <w:p w14:paraId="1F01CC4F" w14:textId="77777777" w:rsidR="00606FB4" w:rsidRPr="007D162C" w:rsidRDefault="08D050C4" w:rsidP="00606FB4">
            <w:pPr>
              <w:cnfStyle w:val="000000000000" w:firstRow="0" w:lastRow="0" w:firstColumn="0" w:lastColumn="0" w:oddVBand="0" w:evenVBand="0" w:oddHBand="0" w:evenHBand="0" w:firstRowFirstColumn="0" w:firstRowLastColumn="0" w:lastRowFirstColumn="0" w:lastRowLastColumn="0"/>
            </w:pPr>
            <w:r w:rsidRPr="007D162C">
              <w:t>-</w:t>
            </w:r>
          </w:p>
        </w:tc>
        <w:tc>
          <w:tcPr>
            <w:tcW w:w="1692" w:type="dxa"/>
            <w:vAlign w:val="center"/>
          </w:tcPr>
          <w:p w14:paraId="2307B5E9"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46.3</w:t>
            </w:r>
          </w:p>
        </w:tc>
        <w:tc>
          <w:tcPr>
            <w:tcW w:w="1685" w:type="dxa"/>
            <w:vAlign w:val="center"/>
          </w:tcPr>
          <w:p w14:paraId="79DA82DC"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rPr>
                <w:vertAlign w:val="superscript"/>
              </w:rPr>
            </w:pPr>
            <w:r w:rsidRPr="007D162C">
              <w:t>46.3</w:t>
            </w:r>
            <w:r w:rsidR="009B6BDD" w:rsidRPr="007D162C">
              <w:rPr>
                <w:vertAlign w:val="superscript"/>
              </w:rPr>
              <w:t>i</w:t>
            </w:r>
          </w:p>
        </w:tc>
        <w:tc>
          <w:tcPr>
            <w:tcW w:w="1197" w:type="dxa"/>
            <w:vAlign w:val="center"/>
          </w:tcPr>
          <w:p w14:paraId="4EDB1C3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6.72</w:t>
            </w:r>
          </w:p>
        </w:tc>
      </w:tr>
    </w:tbl>
    <w:p w14:paraId="51829FCC" w14:textId="77777777" w:rsidR="00606FB4" w:rsidRPr="007D162C" w:rsidRDefault="00606FB4" w:rsidP="00606FB4">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1B3924E9" w14:textId="77777777" w:rsidR="00606FB4"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7A49C347" w14:textId="77777777" w:rsidR="009B6BDD" w:rsidRPr="007D162C" w:rsidRDefault="009B6BDD" w:rsidP="009B6BDD"/>
    <w:p w14:paraId="7AD56351" w14:textId="77777777" w:rsidR="00606FB4" w:rsidRPr="007D162C" w:rsidRDefault="00606FB4" w:rsidP="00606FB4">
      <w:pPr>
        <w:pStyle w:val="Heading6"/>
      </w:pPr>
      <w:r w:rsidRPr="007D162C">
        <w:t>Considerations to note in interpreting analysis</w:t>
      </w:r>
    </w:p>
    <w:p w14:paraId="67500340" w14:textId="77777777" w:rsidR="00606FB4" w:rsidRPr="007D162C" w:rsidRDefault="00606FB4" w:rsidP="006821D4">
      <w:pPr>
        <w:pStyle w:val="Heading7"/>
      </w:pPr>
      <w:r w:rsidRPr="007D162C">
        <w:t>Limitations</w:t>
      </w:r>
    </w:p>
    <w:p w14:paraId="03998C97" w14:textId="77777777" w:rsidR="006821D4" w:rsidRPr="007D162C" w:rsidRDefault="00606FB4" w:rsidP="006821D4">
      <w:pPr>
        <w:pStyle w:val="Heading8"/>
      </w:pPr>
      <w:r w:rsidRPr="007D162C">
        <w:t>Non-regulatory option</w:t>
      </w:r>
    </w:p>
    <w:p w14:paraId="41379FC9" w14:textId="69BE9317" w:rsidR="00C827CA" w:rsidRPr="00C827CA" w:rsidRDefault="00606FB4" w:rsidP="00C827CA">
      <w:pPr>
        <w:pStyle w:val="Normaldisclaimerpage"/>
      </w:pPr>
      <w:r w:rsidRPr="007D162C">
        <w:t>The costs and benefits associated with the non-regulatory reform are lower than its regulatory counterpart, regulatory option 2, reflecting an assumed lower rate of compliance with the reform.</w:t>
      </w:r>
    </w:p>
    <w:p w14:paraId="5F56A837" w14:textId="71E811F1" w:rsidR="009B6BDD" w:rsidRPr="007D162C" w:rsidRDefault="00606FB4" w:rsidP="00C827CA">
      <w:pPr>
        <w:pStyle w:val="Normaldisclaimerpage"/>
      </w:pPr>
      <w:r w:rsidRPr="007D162C">
        <w:t>An estimated rate of uptake of 75</w:t>
      </w:r>
      <w:r w:rsidR="00C827CA">
        <w:t xml:space="preserve"> per cent</w:t>
      </w:r>
      <w:r w:rsidRPr="007D162C">
        <w:t xml:space="preserve"> was applied to the non-regulatory option based on submissions indicating the existing requirements for lighting are not fit for purpose and operators and providers will adopt the guidance into their internal standards. This implies that the benefits and costs quantified for this non-regulatory reform may not reflect future take-up of the reform.</w:t>
      </w:r>
    </w:p>
    <w:p w14:paraId="1A80249E" w14:textId="77777777" w:rsidR="009B6BDD" w:rsidRPr="007D162C" w:rsidRDefault="009B6BDD" w:rsidP="009B6BDD">
      <w:pPr>
        <w:spacing w:after="0"/>
      </w:pPr>
    </w:p>
    <w:p w14:paraId="410984AF" w14:textId="77777777" w:rsidR="00606FB4" w:rsidRPr="007D162C" w:rsidRDefault="00606FB4" w:rsidP="006821D4">
      <w:pPr>
        <w:pStyle w:val="Heading8"/>
      </w:pPr>
      <w:r w:rsidRPr="007D162C">
        <w:t>Regulatory</w:t>
      </w:r>
    </w:p>
    <w:p w14:paraId="25340BC3" w14:textId="77777777" w:rsidR="00606FB4" w:rsidRPr="007D162C" w:rsidRDefault="00606FB4" w:rsidP="006821D4">
      <w:r w:rsidRPr="007D162C">
        <w:t xml:space="preserve">The benefits and costs of these reform options were estimated from limited responses to the survey and publicly available data that were proxied to estimate compliance a national level. This means the benefits and costs may not be reflective of the extent of compliance. </w:t>
      </w:r>
    </w:p>
    <w:p w14:paraId="58B3F7AD" w14:textId="77777777" w:rsidR="00606FB4" w:rsidRPr="007D162C" w:rsidRDefault="00606FB4" w:rsidP="006821D4">
      <w:r w:rsidRPr="007D162C">
        <w:t>Option 1 requires the lowest number of upgrades reflected in lower costs and benefits.</w:t>
      </w:r>
      <w:r w:rsidR="006821D4" w:rsidRPr="007D162C">
        <w:t xml:space="preserve"> </w:t>
      </w:r>
      <w:r w:rsidRPr="007D162C">
        <w:t>Option 2 requires a higher number of upgrades compared to option 1, which is reflected in higher costs and benefits.</w:t>
      </w:r>
      <w:r w:rsidR="006821D4" w:rsidRPr="007D162C">
        <w:t xml:space="preserve"> </w:t>
      </w:r>
      <w:r w:rsidRPr="007D162C">
        <w:t>Option 3 requires a higher number of upgrades compared to option 2, which results in higher costs and benefits.</w:t>
      </w:r>
      <w:r w:rsidR="006821D4" w:rsidRPr="007D162C">
        <w:t xml:space="preserve"> </w:t>
      </w:r>
      <w:r w:rsidRPr="007D162C">
        <w:t>Option 4 requires the highest number of upgrades, which is reflected in the highest costs and benefits of all options.</w:t>
      </w:r>
    </w:p>
    <w:p w14:paraId="0B319EC3" w14:textId="77777777" w:rsidR="00606FB4" w:rsidRPr="007D162C" w:rsidRDefault="00606FB4" w:rsidP="006821D4">
      <w:pPr>
        <w:pStyle w:val="Heading7"/>
      </w:pPr>
      <w:r w:rsidRPr="007D162C">
        <w:t>Interdependencies</w:t>
      </w:r>
    </w:p>
    <w:p w14:paraId="09A45C6F" w14:textId="77777777" w:rsidR="00606FB4" w:rsidRPr="007D162C" w:rsidRDefault="08D050C4" w:rsidP="006821D4">
      <w:r w:rsidRPr="007D162C">
        <w:t>The accessibility benefits of this reform will only be realised if there was equitable access across the whole public transport journey, with benefits reliant on implementation of other reforms such as print size and format, timely provision of information and location of signs.</w:t>
      </w:r>
    </w:p>
    <w:p w14:paraId="017ACDA5" w14:textId="77777777" w:rsidR="00606FB4" w:rsidRPr="007D162C" w:rsidRDefault="00606FB4" w:rsidP="006821D4">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5F2FD2B6" w14:textId="77777777" w:rsidR="00606FB4" w:rsidRPr="007D162C" w:rsidRDefault="00606FB4" w:rsidP="00606FB4">
      <w:r w:rsidRPr="007D162C">
        <w:t>The following categories of qualitative benefits were identified in the CBA as pertaining to the reform options.</w:t>
      </w:r>
    </w:p>
    <w:p w14:paraId="48B36A8E" w14:textId="0BFDC005" w:rsidR="00606FB4" w:rsidRPr="007D162C" w:rsidRDefault="00606FB4" w:rsidP="00B40978">
      <w:pPr>
        <w:pStyle w:val="Tablefigureheading"/>
      </w:pPr>
      <w:bookmarkStart w:id="506" w:name="_Toc122446425"/>
      <w:bookmarkStart w:id="507" w:name="_Toc139969263"/>
      <w:r w:rsidRPr="007D162C">
        <w:t xml:space="preserve">Table </w:t>
      </w:r>
      <w:fldSimple w:instr=" SEQ Table \* ARABIC ">
        <w:r w:rsidR="00DC26AC">
          <w:rPr>
            <w:noProof/>
          </w:rPr>
          <w:t>105</w:t>
        </w:r>
      </w:fldSimple>
      <w:r w:rsidRPr="007D162C">
        <w:rPr>
          <w:noProof/>
        </w:rPr>
        <w:t xml:space="preserve">: </w:t>
      </w:r>
      <w:r w:rsidRPr="007D162C">
        <w:t>Qualitative benefits for lighting</w:t>
      </w:r>
      <w:bookmarkEnd w:id="506"/>
      <w:bookmarkEnd w:id="507"/>
    </w:p>
    <w:tbl>
      <w:tblPr>
        <w:tblStyle w:val="DefaultTable1"/>
        <w:tblW w:w="9864" w:type="dxa"/>
        <w:tblLook w:val="04A0" w:firstRow="1" w:lastRow="0" w:firstColumn="1" w:lastColumn="0" w:noHBand="0" w:noVBand="1"/>
        <w:tblCaption w:val="Qualitative benefits for lighting"/>
      </w:tblPr>
      <w:tblGrid>
        <w:gridCol w:w="1213"/>
        <w:gridCol w:w="1343"/>
        <w:gridCol w:w="1626"/>
        <w:gridCol w:w="1300"/>
        <w:gridCol w:w="1278"/>
        <w:gridCol w:w="1641"/>
        <w:gridCol w:w="1463"/>
      </w:tblGrid>
      <w:tr w:rsidR="00606FB4" w:rsidRPr="007D162C" w14:paraId="28B9A73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60BB81B" w14:textId="77777777" w:rsidR="00606FB4" w:rsidRPr="007D162C" w:rsidRDefault="08D050C4" w:rsidP="00606FB4">
            <w:r w:rsidRPr="007D162C">
              <w:t>Reform Option</w:t>
            </w:r>
          </w:p>
        </w:tc>
        <w:tc>
          <w:tcPr>
            <w:tcW w:w="1343" w:type="dxa"/>
          </w:tcPr>
          <w:p w14:paraId="2AA2BA94"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FDC804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9320CB2"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01DC78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17C6F17"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4DBEB885" w14:textId="77777777" w:rsidR="00606FB4" w:rsidRPr="007D162C" w:rsidRDefault="08D050C4" w:rsidP="00606FB4">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606FB4" w:rsidRPr="007D162C" w14:paraId="6A54E1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550240B" w14:textId="77777777" w:rsidR="00606FB4" w:rsidRPr="007D162C" w:rsidRDefault="00606FB4" w:rsidP="00606FB4">
            <w:r w:rsidRPr="007D162C">
              <w:t>Status Quo</w:t>
            </w:r>
          </w:p>
        </w:tc>
        <w:tc>
          <w:tcPr>
            <w:tcW w:w="1343" w:type="dxa"/>
          </w:tcPr>
          <w:p w14:paraId="1E83B60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3DEA0F84"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57621BE9"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69D5952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41C70AE0"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0BF8FED5"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606FB4" w:rsidRPr="007D162C" w14:paraId="299C7F2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55B1D0D" w14:textId="77777777" w:rsidR="00606FB4" w:rsidRPr="007D162C" w:rsidRDefault="00606FB4" w:rsidP="00606FB4">
            <w:r w:rsidRPr="007D162C">
              <w:t xml:space="preserve">Non-regulatory </w:t>
            </w:r>
          </w:p>
        </w:tc>
        <w:tc>
          <w:tcPr>
            <w:tcW w:w="1343" w:type="dxa"/>
          </w:tcPr>
          <w:p w14:paraId="23764EB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0CB7B2C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E5166E2"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13E4E4F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F308AC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44802B4"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r w:rsidR="00606FB4" w:rsidRPr="007D162C" w14:paraId="5359DF8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3C67A6A" w14:textId="77777777" w:rsidR="00606FB4" w:rsidRPr="007D162C" w:rsidRDefault="00606FB4" w:rsidP="00606FB4">
            <w:r w:rsidRPr="007D162C">
              <w:t>Regulatory option 1</w:t>
            </w:r>
          </w:p>
        </w:tc>
        <w:tc>
          <w:tcPr>
            <w:tcW w:w="1343" w:type="dxa"/>
          </w:tcPr>
          <w:p w14:paraId="20533BC1"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34282FB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4BB0F5F"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1749501C"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292F62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0AFAD213"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r>
      <w:tr w:rsidR="00606FB4" w:rsidRPr="007D162C" w14:paraId="19F8F1C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9E0C922" w14:textId="77777777" w:rsidR="00606FB4" w:rsidRPr="007D162C" w:rsidRDefault="00606FB4" w:rsidP="00606FB4">
            <w:r w:rsidRPr="007D162C">
              <w:t>Regulatory option 2</w:t>
            </w:r>
          </w:p>
        </w:tc>
        <w:tc>
          <w:tcPr>
            <w:tcW w:w="1343" w:type="dxa"/>
          </w:tcPr>
          <w:p w14:paraId="7F90F2B1"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76BB6C3B"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0F33FE0F"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58A64B35"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EA00E3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D4E2547"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r w:rsidR="00606FB4" w:rsidRPr="007D162C" w14:paraId="28E77EB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604917" w14:textId="77777777" w:rsidR="00606FB4" w:rsidRPr="007D162C" w:rsidRDefault="00606FB4" w:rsidP="00606FB4">
            <w:r w:rsidRPr="007D162C">
              <w:t>Regulatory option 3</w:t>
            </w:r>
          </w:p>
        </w:tc>
        <w:tc>
          <w:tcPr>
            <w:tcW w:w="1343" w:type="dxa"/>
          </w:tcPr>
          <w:p w14:paraId="4EE0E37A"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24839D5B"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8388452" w14:textId="77777777" w:rsidR="00606FB4"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B393CF1"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DE3CCC2"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6732F4D5" w14:textId="77777777" w:rsidR="00606FB4" w:rsidRPr="007D162C" w:rsidRDefault="00606FB4" w:rsidP="00606FB4">
            <w:pPr>
              <w:cnfStyle w:val="000000100000" w:firstRow="0" w:lastRow="0" w:firstColumn="0" w:lastColumn="0" w:oddVBand="0" w:evenVBand="0" w:oddHBand="1" w:evenHBand="0" w:firstRowFirstColumn="0" w:firstRowLastColumn="0" w:lastRowFirstColumn="0" w:lastRowLastColumn="0"/>
            </w:pPr>
            <w:r w:rsidRPr="007D162C">
              <w:t>Yes</w:t>
            </w:r>
          </w:p>
        </w:tc>
      </w:tr>
      <w:tr w:rsidR="00606FB4" w:rsidRPr="007D162C" w14:paraId="1B91711A"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3F555E6" w14:textId="77777777" w:rsidR="00606FB4" w:rsidRPr="007D162C" w:rsidRDefault="00606FB4" w:rsidP="00606FB4">
            <w:r w:rsidRPr="007D162C">
              <w:t>Regulatory option 4</w:t>
            </w:r>
          </w:p>
        </w:tc>
        <w:tc>
          <w:tcPr>
            <w:tcW w:w="1343" w:type="dxa"/>
          </w:tcPr>
          <w:p w14:paraId="05ED3877"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626" w:type="dxa"/>
          </w:tcPr>
          <w:p w14:paraId="789BF3E2"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1E83052" w14:textId="77777777" w:rsidR="00606FB4"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278" w:type="dxa"/>
          </w:tcPr>
          <w:p w14:paraId="1392802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64AFAC8"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3583C7B6" w14:textId="77777777" w:rsidR="00606FB4" w:rsidRPr="007D162C" w:rsidRDefault="00606FB4" w:rsidP="00606FB4">
            <w:pPr>
              <w:cnfStyle w:val="000000000000" w:firstRow="0" w:lastRow="0" w:firstColumn="0" w:lastColumn="0" w:oddVBand="0" w:evenVBand="0" w:oddHBand="0" w:evenHBand="0" w:firstRowFirstColumn="0" w:firstRowLastColumn="0" w:lastRowFirstColumn="0" w:lastRowLastColumn="0"/>
            </w:pPr>
            <w:r w:rsidRPr="007D162C">
              <w:t>Yes</w:t>
            </w:r>
          </w:p>
        </w:tc>
      </w:tr>
    </w:tbl>
    <w:p w14:paraId="35ACC012" w14:textId="77777777" w:rsidR="009B6BDD" w:rsidRPr="007D162C" w:rsidRDefault="009B6BDD" w:rsidP="009B6BDD"/>
    <w:p w14:paraId="3F515346" w14:textId="77777777" w:rsidR="00606FB4" w:rsidRPr="007D162C" w:rsidRDefault="00606FB4" w:rsidP="00606FB4">
      <w:pPr>
        <w:pStyle w:val="Heading4"/>
        <w:tabs>
          <w:tab w:val="left" w:pos="284"/>
        </w:tabs>
      </w:pPr>
      <w:r w:rsidRPr="007D162C">
        <w:t>Analysis of submissions</w:t>
      </w:r>
    </w:p>
    <w:p w14:paraId="2DF46B03" w14:textId="77777777" w:rsidR="00606FB4" w:rsidRPr="007D162C" w:rsidRDefault="00606FB4" w:rsidP="00606FB4">
      <w:pPr>
        <w:pStyle w:val="Heading5"/>
      </w:pPr>
      <w:r w:rsidRPr="007D162C">
        <w:t>Status quo</w:t>
      </w:r>
    </w:p>
    <w:p w14:paraId="14BA2FFA" w14:textId="6F05438F" w:rsidR="00606FB4" w:rsidRPr="007D162C" w:rsidRDefault="00606FB4" w:rsidP="00606FB4">
      <w:r w:rsidRPr="007D162C">
        <w:t>Since 2002, the Transport Standards requires a light level (lux) to be provided at various locations throughout public transport assets. Since these requirements were introduced</w:t>
      </w:r>
      <w:r w:rsidR="00C827CA">
        <w:t>,</w:t>
      </w:r>
      <w:r w:rsidRPr="007D162C">
        <w:t xml:space="preserve"> further research and standards investigations have clarified understanding of the impact of lightning temperature and uniformity, type of lights used and their placement, luminance contrast requirements, and the impacts of reflectivity and glare.</w:t>
      </w:r>
    </w:p>
    <w:p w14:paraId="45CF5426" w14:textId="77777777" w:rsidR="00606FB4" w:rsidRPr="007D162C" w:rsidRDefault="00606FB4" w:rsidP="00606FB4">
      <w:r w:rsidRPr="007D162C">
        <w:t>The status quo would mean these advancements in the understanding of the impact of lighting on people with disability would not be included in the Transport Standards.</w:t>
      </w:r>
    </w:p>
    <w:p w14:paraId="3F64F233" w14:textId="68910A98" w:rsidR="00606FB4" w:rsidRPr="007D162C" w:rsidRDefault="00606FB4" w:rsidP="00606FB4">
      <w:r w:rsidRPr="007D162C">
        <w:t xml:space="preserve">The status quo received the least </w:t>
      </w:r>
      <w:r w:rsidR="0063133C">
        <w:t>support in</w:t>
      </w:r>
      <w:r w:rsidRPr="007D162C">
        <w:t xml:space="preserve"> submissions. No government or disability stakeholders supported the status quo.</w:t>
      </w:r>
      <w:r w:rsidR="0063133C">
        <w:t xml:space="preserve"> </w:t>
      </w:r>
      <w:r w:rsidRPr="007D162C">
        <w:t>One industry submission supported the status quo and stated that flexibility in implementing lighting solutions was the primary reason for maintaining the status quo.</w:t>
      </w:r>
    </w:p>
    <w:p w14:paraId="1EAC5BEE" w14:textId="5EDB3DF1" w:rsidR="00606FB4" w:rsidRPr="007D162C" w:rsidRDefault="00606FB4" w:rsidP="00606FB4">
      <w:r w:rsidRPr="007D162C">
        <w:t>The status quo option is unlikely to involve new costs to operators and providers and would not introduce additional regulatory burden or associated administrative costs. The Transport Standards would not include new information, which would accommodate the diverse and nuanced needs of people with disability.</w:t>
      </w:r>
    </w:p>
    <w:p w14:paraId="554F854A" w14:textId="77777777" w:rsidR="00606FB4" w:rsidRPr="007D162C" w:rsidRDefault="00606FB4" w:rsidP="00606FB4">
      <w:pPr>
        <w:pStyle w:val="Heading5"/>
      </w:pPr>
      <w:r w:rsidRPr="007D162C">
        <w:t>Non-regulatory</w:t>
      </w:r>
    </w:p>
    <w:p w14:paraId="66B93AD4" w14:textId="77777777" w:rsidR="00606FB4" w:rsidRPr="007D162C" w:rsidRDefault="00606FB4" w:rsidP="00606FB4">
      <w:pPr>
        <w:spacing w:before="240" w:after="240"/>
      </w:pPr>
      <w:r w:rsidRPr="007D162C">
        <w:t xml:space="preserve">The non-regulatory option would develop guidance for public transport owners and providers to design and implement improved lighting solutions across public transport assets. The main beneficiaries from improved lighting solutions would be people with low vision, people with mobility impairment, people with epilepsy, and people on the autism spectrum. </w:t>
      </w:r>
    </w:p>
    <w:p w14:paraId="6B12B3C6" w14:textId="77777777" w:rsidR="00606FB4" w:rsidRPr="007D162C" w:rsidRDefault="00606FB4" w:rsidP="00606FB4">
      <w:pPr>
        <w:spacing w:before="240" w:after="240"/>
      </w:pPr>
      <w:r w:rsidRPr="007D162C">
        <w:t>Improved guidance on lighting designs and solutions would result in people with disability experiencing enhanced confidence, comfort, and safety throughout their public transport journey. Improved designs and lighting solutions would benefit transport users more broadly, such as the elderly.</w:t>
      </w:r>
    </w:p>
    <w:p w14:paraId="4787AE30" w14:textId="77777777" w:rsidR="00606FB4" w:rsidRPr="007D162C" w:rsidRDefault="08D050C4" w:rsidP="00606FB4">
      <w:pPr>
        <w:spacing w:before="240" w:after="240"/>
      </w:pPr>
      <w:r w:rsidRPr="007D162C">
        <w:lastRenderedPageBreak/>
        <w:t xml:space="preserve">The non-regulatory option is discretionary, and the impact of the non-regulatory options is dependent on the utilisation rate of the guidance. The discretionary nature of the non-regulatory option enables asset owners to prioritise areas within their assets that provide the most benefit. Retrofitting existing assets would incur financial costs, including additional lighting installations or modifications to existing lighting regimes. Costs may be incorporated into maintenance and upgrade schedules. </w:t>
      </w:r>
    </w:p>
    <w:p w14:paraId="10D9DFA9" w14:textId="5EC0055B" w:rsidR="00606FB4" w:rsidRPr="007D162C" w:rsidRDefault="00606FB4" w:rsidP="0063133C">
      <w:pPr>
        <w:spacing w:before="240" w:after="240"/>
      </w:pPr>
      <w:r w:rsidRPr="007D162C">
        <w:t>There were no submissions from disability stakeholders supporting the non-regulatory option.</w:t>
      </w:r>
      <w:r w:rsidR="0063133C">
        <w:t xml:space="preserve"> </w:t>
      </w:r>
      <w:r w:rsidRPr="007D162C">
        <w:t xml:space="preserve">Government submissions </w:t>
      </w:r>
      <w:r w:rsidR="0063133C">
        <w:t xml:space="preserve">in support </w:t>
      </w:r>
      <w:r w:rsidRPr="007D162C">
        <w:t xml:space="preserve">stated that the regulatory option may be over-prescriptive, which may not achieve the desired outcomes and conflict with other public transport users’ needs. A government submission </w:t>
      </w:r>
      <w:r w:rsidR="00781B3D">
        <w:t>stated</w:t>
      </w:r>
      <w:r w:rsidRPr="007D162C">
        <w:t xml:space="preserve"> they had reviewed and created their own guidance for lightning requirements across different mode of transport, and consequently regulation would be unnecessary. </w:t>
      </w:r>
    </w:p>
    <w:p w14:paraId="116607C7" w14:textId="77777777" w:rsidR="00606FB4" w:rsidRPr="007D162C" w:rsidRDefault="00606FB4" w:rsidP="00606FB4">
      <w:r w:rsidRPr="007D162C">
        <w:t xml:space="preserve">Industry submissions raised their concern about prescriptive requirements and where those may interact with shared spaces. For example, where conveyances and buildings intersect with roads and public spaces, AS 1158.3.1 (2020) may have different requirements. </w:t>
      </w:r>
    </w:p>
    <w:p w14:paraId="1245054F" w14:textId="77777777" w:rsidR="00606FB4" w:rsidRPr="007D162C" w:rsidRDefault="00606FB4" w:rsidP="00606FB4">
      <w:pPr>
        <w:pStyle w:val="Heading5"/>
      </w:pPr>
      <w:r w:rsidRPr="007D162C">
        <w:t>Regulatory</w:t>
      </w:r>
    </w:p>
    <w:p w14:paraId="7CE95B06" w14:textId="77777777" w:rsidR="00606FB4" w:rsidRPr="007D162C" w:rsidRDefault="00606FB4" w:rsidP="00606FB4">
      <w:r w:rsidRPr="007D162C">
        <w:t>The regulatory options are designed to enhance confidence, comfort, and safety of people with disability throughout their public transport journey. Public transport owners and providers would have greater certainty in delivering fit-for-purpose lighting solutions in new transport projects, or when retrofitting sites.</w:t>
      </w:r>
    </w:p>
    <w:p w14:paraId="3C63886D" w14:textId="619A831B" w:rsidR="00606FB4" w:rsidRPr="007D162C" w:rsidRDefault="00606FB4" w:rsidP="00606FB4">
      <w:r w:rsidRPr="007D162C">
        <w:t xml:space="preserve">The regulatory option had the most </w:t>
      </w:r>
      <w:r w:rsidR="00177DBD" w:rsidRPr="007D162C">
        <w:t>support</w:t>
      </w:r>
      <w:r w:rsidRPr="007D162C">
        <w:t xml:space="preserve"> of all the options. All disability stakeholders supported a regulatory option to meet their needs and to ensure safe and accessible public transport use. Most disability stakeholders preferred regulatory option 3, sub-option 1, which would include new Australian Standards requirements and additional prescriptive requirements for Transport infrastructure. </w:t>
      </w:r>
    </w:p>
    <w:p w14:paraId="51758B13" w14:textId="77777777" w:rsidR="00606FB4" w:rsidRPr="007D162C" w:rsidRDefault="00606FB4" w:rsidP="00606FB4">
      <w:pPr>
        <w:pStyle w:val="Quote"/>
      </w:pPr>
      <w:r w:rsidRPr="007D162C">
        <w:t>Lighting is as much about safety and the perception of safety as it is about wayfinding. All passengers benefit from the provision of lighting that eliminates shadows and hiding places to provide uniform and consistent ambient lighting. In addition, lighting that allows tasks to be performed where the task is required, such as reading text, boarding, or alighting should be superior to the ambient lighting of general areas and lighting should be appropriate to the task required</w:t>
      </w:r>
    </w:p>
    <w:p w14:paraId="25652AB3" w14:textId="77777777" w:rsidR="00606FB4" w:rsidRPr="007D162C" w:rsidRDefault="00606FB4" w:rsidP="00606FB4">
      <w:pPr>
        <w:pStyle w:val="Quote"/>
      </w:pPr>
      <w:r w:rsidRPr="007D162C">
        <w:t>Queenslanders with Disability Network</w:t>
      </w:r>
    </w:p>
    <w:p w14:paraId="3523E3DA" w14:textId="3267CA21" w:rsidR="00606FB4" w:rsidRPr="007D162C" w:rsidRDefault="00606FB4" w:rsidP="00606FB4">
      <w:r w:rsidRPr="007D162C">
        <w:t>Government stakeholder submissions stated they preferred a regulatory option</w:t>
      </w:r>
      <w:r w:rsidR="00781B3D">
        <w:t>,</w:t>
      </w:r>
      <w:r w:rsidRPr="007D162C">
        <w:t xml:space="preserve"> because building lighting requirements were not fit for purpose for transport infrastructure, such as areas with awning</w:t>
      </w:r>
      <w:r w:rsidR="00781B3D">
        <w:t>s</w:t>
      </w:r>
      <w:r w:rsidRPr="007D162C">
        <w:t>, bus stops and tram stops. Government stakeholders told us regulation would ensure consistency and improve outcomes for people with disability. However, due to the complex nature and interactions with shared spaces</w:t>
      </w:r>
      <w:r w:rsidR="00781B3D">
        <w:t>,</w:t>
      </w:r>
      <w:r w:rsidRPr="007D162C">
        <w:t xml:space="preserve"> flexibility was important for them. Consequently, most government stakeholder supported regulation option 1, which was the removal of current requirements (deregulation) and the inclusion of guidance.</w:t>
      </w:r>
    </w:p>
    <w:p w14:paraId="3CE8FF55" w14:textId="77777777" w:rsidR="00606FB4" w:rsidRPr="007D162C" w:rsidRDefault="00606FB4" w:rsidP="00606FB4">
      <w:r w:rsidRPr="007D162C">
        <w:t>Industry stakeholders told us they were concerned about the consequences of overly prescriptive regulatory requirements and the interactions with other regulations and standards. Industry stakeholders were divided on which regulatory options they preferred. Industry submissions highlighted the benefits of deregulation option 1, option 3 for new Australian Standards requirements and additional prescriptive requirements for transport infrastructure, and option 4 for new prescriptive requirements.</w:t>
      </w:r>
    </w:p>
    <w:p w14:paraId="51983140" w14:textId="77777777" w:rsidR="00606FB4" w:rsidRPr="007D162C" w:rsidRDefault="00606FB4" w:rsidP="00606FB4">
      <w:pPr>
        <w:pStyle w:val="Heading4"/>
      </w:pPr>
      <w:r w:rsidRPr="007D162C">
        <w:t>Preferred option</w:t>
      </w:r>
    </w:p>
    <w:p w14:paraId="56A64821" w14:textId="77777777" w:rsidR="00606FB4" w:rsidRPr="007D162C" w:rsidRDefault="00606FB4" w:rsidP="00606FB4">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Informed by the outcomes of the consultation, impacts, cost and outcomes analysis above, the preferred option is </w:t>
      </w:r>
      <w:r w:rsidRPr="007D162C">
        <w:rPr>
          <w:rFonts w:ascii="Calibri" w:eastAsia="Calibri" w:hAnsi="Calibri" w:cs="Times New Roman"/>
          <w:b/>
          <w:color w:val="000000" w:themeColor="text1"/>
        </w:rPr>
        <w:t>regulatory option 1</w:t>
      </w:r>
      <w:r w:rsidRPr="007D162C">
        <w:rPr>
          <w:rFonts w:ascii="Calibri" w:eastAsia="Calibri" w:hAnsi="Calibri" w:cs="Times New Roman"/>
          <w:color w:val="000000" w:themeColor="text1"/>
        </w:rPr>
        <w:t>.</w:t>
      </w:r>
    </w:p>
    <w:p w14:paraId="1936B549" w14:textId="1D41AC58" w:rsidR="00606FB4" w:rsidRPr="007D162C" w:rsidRDefault="00606FB4" w:rsidP="00606FB4">
      <w:pPr>
        <w:rPr>
          <w:rFonts w:eastAsia="Calibri" w:cs="Times New Roman"/>
          <w:color w:val="000000" w:themeColor="text1"/>
        </w:rPr>
      </w:pPr>
      <w:r w:rsidRPr="007D162C">
        <w:rPr>
          <w:rFonts w:ascii="Calibri" w:eastAsia="Calibri" w:hAnsi="Calibri" w:cs="Times New Roman"/>
          <w:color w:val="000000" w:themeColor="text1"/>
        </w:rPr>
        <w:t xml:space="preserve">Regulatory option 1 was considered to address the needs of </w:t>
      </w:r>
      <w:r w:rsidRPr="007D162C">
        <w:rPr>
          <w:rFonts w:eastAsia="Calibri" w:cs="Times New Roman"/>
          <w:color w:val="000000" w:themeColor="text1"/>
        </w:rPr>
        <w:t>disability stakeholders, who would benefit from improved safety and accessibility. The benefits would also flow through to the broader public.</w:t>
      </w:r>
      <w:r w:rsidR="00781B3D">
        <w:rPr>
          <w:rFonts w:eastAsia="Calibri" w:cs="Times New Roman"/>
          <w:color w:val="000000" w:themeColor="text1"/>
        </w:rPr>
        <w:t xml:space="preserve"> </w:t>
      </w:r>
      <w:r w:rsidRPr="007D162C">
        <w:rPr>
          <w:rFonts w:eastAsia="Calibri" w:cs="Times New Roman"/>
          <w:color w:val="000000" w:themeColor="text1"/>
        </w:rPr>
        <w:t xml:space="preserve">Removing the current requirements (deregulation) and moving to guidance would be less costly than the non-regulatory option. It is anticipated that maintaining the current requirements and working with new guidance may incur higher costs to resolve potential conflicts between legislated requirement and best practice guidance. </w:t>
      </w:r>
    </w:p>
    <w:p w14:paraId="62D56538" w14:textId="3F7B60CB" w:rsidR="00606FB4" w:rsidRPr="007D162C" w:rsidRDefault="00606FB4" w:rsidP="00606FB4">
      <w:pPr>
        <w:rPr>
          <w:rFonts w:eastAsia="Calibri" w:cs="Times New Roman"/>
          <w:color w:val="000000" w:themeColor="text1"/>
        </w:rPr>
      </w:pPr>
      <w:r w:rsidRPr="007D162C">
        <w:rPr>
          <w:rFonts w:eastAsia="Calibri" w:cs="Times New Roman"/>
          <w:color w:val="000000" w:themeColor="text1"/>
        </w:rPr>
        <w:lastRenderedPageBreak/>
        <w:t>Regulatory option 1 provides a balance between providing greater certainty, consistency and clarity</w:t>
      </w:r>
      <w:r w:rsidR="00781B3D">
        <w:rPr>
          <w:rFonts w:eastAsia="Calibri" w:cs="Times New Roman"/>
          <w:color w:val="000000" w:themeColor="text1"/>
        </w:rPr>
        <w:t>,</w:t>
      </w:r>
      <w:r w:rsidRPr="007D162C">
        <w:rPr>
          <w:rFonts w:eastAsia="Calibri" w:cs="Times New Roman"/>
          <w:color w:val="000000" w:themeColor="text1"/>
        </w:rPr>
        <w:t xml:space="preserve"> but would retain the flexibility in implementing lighting requirements across different modes of transport and across diverse asset holdings.</w:t>
      </w:r>
    </w:p>
    <w:p w14:paraId="71E7EFE1" w14:textId="6CD1EC24" w:rsidR="002D07EC" w:rsidRPr="007D162C" w:rsidRDefault="002D07EC" w:rsidP="00606FB4">
      <w:pPr>
        <w:rPr>
          <w:rFonts w:eastAsia="Calibri" w:cs="Times New Roman"/>
          <w:color w:val="000000" w:themeColor="text1"/>
        </w:rPr>
      </w:pPr>
      <w:r w:rsidRPr="007D162C">
        <w:rPr>
          <w:rFonts w:eastAsia="Calibri" w:cs="Times New Roman"/>
          <w:color w:val="000000" w:themeColor="text1"/>
        </w:rPr>
        <w:t>The reform does not change the existing requirements in schedule 1 of the Transport Standards. The schedule would continue to reference the need to comply with standards for lightning; however, this reform would provide a performance-based approach, which is more appropriate to address site specific lighting requirements.</w:t>
      </w:r>
    </w:p>
    <w:p w14:paraId="2F98FBEC" w14:textId="3FC22984" w:rsidR="00606FB4" w:rsidRPr="007D162C" w:rsidRDefault="00606FB4" w:rsidP="00606FB4">
      <w:pPr>
        <w:rPr>
          <w:rFonts w:ascii="Calibri" w:eastAsia="Calibri" w:hAnsi="Calibri" w:cs="Times New Roman"/>
          <w:color w:val="000000" w:themeColor="text1"/>
        </w:rPr>
      </w:pPr>
      <w:r w:rsidRPr="007D162C">
        <w:rPr>
          <w:rFonts w:eastAsia="Calibri" w:cs="Times New Roman"/>
          <w:color w:val="000000" w:themeColor="text1"/>
        </w:rPr>
        <w:t xml:space="preserve">The preferred option has the lowest costs but would achieve comparable benefits to the other options. </w:t>
      </w:r>
      <w:r w:rsidRPr="007D162C">
        <w:rPr>
          <w:rFonts w:ascii="Calibri" w:eastAsia="Calibri" w:hAnsi="Calibri" w:cs="Times New Roman"/>
          <w:color w:val="000000" w:themeColor="text1"/>
        </w:rPr>
        <w:t xml:space="preserve">The preferred option provides transport owners and providers greater certainty that they meet their responsibilities under </w:t>
      </w:r>
      <w:r w:rsidR="00C827CA">
        <w:rPr>
          <w:rFonts w:ascii="Calibri" w:eastAsia="Calibri" w:hAnsi="Calibri" w:cs="Times New Roman"/>
          <w:color w:val="000000" w:themeColor="text1"/>
        </w:rPr>
        <w:t>the DDA.</w:t>
      </w:r>
    </w:p>
    <w:p w14:paraId="1B0559C3" w14:textId="77777777" w:rsidR="00606FB4" w:rsidRPr="007D162C" w:rsidRDefault="00606FB4" w:rsidP="00606FB4">
      <w:pPr>
        <w:sectPr w:rsidR="00606FB4" w:rsidRPr="007D162C" w:rsidSect="00606FB4">
          <w:pgSz w:w="11906" w:h="16838" w:code="9"/>
          <w:pgMar w:top="1021" w:right="1021" w:bottom="1021" w:left="1021" w:header="510" w:footer="567" w:gutter="0"/>
          <w:cols w:space="708"/>
          <w:docGrid w:linePitch="360"/>
        </w:sectPr>
      </w:pPr>
      <w:r w:rsidRPr="007D162C">
        <w:t>The preferred option will be implemented through amendments to the Transport Standards and Guidelines. Operators and providers will be required to meet the new Transport Standards on commencement</w:t>
      </w:r>
      <w:r w:rsidR="009B6BDD" w:rsidRPr="007D162C">
        <w:t>.</w:t>
      </w:r>
    </w:p>
    <w:p w14:paraId="37515D31" w14:textId="11EE60E9" w:rsidR="009B6BDD" w:rsidRPr="007D162C" w:rsidRDefault="009B6BDD" w:rsidP="005A3029">
      <w:pPr>
        <w:pStyle w:val="Heading2"/>
        <w:ind w:left="-567"/>
      </w:pPr>
      <w:bookmarkStart w:id="508" w:name="_Toc127351788"/>
      <w:bookmarkStart w:id="509" w:name="_Toc140239746"/>
      <w:r w:rsidRPr="007D162C">
        <w:lastRenderedPageBreak/>
        <w:t>Part 4: Accessibility of boarding and alighting and egress of infrastructure</w:t>
      </w:r>
      <w:bookmarkEnd w:id="508"/>
      <w:bookmarkEnd w:id="509"/>
    </w:p>
    <w:p w14:paraId="4770E1FD" w14:textId="77777777" w:rsidR="009B6BDD" w:rsidRPr="007D162C" w:rsidRDefault="009B6BDD" w:rsidP="009B6BDD">
      <w:pPr>
        <w:suppressAutoHyphens/>
        <w:spacing w:before="160" w:after="80"/>
        <w:ind w:hanging="567"/>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This Part includes the following reform areas:</w:t>
      </w:r>
    </w:p>
    <w:p w14:paraId="509A81C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Signals and process for requesting boarding devices</w:t>
      </w:r>
    </w:p>
    <w:p w14:paraId="5272559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Notification by passenger of need for boarding device</w:t>
      </w:r>
    </w:p>
    <w:p w14:paraId="074B2E19"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Portable boarding ramp edge barriers</w:t>
      </w:r>
    </w:p>
    <w:p w14:paraId="6A342230"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Boarding ramp and removable gangway definitions</w:t>
      </w:r>
    </w:p>
    <w:p w14:paraId="6D10729D"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Removable gangway design - ferries</w:t>
      </w:r>
    </w:p>
    <w:p w14:paraId="2B09CF72"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Nominated assistance boarding points</w:t>
      </w:r>
    </w:p>
    <w:p w14:paraId="32681D29"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Identification of lead stops</w:t>
      </w:r>
    </w:p>
    <w:p w14:paraId="5F337214"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Pontoon boarding points on infrastructure</w:t>
      </w:r>
    </w:p>
    <w:p w14:paraId="53AC4E58"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 xml:space="preserve">Bus, tram and light rail boarding points on infrastructure </w:t>
      </w:r>
    </w:p>
    <w:p w14:paraId="14466116"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Hail-and-ride boarding points on infrastructure</w:t>
      </w:r>
    </w:p>
    <w:p w14:paraId="6B0737A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Accessible taxi ranks</w:t>
      </w:r>
    </w:p>
    <w:p w14:paraId="0EEFA18C"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color w:val="377B88"/>
          <w:sz w:val="26"/>
          <w:szCs w:val="26"/>
          <w:lang w:val="en-AU"/>
        </w:rPr>
      </w:pPr>
      <w:r w:rsidRPr="007D162C">
        <w:rPr>
          <w:rFonts w:ascii="Calibri" w:eastAsia="Calibri" w:hAnsi="Calibri" w:cs="Times New Roman"/>
          <w:color w:val="377B88"/>
          <w:sz w:val="26"/>
          <w:szCs w:val="26"/>
          <w:lang w:val="en-AU"/>
        </w:rPr>
        <w:t>Accessible passenger loading zones on-street</w:t>
      </w:r>
    </w:p>
    <w:p w14:paraId="1A15263E" w14:textId="77777777" w:rsidR="009B6BDD" w:rsidRPr="007D162C" w:rsidRDefault="009B6BDD" w:rsidP="006F65FB">
      <w:pPr>
        <w:numPr>
          <w:ilvl w:val="0"/>
          <w:numId w:val="27"/>
        </w:numPr>
        <w:suppressAutoHyphens/>
        <w:autoSpaceDE w:val="0"/>
        <w:autoSpaceDN w:val="0"/>
        <w:spacing w:before="40" w:after="40"/>
        <w:contextualSpacing/>
        <w:rPr>
          <w:rFonts w:ascii="Calibri" w:eastAsia="Calibri" w:hAnsi="Calibri" w:cs="Times New Roman"/>
        </w:rPr>
      </w:pPr>
      <w:r w:rsidRPr="007D162C">
        <w:rPr>
          <w:rFonts w:ascii="Calibri" w:eastAsia="Calibri" w:hAnsi="Calibri" w:cs="Times New Roman"/>
          <w:color w:val="377B88"/>
          <w:sz w:val="26"/>
          <w:szCs w:val="26"/>
          <w:lang w:val="en-AU"/>
        </w:rPr>
        <w:t>Accessible parking spaces in infrastructure off-street carparks</w:t>
      </w:r>
    </w:p>
    <w:p w14:paraId="3868DCB5" w14:textId="77777777" w:rsidR="00C40DB2" w:rsidRPr="007D162C" w:rsidRDefault="00C40DB2" w:rsidP="00C40DB2"/>
    <w:p w14:paraId="29E7F0D5" w14:textId="77777777" w:rsidR="00C40DB2" w:rsidRPr="007D162C" w:rsidRDefault="00C40DB2" w:rsidP="00C40DB2">
      <w:pPr>
        <w:spacing w:line="259" w:lineRule="auto"/>
        <w:rPr>
          <w:rFonts w:ascii="Calibri" w:eastAsia="Calibri" w:hAnsi="Calibri" w:cs="Calibri"/>
          <w:color w:val="081E3E"/>
          <w:kern w:val="12"/>
          <w:sz w:val="44"/>
          <w:szCs w:val="44"/>
        </w:rPr>
      </w:pPr>
      <w:r w:rsidRPr="007D162C">
        <w:br w:type="page"/>
      </w:r>
    </w:p>
    <w:p w14:paraId="420EF67E" w14:textId="68AC3F45" w:rsidR="00305410" w:rsidRPr="007D162C" w:rsidRDefault="00305410" w:rsidP="007D7AC3">
      <w:pPr>
        <w:pStyle w:val="Heading2"/>
        <w:numPr>
          <w:ilvl w:val="0"/>
          <w:numId w:val="28"/>
        </w:numPr>
        <w:ind w:hanging="720"/>
      </w:pPr>
      <w:bookmarkStart w:id="510" w:name="_Toc127351789"/>
      <w:bookmarkStart w:id="511" w:name="_Toc140239747"/>
      <w:r w:rsidRPr="007D162C">
        <w:lastRenderedPageBreak/>
        <w:t>Signals and process for requesting boarding devices</w:t>
      </w:r>
      <w:bookmarkEnd w:id="510"/>
      <w:bookmarkEnd w:id="511"/>
    </w:p>
    <w:p w14:paraId="531314D1" w14:textId="77777777" w:rsidR="00305410" w:rsidRPr="007D162C" w:rsidRDefault="00305410" w:rsidP="00305410">
      <w:pPr>
        <w:pStyle w:val="Heading4"/>
        <w:tabs>
          <w:tab w:val="left" w:pos="284"/>
        </w:tabs>
      </w:pPr>
      <w:r w:rsidRPr="007D162C">
        <w:t>Issue</w:t>
      </w:r>
    </w:p>
    <w:p w14:paraId="1E1275FC" w14:textId="77777777" w:rsidR="00305410" w:rsidRPr="007D162C" w:rsidRDefault="00305410" w:rsidP="00305410">
      <w:pPr>
        <w:tabs>
          <w:tab w:val="left" w:pos="284"/>
        </w:tabs>
      </w:pPr>
      <w:r w:rsidRPr="007D162C">
        <w:t>People with disability require a means to communicate with public transport operators and providers about their need for boarding assistance. Existing requirements for signals or other processes for requesting boarding assistance in the Transport Standards are not sufficiently explicit, reference an outdated Australian Standard and may not meet the varying accessibility needs of people with disability. For example, people who are hearing impaired or deaf are at a disadvantage when communication systems require verbal interaction. If the system used to request a boarding device has a verbal component it is unlikely that deaf or hard of hearing passengers will be able to request a boarding device.</w:t>
      </w:r>
    </w:p>
    <w:p w14:paraId="45451924" w14:textId="77777777" w:rsidR="00305410" w:rsidRPr="007D162C" w:rsidRDefault="00305410" w:rsidP="00305410">
      <w:pPr>
        <w:tabs>
          <w:tab w:val="left" w:pos="284"/>
        </w:tabs>
      </w:pPr>
      <w:r w:rsidRPr="007D162C">
        <w:t>Collective government action would ensure boarding assistance is accessible to all passengers and address key stakeholder issues raised through the Transport Standards review process.</w:t>
      </w:r>
    </w:p>
    <w:p w14:paraId="06E256B1" w14:textId="77777777" w:rsidR="00305410" w:rsidRPr="007D162C" w:rsidRDefault="00305410" w:rsidP="00305410">
      <w:pPr>
        <w:pStyle w:val="Heading4"/>
        <w:tabs>
          <w:tab w:val="left" w:pos="284"/>
        </w:tabs>
      </w:pPr>
      <w:r w:rsidRPr="007D162C">
        <w:t>Reform options</w:t>
      </w:r>
    </w:p>
    <w:p w14:paraId="34248B42"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78FF3D56" w14:textId="1F4AD84C" w:rsidR="00305410" w:rsidRPr="007D162C" w:rsidRDefault="00305410" w:rsidP="0031146F">
      <w:pPr>
        <w:pStyle w:val="Tablefigureheading"/>
      </w:pPr>
      <w:bookmarkStart w:id="512" w:name="_Toc122446426"/>
      <w:bookmarkStart w:id="513" w:name="_Toc139969264"/>
      <w:r w:rsidRPr="007D162C">
        <w:t xml:space="preserve">Table </w:t>
      </w:r>
      <w:fldSimple w:instr=" SEQ Table \* ARABIC ">
        <w:r w:rsidR="00DC26AC">
          <w:rPr>
            <w:noProof/>
          </w:rPr>
          <w:t>106</w:t>
        </w:r>
      </w:fldSimple>
      <w:r w:rsidRPr="007D162C">
        <w:t>: Reform options for signals and process for requesting boarding devices</w:t>
      </w:r>
      <w:bookmarkEnd w:id="512"/>
      <w:bookmarkEnd w:id="513"/>
    </w:p>
    <w:tbl>
      <w:tblPr>
        <w:tblStyle w:val="DefaultTable1"/>
        <w:tblW w:w="9072" w:type="dxa"/>
        <w:tblLook w:val="04A0" w:firstRow="1" w:lastRow="0" w:firstColumn="1" w:lastColumn="0" w:noHBand="0" w:noVBand="1"/>
        <w:tblCaption w:val="Reform options for Signals and process for requesting boarding devices"/>
        <w:tblDescription w:val="This table provides a description of each of the options for this reform area. Status quo, non-regulatory and regulatory."/>
      </w:tblPr>
      <w:tblGrid>
        <w:gridCol w:w="2232"/>
        <w:gridCol w:w="6840"/>
      </w:tblGrid>
      <w:tr w:rsidR="00305410" w:rsidRPr="007D162C" w14:paraId="1E08C50D"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2E10EB1"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3EFD7F48"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48997E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7C39AC"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25BD4CEF"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requirements for signals and requesting boarding assistance would remain unclear and Australian Standards would be outdated.</w:t>
            </w:r>
          </w:p>
          <w:p w14:paraId="6A3D314E"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305410" w:rsidRPr="007D162C" w14:paraId="3CF9A15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38EA783"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52BD2322" w14:textId="77777777" w:rsidR="00305410" w:rsidRPr="007D162C" w:rsidRDefault="00305410" w:rsidP="00305410">
            <w:pPr>
              <w:pStyle w:val="Tabletext"/>
              <w:cnfStyle w:val="000000000000" w:firstRow="0" w:lastRow="0" w:firstColumn="0" w:lastColumn="0" w:oddVBand="0" w:evenVBand="0" w:oddHBand="0" w:evenHBand="0" w:firstRowFirstColumn="0" w:firstRowLastColumn="0" w:lastRowFirstColumn="0" w:lastRowLastColumn="0"/>
            </w:pPr>
            <w:r w:rsidRPr="007D162C">
              <w:rPr>
                <w:rFonts w:asciiTheme="minorHAnsi" w:eastAsiaTheme="minorEastAsia" w:hAnsiTheme="minorHAnsi" w:cstheme="minorBidi"/>
                <w:color w:val="auto"/>
                <w:lang w:val="en-US"/>
              </w:rPr>
              <w:t>Guidance would be updated to include advice for practices for requesting boarding devices.</w:t>
            </w:r>
          </w:p>
        </w:tc>
      </w:tr>
      <w:tr w:rsidR="00305410" w:rsidRPr="007D162C" w14:paraId="79E1D1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FAEBC0D"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7D7122D3"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signals and process for requesting boarding assistance that is located either in or on conveyances.</w:t>
            </w:r>
          </w:p>
          <w:p w14:paraId="7851EC43"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tbl>
    <w:p w14:paraId="671D0223" w14:textId="77777777" w:rsidR="0031146F" w:rsidRPr="007D162C" w:rsidRDefault="0031146F" w:rsidP="0031146F">
      <w:pPr>
        <w:pStyle w:val="Normalcentred"/>
      </w:pPr>
    </w:p>
    <w:p w14:paraId="5EE7D7A6" w14:textId="77777777" w:rsidR="00305410" w:rsidRPr="007D162C" w:rsidRDefault="00305410" w:rsidP="00305410">
      <w:pPr>
        <w:pStyle w:val="Heading4"/>
        <w:tabs>
          <w:tab w:val="left" w:pos="284"/>
        </w:tabs>
      </w:pPr>
      <w:r w:rsidRPr="007D162C">
        <w:t>Cost benefit analysis</w:t>
      </w:r>
    </w:p>
    <w:p w14:paraId="7F48DA76"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8F1D4EF" w14:textId="77777777" w:rsidR="00262CCB" w:rsidRDefault="00305410" w:rsidP="00305410">
      <w:r w:rsidRPr="007D162C">
        <w:t xml:space="preserve">The following categories of quantitative costs and benefits were identified in the CBA as pertaining to the reform options. </w:t>
      </w:r>
    </w:p>
    <w:p w14:paraId="23FEDD5B" w14:textId="77777777" w:rsidR="00262CCB" w:rsidRDefault="00262CCB">
      <w:pPr>
        <w:spacing w:line="259" w:lineRule="auto"/>
      </w:pPr>
      <w:r>
        <w:br w:type="page"/>
      </w:r>
    </w:p>
    <w:p w14:paraId="47A20C6E" w14:textId="77777777" w:rsidR="00305410" w:rsidRPr="007D162C" w:rsidRDefault="00305410" w:rsidP="00305410"/>
    <w:p w14:paraId="6082963C" w14:textId="6521BAC2" w:rsidR="00305410" w:rsidRPr="007D162C" w:rsidRDefault="00305410" w:rsidP="00965ED1">
      <w:pPr>
        <w:pStyle w:val="Tablefigureheading"/>
      </w:pPr>
      <w:bookmarkStart w:id="514" w:name="_Toc122446427"/>
      <w:bookmarkStart w:id="515" w:name="_Toc139969265"/>
      <w:r w:rsidRPr="007D162C">
        <w:t xml:space="preserve">Table </w:t>
      </w:r>
      <w:fldSimple w:instr=" SEQ Table \* ARABIC ">
        <w:r w:rsidR="00DC26AC">
          <w:rPr>
            <w:noProof/>
          </w:rPr>
          <w:t>107</w:t>
        </w:r>
      </w:fldSimple>
      <w:r w:rsidRPr="007D162C">
        <w:t>: Benefit-cost ratios for signals and process for requesting boarding devices</w:t>
      </w:r>
      <w:bookmarkEnd w:id="514"/>
      <w:bookmarkEnd w:id="515"/>
    </w:p>
    <w:tbl>
      <w:tblPr>
        <w:tblStyle w:val="DefaultTable1"/>
        <w:tblW w:w="9864" w:type="dxa"/>
        <w:tblLook w:val="04A0" w:firstRow="1" w:lastRow="0" w:firstColumn="1" w:lastColumn="0" w:noHBand="0" w:noVBand="1"/>
        <w:tblCaption w:val="Benefit-cost ratios for signals and process for requesting boarding devices"/>
        <w:tblDescription w:val="This table provides the monetised benefits and costs for each of the options for this reform area."/>
      </w:tblPr>
      <w:tblGrid>
        <w:gridCol w:w="2694"/>
        <w:gridCol w:w="1275"/>
        <w:gridCol w:w="1701"/>
        <w:gridCol w:w="1701"/>
        <w:gridCol w:w="1560"/>
        <w:gridCol w:w="933"/>
      </w:tblGrid>
      <w:tr w:rsidR="00305410" w:rsidRPr="007D162C" w14:paraId="1198C26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94" w:type="dxa"/>
          </w:tcPr>
          <w:p w14:paraId="0CCA6B98" w14:textId="77777777" w:rsidR="00305410" w:rsidRPr="007D162C" w:rsidRDefault="08D050C4" w:rsidP="00305410">
            <w:r w:rsidRPr="007D162C">
              <w:t>Reform Option</w:t>
            </w:r>
          </w:p>
        </w:tc>
        <w:tc>
          <w:tcPr>
            <w:tcW w:w="1275" w:type="dxa"/>
          </w:tcPr>
          <w:p w14:paraId="4C8E59FE"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01" w:type="dxa"/>
          </w:tcPr>
          <w:p w14:paraId="0C1F52D2"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28B90B32"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60" w:type="dxa"/>
          </w:tcPr>
          <w:p w14:paraId="5DEF4CE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933" w:type="dxa"/>
          </w:tcPr>
          <w:p w14:paraId="4065847F" w14:textId="198D6008"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758693F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C676B3F" w14:textId="77777777" w:rsidR="00305410" w:rsidRPr="007D162C" w:rsidRDefault="00305410" w:rsidP="00305410">
            <w:r w:rsidRPr="007D162C">
              <w:t>Status Quo</w:t>
            </w:r>
          </w:p>
        </w:tc>
        <w:tc>
          <w:tcPr>
            <w:tcW w:w="1275" w:type="dxa"/>
          </w:tcPr>
          <w:p w14:paraId="168A2AB4"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4D94F48F"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6677027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560" w:type="dxa"/>
          </w:tcPr>
          <w:p w14:paraId="7EA76ED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933" w:type="dxa"/>
          </w:tcPr>
          <w:p w14:paraId="7855255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546C1A9C" w14:textId="77777777" w:rsidTr="08D050C4">
        <w:tc>
          <w:tcPr>
            <w:cnfStyle w:val="001000000000" w:firstRow="0" w:lastRow="0" w:firstColumn="1" w:lastColumn="0" w:oddVBand="0" w:evenVBand="0" w:oddHBand="0" w:evenHBand="0" w:firstRowFirstColumn="0" w:firstRowLastColumn="0" w:lastRowFirstColumn="0" w:lastRowLastColumn="0"/>
            <w:tcW w:w="2694" w:type="dxa"/>
          </w:tcPr>
          <w:p w14:paraId="46E7FD7E" w14:textId="77777777" w:rsidR="00305410" w:rsidRPr="007D162C" w:rsidRDefault="00305410" w:rsidP="00305410">
            <w:r w:rsidRPr="007D162C">
              <w:t xml:space="preserve">Non-regulatory </w:t>
            </w:r>
          </w:p>
        </w:tc>
        <w:tc>
          <w:tcPr>
            <w:tcW w:w="1275" w:type="dxa"/>
            <w:vAlign w:val="center"/>
          </w:tcPr>
          <w:p w14:paraId="4CF4A79C"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0.5</w:t>
            </w:r>
          </w:p>
        </w:tc>
        <w:tc>
          <w:tcPr>
            <w:tcW w:w="1701" w:type="dxa"/>
          </w:tcPr>
          <w:p w14:paraId="60CEE788"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7C9540C4"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21.6</w:t>
            </w:r>
          </w:p>
        </w:tc>
        <w:tc>
          <w:tcPr>
            <w:tcW w:w="1560" w:type="dxa"/>
            <w:vAlign w:val="center"/>
          </w:tcPr>
          <w:p w14:paraId="04E2A2C8" w14:textId="773D13B0"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rPr>
                <w:vertAlign w:val="superscript"/>
              </w:rPr>
            </w:pPr>
            <w:r w:rsidRPr="007D162C">
              <w:t>21.6</w:t>
            </w:r>
            <w:r w:rsidR="00965ED1" w:rsidRPr="007D162C">
              <w:rPr>
                <w:vertAlign w:val="superscript"/>
              </w:rPr>
              <w:t>i</w:t>
            </w:r>
          </w:p>
        </w:tc>
        <w:tc>
          <w:tcPr>
            <w:tcW w:w="933" w:type="dxa"/>
            <w:vAlign w:val="center"/>
          </w:tcPr>
          <w:p w14:paraId="058B84A3"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t>0.02</w:t>
            </w:r>
          </w:p>
        </w:tc>
      </w:tr>
      <w:tr w:rsidR="00305410" w:rsidRPr="007D162C" w14:paraId="7C86DB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245B1C1" w14:textId="77777777" w:rsidR="00305410" w:rsidRPr="007D162C" w:rsidRDefault="00305410" w:rsidP="00305410">
            <w:r w:rsidRPr="007D162C">
              <w:t>Regulatory</w:t>
            </w:r>
          </w:p>
        </w:tc>
        <w:tc>
          <w:tcPr>
            <w:tcW w:w="1275" w:type="dxa"/>
            <w:vAlign w:val="center"/>
          </w:tcPr>
          <w:p w14:paraId="56C1263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203.2</w:t>
            </w:r>
          </w:p>
        </w:tc>
        <w:tc>
          <w:tcPr>
            <w:tcW w:w="1701" w:type="dxa"/>
          </w:tcPr>
          <w:p w14:paraId="4AE3AB1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1B26E05B"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134.6</w:t>
            </w:r>
          </w:p>
        </w:tc>
        <w:tc>
          <w:tcPr>
            <w:tcW w:w="1560" w:type="dxa"/>
            <w:vAlign w:val="center"/>
          </w:tcPr>
          <w:p w14:paraId="3D79BE7A"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134.6</w:t>
            </w:r>
          </w:p>
        </w:tc>
        <w:tc>
          <w:tcPr>
            <w:tcW w:w="933" w:type="dxa"/>
            <w:vAlign w:val="center"/>
          </w:tcPr>
          <w:p w14:paraId="028D29B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t>1.51</w:t>
            </w:r>
          </w:p>
        </w:tc>
      </w:tr>
    </w:tbl>
    <w:p w14:paraId="5CAD09C5" w14:textId="77777777" w:rsidR="00305410" w:rsidRPr="007D162C" w:rsidRDefault="00305410" w:rsidP="00305410">
      <w:pPr>
        <w:spacing w:before="120" w:after="0"/>
        <w:rPr>
          <w:sz w:val="18"/>
          <w:szCs w:val="18"/>
        </w:rPr>
      </w:pPr>
      <w:r w:rsidRPr="007D162C">
        <w:rPr>
          <w:sz w:val="18"/>
          <w:szCs w:val="18"/>
          <w:vertAlign w:val="superscript"/>
        </w:rPr>
        <w:t>*</w:t>
      </w:r>
      <w:r w:rsidRPr="007D162C">
        <w:rPr>
          <w:sz w:val="18"/>
          <w:szCs w:val="18"/>
        </w:rPr>
        <w:t>$M, 2022/23, real, discounted at 7% over a 15-year appraisal period after implementation of all reforms, assessed incrementally</w:t>
      </w:r>
    </w:p>
    <w:p w14:paraId="755CB7BC" w14:textId="77777777" w:rsidR="00305410" w:rsidRPr="007D162C" w:rsidRDefault="08D050C4" w:rsidP="08D050C4">
      <w:pPr>
        <w:spacing w:before="120" w:after="0"/>
        <w:rPr>
          <w:sz w:val="18"/>
          <w:szCs w:val="18"/>
        </w:rPr>
      </w:pPr>
      <w:r w:rsidRPr="007D162C">
        <w:rPr>
          <w:sz w:val="18"/>
          <w:szCs w:val="18"/>
          <w:vertAlign w:val="superscript"/>
        </w:rPr>
        <w:t>(i)</w:t>
      </w:r>
      <w:r w:rsidRPr="007D162C">
        <w:rPr>
          <w:sz w:val="18"/>
          <w:szCs w:val="18"/>
        </w:rPr>
        <w:t>Non-regulatory compliance rates are calculated using assumptions about retrospective and prospective take-up rates, and are not a percentage of the regulatory costs.</w:t>
      </w:r>
    </w:p>
    <w:p w14:paraId="53C1E0FE" w14:textId="77777777" w:rsidR="00965ED1" w:rsidRPr="007D162C" w:rsidRDefault="00965ED1" w:rsidP="00965ED1"/>
    <w:p w14:paraId="35812252" w14:textId="02D580FB" w:rsidR="00305410" w:rsidRPr="007D162C" w:rsidRDefault="00305410" w:rsidP="00305410">
      <w:pPr>
        <w:pStyle w:val="Heading6"/>
      </w:pPr>
      <w:r w:rsidRPr="007D162C">
        <w:t>Considerations to note in interpreting analysis</w:t>
      </w:r>
    </w:p>
    <w:p w14:paraId="360E85F2" w14:textId="6EB2FDA0" w:rsidR="00305410" w:rsidRPr="007D162C" w:rsidRDefault="00305410" w:rsidP="004A463A">
      <w:pPr>
        <w:pStyle w:val="Heading7"/>
      </w:pPr>
      <w:r w:rsidRPr="007D162C">
        <w:t>Limitations</w:t>
      </w:r>
    </w:p>
    <w:p w14:paraId="66357844" w14:textId="21CEE2FA" w:rsidR="00305410" w:rsidRPr="007D162C" w:rsidRDefault="00305410" w:rsidP="004A463A">
      <w:pPr>
        <w:pStyle w:val="Heading8"/>
      </w:pPr>
      <w:r w:rsidRPr="007D162C">
        <w:t>Non-regulatory option</w:t>
      </w:r>
    </w:p>
    <w:p w14:paraId="2C53C35D" w14:textId="64A1B039" w:rsidR="00305410" w:rsidRPr="007D162C" w:rsidRDefault="00305410" w:rsidP="004A463A">
      <w:pPr>
        <w:tabs>
          <w:tab w:val="left" w:pos="284"/>
        </w:tabs>
      </w:pPr>
      <w:r w:rsidRPr="007D162C">
        <w:t>The costs and benefits associated with the non-regulatory reform are lower than its regulatory counterpart reflecting an assumed lower rate of compliance with the reform. An estimated rate of uptake of 75</w:t>
      </w:r>
      <w:r w:rsidR="00C827CA">
        <w:t xml:space="preserve"> per cent</w:t>
      </w:r>
      <w:r w:rsidRPr="007D162C">
        <w:t xml:space="preserve"> for new assets was applied to the non-regulatory option based on the low cost and complexity to implement the guidance, and submissions supporting its adoption from operators and providers of public transport. Existing assets are not expected to be upgraded, due to the high cost and complexity to undertake this work. This implies that the benefits and costs quantified for this non-regulatory reform may not reflect future take-up of the reform.</w:t>
      </w:r>
    </w:p>
    <w:p w14:paraId="247A8786" w14:textId="338102EE" w:rsidR="00305410" w:rsidRPr="007D162C" w:rsidRDefault="00305410" w:rsidP="004A463A">
      <w:pPr>
        <w:pStyle w:val="Heading8"/>
      </w:pPr>
      <w:r w:rsidRPr="007D162C">
        <w:t>Regulatory option</w:t>
      </w:r>
    </w:p>
    <w:p w14:paraId="0BADF720" w14:textId="77777777" w:rsidR="00305410" w:rsidRPr="007D162C" w:rsidRDefault="00305410" w:rsidP="004A463A">
      <w:pPr>
        <w:tabs>
          <w:tab w:val="left" w:pos="284"/>
        </w:tabs>
      </w:pPr>
      <w:r w:rsidRPr="007D162C">
        <w:t>The benefits and costs for this reform were estimated from limited data provided through the survey and publicly available data proxied to understand compliance at a national level. This implies the benefits and costs may not reflect the full extent of existing and future compliance.</w:t>
      </w:r>
    </w:p>
    <w:p w14:paraId="2BEE3921" w14:textId="56F8927E" w:rsidR="00305410" w:rsidRPr="007D162C" w:rsidRDefault="00305410" w:rsidP="004A463A">
      <w:pPr>
        <w:pStyle w:val="Heading7"/>
      </w:pPr>
      <w:r w:rsidRPr="007D162C">
        <w:t>Interdependencies</w:t>
      </w:r>
    </w:p>
    <w:p w14:paraId="6D126ACC" w14:textId="77777777" w:rsidR="00305410" w:rsidRPr="007D162C" w:rsidRDefault="08D050C4" w:rsidP="004A463A">
      <w:pPr>
        <w:tabs>
          <w:tab w:val="left" w:pos="284"/>
        </w:tabs>
      </w:pPr>
      <w:r w:rsidRPr="007D162C">
        <w:t>The accessibility benefits of this reform will only be realised if there was equitable access across the whole public transport journey, with benefits reliant on implementation of other reforms such as nominated assistance boarding points.</w:t>
      </w:r>
    </w:p>
    <w:p w14:paraId="7697FCB5"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AA48781" w14:textId="3CB396FD" w:rsidR="00BA004C" w:rsidRPr="007D162C" w:rsidRDefault="00305410" w:rsidP="00262CCB">
      <w:pPr>
        <w:tabs>
          <w:tab w:val="left" w:pos="284"/>
        </w:tabs>
      </w:pPr>
      <w:r w:rsidRPr="007D162C">
        <w:t>The following categories of qualitative benefits were identified in the CBA as pertaining to the reform options.</w:t>
      </w:r>
      <w:r w:rsidR="00BA004C" w:rsidRPr="007D162C">
        <w:br w:type="page"/>
      </w:r>
    </w:p>
    <w:p w14:paraId="41474434" w14:textId="6B2C4A06" w:rsidR="00305410" w:rsidRPr="007D162C" w:rsidRDefault="00305410" w:rsidP="004A463A">
      <w:pPr>
        <w:pStyle w:val="Tablefigureheading"/>
      </w:pPr>
      <w:bookmarkStart w:id="516" w:name="_Toc122446428"/>
      <w:bookmarkStart w:id="517" w:name="_Toc139969266"/>
      <w:r w:rsidRPr="007D162C">
        <w:lastRenderedPageBreak/>
        <w:t xml:space="preserve">Table </w:t>
      </w:r>
      <w:fldSimple w:instr=" SEQ Table \* ARABIC ">
        <w:r w:rsidR="00DC26AC">
          <w:rPr>
            <w:noProof/>
          </w:rPr>
          <w:t>108</w:t>
        </w:r>
      </w:fldSimple>
      <w:r w:rsidRPr="007D162C">
        <w:rPr>
          <w:noProof/>
        </w:rPr>
        <w:t xml:space="preserve">: </w:t>
      </w:r>
      <w:r w:rsidRPr="007D162C">
        <w:t xml:space="preserve">Qualitative benefits </w:t>
      </w:r>
      <w:r w:rsidRPr="007D162C">
        <w:rPr>
          <w:noProof/>
        </w:rPr>
        <w:t>for</w:t>
      </w:r>
      <w:r w:rsidRPr="007D162C">
        <w:t xml:space="preserve"> signals and process for requesting boarding devices</w:t>
      </w:r>
      <w:bookmarkEnd w:id="516"/>
      <w:bookmarkEnd w:id="517"/>
    </w:p>
    <w:tbl>
      <w:tblPr>
        <w:tblStyle w:val="DefaultTable1"/>
        <w:tblW w:w="9864" w:type="dxa"/>
        <w:tblLook w:val="04A0" w:firstRow="1" w:lastRow="0" w:firstColumn="1" w:lastColumn="0" w:noHBand="0" w:noVBand="1"/>
        <w:tblCaption w:val="Qualitative benefits for signals and process for requesting boarding devices"/>
      </w:tblPr>
      <w:tblGrid>
        <w:gridCol w:w="1213"/>
        <w:gridCol w:w="1343"/>
        <w:gridCol w:w="1626"/>
        <w:gridCol w:w="1300"/>
        <w:gridCol w:w="1278"/>
        <w:gridCol w:w="1641"/>
        <w:gridCol w:w="1463"/>
      </w:tblGrid>
      <w:tr w:rsidR="00305410" w:rsidRPr="007D162C" w14:paraId="77F9F08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6105129" w14:textId="77777777" w:rsidR="00305410" w:rsidRPr="007D162C" w:rsidRDefault="08D050C4" w:rsidP="00305410">
            <w:r w:rsidRPr="007D162C">
              <w:t>Reform Option</w:t>
            </w:r>
          </w:p>
        </w:tc>
        <w:tc>
          <w:tcPr>
            <w:tcW w:w="1343" w:type="dxa"/>
          </w:tcPr>
          <w:p w14:paraId="1B067CAC"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2E97FBD"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2D66AC6"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6CB0418"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5690894"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97AD2E7"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209FDE5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A8CB086" w14:textId="77777777" w:rsidR="00305410" w:rsidRPr="007D162C" w:rsidRDefault="00305410" w:rsidP="00305410">
            <w:r w:rsidRPr="007D162C">
              <w:t>Status Quo</w:t>
            </w:r>
          </w:p>
        </w:tc>
        <w:tc>
          <w:tcPr>
            <w:tcW w:w="1343" w:type="dxa"/>
          </w:tcPr>
          <w:p w14:paraId="125CE3EB"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26" w:type="dxa"/>
          </w:tcPr>
          <w:p w14:paraId="10A05CA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300" w:type="dxa"/>
          </w:tcPr>
          <w:p w14:paraId="73103C6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278" w:type="dxa"/>
          </w:tcPr>
          <w:p w14:paraId="50EB0ACC"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641" w:type="dxa"/>
          </w:tcPr>
          <w:p w14:paraId="640A0ED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70E8736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0EC0858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0221BDB" w14:textId="77777777" w:rsidR="00305410" w:rsidRPr="007D162C" w:rsidRDefault="00305410" w:rsidP="00305410">
            <w:r w:rsidRPr="007D162C">
              <w:t xml:space="preserve">Non-regulatory </w:t>
            </w:r>
          </w:p>
        </w:tc>
        <w:tc>
          <w:tcPr>
            <w:tcW w:w="1343" w:type="dxa"/>
          </w:tcPr>
          <w:p w14:paraId="27936F63"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E24DFB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47A82708"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18EE41CA"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075E9ABC"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463" w:type="dxa"/>
          </w:tcPr>
          <w:p w14:paraId="5362C230"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r>
      <w:tr w:rsidR="00305410" w:rsidRPr="007D162C" w14:paraId="5D582F7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CE6615" w14:textId="77777777" w:rsidR="00305410" w:rsidRPr="007D162C" w:rsidRDefault="00305410" w:rsidP="00305410">
            <w:r w:rsidRPr="007D162C">
              <w:t>Regulatory</w:t>
            </w:r>
          </w:p>
        </w:tc>
        <w:tc>
          <w:tcPr>
            <w:tcW w:w="1343" w:type="dxa"/>
          </w:tcPr>
          <w:p w14:paraId="2B2EDA4B"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F793E9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96334C5"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5DEC4474"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C0AFCA4"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463" w:type="dxa"/>
          </w:tcPr>
          <w:p w14:paraId="5C8B0BFF"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bl>
    <w:p w14:paraId="295D0918" w14:textId="77777777" w:rsidR="004A463A" w:rsidRPr="007D162C" w:rsidRDefault="004A463A" w:rsidP="004A463A"/>
    <w:p w14:paraId="1B21F5C6" w14:textId="556546E1" w:rsidR="00305410" w:rsidRPr="007D162C" w:rsidRDefault="00305410" w:rsidP="00305410">
      <w:pPr>
        <w:pStyle w:val="Heading4"/>
        <w:tabs>
          <w:tab w:val="left" w:pos="284"/>
        </w:tabs>
      </w:pPr>
      <w:r w:rsidRPr="007D162C">
        <w:t xml:space="preserve">Analysis of submissions </w:t>
      </w:r>
    </w:p>
    <w:p w14:paraId="00DE64FB" w14:textId="77777777" w:rsidR="00305410" w:rsidRPr="007D162C" w:rsidRDefault="00305410" w:rsidP="004A463A">
      <w:pPr>
        <w:pStyle w:val="Heading5"/>
      </w:pPr>
      <w:r w:rsidRPr="007D162C">
        <w:t>Status quo</w:t>
      </w:r>
    </w:p>
    <w:p w14:paraId="6ED49F90" w14:textId="77777777" w:rsidR="00305410" w:rsidRPr="007D162C" w:rsidRDefault="08D050C4" w:rsidP="00305410">
      <w:pPr>
        <w:tabs>
          <w:tab w:val="left" w:pos="284"/>
        </w:tabs>
      </w:pPr>
      <w:r w:rsidRPr="007D162C">
        <w:t>Section 8.7 of the Transport Standards has generally been implemented by public transport operators and providers without difficulty. All of the conveyances listed provide devices that allow the signalling of the need for boarding devices. However, the section lacks specificity in relation to some performance requirements, which can prevent some people with disability from requesting a boarding device. The requirements also do not acknowledge face to face communication is often required to request a boarding device on platforms or in conveyances. The status quo would result in Section 8.7 remaining unchanged and no additional guidance would be provided.</w:t>
      </w:r>
    </w:p>
    <w:p w14:paraId="6DFA41DC" w14:textId="4110DA27" w:rsidR="00305410" w:rsidRPr="007D162C" w:rsidRDefault="00305410" w:rsidP="00305410">
      <w:pPr>
        <w:tabs>
          <w:tab w:val="left" w:pos="284"/>
        </w:tabs>
      </w:pPr>
      <w:r w:rsidRPr="007D162C">
        <w:t>Industry and government stakeholders were divided on their preferred approach in relation to this reform area</w:t>
      </w:r>
      <w:r w:rsidR="00CA65BF">
        <w:t>;</w:t>
      </w:r>
      <w:r w:rsidRPr="007D162C">
        <w:t xml:space="preserve"> however</w:t>
      </w:r>
      <w:r w:rsidR="00CA65BF">
        <w:t>,</w:t>
      </w:r>
      <w:r w:rsidRPr="007D162C">
        <w:t xml:space="preserve"> around 16 per cent of submissions (two submissions) from this stakeholder group expressed a preference for the status quo. One submission noted that this requirement should continue to not apply to aircraft. The other submission noted help points are available in all conveyances and staff are available at key stations and on-board services at key times. This submission further noted that additional help buttons in open areas is likely to result in ‘nuisance trips’ and impact service reliability.</w:t>
      </w:r>
    </w:p>
    <w:p w14:paraId="34BD858A" w14:textId="77777777" w:rsidR="00305410" w:rsidRPr="007D162C" w:rsidRDefault="08D050C4" w:rsidP="00305410">
      <w:pPr>
        <w:tabs>
          <w:tab w:val="left" w:pos="284"/>
        </w:tabs>
      </w:pPr>
      <w:r w:rsidRPr="007D162C">
        <w:t xml:space="preserve">Submissions from individuals, people with disability and disability organisations indicate that the status quo is not meeting the needs of people with disability.  Submissions from these groups highlighted that boarding device request processes are not suitable for the deaf or those with hearing impairments and are often difficult to locate. </w:t>
      </w:r>
    </w:p>
    <w:p w14:paraId="65B8D945" w14:textId="77777777" w:rsidR="00305410" w:rsidRPr="007D162C" w:rsidRDefault="00305410" w:rsidP="00305410">
      <w:r w:rsidRPr="007D162C">
        <w:t>Submissions also noted that the existing systems often lack the flexibility required, that is available to other passengers.</w:t>
      </w:r>
    </w:p>
    <w:p w14:paraId="7F74199C" w14:textId="77777777" w:rsidR="00305410" w:rsidRPr="007D162C" w:rsidRDefault="00305410" w:rsidP="00305410">
      <w:pPr>
        <w:pStyle w:val="Quote"/>
        <w:rPr>
          <w:shd w:val="clear" w:color="auto" w:fill="FFFFFF"/>
        </w:rPr>
      </w:pPr>
      <w:r w:rsidRPr="007D162C">
        <w:rPr>
          <w:shd w:val="clear" w:color="auto" w:fill="FFFFFF"/>
        </w:rPr>
        <w:t>But often, the existing systems, that depend on human interactions through direct assistance, lack the appropriate support or flexibility to support the community. If a person with disability wishes to change their destination, and therefore the station they require assistance, this should be available during the journey.</w:t>
      </w:r>
    </w:p>
    <w:p w14:paraId="240764F1" w14:textId="77777777" w:rsidR="00305410" w:rsidRPr="007D162C" w:rsidRDefault="00305410" w:rsidP="00305410">
      <w:pPr>
        <w:pStyle w:val="Quote"/>
        <w:rPr>
          <w:shd w:val="clear" w:color="auto" w:fill="FFFFFF"/>
        </w:rPr>
      </w:pPr>
      <w:r w:rsidRPr="007D162C">
        <w:rPr>
          <w:shd w:val="clear" w:color="auto" w:fill="FFFFFF"/>
        </w:rPr>
        <w:t>Queenslanders with Disability Network</w:t>
      </w:r>
    </w:p>
    <w:p w14:paraId="4AB84159" w14:textId="77777777" w:rsidR="00305410" w:rsidRPr="007D162C" w:rsidRDefault="00305410" w:rsidP="004A463A">
      <w:pPr>
        <w:tabs>
          <w:tab w:val="left" w:pos="284"/>
        </w:tabs>
      </w:pPr>
      <w:r w:rsidRPr="007D162C">
        <w:t xml:space="preserve">The Public Transport Ombudsman in Victoria noted that boarding devices continue to be the subject of a number of complaints, highlighting that current arrangements may not be meeting the needs of people with disability.  In its submission, the Ombudsman noted complaints often relate to how the device is used rather than the device itself. The submission noted this is particularly the case with bus services where drivers play a major role in both the delivery of the public transport service, as well as on the spot customer service. Operator training was noted as a major avenue through which accessible practices are developed and implemented and that one of the reasons for </w:t>
      </w:r>
      <w:r w:rsidRPr="007D162C">
        <w:lastRenderedPageBreak/>
        <w:t>incidents that compromise the accessibility of a service is the failure or absence of formal practices that instruct staff when assisting passengers with a disability.</w:t>
      </w:r>
    </w:p>
    <w:p w14:paraId="19AFDE55" w14:textId="64D39E78" w:rsidR="00305410" w:rsidRPr="007D162C" w:rsidRDefault="00305410" w:rsidP="004A463A">
      <w:pPr>
        <w:tabs>
          <w:tab w:val="left" w:pos="284"/>
        </w:tabs>
      </w:pPr>
      <w:r w:rsidRPr="007D162C">
        <w:t xml:space="preserve">Under the status quo, the Transport Standards </w:t>
      </w:r>
      <w:r w:rsidR="00CA65BF">
        <w:t>requirements</w:t>
      </w:r>
      <w:r w:rsidRPr="007D162C">
        <w:t xml:space="preserve"> for signals and processes for requesting boarding devices would continue to be outdated and not meet the needs of the disability community. Passengers who are hard of hearing or deaf may not be able to request a boarding device depending on the systems used. The status quo will continue to disadvantage and discriminate against people with disability, particularly those who are hearing impaired, when communication systems for requesting a boarding device require verbal interaction. Maintaining status quo does not enhance equality and independence, or reduce discrimination for people with disability in relation to public transport. The status quo has no on-going costs for public transports operators and providers, however negative impacts on community amenity, accessibility, and connection to community and place will remain.</w:t>
      </w:r>
    </w:p>
    <w:p w14:paraId="0AF1250B" w14:textId="77777777" w:rsidR="00305410" w:rsidRPr="007D162C" w:rsidRDefault="00305410" w:rsidP="004A463A">
      <w:pPr>
        <w:pStyle w:val="Heading5"/>
      </w:pPr>
      <w:r w:rsidRPr="007D162C">
        <w:t>Non-regulatory</w:t>
      </w:r>
    </w:p>
    <w:p w14:paraId="6026D962" w14:textId="77777777" w:rsidR="00305410" w:rsidRPr="007D162C" w:rsidRDefault="00305410" w:rsidP="00305410">
      <w:r w:rsidRPr="007D162C">
        <w:t xml:space="preserve">The non-regulatory option would provide updated guidance to include advice on good practice for requesting boarding devices, including communication of the need for boarding and alighting assistance in real time (the time of need) rather than through prior booking, and highlight the importance of staff training for effective real time communication. Advice would also be provided on suitable and accessible locations for placing request signal devices, and situations where devices should be linked to hearing augmentation systems. </w:t>
      </w:r>
    </w:p>
    <w:p w14:paraId="4D6E5BE4" w14:textId="100B790E" w:rsidR="00305410" w:rsidRPr="007D162C" w:rsidRDefault="08D050C4" w:rsidP="08D050C4">
      <w:pPr>
        <w:rPr>
          <w:rFonts w:ascii="Calibri" w:eastAsia="Times New Roman" w:hAnsi="Calibri" w:cs="Calibri"/>
          <w:color w:val="000000" w:themeColor="text1"/>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divided on their preferred approach in relation to this reform area</w:t>
      </w:r>
      <w:r w:rsidR="00CA65BF">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however</w:t>
      </w:r>
      <w:r w:rsidR="00CA65BF">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around 33 per cent expressed a preference for the non-regulatory option. </w:t>
      </w:r>
    </w:p>
    <w:p w14:paraId="1DC82B1F" w14:textId="11DB4462" w:rsidR="00305410" w:rsidRPr="007D162C" w:rsidRDefault="00305410" w:rsidP="00305410">
      <w:pPr>
        <w:rPr>
          <w:rFonts w:ascii="Calibri" w:eastAsia="Times New Roman" w:hAnsi="Calibri" w:cs="Calibri"/>
          <w:color w:val="000000" w:themeColor="text1"/>
          <w:lang w:eastAsia="en-AU"/>
        </w:rPr>
      </w:pPr>
      <w:r w:rsidRPr="007D162C">
        <w:t>Two industry and government stakeholders who expressed support for the non-regulatory option noted the current requirements are fit for purpose. One submission noted there are m</w:t>
      </w:r>
      <w:r w:rsidRPr="007D162C">
        <w:rPr>
          <w:rFonts w:ascii="Calibri" w:hAnsi="Calibri" w:cs="Calibri"/>
          <w:color w:val="000000"/>
          <w:shd w:val="clear" w:color="auto" w:fill="FFFFFF"/>
        </w:rPr>
        <w:t>inimal customer complaints regarding help points and call buttons, suggesting this is not an issue.</w:t>
      </w:r>
      <w:r w:rsidRPr="007D162C">
        <w:t xml:space="preserve"> Other submissions noted that additional guidance would be helpful. It was noted a non-regulatory option would provide flexibility and </w:t>
      </w:r>
      <w:r w:rsidRPr="007D162C">
        <w:rPr>
          <w:rFonts w:ascii="Calibri" w:eastAsia="Times New Roman" w:hAnsi="Calibri" w:cs="Calibri"/>
          <w:color w:val="000000"/>
          <w:lang w:eastAsia="en-AU"/>
        </w:rPr>
        <w:t>allow for innovative solutions to be developed that best meet the customers’ needs and account for practical limitations faced by operators and providers. Submissions in support of the non-regulatory option also highlighted that some</w:t>
      </w:r>
      <w:r w:rsidRPr="007D162C">
        <w:rPr>
          <w:rFonts w:ascii="Calibri" w:hAnsi="Calibri" w:cs="Calibri"/>
          <w:color w:val="000000"/>
          <w:shd w:val="clear" w:color="auto" w:fill="FFFFFF"/>
        </w:rPr>
        <w:t xml:space="preserve"> elements of the regulatory option, such as hearing loops for audio components, may not be achievable, or that significant costs would be involved in </w:t>
      </w:r>
      <w:r w:rsidRPr="007D162C">
        <w:rPr>
          <w:rFonts w:ascii="Calibri" w:eastAsia="Times New Roman" w:hAnsi="Calibri" w:cs="Calibri"/>
          <w:color w:val="000000"/>
          <w:lang w:eastAsia="en-AU"/>
        </w:rPr>
        <w:t>rewiring conveyances to implement the regulatory options presented.</w:t>
      </w:r>
    </w:p>
    <w:p w14:paraId="232B1051" w14:textId="6407B4A5" w:rsidR="00305410" w:rsidRPr="007D162C" w:rsidRDefault="00305410" w:rsidP="00305410">
      <w:r w:rsidRPr="007D162C">
        <w:t>To the extent that guidance is followed, costs would be incurred to upgrade systems to request boarding devices. One submission noted that</w:t>
      </w:r>
      <w:r w:rsidRPr="007D162C">
        <w:rPr>
          <w:rFonts w:ascii="Calibri" w:hAnsi="Calibri" w:cs="Calibri"/>
          <w:color w:val="000000"/>
          <w:shd w:val="clear" w:color="auto" w:fill="FFFFFF"/>
        </w:rPr>
        <w:t xml:space="preserve"> new conveyances are likely to already comply with the requirement</w:t>
      </w:r>
      <w:r w:rsidR="00CA65BF">
        <w:rPr>
          <w:rFonts w:ascii="Calibri" w:hAnsi="Calibri" w:cs="Calibri"/>
          <w:color w:val="000000"/>
          <w:shd w:val="clear" w:color="auto" w:fill="FFFFFF"/>
        </w:rPr>
        <w:t>;</w:t>
      </w:r>
      <w:r w:rsidRPr="007D162C">
        <w:rPr>
          <w:rFonts w:ascii="Calibri" w:hAnsi="Calibri" w:cs="Calibri"/>
          <w:color w:val="000000"/>
          <w:shd w:val="clear" w:color="auto" w:fill="FFFFFF"/>
        </w:rPr>
        <w:t xml:space="preserve"> however</w:t>
      </w:r>
      <w:r w:rsidR="00CA65BF">
        <w:rPr>
          <w:rFonts w:ascii="Calibri" w:hAnsi="Calibri" w:cs="Calibri"/>
          <w:color w:val="000000"/>
          <w:shd w:val="clear" w:color="auto" w:fill="FFFFFF"/>
        </w:rPr>
        <w:t>,</w:t>
      </w:r>
      <w:r w:rsidRPr="007D162C">
        <w:rPr>
          <w:rFonts w:ascii="Calibri" w:hAnsi="Calibri" w:cs="Calibri"/>
          <w:color w:val="000000"/>
          <w:shd w:val="clear" w:color="auto" w:fill="FFFFFF"/>
        </w:rPr>
        <w:t xml:space="preserve"> there may be a need to retrofit any conveyances where existing controls do not meet the standards. </w:t>
      </w:r>
      <w:r w:rsidRPr="007D162C">
        <w:t xml:space="preserve">These costs would vary with the number of affected controls.  One submission indicated that retrofitting communication systems in existing assets is costly and challenging, estimating these costs to be in the tens of millions of dollars.  The non-regulatory option would allow operators and providers to manage the implementation (and related costs) to suit their operational requirements, including through staging the implementation. </w:t>
      </w:r>
    </w:p>
    <w:p w14:paraId="461DB4EA" w14:textId="3ABE039D" w:rsidR="00305410" w:rsidRPr="007D162C" w:rsidRDefault="00305410" w:rsidP="00305410">
      <w:r w:rsidRPr="007D162C">
        <w:t xml:space="preserve">Given this option is discretionary, it does not provide certainty that guidance will be implemented. To the extent that guidance is followed, people with poor hand function who have found controls too hard to operate, and people who rely on hearing aids for verbal interaction, will benefit from implementation of the proposed guidance. </w:t>
      </w:r>
    </w:p>
    <w:p w14:paraId="7CB24567" w14:textId="77777777" w:rsidR="00305410" w:rsidRPr="007D162C" w:rsidRDefault="00305410" w:rsidP="004A463A">
      <w:pPr>
        <w:pStyle w:val="Heading5"/>
      </w:pPr>
      <w:r w:rsidRPr="007D162C">
        <w:lastRenderedPageBreak/>
        <w:t>Regulatory</w:t>
      </w:r>
    </w:p>
    <w:p w14:paraId="5E1D7CCC" w14:textId="77777777" w:rsidR="00305410" w:rsidRPr="007D162C" w:rsidRDefault="00305410" w:rsidP="00305410">
      <w:r w:rsidRPr="007D162C">
        <w:t>The regulatory option would amend the Transport Standards to include requirements for signal devices, and a process for requesting boarding assistance in real time. Two sub-options in relation to call and control buttons were presented. Sub-option 1 provides a discretionary option to include a continuously operating light on call and control buttons, whereas sub-option 2 made continuously operating lights mandatory.</w:t>
      </w:r>
    </w:p>
    <w:p w14:paraId="2C498C08" w14:textId="77777777" w:rsidR="00305410" w:rsidRPr="007D162C" w:rsidRDefault="08D050C4" w:rsidP="08D050C4">
      <w:pPr>
        <w:rPr>
          <w:rFonts w:ascii="Calibri" w:eastAsia="Times New Roman" w:hAnsi="Calibri" w:cs="Calibri"/>
          <w:color w:val="000000" w:themeColor="text1"/>
          <w:lang w:eastAsia="en-AU"/>
        </w:rPr>
      </w:pPr>
      <w:r w:rsidRPr="007D162C">
        <w:t>All submissions from individuals, people with disability or disability organisations who expressed a preferred approach supported the regulatory option, with sub-option 2 being the most preferred sub-option for this stakeholder group.</w:t>
      </w:r>
      <w:r w:rsidRPr="007D162C">
        <w:rPr>
          <w:rFonts w:ascii="Calibri" w:eastAsia="Times New Roman" w:hAnsi="Calibri" w:cs="Calibri"/>
          <w:color w:val="000000" w:themeColor="text1"/>
          <w:lang w:eastAsia="en-AU"/>
        </w:rPr>
        <w:t xml:space="preserve"> One submission highlighted that the use of ‘should’ and discretionary nature of sub-option 1 would allow transport operators to select the less accessible option.</w:t>
      </w:r>
    </w:p>
    <w:p w14:paraId="0815FC5E" w14:textId="0773A682" w:rsidR="00305410" w:rsidRPr="007D162C" w:rsidRDefault="08D050C4" w:rsidP="004A463A">
      <w:pPr>
        <w:tabs>
          <w:tab w:val="left" w:pos="284"/>
        </w:tabs>
      </w:pPr>
      <w:r w:rsidRPr="007D162C">
        <w:t xml:space="preserve">A number of submissions from this stakeholder group outlined a number of concerns with the regulatory options presented. Two submissions noted the options continue to disadvantage the deaf and those who are non-verbal who must request assistance over a phone system. It was noted that for these passengers, their hearing may not be able to be augmented by a hearing loop system. These submissions outlined that until technology emerges that supports communication from Auslan to text / voice and vice versa it would be best if request systems were not solely reliant on verbal interaction. Another submission expressed disappointment that the regulatory options required passengers with disability to pre-book boarding assistance at stations that may be unstaffed when they wish to travel. This was viewed as discriminatory as it denied people with disability the same flexibility as other passengers. Suggestions were made that, ideally, these locations should have staff available at all times or have platforms which meet requirements for unassisted boarding. Alternatively, it was suggested vehicle drivers and guards must perform the task of providing boarding assistance. </w:t>
      </w:r>
    </w:p>
    <w:p w14:paraId="07D377FB" w14:textId="0DFE5B71" w:rsidR="00305410" w:rsidRPr="007D162C" w:rsidRDefault="00305410" w:rsidP="004A463A">
      <w:pPr>
        <w:tabs>
          <w:tab w:val="left" w:pos="284"/>
        </w:tabs>
      </w:pPr>
      <w:r w:rsidRPr="007D162C">
        <w:t>Industry and government stakeholders were divided on their preferred approach in relation to this reform area</w:t>
      </w:r>
      <w:r w:rsidR="00560273">
        <w:t>;</w:t>
      </w:r>
      <w:r w:rsidRPr="007D162C">
        <w:t xml:space="preserve"> however</w:t>
      </w:r>
      <w:r w:rsidR="00560273">
        <w:t>,</w:t>
      </w:r>
      <w:r w:rsidRPr="007D162C">
        <w:t xml:space="preserve"> 50 per cent expressed a preference for a regulatory approach. Of these, all who expressed a preference for one of the sub-options selected sub-option 2 as the preferred sub-option. One submission outlined that consultation with people with disability indicates that not having a continuously operating light is a serious disadvantage and safety risk for people who are deaf. Submissions outlined that sub-option 2 provided consistency and certainty for customers and best addresses this risk. </w:t>
      </w:r>
    </w:p>
    <w:p w14:paraId="56AE7FE5" w14:textId="77777777" w:rsidR="00305410" w:rsidRPr="007D162C" w:rsidRDefault="00305410" w:rsidP="004A463A">
      <w:pPr>
        <w:tabs>
          <w:tab w:val="left" w:pos="284"/>
        </w:tabs>
      </w:pPr>
      <w:r w:rsidRPr="007D162C">
        <w:t>A number of suggestions were made to clarify aspects of the proposed regulatory requirements. One submission outlined clarity is needed as the requirements may not be necessary for booked services where customer destination and assistance requirements are known well in advance of travel. Another submission suggested that the difference between physical and digital requirements also needed greater definition and clarity. One submission from industry did not support any of the proposed options but noted that a regulatory option would be supported if a third sub-option was available that provided for the surrounding area in a conveyance to be suitably illuminated to allow call buttons to be clearly visible. This submission noted that having multiple separately lit buttons as required in sub-options 1 and 2 would create reflection issues for drivers and would not provide an advantage in the passenger area inside a bus or coach where drivers have direct line of sight and communication with passengers.</w:t>
      </w:r>
    </w:p>
    <w:p w14:paraId="7F6D585E" w14:textId="057EF4C4" w:rsidR="00305410" w:rsidRPr="007D162C" w:rsidRDefault="00305410" w:rsidP="004A463A">
      <w:pPr>
        <w:tabs>
          <w:tab w:val="left" w:pos="284"/>
        </w:tabs>
      </w:pPr>
      <w:r w:rsidRPr="007D162C">
        <w:t>Costs would be incurred to upgrade systems to request boarding devices. Where existing controls require excessive force to operate, or where verbal interaction is required to request the deployment of a boarding device, there may be a need to retrofit systems. One submission noted that the regulatory option would see operators and providers unaffected by any update for new conveyances as they would already comply with the requirement. However</w:t>
      </w:r>
      <w:r w:rsidR="00560273">
        <w:t>,</w:t>
      </w:r>
      <w:r w:rsidRPr="007D162C">
        <w:t xml:space="preserve"> there may be a need to retrofit any conveyances where existing controls do not meet the standards. One submission </w:t>
      </w:r>
      <w:r w:rsidRPr="007D162C">
        <w:lastRenderedPageBreak/>
        <w:t xml:space="preserve">estimated the costs of retrofitting communication systems in existing assets to be in the tens of millions of dollars. The submission recommended that the requirements should only apply to new assets. These costs would vary with the number of affected controls. </w:t>
      </w:r>
    </w:p>
    <w:p w14:paraId="20E408BC" w14:textId="77777777" w:rsidR="00305410" w:rsidRPr="007D162C" w:rsidRDefault="00305410" w:rsidP="004A463A">
      <w:pPr>
        <w:tabs>
          <w:tab w:val="left" w:pos="284"/>
        </w:tabs>
      </w:pPr>
      <w:r w:rsidRPr="007D162C">
        <w:t>People who have poor hand function and who have found controls too hard to operate, and people who rely on hearing aids for verbal interaction will benefit from the requirements of the regulatory option.</w:t>
      </w:r>
    </w:p>
    <w:p w14:paraId="672FCE11" w14:textId="77777777" w:rsidR="00305410" w:rsidRPr="007D162C" w:rsidRDefault="00305410" w:rsidP="00305410">
      <w:pPr>
        <w:pStyle w:val="Heading4"/>
      </w:pPr>
      <w:r w:rsidRPr="007D162C">
        <w:t>Preferred option</w:t>
      </w:r>
    </w:p>
    <w:p w14:paraId="77144259" w14:textId="3D7F5E59" w:rsidR="004E77B6" w:rsidRDefault="00305410" w:rsidP="004E77B6">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with </w:t>
      </w:r>
      <w:r w:rsidRPr="007D162C">
        <w:rPr>
          <w:b/>
        </w:rPr>
        <w:t>sub-option 2</w:t>
      </w:r>
      <w:r w:rsidRPr="007D162C">
        <w:t xml:space="preserve"> in relation to call and control buttons. </w:t>
      </w:r>
    </w:p>
    <w:p w14:paraId="2EDAC9F4" w14:textId="3856E26C" w:rsidR="004E77B6" w:rsidRPr="00F55FEE" w:rsidRDefault="004E77B6" w:rsidP="004E77B6">
      <w:pPr>
        <w:pStyle w:val="Style5"/>
        <w:framePr w:wrap="around"/>
      </w:pPr>
      <w:r w:rsidRPr="00FA7D2B">
        <w:t>N</w:t>
      </w:r>
      <w:r w:rsidRPr="00FA7D2B">
        <w:rPr>
          <w:shd w:val="clear" w:color="auto" w:fill="FFFFFF"/>
        </w:rPr>
        <w:t xml:space="preserve">oting </w:t>
      </w:r>
      <w:r w:rsidRPr="00FA7D2B">
        <w:t xml:space="preserve">AS1428.1 (2009) </w:t>
      </w:r>
      <w:r w:rsidRPr="00FA7D2B">
        <w:rPr>
          <w:shd w:val="clear" w:color="auto" w:fill="FFFFFF"/>
        </w:rPr>
        <w:t xml:space="preserve">has now been superseded by </w:t>
      </w:r>
      <w:r w:rsidRPr="00FA7D2B">
        <w:t>AS1428.1 (2021), reference to AS1428.1 (2009) clause</w:t>
      </w:r>
      <w:r w:rsidR="00FA7D2B" w:rsidRPr="00FA7D2B">
        <w:t xml:space="preserve"> </w:t>
      </w:r>
      <w:r w:rsidRPr="00FA7D2B">
        <w:t>13.5.3 and 13.</w:t>
      </w:r>
      <w:r w:rsidR="00FA7D2B" w:rsidRPr="00FA7D2B">
        <w:t>5.4</w:t>
      </w:r>
      <w:r w:rsidRPr="00FA7D2B">
        <w:t xml:space="preserve"> </w:t>
      </w:r>
      <w:r w:rsidRPr="00FA7D2B">
        <w:rPr>
          <w:shd w:val="clear" w:color="auto" w:fill="FFFFFF"/>
        </w:rPr>
        <w:t xml:space="preserve">will be updated with the equivalent clause reference in </w:t>
      </w:r>
      <w:r w:rsidRPr="00FA7D2B">
        <w:t>AS1428.1 (2021).</w:t>
      </w:r>
      <w:r w:rsidRPr="00F55FEE">
        <w:t xml:space="preserve"> There is no material change to the content of these updated Australian Standards clauses. </w:t>
      </w:r>
    </w:p>
    <w:p w14:paraId="71C23828" w14:textId="77777777" w:rsidR="004E77B6" w:rsidRDefault="004E77B6" w:rsidP="004A463A">
      <w:pPr>
        <w:tabs>
          <w:tab w:val="left" w:pos="284"/>
        </w:tabs>
      </w:pPr>
    </w:p>
    <w:p w14:paraId="336B2380" w14:textId="3D0032A3" w:rsidR="00305410" w:rsidRPr="007D162C" w:rsidRDefault="00305410" w:rsidP="004A463A">
      <w:pPr>
        <w:tabs>
          <w:tab w:val="left" w:pos="284"/>
        </w:tabs>
      </w:pPr>
      <w:r w:rsidRPr="007D162C">
        <w:t>Submissions highlighted that current arrangements may not be meeting the needs of people with disability, indicating the need for a regulatory approach. Submissions noted a regulatory approach would deliver improvements for people with disability in requesting boarding assistance and sub-option 2 would ensure the greatest clarity and consistency.</w:t>
      </w:r>
    </w:p>
    <w:p w14:paraId="303DBC58" w14:textId="77777777" w:rsidR="00305410" w:rsidRPr="007D162C" w:rsidRDefault="00305410" w:rsidP="004A463A">
      <w:pPr>
        <w:tabs>
          <w:tab w:val="left" w:pos="284"/>
        </w:tabs>
      </w:pPr>
      <w:r w:rsidRPr="007D162C">
        <w:t xml:space="preserve">Responding to concerns raised during consultation, updated guidance will stress that communication of the need for boarding and alighting assistance should be in real time (at the time of need) rather than through prior booking to ensure that people with disability have the same flexibility and amenity of travel as other passengers. Suggestions that were provided during consultation as a means to address situations where stations are unstaffed will also be included in guidance. For example, guidance will encourage transport operators and providers to have staff available or alternatively, vehicle drivers and guards could perform the task of providing boarding assistance. </w:t>
      </w:r>
    </w:p>
    <w:p w14:paraId="4B6F4373" w14:textId="77777777" w:rsidR="00305410" w:rsidRPr="007D162C" w:rsidRDefault="00305410" w:rsidP="004A463A">
      <w:pPr>
        <w:tabs>
          <w:tab w:val="left" w:pos="284"/>
        </w:tabs>
      </w:pPr>
      <w:r w:rsidRPr="007D162C">
        <w:t>While acknowledging concerns made in one submission regarding reflection concerns for bus drivers, no changes to the preferred option will be made in this regard. Noting the submission made by the Public Transport Ombudsman in Victoria indicating bus services are the subject of a number of complaints, the proposed requirements, in addition to staff training as recommended by the Ombudsman and provided by the updated guidance, are considered necessary to improve accessibility and address the issues presented by this reform area.</w:t>
      </w:r>
    </w:p>
    <w:p w14:paraId="067B778F" w14:textId="7F0E85FD" w:rsidR="00305410" w:rsidRPr="007D162C" w:rsidRDefault="08D050C4" w:rsidP="004A463A">
      <w:pPr>
        <w:tabs>
          <w:tab w:val="left" w:pos="284"/>
        </w:tabs>
      </w:pPr>
      <w:r w:rsidRPr="007D162C">
        <w:t xml:space="preserve">Concerns are acknowledged regarding the suitability of the proposed options for the deaf and those who are non-verbal who must request assistance over a help phone system. Part 34 of the Transport Standards provides for a review of the efficiency and effectiveness of the Transport Standards to be carried out every 5 years.  The new requirements </w:t>
      </w:r>
      <w:r w:rsidR="00560273">
        <w:t>will</w:t>
      </w:r>
      <w:r w:rsidRPr="007D162C">
        <w:t xml:space="preserve"> be reviewed as part of the statutory review process if new technology emerges that supports non-verbal communication from Auslan to text / voice and vice versa.</w:t>
      </w:r>
    </w:p>
    <w:p w14:paraId="72F4ED98" w14:textId="01874433"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r w:rsidR="00D57A02" w:rsidRPr="007D162C">
        <w:t xml:space="preserve"> This is to address operators and providers concerns about costly and challenging retrofitting of existing assets.</w:t>
      </w:r>
    </w:p>
    <w:p w14:paraId="49A66830" w14:textId="414592A0" w:rsidR="00305410" w:rsidRPr="007D162C" w:rsidRDefault="00305410" w:rsidP="004A463A">
      <w:pPr>
        <w:tabs>
          <w:tab w:val="left" w:pos="284"/>
        </w:tabs>
      </w:pPr>
      <w:r w:rsidRPr="007D162C">
        <w:br w:type="page"/>
      </w:r>
    </w:p>
    <w:p w14:paraId="0FF7DEF8" w14:textId="77777777" w:rsidR="00305410" w:rsidRPr="007D162C" w:rsidRDefault="00305410" w:rsidP="00305410"/>
    <w:p w14:paraId="3331884B" w14:textId="16FFB997" w:rsidR="00305410" w:rsidRPr="007D162C" w:rsidRDefault="00305410" w:rsidP="007D7AC3">
      <w:pPr>
        <w:pStyle w:val="Heading2"/>
        <w:numPr>
          <w:ilvl w:val="0"/>
          <w:numId w:val="28"/>
        </w:numPr>
        <w:ind w:hanging="720"/>
      </w:pPr>
      <w:bookmarkStart w:id="518" w:name="_Toc127351790"/>
      <w:bookmarkStart w:id="519" w:name="_Toc140239748"/>
      <w:r w:rsidRPr="007D162C">
        <w:t>Notification by passenger of need for boarding device</w:t>
      </w:r>
      <w:bookmarkEnd w:id="518"/>
      <w:bookmarkEnd w:id="519"/>
    </w:p>
    <w:p w14:paraId="0E466191" w14:textId="77777777" w:rsidR="00305410" w:rsidRPr="007D162C" w:rsidRDefault="00305410" w:rsidP="00305410">
      <w:pPr>
        <w:pStyle w:val="Heading4"/>
        <w:tabs>
          <w:tab w:val="left" w:pos="284"/>
        </w:tabs>
      </w:pPr>
      <w:r w:rsidRPr="007D162C">
        <w:t>Issue</w:t>
      </w:r>
    </w:p>
    <w:p w14:paraId="3D19B39E" w14:textId="77777777" w:rsidR="00305410" w:rsidRPr="007D162C" w:rsidRDefault="00305410" w:rsidP="00305410">
      <w:r w:rsidRPr="007D162C">
        <w:t>Transport Standards Section 8.8 Notification by passenger of need for boarding device, includes specifications to enable passengers to notify operators and providers that they require a boarding device to board or alight from a conveyance. However, Section 8.8 does not specify requirements for advanced notice or booking for passengers needing access to a boarding device, and the requirements for passengers requesting boarding devices at infrastructure and in premises are conflated with the requirements relating to on board conveyances.</w:t>
      </w:r>
    </w:p>
    <w:p w14:paraId="1E0C9A3A" w14:textId="77777777" w:rsidR="00305410" w:rsidRPr="007D162C" w:rsidRDefault="00305410" w:rsidP="00305410">
      <w:pPr>
        <w:tabs>
          <w:tab w:val="left" w:pos="284"/>
        </w:tabs>
      </w:pPr>
      <w:r w:rsidRPr="007D162C">
        <w:t>Collective government action would ensure boarding assistance is accessible to all passengers and address key stakeholder issues raised through the Transport Standards review process.</w:t>
      </w:r>
    </w:p>
    <w:p w14:paraId="64857723" w14:textId="77777777" w:rsidR="00305410" w:rsidRPr="007D162C" w:rsidRDefault="00305410" w:rsidP="00305410">
      <w:pPr>
        <w:pStyle w:val="Heading4"/>
        <w:tabs>
          <w:tab w:val="left" w:pos="284"/>
        </w:tabs>
      </w:pPr>
      <w:r w:rsidRPr="007D162C">
        <w:t>Reform options</w:t>
      </w:r>
    </w:p>
    <w:p w14:paraId="6F387246"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6384CB3B" w14:textId="3CF3E84F" w:rsidR="00305410" w:rsidRPr="007D162C" w:rsidRDefault="00305410" w:rsidP="00305410">
      <w:pPr>
        <w:pStyle w:val="Caption"/>
        <w:keepNext/>
      </w:pPr>
      <w:bookmarkStart w:id="520" w:name="_Toc122446429"/>
      <w:bookmarkStart w:id="521" w:name="_Toc139969267"/>
      <w:r w:rsidRPr="007D162C">
        <w:t xml:space="preserve">Table </w:t>
      </w:r>
      <w:fldSimple w:instr=" SEQ Table \* ARABIC ">
        <w:r w:rsidR="00DC26AC">
          <w:rPr>
            <w:noProof/>
          </w:rPr>
          <w:t>109</w:t>
        </w:r>
      </w:fldSimple>
      <w:r w:rsidRPr="007D162C">
        <w:t>: Reform options for notification by passenger of need for boarding device</w:t>
      </w:r>
      <w:bookmarkEnd w:id="520"/>
      <w:bookmarkEnd w:id="521"/>
    </w:p>
    <w:tbl>
      <w:tblPr>
        <w:tblStyle w:val="DefaultTable1"/>
        <w:tblW w:w="9072" w:type="dxa"/>
        <w:tblLook w:val="04A0" w:firstRow="1" w:lastRow="0" w:firstColumn="1" w:lastColumn="0" w:noHBand="0" w:noVBand="1"/>
        <w:tblCaption w:val="Reform options for Notification by passenger of need for boarding device"/>
        <w:tblDescription w:val="This table provides a description of each of the options for this reform area. Status quo, non-regulatory and regulatory."/>
      </w:tblPr>
      <w:tblGrid>
        <w:gridCol w:w="2232"/>
        <w:gridCol w:w="6840"/>
      </w:tblGrid>
      <w:tr w:rsidR="00305410" w:rsidRPr="007D162C" w14:paraId="3D479511" w14:textId="77777777" w:rsidTr="004B25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759489"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51D04082"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3761B873" w14:textId="77777777" w:rsidTr="004B2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E2E7ED8"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58C5243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provisions will remain ambiguous of the requirement for advanced notice or booking by passengers to board or alight from a conveyance.</w:t>
            </w:r>
          </w:p>
          <w:p w14:paraId="1E0B6D02"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305410" w:rsidRPr="007D162C" w14:paraId="1323F622" w14:textId="77777777" w:rsidTr="004B2538">
        <w:tc>
          <w:tcPr>
            <w:cnfStyle w:val="001000000000" w:firstRow="0" w:lastRow="0" w:firstColumn="1" w:lastColumn="0" w:oddVBand="0" w:evenVBand="0" w:oddHBand="0" w:evenHBand="0" w:firstRowFirstColumn="0" w:firstRowLastColumn="0" w:lastRowFirstColumn="0" w:lastRowLastColumn="0"/>
            <w:tcW w:w="2232" w:type="dxa"/>
          </w:tcPr>
          <w:p w14:paraId="3AEDDBA2"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520FB71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for passenger notification of need for boarding device. There are 2 sub-options for consideration in relation to communication directly with staff or with automated systems:</w:t>
            </w:r>
          </w:p>
          <w:p w14:paraId="3FF07E2B" w14:textId="77777777" w:rsidR="00305410" w:rsidRPr="007D162C" w:rsidRDefault="08D050C4" w:rsidP="006F65FB">
            <w:pPr>
              <w:pStyle w:val="ListParagraph"/>
              <w:numPr>
                <w:ilvl w:val="6"/>
                <w:numId w:val="8"/>
              </w:numPr>
              <w:autoSpaceDE w:val="0"/>
              <w:autoSpaceDN w:val="0"/>
              <w:spacing w:after="40"/>
              <w:ind w:left="496"/>
              <w:cnfStyle w:val="000000000000" w:firstRow="0" w:lastRow="0" w:firstColumn="0" w:lastColumn="0" w:oddVBand="0" w:evenVBand="0" w:oddHBand="0" w:evenHBand="0" w:firstRowFirstColumn="0" w:firstRowLastColumn="0" w:lastRowFirstColumn="0" w:lastRowLastColumn="0"/>
            </w:pPr>
            <w:r w:rsidRPr="007D162C">
              <w:t>Communication of the need for boarding assistance in 'real time' for unbooked services that is at the time of need rather than through prior booking, is necessary if passengers with disabilities are to have the same flexibility and amenity of travel as other passengers</w:t>
            </w:r>
          </w:p>
          <w:p w14:paraId="08251F07" w14:textId="77777777" w:rsidR="00305410" w:rsidRPr="007D162C" w:rsidRDefault="08D050C4" w:rsidP="006F65FB">
            <w:pPr>
              <w:pStyle w:val="ListParagraph"/>
              <w:numPr>
                <w:ilvl w:val="6"/>
                <w:numId w:val="8"/>
              </w:numPr>
              <w:autoSpaceDE w:val="0"/>
              <w:autoSpaceDN w:val="0"/>
              <w:spacing w:after="40"/>
              <w:ind w:left="496"/>
              <w:cnfStyle w:val="000000000000" w:firstRow="0" w:lastRow="0" w:firstColumn="0" w:lastColumn="0" w:oddVBand="0" w:evenVBand="0" w:oddHBand="0" w:evenHBand="0" w:firstRowFirstColumn="0" w:firstRowLastColumn="0" w:lastRowFirstColumn="0" w:lastRowLastColumn="0"/>
            </w:pPr>
            <w:r w:rsidRPr="007D162C">
              <w:t>While some passengers who may need boarding assistance on unbooked services may choose to book the assistance, and operators may legitimately advise this, it should not be mandatory.</w:t>
            </w:r>
          </w:p>
        </w:tc>
      </w:tr>
      <w:tr w:rsidR="00305410" w:rsidRPr="007D162C" w14:paraId="6CBE79D4" w14:textId="77777777" w:rsidTr="004B2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5A63EBB"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5C1779B"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so passengers can communicate in real time their need for boarding assistance or a boarding device prior to boarding. Proposed amendments include:</w:t>
            </w:r>
          </w:p>
          <w:p w14:paraId="5A164FD2"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modes of communication with public transport staff</w:t>
            </w:r>
          </w:p>
          <w:p w14:paraId="25011551"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location of request signal device</w:t>
            </w:r>
          </w:p>
          <w:p w14:paraId="359B78BA"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for unbooked services, the need for prior booking (sub-option 1) or at unstaffed locations, the need to provide advanced notice (sub-option 2).</w:t>
            </w:r>
          </w:p>
          <w:p w14:paraId="2873492B" w14:textId="77777777" w:rsidR="00305410" w:rsidRPr="007D162C" w:rsidRDefault="00305410" w:rsidP="00305410">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rPr>
                <w:b/>
              </w:rPr>
            </w:pPr>
            <w:r w:rsidRPr="007D162C">
              <w:t>Two sub-options were presented for call and control buttons:</w:t>
            </w:r>
          </w:p>
          <w:p w14:paraId="69CAC90A" w14:textId="77777777" w:rsidR="00305410" w:rsidRPr="007D162C" w:rsidRDefault="00305410" w:rsidP="00425012">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Call and control buttons should have an integral, continuously operating light.</w:t>
            </w:r>
          </w:p>
          <w:p w14:paraId="238F7D58" w14:textId="77777777" w:rsidR="00305410" w:rsidRPr="007D162C" w:rsidRDefault="00305410" w:rsidP="00425012">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Call and control buttons must have an integral, continuously operating light.</w:t>
            </w:r>
          </w:p>
          <w:p w14:paraId="52C86459"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lastRenderedPageBreak/>
              <w:t>Guidance would be provided to reflect any new requirements.</w:t>
            </w:r>
          </w:p>
        </w:tc>
      </w:tr>
    </w:tbl>
    <w:p w14:paraId="72868740" w14:textId="77777777" w:rsidR="00BA004C" w:rsidRPr="007D162C" w:rsidRDefault="00BA004C" w:rsidP="00BA004C">
      <w:pPr>
        <w:pStyle w:val="BodyText"/>
      </w:pPr>
    </w:p>
    <w:p w14:paraId="6254AF80" w14:textId="3B66D1AC" w:rsidR="00305410" w:rsidRPr="007D162C" w:rsidRDefault="00305410" w:rsidP="00305410">
      <w:pPr>
        <w:pStyle w:val="Heading4"/>
        <w:tabs>
          <w:tab w:val="left" w:pos="284"/>
        </w:tabs>
      </w:pPr>
      <w:r w:rsidRPr="007D162C">
        <w:t>Cost benefit analysis</w:t>
      </w:r>
    </w:p>
    <w:p w14:paraId="65DDBA82"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648F47B" w14:textId="77777777" w:rsidR="00305410" w:rsidRPr="007D162C" w:rsidRDefault="00305410" w:rsidP="00305410">
      <w:r w:rsidRPr="007D162C">
        <w:t xml:space="preserve">The following categories of quantitative costs and benefits were identified in the CBA as pertaining to the reform options. </w:t>
      </w:r>
    </w:p>
    <w:p w14:paraId="37D7D1B3" w14:textId="6693539D" w:rsidR="00305410" w:rsidRPr="007D162C" w:rsidRDefault="00305410" w:rsidP="00305410">
      <w:pPr>
        <w:pStyle w:val="Caption"/>
        <w:keepNext/>
      </w:pPr>
      <w:bookmarkStart w:id="522" w:name="_Toc122446430"/>
      <w:bookmarkStart w:id="523" w:name="_Toc139969268"/>
      <w:r w:rsidRPr="007D162C">
        <w:t xml:space="preserve">Table </w:t>
      </w:r>
      <w:fldSimple w:instr=" SEQ Table \* ARABIC ">
        <w:r w:rsidR="00DC26AC">
          <w:rPr>
            <w:noProof/>
          </w:rPr>
          <w:t>110</w:t>
        </w:r>
      </w:fldSimple>
      <w:r w:rsidRPr="007D162C">
        <w:t>: Benefit-cost ratios for notification by passenger of need for boarding device</w:t>
      </w:r>
      <w:bookmarkEnd w:id="522"/>
      <w:bookmarkEnd w:id="523"/>
    </w:p>
    <w:tbl>
      <w:tblPr>
        <w:tblStyle w:val="DefaultTable1"/>
        <w:tblW w:w="9864" w:type="dxa"/>
        <w:tblLook w:val="04A0" w:firstRow="1" w:lastRow="0" w:firstColumn="1" w:lastColumn="0" w:noHBand="0" w:noVBand="1"/>
        <w:tblCaption w:val="Benefit-cost ratios for notification by passenger of need for boarding device"/>
        <w:tblDescription w:val="This table provides the monetised benefits and costs for each of the options for this reform area."/>
      </w:tblPr>
      <w:tblGrid>
        <w:gridCol w:w="1214"/>
        <w:gridCol w:w="1531"/>
        <w:gridCol w:w="1791"/>
        <w:gridCol w:w="1701"/>
        <w:gridCol w:w="1843"/>
        <w:gridCol w:w="1784"/>
      </w:tblGrid>
      <w:tr w:rsidR="00305410" w:rsidRPr="007D162C" w14:paraId="5BA5437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D9490A6" w14:textId="77777777" w:rsidR="00305410" w:rsidRPr="007D162C" w:rsidRDefault="08D050C4" w:rsidP="00305410">
            <w:r w:rsidRPr="007D162C">
              <w:t>Reform Option</w:t>
            </w:r>
          </w:p>
        </w:tc>
        <w:tc>
          <w:tcPr>
            <w:tcW w:w="1531" w:type="dxa"/>
          </w:tcPr>
          <w:p w14:paraId="777E1B3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3BE761B4"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369C03F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1A500E5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0C420422" w14:textId="24170E2F"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26757DB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E1B5359" w14:textId="77777777" w:rsidR="00305410" w:rsidRPr="007D162C" w:rsidRDefault="00305410" w:rsidP="00305410">
            <w:r w:rsidRPr="007D162C">
              <w:t>Status Quo</w:t>
            </w:r>
          </w:p>
        </w:tc>
        <w:tc>
          <w:tcPr>
            <w:tcW w:w="1531" w:type="dxa"/>
          </w:tcPr>
          <w:p w14:paraId="295972F9"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91" w:type="dxa"/>
          </w:tcPr>
          <w:p w14:paraId="679C74D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tcPr>
          <w:p w14:paraId="783AAF98"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843" w:type="dxa"/>
          </w:tcPr>
          <w:p w14:paraId="7E6F5E77"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84" w:type="dxa"/>
          </w:tcPr>
          <w:p w14:paraId="1187EC00"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r>
      <w:tr w:rsidR="00305410" w:rsidRPr="007D162C" w14:paraId="3B9B4FCE"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464946D" w14:textId="77777777" w:rsidR="00305410" w:rsidRPr="007D162C" w:rsidRDefault="00305410" w:rsidP="00305410">
            <w:r w:rsidRPr="007D162C">
              <w:t xml:space="preserve">Non-regulatory </w:t>
            </w:r>
          </w:p>
        </w:tc>
        <w:tc>
          <w:tcPr>
            <w:tcW w:w="1531" w:type="dxa"/>
            <w:vAlign w:val="center"/>
          </w:tcPr>
          <w:p w14:paraId="219EBCE4"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61C13F82"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sz w:val="21"/>
                <w:szCs w:val="21"/>
              </w:rPr>
            </w:pPr>
            <w:r w:rsidRPr="007D162C">
              <w:rPr>
                <w:sz w:val="21"/>
                <w:szCs w:val="21"/>
              </w:rPr>
              <w:t>-</w:t>
            </w:r>
          </w:p>
        </w:tc>
        <w:tc>
          <w:tcPr>
            <w:tcW w:w="1701" w:type="dxa"/>
            <w:vAlign w:val="center"/>
          </w:tcPr>
          <w:p w14:paraId="4DAE3F68" w14:textId="1FFA274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10.3</w:t>
            </w:r>
          </w:p>
        </w:tc>
        <w:tc>
          <w:tcPr>
            <w:tcW w:w="1843" w:type="dxa"/>
            <w:vAlign w:val="center"/>
          </w:tcPr>
          <w:p w14:paraId="30C3692D" w14:textId="656776E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10.3</w:t>
            </w:r>
            <w:r w:rsidRPr="007D162C">
              <w:rPr>
                <w:sz w:val="18"/>
                <w:szCs w:val="18"/>
                <w:vertAlign w:val="superscript"/>
              </w:rPr>
              <w:t xml:space="preserve"> i</w:t>
            </w:r>
          </w:p>
        </w:tc>
        <w:tc>
          <w:tcPr>
            <w:tcW w:w="1784" w:type="dxa"/>
            <w:vAlign w:val="center"/>
          </w:tcPr>
          <w:p w14:paraId="53A6A881"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0.00</w:t>
            </w:r>
          </w:p>
        </w:tc>
      </w:tr>
      <w:tr w:rsidR="00305410" w:rsidRPr="007D162C" w14:paraId="0B135F4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0515DBD" w14:textId="77777777" w:rsidR="00305410" w:rsidRPr="007D162C" w:rsidRDefault="00305410" w:rsidP="00305410">
            <w:r w:rsidRPr="007D162C">
              <w:t>Regulatory</w:t>
            </w:r>
          </w:p>
        </w:tc>
        <w:tc>
          <w:tcPr>
            <w:tcW w:w="1531" w:type="dxa"/>
            <w:vAlign w:val="center"/>
          </w:tcPr>
          <w:p w14:paraId="5C85F59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79.8</w:t>
            </w:r>
          </w:p>
        </w:tc>
        <w:tc>
          <w:tcPr>
            <w:tcW w:w="1791" w:type="dxa"/>
          </w:tcPr>
          <w:p w14:paraId="1A2AE10C"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rPr>
                <w:sz w:val="21"/>
                <w:szCs w:val="21"/>
              </w:rPr>
            </w:pPr>
            <w:r w:rsidRPr="007D162C">
              <w:rPr>
                <w:sz w:val="21"/>
                <w:szCs w:val="21"/>
              </w:rPr>
              <w:t>-</w:t>
            </w:r>
          </w:p>
        </w:tc>
        <w:tc>
          <w:tcPr>
            <w:tcW w:w="1701" w:type="dxa"/>
            <w:vAlign w:val="center"/>
          </w:tcPr>
          <w:p w14:paraId="7A08384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71.1</w:t>
            </w:r>
          </w:p>
        </w:tc>
        <w:tc>
          <w:tcPr>
            <w:tcW w:w="1843" w:type="dxa"/>
            <w:vAlign w:val="center"/>
          </w:tcPr>
          <w:p w14:paraId="2863574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71.1</w:t>
            </w:r>
          </w:p>
        </w:tc>
        <w:tc>
          <w:tcPr>
            <w:tcW w:w="1784" w:type="dxa"/>
            <w:vAlign w:val="center"/>
          </w:tcPr>
          <w:p w14:paraId="061913A5"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1.12</w:t>
            </w:r>
          </w:p>
        </w:tc>
      </w:tr>
    </w:tbl>
    <w:p w14:paraId="013B2BCB" w14:textId="28678BBB" w:rsidR="00305410" w:rsidRPr="007D162C" w:rsidRDefault="00305410" w:rsidP="00305410">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68D4075" w14:textId="01CB4F34" w:rsidR="004E502A"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276859E7" w14:textId="77777777" w:rsidR="004E502A" w:rsidRPr="007D162C" w:rsidRDefault="004E502A" w:rsidP="00305410">
      <w:pPr>
        <w:spacing w:before="120" w:after="0"/>
        <w:rPr>
          <w:sz w:val="20"/>
        </w:rPr>
      </w:pPr>
    </w:p>
    <w:p w14:paraId="560BCE08" w14:textId="77777777" w:rsidR="00305410" w:rsidRPr="007D162C" w:rsidRDefault="00305410" w:rsidP="00305410">
      <w:pPr>
        <w:pStyle w:val="Heading6"/>
      </w:pPr>
      <w:r w:rsidRPr="007D162C">
        <w:t>Considerations to note in interpreting analysis</w:t>
      </w:r>
    </w:p>
    <w:p w14:paraId="1DEBE718" w14:textId="77777777" w:rsidR="00305410" w:rsidRPr="007D162C" w:rsidRDefault="00305410" w:rsidP="004E502A">
      <w:pPr>
        <w:pStyle w:val="Heading7"/>
      </w:pPr>
      <w:r w:rsidRPr="007D162C">
        <w:t>Limitations:</w:t>
      </w:r>
    </w:p>
    <w:p w14:paraId="7E0D4F05" w14:textId="77777777" w:rsidR="00305410" w:rsidRPr="007D162C" w:rsidRDefault="00305410" w:rsidP="004E502A">
      <w:pPr>
        <w:pStyle w:val="Heading8"/>
      </w:pPr>
      <w:r w:rsidRPr="007D162C">
        <w:t>Non-regulatory option:</w:t>
      </w:r>
    </w:p>
    <w:p w14:paraId="5F9D61B5" w14:textId="77777777" w:rsidR="00305410" w:rsidRPr="007D162C" w:rsidRDefault="00305410" w:rsidP="00F302D5">
      <w:pPr>
        <w:pStyle w:val="Listparagraphbullets"/>
        <w:numPr>
          <w:ilvl w:val="0"/>
          <w:numId w:val="0"/>
        </w:numPr>
        <w:autoSpaceDE w:val="0"/>
        <w:autoSpaceDN w:val="0"/>
        <w:spacing w:after="0"/>
      </w:pPr>
      <w:r w:rsidRPr="007D162C">
        <w:t>The non-regulatory option had qualitative benefits, but there were no quantitative monetised benefits. This non-regulatory monetised benefit assumed a low take up rates for existing assets. The reform is dependent on the implementation of other reforms, such as nominated assistance at boarding points, to realise monetised benefits.</w:t>
      </w:r>
    </w:p>
    <w:p w14:paraId="1788C620" w14:textId="77777777" w:rsidR="00F302D5" w:rsidRPr="007D162C" w:rsidRDefault="00F302D5" w:rsidP="00F302D5">
      <w:pPr>
        <w:pStyle w:val="Listparagraphbullets"/>
        <w:numPr>
          <w:ilvl w:val="0"/>
          <w:numId w:val="0"/>
        </w:numPr>
        <w:autoSpaceDE w:val="0"/>
        <w:autoSpaceDN w:val="0"/>
        <w:spacing w:after="0"/>
      </w:pPr>
    </w:p>
    <w:p w14:paraId="33BA565D" w14:textId="2E1F340B" w:rsidR="00305410" w:rsidRPr="007D162C" w:rsidRDefault="00305410" w:rsidP="00F302D5">
      <w:pPr>
        <w:pStyle w:val="Listparagraphbullets"/>
        <w:numPr>
          <w:ilvl w:val="0"/>
          <w:numId w:val="0"/>
        </w:numPr>
        <w:autoSpaceDE w:val="0"/>
        <w:autoSpaceDN w:val="0"/>
        <w:spacing w:after="0"/>
      </w:pPr>
      <w:r w:rsidRPr="007D162C">
        <w:t>An estimated rate of uptake of 75% of new assets was applied to the non-regulatory option based on the low cost and complexity to implement the guidance, and submissions supporting its adoption from operators and providers of public transport. Existing assets are not expected to be upgraded, due to the high cost and complexity to undertake this work. This implies that the benefits and costs quantified for this non-regulatory reform may not reflect future take-up of the reform.</w:t>
      </w:r>
    </w:p>
    <w:p w14:paraId="7E1C579E" w14:textId="77777777" w:rsidR="00F302D5" w:rsidRPr="007D162C" w:rsidRDefault="00F302D5" w:rsidP="00F302D5">
      <w:pPr>
        <w:pStyle w:val="Listparagraphbullets"/>
        <w:numPr>
          <w:ilvl w:val="0"/>
          <w:numId w:val="0"/>
        </w:numPr>
        <w:autoSpaceDE w:val="0"/>
        <w:autoSpaceDN w:val="0"/>
        <w:spacing w:after="0"/>
      </w:pPr>
    </w:p>
    <w:p w14:paraId="0E90000F" w14:textId="77777777" w:rsidR="00305410" w:rsidRPr="007D162C" w:rsidRDefault="00305410" w:rsidP="004E502A">
      <w:pPr>
        <w:pStyle w:val="Heading8"/>
      </w:pPr>
      <w:r w:rsidRPr="007D162C">
        <w:t>Regulatory option:</w:t>
      </w:r>
    </w:p>
    <w:p w14:paraId="455F03DC" w14:textId="0EBF07B7" w:rsidR="00305410" w:rsidRPr="007D162C" w:rsidRDefault="00305410" w:rsidP="00F302D5">
      <w:pPr>
        <w:pStyle w:val="Listparagraphbullets"/>
        <w:numPr>
          <w:ilvl w:val="0"/>
          <w:numId w:val="0"/>
        </w:numPr>
        <w:autoSpaceDE w:val="0"/>
        <w:autoSpaceDN w:val="0"/>
        <w:spacing w:after="0"/>
      </w:pPr>
      <w:r w:rsidRPr="007D162C">
        <w:t>The benefits and costs for this reform were estimated from publicly available data to proxy the need for boarding devices at a national level implying this reform might not reflect the full extent of national compliance.</w:t>
      </w:r>
    </w:p>
    <w:p w14:paraId="5197BE96" w14:textId="77777777" w:rsidR="00F302D5" w:rsidRPr="007D162C" w:rsidRDefault="00F302D5" w:rsidP="00F302D5">
      <w:pPr>
        <w:pStyle w:val="Listparagraphbullets"/>
        <w:numPr>
          <w:ilvl w:val="0"/>
          <w:numId w:val="0"/>
        </w:numPr>
        <w:autoSpaceDE w:val="0"/>
        <w:autoSpaceDN w:val="0"/>
        <w:spacing w:after="0"/>
      </w:pPr>
    </w:p>
    <w:p w14:paraId="6923E28A" w14:textId="77777777" w:rsidR="00305410" w:rsidRPr="007D162C" w:rsidRDefault="00305410" w:rsidP="004E502A">
      <w:pPr>
        <w:pStyle w:val="Heading8"/>
      </w:pPr>
      <w:r w:rsidRPr="007D162C">
        <w:lastRenderedPageBreak/>
        <w:t>Interdependencies:</w:t>
      </w:r>
    </w:p>
    <w:p w14:paraId="20B6BD3F" w14:textId="77777777" w:rsidR="00305410" w:rsidRPr="007D162C" w:rsidRDefault="00305410"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nominated assistance boarding points.</w:t>
      </w:r>
    </w:p>
    <w:p w14:paraId="1D86F00F"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CB41E94" w14:textId="77777777" w:rsidR="00305410" w:rsidRPr="007D162C" w:rsidRDefault="00305410" w:rsidP="00305410">
      <w:r w:rsidRPr="007D162C">
        <w:t>The following categories of qualitative benefits were identified in the CBA as pertaining to the reform options.</w:t>
      </w:r>
    </w:p>
    <w:p w14:paraId="0505F746" w14:textId="3F714079" w:rsidR="00305410" w:rsidRPr="007D162C" w:rsidRDefault="00305410" w:rsidP="00305410">
      <w:pPr>
        <w:pStyle w:val="Caption"/>
        <w:keepNext/>
      </w:pPr>
      <w:bookmarkStart w:id="524" w:name="_Toc122446431"/>
      <w:bookmarkStart w:id="525" w:name="_Toc139969269"/>
      <w:r w:rsidRPr="007D162C">
        <w:t xml:space="preserve">Table </w:t>
      </w:r>
      <w:fldSimple w:instr=" SEQ Table \* ARABIC ">
        <w:r w:rsidR="00DC26AC">
          <w:rPr>
            <w:noProof/>
          </w:rPr>
          <w:t>111</w:t>
        </w:r>
      </w:fldSimple>
      <w:r w:rsidRPr="007D162C">
        <w:rPr>
          <w:noProof/>
        </w:rPr>
        <w:t xml:space="preserve">: </w:t>
      </w:r>
      <w:r w:rsidRPr="007D162C">
        <w:t>Qualitative benefits for notification by passenger of need for boarding device</w:t>
      </w:r>
      <w:bookmarkEnd w:id="524"/>
      <w:bookmarkEnd w:id="525"/>
    </w:p>
    <w:tbl>
      <w:tblPr>
        <w:tblStyle w:val="DefaultTable1"/>
        <w:tblW w:w="9864" w:type="dxa"/>
        <w:tblLook w:val="04A0" w:firstRow="1" w:lastRow="0" w:firstColumn="1" w:lastColumn="0" w:noHBand="0" w:noVBand="1"/>
        <w:tblCaption w:val="Qualitative benefits for notification by passenger of need for boarding device"/>
      </w:tblPr>
      <w:tblGrid>
        <w:gridCol w:w="1213"/>
        <w:gridCol w:w="1343"/>
        <w:gridCol w:w="1626"/>
        <w:gridCol w:w="1300"/>
        <w:gridCol w:w="1278"/>
        <w:gridCol w:w="1641"/>
        <w:gridCol w:w="1463"/>
      </w:tblGrid>
      <w:tr w:rsidR="00305410" w:rsidRPr="007D162C" w14:paraId="2C3930D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0EBF44C" w14:textId="77777777" w:rsidR="00305410" w:rsidRPr="007D162C" w:rsidRDefault="08D050C4" w:rsidP="00305410">
            <w:r w:rsidRPr="007D162C">
              <w:t>Reform Option</w:t>
            </w:r>
          </w:p>
        </w:tc>
        <w:tc>
          <w:tcPr>
            <w:tcW w:w="1343" w:type="dxa"/>
          </w:tcPr>
          <w:p w14:paraId="0707E67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52161C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CB12DD6"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438786F"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571006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B28831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20DE70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9147AA2" w14:textId="77777777" w:rsidR="00305410" w:rsidRPr="007D162C" w:rsidRDefault="00305410" w:rsidP="00305410">
            <w:r w:rsidRPr="007D162C">
              <w:t>Status Quo</w:t>
            </w:r>
          </w:p>
        </w:tc>
        <w:tc>
          <w:tcPr>
            <w:tcW w:w="1343" w:type="dxa"/>
          </w:tcPr>
          <w:p w14:paraId="11B1655B"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5D8A18FE"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5EDA650"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5911FCF7"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2226886"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1D109986"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4B64239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07CF89E" w14:textId="77777777" w:rsidR="00305410" w:rsidRPr="007D162C" w:rsidRDefault="00305410" w:rsidP="00305410">
            <w:r w:rsidRPr="007D162C">
              <w:t xml:space="preserve">Non-regulatory </w:t>
            </w:r>
          </w:p>
        </w:tc>
        <w:tc>
          <w:tcPr>
            <w:tcW w:w="1343" w:type="dxa"/>
          </w:tcPr>
          <w:p w14:paraId="255A75BB"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1A63407B"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CAD7557" w14:textId="77777777" w:rsidR="00305410"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57B6F75"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B6FC839"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0A61220E"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r>
      <w:tr w:rsidR="00305410" w:rsidRPr="007D162C" w14:paraId="621C9D1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BB53928" w14:textId="77777777" w:rsidR="00305410" w:rsidRPr="007D162C" w:rsidRDefault="00305410" w:rsidP="00305410">
            <w:r w:rsidRPr="007D162C">
              <w:t>Regulatory</w:t>
            </w:r>
          </w:p>
        </w:tc>
        <w:tc>
          <w:tcPr>
            <w:tcW w:w="1343" w:type="dxa"/>
          </w:tcPr>
          <w:p w14:paraId="525E984F"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205F44E"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97A1381"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B4AF41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581C62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0E9AC24C"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r>
    </w:tbl>
    <w:p w14:paraId="73CE19C5" w14:textId="77777777" w:rsidR="00BA004C" w:rsidRPr="007D162C" w:rsidRDefault="00BA004C" w:rsidP="00BA004C">
      <w:pPr>
        <w:pStyle w:val="BodyText"/>
      </w:pPr>
    </w:p>
    <w:p w14:paraId="7EC2B5F8" w14:textId="67E5BE9A" w:rsidR="00305410" w:rsidRPr="007D162C" w:rsidRDefault="00305410" w:rsidP="00305410">
      <w:pPr>
        <w:pStyle w:val="Heading4"/>
        <w:tabs>
          <w:tab w:val="left" w:pos="284"/>
        </w:tabs>
      </w:pPr>
      <w:r w:rsidRPr="007D162C">
        <w:t xml:space="preserve">Analysis of submissions </w:t>
      </w:r>
    </w:p>
    <w:p w14:paraId="0ECBE3A8" w14:textId="77777777" w:rsidR="00305410" w:rsidRPr="007D162C" w:rsidRDefault="00305410" w:rsidP="00305410">
      <w:pPr>
        <w:pStyle w:val="Heading5"/>
      </w:pPr>
      <w:r w:rsidRPr="007D162C">
        <w:t>Status quo</w:t>
      </w:r>
    </w:p>
    <w:p w14:paraId="3EE9618C" w14:textId="77777777" w:rsidR="00305410" w:rsidRPr="007D162C" w:rsidRDefault="08D050C4" w:rsidP="00305410">
      <w:r w:rsidRPr="007D162C">
        <w:t xml:space="preserve">Maintaining the status quo would not clarify the need for passengers to have flexible options when notifying operators and providers of a need for a boarding device. Feedback provided during consultation highlighted that this may result in people who are required to book assistance in advance on unbooked services being discriminated against. </w:t>
      </w:r>
    </w:p>
    <w:p w14:paraId="1A501692" w14:textId="77777777" w:rsidR="00305410" w:rsidRPr="007D162C" w:rsidRDefault="00305410" w:rsidP="00305410">
      <w:pPr>
        <w:pStyle w:val="Quote"/>
      </w:pPr>
      <w:r w:rsidRPr="007D162C">
        <w:t xml:space="preserve">I am pretty scared to get train transport because I am on the train and it will stop when I am disembarking and there is no way I can tell them I am here with the gap if that happens. It is not that I am fragile but I have ear tremors and so I have no balance and so I cannot step over that. On the bus, I can ask them to stop for long enough but they never put the ramp out on the bus. </w:t>
      </w:r>
    </w:p>
    <w:p w14:paraId="0D7EA94C" w14:textId="77777777" w:rsidR="00305410" w:rsidRPr="007D162C" w:rsidRDefault="00305410" w:rsidP="00305410">
      <w:pPr>
        <w:pStyle w:val="Quote"/>
      </w:pPr>
      <w:r w:rsidRPr="007D162C">
        <w:t>Community workshop participant.</w:t>
      </w:r>
    </w:p>
    <w:p w14:paraId="4F317C4F" w14:textId="77777777" w:rsidR="00305410" w:rsidRPr="007D162C" w:rsidRDefault="00305410" w:rsidP="00305410">
      <w:r w:rsidRPr="007D162C">
        <w:t>Three of five submissions from industry and one of seven submissions from government supported the status quo option. Both submissions noted the role of direct assistance in supporting passengers, for example through the deployment of boarding ramps and other assistance as requested. One submission noted this system works effectively, particularly in fast-paced environments such as bus services with short dwell times. The Bus Industry Confederation noted in their submission that the proposed requirements should not apply to bus and coach services, as signal devices are not used in conveyances as the driver has a direct line of sight with all passengers who are waiting to board the conveyance. This was noted as meeting compliance with Transport Standards Section 8.8.1.</w:t>
      </w:r>
    </w:p>
    <w:p w14:paraId="387AC947" w14:textId="77777777" w:rsidR="00305410" w:rsidRPr="007D162C" w:rsidRDefault="00305410" w:rsidP="00305410">
      <w:r w:rsidRPr="007D162C">
        <w:t>Maintaining the status quo would incur no additional costs to operators and providers.</w:t>
      </w:r>
    </w:p>
    <w:p w14:paraId="598875D1" w14:textId="77777777" w:rsidR="00305410" w:rsidRPr="007D162C" w:rsidRDefault="00305410" w:rsidP="00305410">
      <w:pPr>
        <w:pStyle w:val="Heading5"/>
      </w:pPr>
      <w:r w:rsidRPr="007D162C">
        <w:lastRenderedPageBreak/>
        <w:t>Non-regulatory</w:t>
      </w:r>
    </w:p>
    <w:p w14:paraId="631CC8A3" w14:textId="77777777" w:rsidR="00305410" w:rsidRPr="007D162C" w:rsidRDefault="08D050C4" w:rsidP="00305410">
      <w:r w:rsidRPr="007D162C">
        <w:t xml:space="preserve">The majority of submissions from government and one submission from industry supported the non-regulatory option. Submissions broadly agreed that all passengers, including people with disability, should be able to travel freely on unbooked services on any site without giving advanced notice. Multiple submissions from government highlighted existing internal policies relating to accessible help points and passenger communication devices, which work effectively to support passengers when requesting boarding assistance. One submission from government noted that in their experience passengers report minimal issues using these facilities, and therefore suggested regulatory amendment may be unnecessary. </w:t>
      </w:r>
      <w:bookmarkStart w:id="526" w:name="_Hlk119485983"/>
      <w:bookmarkEnd w:id="526"/>
    </w:p>
    <w:p w14:paraId="6249FCC4" w14:textId="77777777" w:rsidR="00305410" w:rsidRPr="007D162C" w:rsidRDefault="00305410" w:rsidP="00305410">
      <w:r w:rsidRPr="007D162C">
        <w:t xml:space="preserve">Additionally, several submissions from industry and government noted that for certain service types, including ferries and buses, direct assistance works effectively to support passengers who request boarding devices. These submissions highlighted that the proposed requirement for requesting signal devices to be installed at all locations may present significant operational and technical challenges which may not result in tangible benefits to passengers – particularly if requirements are introduced retrospectively – and may be cost prohibitive. These challenges would be particularly complex at unmanned infrastructure, such as suburban bus stops. For this reason, submissions supported the non-regulatory option, outlining the value of additional guidance material to support the installation of devices where appropriate and highlight potential technological innovations to increase options for passengers. </w:t>
      </w:r>
    </w:p>
    <w:p w14:paraId="4B72C617" w14:textId="77777777" w:rsidR="00305410" w:rsidRPr="007D162C" w:rsidRDefault="00305410" w:rsidP="00305410">
      <w:pPr>
        <w:pStyle w:val="Quote"/>
      </w:pPr>
      <w:r w:rsidRPr="007D162C">
        <w:t>However, a non-regulatory approach would allow for innovative solutions to be developed that best meet the customers’ needs and account for practical limitations faced by operators and providers. In particular, flexibility may be needed depending upon the location and the needs of the users. Currently, staff assist people to board ferry vessels from ferry terminals.</w:t>
      </w:r>
    </w:p>
    <w:p w14:paraId="0D2646DC" w14:textId="77777777" w:rsidR="00305410" w:rsidRPr="007D162C" w:rsidRDefault="00305410" w:rsidP="00305410">
      <w:pPr>
        <w:pStyle w:val="Quote"/>
      </w:pPr>
      <w:r w:rsidRPr="007D162C">
        <w:t>Brisbane City Council</w:t>
      </w:r>
    </w:p>
    <w:p w14:paraId="10792BFC" w14:textId="77777777" w:rsidR="00305410" w:rsidRPr="007D162C" w:rsidRDefault="00305410" w:rsidP="00305410">
      <w:r w:rsidRPr="007D162C">
        <w:t>Similarly, two submissions from industry and government suggested that further clarity should be provided to define what ‘communication in real time’ relates to in the context of the proposal to avoid misinterpretation and misapplication of the requirement. Two submissions supported sub-option 1 and one submission supported sub-option 2.</w:t>
      </w:r>
    </w:p>
    <w:p w14:paraId="13990FA8" w14:textId="77777777" w:rsidR="00305410" w:rsidRPr="007D162C" w:rsidRDefault="00305410" w:rsidP="00305410">
      <w:pPr>
        <w:pStyle w:val="Heading5"/>
      </w:pPr>
      <w:r w:rsidRPr="007D162C">
        <w:t>Regulatory</w:t>
      </w:r>
    </w:p>
    <w:p w14:paraId="71FA60D7" w14:textId="77777777" w:rsidR="00262CCB" w:rsidRDefault="08D050C4" w:rsidP="00305410">
      <w:r w:rsidRPr="007D162C">
        <w:t>All submissions from individuals, people with disability and disability organisations supported the regulatory option. Several submissions noted the importance of passengers who require boarding assistance being able to request assistance through multiple avenues. One submission from a disability organisation highlighted that although direct assistance provisions allow passengers to request boarding assistance, this may not be an optimal outcome for all, and may result in heightened anxiety and staff may not always be adequately trained to support people with disability. One submission from a disability organisation noted that the technology required to implement the proposed requirements is mature, however, there may be challenges relating to the provision of staff.</w:t>
      </w:r>
    </w:p>
    <w:p w14:paraId="01FF03D3" w14:textId="77777777" w:rsidR="00262CCB" w:rsidRDefault="00262CCB">
      <w:pPr>
        <w:spacing w:line="259" w:lineRule="auto"/>
      </w:pPr>
      <w:r>
        <w:br w:type="page"/>
      </w:r>
    </w:p>
    <w:p w14:paraId="45BE9F5B" w14:textId="77777777" w:rsidR="00305410" w:rsidRPr="007D162C" w:rsidRDefault="00305410" w:rsidP="00305410"/>
    <w:p w14:paraId="2D621CE1" w14:textId="77777777" w:rsidR="00305410" w:rsidRPr="007D162C" w:rsidRDefault="00305410" w:rsidP="00305410">
      <w:pPr>
        <w:pStyle w:val="Quote"/>
      </w:pPr>
      <w:r w:rsidRPr="007D162C">
        <w:t xml:space="preserve">The ability to have clear communication with staff while riding public transport can take away a significant amount of anxiety. This anxiety can come from wondering if it is suitable for you such as making sure you are visible and the driver stops to help you on with a ramp. </w:t>
      </w:r>
    </w:p>
    <w:p w14:paraId="27FAB87C" w14:textId="77777777" w:rsidR="00305410" w:rsidRPr="007D162C" w:rsidRDefault="00305410" w:rsidP="00305410">
      <w:pPr>
        <w:pStyle w:val="Quote"/>
      </w:pPr>
      <w:r w:rsidRPr="007D162C">
        <w:t>Community discussion board participant</w:t>
      </w:r>
    </w:p>
    <w:p w14:paraId="5884313B" w14:textId="77777777" w:rsidR="00305410" w:rsidRPr="007D162C" w:rsidRDefault="00305410" w:rsidP="00305410">
      <w:r w:rsidRPr="007D162C">
        <w:t>The disability sector provided mixed support for the proposed sub-options relating to requirements for advanced notice booking. The majority of submissions supported sub-option 1, as the proposal promotes a better outcome for people with disability. All submissions from the disability sector supported sub-option 2 for the proposal regarding call and control buttons.</w:t>
      </w:r>
    </w:p>
    <w:p w14:paraId="62618983" w14:textId="77777777" w:rsidR="00305410" w:rsidRPr="007D162C" w:rsidRDefault="08D050C4" w:rsidP="00305410">
      <w:r w:rsidRPr="007D162C">
        <w:t>One submission from industry supported the regulatory option, noting that the regulatory proposal aligns with current internal practices. The submission emphasised the importance of direct assistance to support passengers requiring boarding assistance for unbooked services. For this reason, the submission supported sub-option 1 for requirements relating to advanced notice booking.</w:t>
      </w:r>
    </w:p>
    <w:p w14:paraId="52E541B4" w14:textId="77777777" w:rsidR="00305410" w:rsidRPr="007D162C" w:rsidRDefault="00305410" w:rsidP="00305410">
      <w:pPr>
        <w:pStyle w:val="Heading4"/>
      </w:pPr>
      <w:r w:rsidRPr="007D162C">
        <w:t>Preferred option</w:t>
      </w:r>
    </w:p>
    <w:p w14:paraId="40166B6F" w14:textId="77777777" w:rsidR="00305410" w:rsidRPr="007D162C" w:rsidRDefault="00305410" w:rsidP="00305410">
      <w:r w:rsidRPr="007D162C">
        <w:t xml:space="preserve">Informed by the outcomes of consultation, stakeholder impacts, cost and outcomes analysis, the preferred option is the </w:t>
      </w:r>
      <w:r w:rsidRPr="007D162C">
        <w:rPr>
          <w:b/>
        </w:rPr>
        <w:t>non-regulatory option, sub-option 1</w:t>
      </w:r>
      <w:r w:rsidRPr="007D162C">
        <w:t xml:space="preserve">. </w:t>
      </w:r>
    </w:p>
    <w:p w14:paraId="37246162" w14:textId="77777777" w:rsidR="00305410" w:rsidRPr="007D162C" w:rsidRDefault="08D050C4" w:rsidP="00305410">
      <w:r w:rsidRPr="007D162C">
        <w:t xml:space="preserve">There was general agreement throughout consultations that passengers, including people with disability, should be able to travel freely on unbooked services on any site without giving advanced notice. The majority of submissions from industry and government supported either the status quo or non-regulatory options, while all submissions from the disability sector supported the regulatory option. </w:t>
      </w:r>
    </w:p>
    <w:p w14:paraId="09B8C133" w14:textId="77777777" w:rsidR="00305410" w:rsidRPr="007D162C" w:rsidRDefault="00305410" w:rsidP="00305410">
      <w:r w:rsidRPr="007D162C">
        <w:t>The non-regulatory option provides clear guidance to support operators and providers to meet the needs of passengers. Although the regulatory option may provide a greater level of consistency across services, the non-regulatory option preserves necessary flexibility to account for practical limitations experienced at some locations where the installation of technology may not be feasible. The non-regulatory option also allows for direct assistance where necessary, but should be complemented with additional staff training to ensure public transport staff are equipped to support passengers when boarding.</w:t>
      </w:r>
    </w:p>
    <w:p w14:paraId="0FD877C7" w14:textId="470481D6" w:rsidR="00657905" w:rsidRDefault="00305410" w:rsidP="00305410">
      <w:r w:rsidRPr="007D162C">
        <w:t xml:space="preserve">The preferred option will be implemented through inclusion in revised Transport Standards Guidelines. This will provide clarity and additional information to operators and providers on how the existing requirements in the Transport Standards can be met. </w:t>
      </w:r>
    </w:p>
    <w:p w14:paraId="12F5CA88" w14:textId="77777777" w:rsidR="00657905" w:rsidRDefault="00657905">
      <w:pPr>
        <w:spacing w:line="259" w:lineRule="auto"/>
      </w:pPr>
      <w:r>
        <w:br w:type="page"/>
      </w:r>
    </w:p>
    <w:p w14:paraId="3F47F811" w14:textId="77777777" w:rsidR="00305410" w:rsidRPr="007D162C" w:rsidRDefault="00305410" w:rsidP="00305410"/>
    <w:p w14:paraId="5616759D" w14:textId="2E4BD388" w:rsidR="00305410" w:rsidRPr="007D162C" w:rsidRDefault="00305410" w:rsidP="004B2538">
      <w:pPr>
        <w:pStyle w:val="Heading2"/>
        <w:numPr>
          <w:ilvl w:val="0"/>
          <w:numId w:val="28"/>
        </w:numPr>
        <w:ind w:hanging="720"/>
      </w:pPr>
      <w:bookmarkStart w:id="527" w:name="_Toc127351791"/>
      <w:bookmarkStart w:id="528" w:name="_Toc140239749"/>
      <w:r w:rsidRPr="007D162C">
        <w:t>Portable boarding ramp edge barriers</w:t>
      </w:r>
      <w:bookmarkEnd w:id="527"/>
      <w:bookmarkEnd w:id="528"/>
    </w:p>
    <w:p w14:paraId="36AAE446" w14:textId="77777777" w:rsidR="00305410" w:rsidRPr="007D162C" w:rsidRDefault="00305410" w:rsidP="00305410">
      <w:pPr>
        <w:pStyle w:val="Heading4"/>
        <w:tabs>
          <w:tab w:val="left" w:pos="284"/>
        </w:tabs>
      </w:pPr>
      <w:r w:rsidRPr="007D162C">
        <w:t>Issue</w:t>
      </w:r>
    </w:p>
    <w:p w14:paraId="55041BE8" w14:textId="77777777" w:rsidR="00305410" w:rsidRPr="007D162C" w:rsidRDefault="00305410" w:rsidP="00305410">
      <w:pPr>
        <w:tabs>
          <w:tab w:val="left" w:pos="284"/>
          <w:tab w:val="left" w:pos="1725"/>
        </w:tabs>
      </w:pPr>
      <w:r w:rsidRPr="007D162C">
        <w:t>Provision of safer boarding ramps across modes of transport may improve safety outcomes by reducing slips, trips or falls for people with disability. Transport Standards requirements for portable boarding ramps to have edge barriers are not clearly detailed. Without an edge barrier people may misjudge and come off the side of a boarding ramp, resulting in injury. Provision of safer boarding ramps across modes of transport may improve safety outcomes by reducing slips, trips or falls for people with disability. This poses a particular risk to the safety and confidence of people who use mobility aids or are blind or vision impaired when travelling on public transport.</w:t>
      </w:r>
    </w:p>
    <w:p w14:paraId="19AF8241" w14:textId="77777777" w:rsidR="00305410" w:rsidRPr="007D162C" w:rsidRDefault="00305410" w:rsidP="00305410">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boarding ramps are safe for people with disability to use and address key stakeholder issues raised through the Transport Standards review process.</w:t>
      </w:r>
    </w:p>
    <w:p w14:paraId="7D24AB76" w14:textId="77777777" w:rsidR="00305410" w:rsidRPr="007D162C" w:rsidRDefault="00305410" w:rsidP="00305410">
      <w:pPr>
        <w:pStyle w:val="Heading4"/>
        <w:tabs>
          <w:tab w:val="left" w:pos="284"/>
        </w:tabs>
      </w:pPr>
      <w:r w:rsidRPr="007D162C">
        <w:t>Reform options</w:t>
      </w:r>
    </w:p>
    <w:p w14:paraId="02D2C262" w14:textId="77777777" w:rsidR="00305410" w:rsidRPr="007D162C" w:rsidRDefault="00305410" w:rsidP="00305410">
      <w:pPr>
        <w:tabs>
          <w:tab w:val="left" w:pos="284"/>
        </w:tabs>
      </w:pPr>
      <w:r w:rsidRPr="007D162C">
        <w:t>Following is a summary of the proposed options for this reform. Full details of each reform option is provided at Appendix A.</w:t>
      </w:r>
    </w:p>
    <w:p w14:paraId="6A77EE75" w14:textId="3E3FA02E" w:rsidR="00305410" w:rsidRPr="007D162C" w:rsidRDefault="00305410" w:rsidP="00305410">
      <w:pPr>
        <w:pStyle w:val="Caption"/>
        <w:keepNext/>
      </w:pPr>
      <w:bookmarkStart w:id="529" w:name="_Toc122446432"/>
      <w:bookmarkStart w:id="530" w:name="_Toc139969270"/>
      <w:r w:rsidRPr="007D162C">
        <w:t xml:space="preserve">Table </w:t>
      </w:r>
      <w:fldSimple w:instr=" SEQ Table \* ARABIC ">
        <w:r w:rsidR="00DC26AC">
          <w:rPr>
            <w:noProof/>
          </w:rPr>
          <w:t>112</w:t>
        </w:r>
      </w:fldSimple>
      <w:r w:rsidRPr="007D162C">
        <w:t>: Reform options for portable boarding ramp edge barriers</w:t>
      </w:r>
      <w:bookmarkEnd w:id="529"/>
      <w:bookmarkEnd w:id="530"/>
    </w:p>
    <w:tbl>
      <w:tblPr>
        <w:tblStyle w:val="DefaultTable1"/>
        <w:tblW w:w="9072" w:type="dxa"/>
        <w:tblLook w:val="04A0" w:firstRow="1" w:lastRow="0" w:firstColumn="1" w:lastColumn="0" w:noHBand="0" w:noVBand="1"/>
        <w:tblCaption w:val="Reform options for portable boarding ramp edge barriers"/>
        <w:tblDescription w:val="This table provides a description of each of the options for this reform area. Status quo, non-regulatory and regulatory."/>
      </w:tblPr>
      <w:tblGrid>
        <w:gridCol w:w="2232"/>
        <w:gridCol w:w="6840"/>
      </w:tblGrid>
      <w:tr w:rsidR="00305410" w:rsidRPr="007D162C" w14:paraId="3753545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603FBF0" w14:textId="77777777" w:rsidR="00305410" w:rsidRPr="007D162C" w:rsidRDefault="00305410" w:rsidP="0030541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31E4F337" w14:textId="77777777" w:rsidR="00305410" w:rsidRPr="007D162C" w:rsidRDefault="00305410" w:rsidP="0030541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305410" w:rsidRPr="007D162C" w14:paraId="29D56E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2D70212" w14:textId="77777777" w:rsidR="00305410" w:rsidRPr="007D162C" w:rsidRDefault="00305410" w:rsidP="00305410">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5D772110" w14:textId="77777777" w:rsidR="00305410" w:rsidRPr="000917A8" w:rsidRDefault="00305410" w:rsidP="00305410">
            <w:pPr>
              <w:cnfStyle w:val="000000100000" w:firstRow="0" w:lastRow="0" w:firstColumn="0" w:lastColumn="0" w:oddVBand="0" w:evenVBand="0" w:oddHBand="1" w:evenHBand="0" w:firstRowFirstColumn="0" w:firstRowLastColumn="0" w:lastRowFirstColumn="0" w:lastRowLastColumn="0"/>
            </w:pPr>
            <w:r w:rsidRPr="000917A8">
              <w:t>The Transport Standards will continue not to specify the need for edge barriers on portable boarding ramps.</w:t>
            </w:r>
          </w:p>
          <w:p w14:paraId="3E3C4951" w14:textId="77777777" w:rsidR="00305410" w:rsidRPr="000917A8" w:rsidRDefault="00305410" w:rsidP="00305410">
            <w:pPr>
              <w:cnfStyle w:val="000000100000" w:firstRow="0" w:lastRow="0" w:firstColumn="0" w:lastColumn="0" w:oddVBand="0" w:evenVBand="0" w:oddHBand="1" w:evenHBand="0" w:firstRowFirstColumn="0" w:firstRowLastColumn="0" w:lastRowFirstColumn="0" w:lastRowLastColumn="0"/>
            </w:pPr>
            <w:r w:rsidRPr="000917A8">
              <w:t>The Transport Standards would remain unchanged and no new or updated guidance would be issued.</w:t>
            </w:r>
          </w:p>
        </w:tc>
      </w:tr>
      <w:tr w:rsidR="00305410" w:rsidRPr="007D162C" w14:paraId="1C77317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BFC5E83" w14:textId="77777777" w:rsidR="00305410" w:rsidRPr="007D162C" w:rsidRDefault="00305410"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1BC2D522" w14:textId="77777777" w:rsidR="00305410" w:rsidRPr="000917A8" w:rsidRDefault="00305410" w:rsidP="0030541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0917A8">
              <w:rPr>
                <w:rFonts w:asciiTheme="minorHAnsi" w:hAnsiTheme="minorHAnsi" w:cstheme="minorBidi"/>
              </w:rPr>
              <w:t>Guidance would be updated to include advice for edge barriers on portable boarding ramps, including recommended ramp edge height, and ramp edge design, including shape and contrast.</w:t>
            </w:r>
          </w:p>
        </w:tc>
      </w:tr>
      <w:tr w:rsidR="00305410" w:rsidRPr="007D162C" w14:paraId="2D9A064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3B1CAAC" w14:textId="77777777" w:rsidR="00305410" w:rsidRPr="007D162C" w:rsidRDefault="00305410"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76B8E88C" w14:textId="5233122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in relation to the height and shape of edge barriers on portable boarding ramps. These requirements would pertain to buses (except dedicated school buses), trains, trams and light rail. Three regulatory options were presented for consultation.</w:t>
            </w:r>
          </w:p>
          <w:p w14:paraId="0ADCC7E2"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Option 1</w:t>
            </w:r>
          </w:p>
          <w:p w14:paraId="2EBE2850" w14:textId="15EB9C6D"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of a safe height above the ramp surface on both sides.</w:t>
            </w:r>
          </w:p>
          <w:p w14:paraId="2CDE0B1B"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 xml:space="preserve">Option 2 </w:t>
            </w:r>
          </w:p>
          <w:p w14:paraId="501D5CCE" w14:textId="57888EE0"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65 to 75 millimetres above the ramp surface on both sides.</w:t>
            </w:r>
          </w:p>
          <w:p w14:paraId="13FE10B2" w14:textId="77777777" w:rsidR="004E502A" w:rsidRPr="007D162C" w:rsidRDefault="00305410" w:rsidP="00305410">
            <w:pPr>
              <w:cnfStyle w:val="000000100000" w:firstRow="0" w:lastRow="0" w:firstColumn="0" w:lastColumn="0" w:oddVBand="0" w:evenVBand="0" w:oddHBand="1" w:evenHBand="0" w:firstRowFirstColumn="0" w:firstRowLastColumn="0" w:lastRowFirstColumn="0" w:lastRowLastColumn="0"/>
              <w:rPr>
                <w:b/>
              </w:rPr>
            </w:pPr>
            <w:r w:rsidRPr="007D162C">
              <w:rPr>
                <w:b/>
                <w:color w:val="000000" w:themeColor="text1"/>
              </w:rPr>
              <w:t>Option 3</w:t>
            </w:r>
          </w:p>
          <w:p w14:paraId="117E1937" w14:textId="70CA17C0"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Must have vertical edge barriers 75 millimetres above the ramp surface and must comply with the relevant Australian Standard.</w:t>
            </w:r>
          </w:p>
        </w:tc>
      </w:tr>
    </w:tbl>
    <w:p w14:paraId="08F0C870" w14:textId="77777777" w:rsidR="00305410" w:rsidRPr="007D162C" w:rsidRDefault="00305410" w:rsidP="00305410">
      <w:pPr>
        <w:pStyle w:val="Heading4"/>
      </w:pPr>
      <w:r w:rsidRPr="007D162C">
        <w:lastRenderedPageBreak/>
        <w:t>Cost benefit analysis</w:t>
      </w:r>
    </w:p>
    <w:p w14:paraId="18462BF5"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5711237B" w14:textId="77777777" w:rsidR="00305410" w:rsidRPr="007D162C" w:rsidRDefault="00305410" w:rsidP="00305410">
      <w:r w:rsidRPr="007D162C">
        <w:t xml:space="preserve">The following categories of quantitative costs and benefits were identified in the CBA as pertaining to the reform options. </w:t>
      </w:r>
    </w:p>
    <w:p w14:paraId="478AF87B" w14:textId="1EBC0319" w:rsidR="00305410" w:rsidRPr="007D162C" w:rsidRDefault="00305410" w:rsidP="00305410">
      <w:pPr>
        <w:pStyle w:val="Caption"/>
        <w:keepNext/>
      </w:pPr>
      <w:bookmarkStart w:id="531" w:name="_Toc122446433"/>
      <w:bookmarkStart w:id="532" w:name="_Toc139969271"/>
      <w:r w:rsidRPr="007D162C">
        <w:t xml:space="preserve">Table </w:t>
      </w:r>
      <w:fldSimple w:instr=" SEQ Table \* ARABIC ">
        <w:r w:rsidR="00DC26AC">
          <w:rPr>
            <w:noProof/>
          </w:rPr>
          <w:t>113</w:t>
        </w:r>
      </w:fldSimple>
      <w:r w:rsidRPr="007D162C">
        <w:t>: Benefit-cost ratios for portable boarding ramp edge barriers</w:t>
      </w:r>
      <w:bookmarkEnd w:id="531"/>
      <w:bookmarkEnd w:id="532"/>
    </w:p>
    <w:tbl>
      <w:tblPr>
        <w:tblStyle w:val="DefaultTable1"/>
        <w:tblW w:w="9864" w:type="dxa"/>
        <w:tblLook w:val="04A0" w:firstRow="1" w:lastRow="0" w:firstColumn="1" w:lastColumn="0" w:noHBand="0" w:noVBand="1"/>
        <w:tblCaption w:val="Benefit-cost ratios for portable boarding ramp edge barriers"/>
        <w:tblDescription w:val="This table provides the monetised benefits and costs for each of the options for this reform area."/>
      </w:tblPr>
      <w:tblGrid>
        <w:gridCol w:w="1214"/>
        <w:gridCol w:w="1531"/>
        <w:gridCol w:w="1791"/>
        <w:gridCol w:w="1701"/>
        <w:gridCol w:w="1701"/>
        <w:gridCol w:w="1926"/>
      </w:tblGrid>
      <w:tr w:rsidR="00305410" w:rsidRPr="007D162C" w14:paraId="4827CAD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6B5582" w14:textId="77777777" w:rsidR="00305410" w:rsidRPr="007D162C" w:rsidRDefault="08D050C4" w:rsidP="00305410">
            <w:r w:rsidRPr="007D162C">
              <w:t>Reform Option</w:t>
            </w:r>
          </w:p>
        </w:tc>
        <w:tc>
          <w:tcPr>
            <w:tcW w:w="1531" w:type="dxa"/>
          </w:tcPr>
          <w:p w14:paraId="65BC395C"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0F1762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4A4EC06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4A385ADB"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926" w:type="dxa"/>
          </w:tcPr>
          <w:p w14:paraId="6F025946" w14:textId="064C081B"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BCR</w:t>
            </w:r>
          </w:p>
        </w:tc>
      </w:tr>
      <w:tr w:rsidR="00305410" w:rsidRPr="007D162C" w14:paraId="4EEAF2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99D700D" w14:textId="77777777" w:rsidR="00305410" w:rsidRPr="007D162C" w:rsidRDefault="00305410" w:rsidP="00305410">
            <w:r w:rsidRPr="007D162C">
              <w:t>Status Quo</w:t>
            </w:r>
          </w:p>
        </w:tc>
        <w:tc>
          <w:tcPr>
            <w:tcW w:w="1531" w:type="dxa"/>
          </w:tcPr>
          <w:p w14:paraId="67E0634F"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264EBD92"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35CB44C9"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21A9614"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26" w:type="dxa"/>
          </w:tcPr>
          <w:p w14:paraId="60FC6CE8" w14:textId="77777777" w:rsidR="00305410"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15388B93"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6733E42" w14:textId="77777777" w:rsidR="00305410" w:rsidRPr="007D162C" w:rsidRDefault="00305410" w:rsidP="00305410">
            <w:r w:rsidRPr="007D162C">
              <w:t xml:space="preserve">Non-regulatory </w:t>
            </w:r>
          </w:p>
        </w:tc>
        <w:tc>
          <w:tcPr>
            <w:tcW w:w="1531" w:type="dxa"/>
            <w:vAlign w:val="center"/>
          </w:tcPr>
          <w:p w14:paraId="2E283222"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37.8</w:t>
            </w:r>
          </w:p>
        </w:tc>
        <w:tc>
          <w:tcPr>
            <w:tcW w:w="1791" w:type="dxa"/>
          </w:tcPr>
          <w:p w14:paraId="5718191E" w14:textId="77777777" w:rsidR="00305410"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52887AC6" w14:textId="4008E302"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40.3</w:t>
            </w:r>
          </w:p>
        </w:tc>
        <w:tc>
          <w:tcPr>
            <w:tcW w:w="1701" w:type="dxa"/>
            <w:vAlign w:val="center"/>
          </w:tcPr>
          <w:p w14:paraId="58DAE6D4" w14:textId="26042178"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40.3</w:t>
            </w:r>
            <w:r w:rsidR="004E502A" w:rsidRPr="007D162C">
              <w:rPr>
                <w:sz w:val="18"/>
                <w:szCs w:val="18"/>
                <w:vertAlign w:val="superscript"/>
              </w:rPr>
              <w:t>i</w:t>
            </w:r>
          </w:p>
        </w:tc>
        <w:tc>
          <w:tcPr>
            <w:tcW w:w="1926" w:type="dxa"/>
            <w:vAlign w:val="center"/>
          </w:tcPr>
          <w:p w14:paraId="60D6383E" w14:textId="77777777" w:rsidR="00305410"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0.94</w:t>
            </w:r>
          </w:p>
        </w:tc>
      </w:tr>
      <w:tr w:rsidR="00305410" w:rsidRPr="007D162C" w14:paraId="1EE1336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54F5334" w14:textId="77777777" w:rsidR="00305410" w:rsidRPr="007D162C" w:rsidRDefault="00305410" w:rsidP="00305410">
            <w:r w:rsidRPr="007D162C">
              <w:t>Regulatory options</w:t>
            </w:r>
          </w:p>
        </w:tc>
        <w:tc>
          <w:tcPr>
            <w:tcW w:w="1531" w:type="dxa"/>
            <w:vAlign w:val="center"/>
          </w:tcPr>
          <w:p w14:paraId="3F37D2B3"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159.7</w:t>
            </w:r>
          </w:p>
        </w:tc>
        <w:tc>
          <w:tcPr>
            <w:tcW w:w="1791" w:type="dxa"/>
          </w:tcPr>
          <w:p w14:paraId="5B9AEA94" w14:textId="77777777" w:rsidR="00305410"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61260987"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90.5</w:t>
            </w:r>
          </w:p>
        </w:tc>
        <w:tc>
          <w:tcPr>
            <w:tcW w:w="1701" w:type="dxa"/>
            <w:vAlign w:val="center"/>
          </w:tcPr>
          <w:p w14:paraId="0B48711D"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90.5</w:t>
            </w:r>
          </w:p>
        </w:tc>
        <w:tc>
          <w:tcPr>
            <w:tcW w:w="1926" w:type="dxa"/>
            <w:vAlign w:val="center"/>
          </w:tcPr>
          <w:p w14:paraId="75281CAE" w14:textId="77777777" w:rsidR="00305410"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1.77</w:t>
            </w:r>
          </w:p>
        </w:tc>
      </w:tr>
    </w:tbl>
    <w:p w14:paraId="407EABF2" w14:textId="77777777" w:rsidR="00305410" w:rsidRPr="007D162C" w:rsidRDefault="00305410" w:rsidP="00305410">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6974A77" w14:textId="77777777" w:rsidR="00305410"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555F15C4" w14:textId="77777777" w:rsidR="004C47E2" w:rsidRPr="007D162C" w:rsidRDefault="004C47E2" w:rsidP="00305410">
      <w:pPr>
        <w:spacing w:before="120" w:after="0"/>
        <w:rPr>
          <w:sz w:val="20"/>
        </w:rPr>
      </w:pPr>
    </w:p>
    <w:p w14:paraId="67C26F66" w14:textId="77777777" w:rsidR="00305410" w:rsidRPr="007D162C" w:rsidRDefault="00305410" w:rsidP="00305410">
      <w:pPr>
        <w:pStyle w:val="Heading6"/>
      </w:pPr>
      <w:r w:rsidRPr="007D162C">
        <w:t>Considerations to note in interpreting analysis</w:t>
      </w:r>
    </w:p>
    <w:p w14:paraId="2938887A" w14:textId="77777777" w:rsidR="00305410" w:rsidRPr="007D162C" w:rsidRDefault="00305410" w:rsidP="004E502A">
      <w:pPr>
        <w:pStyle w:val="Heading7"/>
      </w:pPr>
      <w:r w:rsidRPr="007D162C">
        <w:t>Limitations:</w:t>
      </w:r>
    </w:p>
    <w:p w14:paraId="78D883CA" w14:textId="77777777" w:rsidR="00305410" w:rsidRPr="007D162C" w:rsidRDefault="00305410" w:rsidP="004E502A">
      <w:pPr>
        <w:pStyle w:val="Heading8"/>
      </w:pPr>
      <w:r w:rsidRPr="007D162C">
        <w:t>Non-regulatory option:</w:t>
      </w:r>
    </w:p>
    <w:p w14:paraId="2544C390" w14:textId="718AE625" w:rsidR="00305410" w:rsidRPr="007D162C" w:rsidRDefault="00305410"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0917A8">
        <w:t xml:space="preserve"> per cent</w:t>
      </w:r>
      <w:r w:rsidRPr="007D162C">
        <w:t xml:space="preserve"> was applied to the non-regulatory option based on the low cost and complexity of procuring portable boarding ramps with edge barriers, and the strong support for this additional safety requirement in submissions from operators and providers. This implies that the benefits and costs quantified for this non-regulatory reform may not reflect future take-up of the reform.</w:t>
      </w:r>
    </w:p>
    <w:p w14:paraId="6014070A" w14:textId="77777777" w:rsidR="00F302D5" w:rsidRPr="007D162C" w:rsidRDefault="00F302D5" w:rsidP="00F302D5">
      <w:pPr>
        <w:pStyle w:val="Listparagraphbullets"/>
        <w:numPr>
          <w:ilvl w:val="0"/>
          <w:numId w:val="0"/>
        </w:numPr>
        <w:autoSpaceDE w:val="0"/>
        <w:autoSpaceDN w:val="0"/>
        <w:spacing w:after="0"/>
      </w:pPr>
    </w:p>
    <w:p w14:paraId="5A0F236F" w14:textId="77777777" w:rsidR="00305410" w:rsidRPr="007D162C" w:rsidRDefault="00305410" w:rsidP="004E502A">
      <w:pPr>
        <w:pStyle w:val="Heading8"/>
      </w:pPr>
      <w:r w:rsidRPr="007D162C">
        <w:t>Regulatory options:</w:t>
      </w:r>
    </w:p>
    <w:p w14:paraId="11CF350A" w14:textId="5403EA4C" w:rsidR="00305410" w:rsidRPr="007D162C" w:rsidRDefault="00305410" w:rsidP="00F302D5">
      <w:pPr>
        <w:pStyle w:val="Listparagraphbullets"/>
        <w:numPr>
          <w:ilvl w:val="0"/>
          <w:numId w:val="0"/>
        </w:numPr>
        <w:autoSpaceDE w:val="0"/>
        <w:autoSpaceDN w:val="0"/>
        <w:spacing w:after="0"/>
      </w:pPr>
      <w:r w:rsidRPr="007D162C">
        <w:rPr>
          <w:color w:val="000000"/>
          <w:shd w:val="clear" w:color="auto" w:fill="FFFFFF"/>
        </w:rPr>
        <w:t>Approximately 35</w:t>
      </w:r>
      <w:r w:rsidR="000917A8">
        <w:rPr>
          <w:color w:val="000000"/>
          <w:shd w:val="clear" w:color="auto" w:fill="FFFFFF"/>
        </w:rPr>
        <w:t xml:space="preserve"> per cent</w:t>
      </w:r>
      <w:r w:rsidRPr="007D162C">
        <w:rPr>
          <w:color w:val="000000"/>
          <w:shd w:val="clear" w:color="auto" w:fill="FFFFFF"/>
        </w:rPr>
        <w:t xml:space="preserve"> of existing portable boarding ramps have been assumed to not be compliant and the safety and experience of all public transport users would be improved, resulting in relatively higher benefits than costs. </w:t>
      </w:r>
      <w:r w:rsidRPr="007D162C">
        <w:t>The benefits and costs for this reform were estimated from publicly available data on the number of conveyances supplemented by data from survey. These data points were proxied to estimate compliance at a national level.</w:t>
      </w:r>
    </w:p>
    <w:p w14:paraId="0B8E48E2" w14:textId="77777777" w:rsidR="00F302D5" w:rsidRPr="007D162C" w:rsidRDefault="00F302D5" w:rsidP="00F302D5">
      <w:pPr>
        <w:pStyle w:val="Listparagraphbullets"/>
        <w:numPr>
          <w:ilvl w:val="0"/>
          <w:numId w:val="0"/>
        </w:numPr>
        <w:autoSpaceDE w:val="0"/>
        <w:autoSpaceDN w:val="0"/>
        <w:spacing w:after="0"/>
      </w:pPr>
    </w:p>
    <w:p w14:paraId="553280B2" w14:textId="77777777" w:rsidR="00305410" w:rsidRPr="007D162C" w:rsidRDefault="00305410" w:rsidP="004E502A">
      <w:pPr>
        <w:pStyle w:val="Heading8"/>
      </w:pPr>
      <w:r w:rsidRPr="007D162C">
        <w:t>Interdependencies:</w:t>
      </w:r>
    </w:p>
    <w:p w14:paraId="0D80121F" w14:textId="77777777" w:rsidR="00305410" w:rsidRPr="007D162C" w:rsidRDefault="00305410"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removable gangway design, pontoon boarding points.</w:t>
      </w:r>
    </w:p>
    <w:p w14:paraId="0543E07E" w14:textId="77777777" w:rsidR="00305410" w:rsidRPr="007D162C" w:rsidRDefault="00305410"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8080237" w14:textId="77777777" w:rsidR="00305410" w:rsidRPr="007D162C" w:rsidRDefault="00305410" w:rsidP="00305410">
      <w:r w:rsidRPr="007D162C">
        <w:t>The following categories of qualitative benefits were identified in the CBA as pertaining to the reform options.</w:t>
      </w:r>
    </w:p>
    <w:p w14:paraId="0649B38D" w14:textId="3E56C3B3" w:rsidR="00305410" w:rsidRPr="007D162C" w:rsidRDefault="00305410" w:rsidP="00305410">
      <w:pPr>
        <w:pStyle w:val="Caption"/>
        <w:keepNext/>
      </w:pPr>
      <w:bookmarkStart w:id="533" w:name="_Toc122446434"/>
      <w:bookmarkStart w:id="534" w:name="_Toc139969272"/>
      <w:r w:rsidRPr="007D162C">
        <w:lastRenderedPageBreak/>
        <w:t xml:space="preserve">Table </w:t>
      </w:r>
      <w:fldSimple w:instr=" SEQ Table \* ARABIC ">
        <w:r w:rsidR="00DC26AC">
          <w:rPr>
            <w:noProof/>
          </w:rPr>
          <w:t>114</w:t>
        </w:r>
      </w:fldSimple>
      <w:r w:rsidRPr="007D162C">
        <w:rPr>
          <w:noProof/>
        </w:rPr>
        <w:t xml:space="preserve">: </w:t>
      </w:r>
      <w:r w:rsidRPr="007D162C">
        <w:t>Qualitative benefits for portable boarding ramp edge barriers</w:t>
      </w:r>
      <w:bookmarkEnd w:id="533"/>
      <w:bookmarkEnd w:id="534"/>
    </w:p>
    <w:tbl>
      <w:tblPr>
        <w:tblStyle w:val="DefaultTable1"/>
        <w:tblW w:w="9864" w:type="dxa"/>
        <w:tblLook w:val="04A0" w:firstRow="1" w:lastRow="0" w:firstColumn="1" w:lastColumn="0" w:noHBand="0" w:noVBand="1"/>
        <w:tblCaption w:val="Qualitative benefits for portable boarding ramp edge barriers"/>
      </w:tblPr>
      <w:tblGrid>
        <w:gridCol w:w="1213"/>
        <w:gridCol w:w="1343"/>
        <w:gridCol w:w="1626"/>
        <w:gridCol w:w="1300"/>
        <w:gridCol w:w="1278"/>
        <w:gridCol w:w="1641"/>
        <w:gridCol w:w="1463"/>
      </w:tblGrid>
      <w:tr w:rsidR="00305410" w:rsidRPr="007D162C" w14:paraId="18E8432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479EB35" w14:textId="77777777" w:rsidR="00305410" w:rsidRPr="007D162C" w:rsidRDefault="08D050C4" w:rsidP="00305410">
            <w:r w:rsidRPr="007D162C">
              <w:t>Reform Option</w:t>
            </w:r>
          </w:p>
        </w:tc>
        <w:tc>
          <w:tcPr>
            <w:tcW w:w="1343" w:type="dxa"/>
          </w:tcPr>
          <w:p w14:paraId="644138ED"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531D2C9"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3703811"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323D638"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0DDE75A"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C014CB3" w14:textId="77777777" w:rsidR="00305410" w:rsidRPr="007D162C" w:rsidRDefault="08D050C4" w:rsidP="00305410">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305410" w:rsidRPr="007D162C" w14:paraId="1135AF6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165C827" w14:textId="77777777" w:rsidR="00305410" w:rsidRPr="007D162C" w:rsidRDefault="00305410" w:rsidP="00305410">
            <w:r w:rsidRPr="007D162C">
              <w:t>Status Quo</w:t>
            </w:r>
          </w:p>
        </w:tc>
        <w:tc>
          <w:tcPr>
            <w:tcW w:w="1343" w:type="dxa"/>
          </w:tcPr>
          <w:p w14:paraId="58BC397D"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47F64887"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4E492DE5"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87295A3"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EE37A31"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7D35376"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r>
      <w:tr w:rsidR="00305410" w:rsidRPr="007D162C" w14:paraId="091819B8"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39704F1" w14:textId="77777777" w:rsidR="00305410" w:rsidRPr="007D162C" w:rsidRDefault="00305410" w:rsidP="00305410">
            <w:r w:rsidRPr="007D162C">
              <w:t xml:space="preserve">Non-regulatory </w:t>
            </w:r>
          </w:p>
        </w:tc>
        <w:tc>
          <w:tcPr>
            <w:tcW w:w="1343" w:type="dxa"/>
          </w:tcPr>
          <w:p w14:paraId="63A57B6C"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E7CD153"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57736FD"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79857FF1"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118A4075" w14:textId="77777777" w:rsidR="00305410" w:rsidRPr="007D162C" w:rsidRDefault="00305410" w:rsidP="00305410">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7FD77E60" w14:textId="77777777" w:rsidR="00305410" w:rsidRPr="007D162C" w:rsidRDefault="08D050C4" w:rsidP="00305410">
            <w:pPr>
              <w:cnfStyle w:val="000000000000" w:firstRow="0" w:lastRow="0" w:firstColumn="0" w:lastColumn="0" w:oddVBand="0" w:evenVBand="0" w:oddHBand="0" w:evenHBand="0" w:firstRowFirstColumn="0" w:firstRowLastColumn="0" w:lastRowFirstColumn="0" w:lastRowLastColumn="0"/>
            </w:pPr>
            <w:r w:rsidRPr="007D162C">
              <w:t>-</w:t>
            </w:r>
          </w:p>
        </w:tc>
      </w:tr>
      <w:tr w:rsidR="00305410" w:rsidRPr="007D162C" w14:paraId="616155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C9F7099" w14:textId="77777777" w:rsidR="00305410" w:rsidRPr="007D162C" w:rsidRDefault="00305410" w:rsidP="00305410">
            <w:r w:rsidRPr="007D162C">
              <w:t>Regulatory</w:t>
            </w:r>
          </w:p>
        </w:tc>
        <w:tc>
          <w:tcPr>
            <w:tcW w:w="1343" w:type="dxa"/>
          </w:tcPr>
          <w:p w14:paraId="0BAF85BC"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AA435A"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09E6CD88"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76679B37"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FBA91C0" w14:textId="77777777" w:rsidR="00305410" w:rsidRPr="007D162C" w:rsidRDefault="00305410" w:rsidP="00305410">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33766DDC" w14:textId="77777777" w:rsidR="00305410" w:rsidRPr="007D162C" w:rsidRDefault="08D050C4" w:rsidP="00305410">
            <w:pPr>
              <w:cnfStyle w:val="000000100000" w:firstRow="0" w:lastRow="0" w:firstColumn="0" w:lastColumn="0" w:oddVBand="0" w:evenVBand="0" w:oddHBand="1" w:evenHBand="0" w:firstRowFirstColumn="0" w:firstRowLastColumn="0" w:lastRowFirstColumn="0" w:lastRowLastColumn="0"/>
            </w:pPr>
            <w:r w:rsidRPr="007D162C">
              <w:t>-</w:t>
            </w:r>
          </w:p>
        </w:tc>
      </w:tr>
    </w:tbl>
    <w:p w14:paraId="77B97003" w14:textId="77777777" w:rsidR="000A4CD3" w:rsidRPr="007D162C" w:rsidRDefault="000A4CD3" w:rsidP="00F47B58">
      <w:pPr>
        <w:pStyle w:val="BodyText"/>
      </w:pPr>
    </w:p>
    <w:p w14:paraId="6E0DB1C1" w14:textId="0F4C2879" w:rsidR="00305410" w:rsidRPr="007D162C" w:rsidRDefault="00305410" w:rsidP="00305410">
      <w:pPr>
        <w:pStyle w:val="Heading4"/>
        <w:tabs>
          <w:tab w:val="left" w:pos="284"/>
        </w:tabs>
      </w:pPr>
      <w:r w:rsidRPr="007D162C">
        <w:t xml:space="preserve">Analysis of submissions </w:t>
      </w:r>
    </w:p>
    <w:p w14:paraId="1E693678" w14:textId="77777777" w:rsidR="00305410" w:rsidRPr="007D162C" w:rsidRDefault="00305410" w:rsidP="004E502A">
      <w:pPr>
        <w:pStyle w:val="Heading5"/>
      </w:pPr>
      <w:r w:rsidRPr="007D162C">
        <w:t>Status quo</w:t>
      </w:r>
    </w:p>
    <w:p w14:paraId="455B6F16" w14:textId="7E13C1D5" w:rsidR="00305410" w:rsidRPr="007D162C" w:rsidRDefault="08D050C4" w:rsidP="00305410">
      <w:r w:rsidRPr="000917A8">
        <w:t xml:space="preserve">Section 6.2 </w:t>
      </w:r>
      <w:r w:rsidRPr="000917A8">
        <w:rPr>
          <w:iCs/>
        </w:rPr>
        <w:t>Boarding ramps</w:t>
      </w:r>
      <w:r w:rsidRPr="000917A8">
        <w:t xml:space="preserve"> </w:t>
      </w:r>
      <w:r w:rsidRPr="007D162C">
        <w:t xml:space="preserve">of the Transport Standards does not specify the need </w:t>
      </w:r>
      <w:r w:rsidRPr="000917A8">
        <w:t xml:space="preserve">for edge barriers on portable boarding ramps. While section 6.2 references AS/NZS3856.1 (1998) </w:t>
      </w:r>
      <w:r w:rsidRPr="000917A8">
        <w:rPr>
          <w:iCs/>
        </w:rPr>
        <w:t>Hoists and ramps for people with disabilities</w:t>
      </w:r>
      <w:r w:rsidRPr="000917A8">
        <w:t>, this Australian Standard only requires edge barriers on portable</w:t>
      </w:r>
      <w:r w:rsidRPr="007D162C">
        <w:t xml:space="preserve"> boarding ramps when the ramp’s vertical rise is greater than 400 millimetres. </w:t>
      </w:r>
    </w:p>
    <w:p w14:paraId="5FC1827F" w14:textId="77777777" w:rsidR="00305410" w:rsidRPr="007D162C" w:rsidRDefault="08D050C4" w:rsidP="00305410">
      <w:r w:rsidRPr="007D162C">
        <w:t xml:space="preserve">A vertical rise of 400 millimetres on a boarding ramp is rarely encountered while boarding conveyances. Edge barriers are still important for ramps with a vertical rise less than 400 millimetres. </w:t>
      </w:r>
    </w:p>
    <w:p w14:paraId="1DB8245F" w14:textId="77777777" w:rsidR="00305410" w:rsidRPr="007D162C" w:rsidRDefault="00305410" w:rsidP="00305410">
      <w:pPr>
        <w:pStyle w:val="Quote"/>
      </w:pPr>
      <w:r w:rsidRPr="007D162C">
        <w:t>We support the inclusion of ramp barriers on all portable ramps regardless of the vertical rise, since it is always possible for passengers using assistive mobility devices to misjudge when navigating, which could result in the passenger coming off the side of a ramp and experiencing injury.</w:t>
      </w:r>
    </w:p>
    <w:p w14:paraId="3C580902" w14:textId="77777777" w:rsidR="00305410" w:rsidRPr="007D162C" w:rsidRDefault="00305410" w:rsidP="00305410">
      <w:pPr>
        <w:pStyle w:val="Quote"/>
      </w:pPr>
      <w:r w:rsidRPr="007D162C">
        <w:t>Physical Disability Council of NSW</w:t>
      </w:r>
    </w:p>
    <w:p w14:paraId="185E69EB" w14:textId="77777777" w:rsidR="00305410" w:rsidRPr="007D162C" w:rsidRDefault="00305410" w:rsidP="08D050C4">
      <w:pPr>
        <w:rPr>
          <w:rFonts w:ascii="Calibri" w:hAnsi="Calibri" w:cs="Calibri"/>
          <w:color w:val="000000" w:themeColor="text1"/>
        </w:rPr>
      </w:pPr>
      <w:r w:rsidRPr="007D162C">
        <w:t>Submissions from individuals, people with disability and disability organisations outlined the importance of e</w:t>
      </w:r>
      <w:r w:rsidRPr="007D162C">
        <w:rPr>
          <w:rFonts w:ascii="Calibri" w:hAnsi="Calibri" w:cs="Calibri"/>
          <w:color w:val="000000"/>
          <w:shd w:val="clear" w:color="auto" w:fill="FFFFFF"/>
        </w:rPr>
        <w:t xml:space="preserve">dge barriers on boarding ramps as safety features, particularly for people who use mobility aids, and people who are blind or vision impaired. </w:t>
      </w:r>
      <w:r w:rsidRPr="007D162C">
        <w:t>No submissions from individuals, people with disability or disability organisations supported maintaining the status quo.</w:t>
      </w:r>
    </w:p>
    <w:p w14:paraId="79122E31" w14:textId="77777777" w:rsidR="00305410" w:rsidRPr="007D162C" w:rsidRDefault="00305410" w:rsidP="00305410">
      <w:r w:rsidRPr="007D162C">
        <w:t xml:space="preserve">One submission from industry supported the status quo, outlining that this option considered the unique characteristics of aircraft. The status quo option was also supported in one submission from government, which stated that edge barriers are already provided on all boarding ramps and additional guidance was not necessary. </w:t>
      </w:r>
    </w:p>
    <w:p w14:paraId="4982F520" w14:textId="343531A1" w:rsidR="00305410" w:rsidRPr="007D162C" w:rsidRDefault="00305410" w:rsidP="00305410">
      <w:r w:rsidRPr="007D162C">
        <w:t>However, consultation findings indicate that the use of edge barriers on boarding ramps is not consistent and that the absence of edge barriers on ramps poses a safety risk when boarding and disembarking conveyances. Maintaining the status quo does not enhance equality and independence, or reduce discrimination for people with disability in relation to public transport. The status quo has no ongoing costs for public transports operators and providers</w:t>
      </w:r>
      <w:r w:rsidR="00B82E35">
        <w:t>;</w:t>
      </w:r>
      <w:r w:rsidRPr="007D162C">
        <w:t xml:space="preserve"> however</w:t>
      </w:r>
      <w:r w:rsidR="00B82E35">
        <w:t>,</w:t>
      </w:r>
      <w:r w:rsidRPr="007D162C">
        <w:t xml:space="preserve"> negative impacts on community amenity, accessibility, and safety will remain.</w:t>
      </w:r>
    </w:p>
    <w:p w14:paraId="4002B90C" w14:textId="77777777" w:rsidR="00305410" w:rsidRPr="007D162C" w:rsidRDefault="00305410" w:rsidP="004E502A">
      <w:pPr>
        <w:pStyle w:val="Heading5"/>
      </w:pPr>
      <w:r w:rsidRPr="007D162C">
        <w:t>Non-regulatory</w:t>
      </w:r>
    </w:p>
    <w:p w14:paraId="4381D4D4" w14:textId="77777777" w:rsidR="00305410" w:rsidRPr="007D162C" w:rsidRDefault="00305410" w:rsidP="00305410">
      <w:r w:rsidRPr="007D162C">
        <w:t>The non-regulatory option would update The Whole Journey Guide to include advice for edge barriers on portable boarding ramps.</w:t>
      </w:r>
    </w:p>
    <w:p w14:paraId="66CEB031" w14:textId="77777777" w:rsidR="00305410" w:rsidRPr="007D162C" w:rsidRDefault="00305410" w:rsidP="00305410">
      <w:r w:rsidRPr="007D162C">
        <w:lastRenderedPageBreak/>
        <w:t>One submission from government supported the non-regulatory option, citing concerns regarding mandatory edge barrier specifications and associated costs for replacing existing ramps to meet any new requirements and costs to retrofit assets, particularly where ramps are stored within conveyances or existing spaces within infrastructure. Staff safety was also raised as an additional concern associated with the storage of boarding ramps. This submission also noted there was little evidence of customer incidents to support the redesign of existing ramps.</w:t>
      </w:r>
    </w:p>
    <w:p w14:paraId="224A2636" w14:textId="77777777" w:rsidR="00305410" w:rsidRPr="007D162C" w:rsidRDefault="00305410" w:rsidP="00305410">
      <w:r w:rsidRPr="007D162C">
        <w:t xml:space="preserve">One submission from industry also supported the non-regulatory option. The submission noted the </w:t>
      </w:r>
      <w:r w:rsidRPr="007D162C">
        <w:rPr>
          <w:rFonts w:ascii="Calibri" w:eastAsia="Times New Roman" w:hAnsi="Calibri" w:cs="Calibri"/>
          <w:color w:val="000000"/>
          <w:lang w:eastAsia="en-AU"/>
        </w:rPr>
        <w:t xml:space="preserve">non-regulatory option refers only to ‘portable boarding ramps’, while the three regulatory options presented refer to ‘all portable ramps that are not fixed to conveyances.’ </w:t>
      </w:r>
      <w:r w:rsidRPr="007D162C">
        <w:t xml:space="preserve">This stakeholder outlined that they do not provide or operate ramps for routine boarding or disembarking their conveyances, but that exit ramps were provided for </w:t>
      </w:r>
      <w:r w:rsidRPr="007D162C">
        <w:rPr>
          <w:rFonts w:ascii="Calibri" w:hAnsi="Calibri" w:cs="Calibri"/>
          <w:color w:val="000000"/>
          <w:shd w:val="clear" w:color="auto" w:fill="FFFFFF"/>
        </w:rPr>
        <w:t>emergency situations and unplanned operational disruptions</w:t>
      </w:r>
      <w:r w:rsidRPr="007D162C">
        <w:t>. This submission questioned whether any new regulatory requirements would apply to these ramps.</w:t>
      </w:r>
    </w:p>
    <w:p w14:paraId="11A8BA5D" w14:textId="77777777" w:rsidR="00305410" w:rsidRPr="007D162C" w:rsidRDefault="00305410" w:rsidP="00305410">
      <w:r w:rsidRPr="007D162C">
        <w:t>To the extent that guidance is followed, costs would be incurred by operators who update their portable boarding ramps depending on the option adopted. Submissions indicate costs may be more significant where large scale design, fit-out and modification to existing storage in conveyances or assets may be required. Under the non-regulatory option, operators and providers will be able to manage the implementation (and related costs) to suit their operational requirements, including through staging the implementation.</w:t>
      </w:r>
    </w:p>
    <w:p w14:paraId="110245F9" w14:textId="508FD283" w:rsidR="00305410" w:rsidRPr="007D162C" w:rsidRDefault="00305410" w:rsidP="00305410">
      <w:r w:rsidRPr="007D162C">
        <w:t xml:space="preserve">Given this option is discretionary, it does not provide certainty that guidance will be implemented which may reduce confidence of passengers to travel if they are unable to safely traverse boarding ramps. To the extent that guidance is followed, people with disability who use boarding ramps will benefit from greater passenger safety and confidence from the protection offered by edge barriers. </w:t>
      </w:r>
    </w:p>
    <w:p w14:paraId="1F43202D" w14:textId="77777777" w:rsidR="00305410" w:rsidRPr="000917A8" w:rsidRDefault="00305410" w:rsidP="004E502A">
      <w:pPr>
        <w:pStyle w:val="Heading5"/>
      </w:pPr>
      <w:r w:rsidRPr="007D162C">
        <w:t>Regulatory</w:t>
      </w:r>
    </w:p>
    <w:p w14:paraId="6D361318" w14:textId="3678B7E9" w:rsidR="00305410" w:rsidRPr="007D162C" w:rsidRDefault="00305410" w:rsidP="00305410">
      <w:r w:rsidRPr="000917A8">
        <w:t>The regulatory approach would amend section 6.2 Boarding ramps</w:t>
      </w:r>
      <w:r w:rsidRPr="007D162C">
        <w:t xml:space="preserve"> of the Transport Standards to include requirements regarding the height of edge barriers. The majority of submissions, across all stakeholder groups, supported a regulatory approach. Three options were proposed for consideration.</w:t>
      </w:r>
      <w:r w:rsidRPr="007D162C">
        <w:tab/>
      </w:r>
    </w:p>
    <w:p w14:paraId="4E877B20" w14:textId="77777777" w:rsidR="00305410" w:rsidRPr="007D162C" w:rsidRDefault="00305410" w:rsidP="08D050C4">
      <w:pPr>
        <w:shd w:val="clear" w:color="auto" w:fill="FFFFFF" w:themeFill="background1"/>
        <w:rPr>
          <w:rFonts w:ascii="Calibri" w:eastAsia="Times New Roman" w:hAnsi="Calibri" w:cs="Calibri"/>
          <w:color w:val="000000" w:themeColor="text1"/>
          <w:lang w:eastAsia="en-AU"/>
        </w:rPr>
      </w:pPr>
      <w:r w:rsidRPr="007D162C">
        <w:t xml:space="preserve">All submissions from individuals, people with disability and disability organisations supported a regulatory approach, with option 3 being the preferred option. Option 3 sets a perspective requirement for edge barrier heights as per AS3856.1 (2021), clause 7.1 (b). Submissions noted this option, which cites the current Australian Standard for vehicle boarding ramps, would have little impact to providers as it reflects current industry standards, and would provide the best outcome for safe access for people who are blind or vision impaired. One government submission also supported option 3, noting it </w:t>
      </w:r>
      <w:r w:rsidRPr="007D162C">
        <w:rPr>
          <w:rFonts w:ascii="Calibri" w:hAnsi="Calibri" w:cs="Calibri"/>
          <w:color w:val="000000"/>
          <w:shd w:val="clear" w:color="auto" w:fill="FFFFFF"/>
        </w:rPr>
        <w:t>promotes safety, inclusion and consistency. However, other submissions from a government and industry stakeholder raised concerns about the ability to comply with the required 75mm edge barrier height specified by the Australian Standards referenced in option 3, including the challenges it may present regarding</w:t>
      </w:r>
      <w:r w:rsidRPr="007D162C">
        <w:rPr>
          <w:rFonts w:ascii="Calibri" w:eastAsia="Times New Roman" w:hAnsi="Calibri" w:cs="Calibri"/>
          <w:color w:val="000000"/>
          <w:lang w:eastAsia="en-AU"/>
        </w:rPr>
        <w:t xml:space="preserve"> onboard storage spaces, or that the option relies upon an Australian Standard reference that could be superseded or withdrawn.</w:t>
      </w:r>
    </w:p>
    <w:p w14:paraId="3E8B5AC2" w14:textId="77777777" w:rsidR="00305410" w:rsidRPr="007D162C" w:rsidRDefault="00305410" w:rsidP="08D050C4">
      <w:pPr>
        <w:tabs>
          <w:tab w:val="left" w:pos="1290"/>
        </w:tabs>
        <w:rPr>
          <w:b/>
          <w:bCs/>
        </w:rPr>
      </w:pPr>
      <w:r w:rsidRPr="007D162C">
        <w:t xml:space="preserve">Options 1 and 2 were the preferred options for government and industry stakeholders who supported a regulatory approach. Regulatory option 1 was only marginally preferred over regulatory option 2. Submissions that expressed support for option 1, noted it would see an improvement to safety and accessibility, while being feasible to implement as it allowed flexibility for operators and providers to work within existing storage spaces of conveyance fleets and infrastructure. Option 1 sets a performance-based standard requiring vertical edge barriers to be a ‘safe height’ above the ramp surface.  One submission suggested option 1 be refined to make clear </w:t>
      </w:r>
      <w:r w:rsidRPr="007D162C">
        <w:lastRenderedPageBreak/>
        <w:t>the requirement would apply to portable boarding ramps only. One submission that supported option 2, expressed concerns about the lack of specific</w:t>
      </w:r>
      <w:r w:rsidRPr="007D162C">
        <w:rPr>
          <w:rFonts w:ascii="Calibri" w:hAnsi="Calibri" w:cs="Calibri"/>
          <w:color w:val="000000"/>
          <w:shd w:val="clear" w:color="auto" w:fill="FFFFFF"/>
        </w:rPr>
        <w:t xml:space="preserve"> height requirements for the edge barrier under option 1.  This submission noted it would leave the requirement open to interpretation and may create a variation in edge barrier heights and safety. </w:t>
      </w:r>
      <w:r w:rsidRPr="007D162C">
        <w:t>Those who supported option 2 outlined that it provides</w:t>
      </w:r>
      <w:r w:rsidRPr="007D162C">
        <w:rPr>
          <w:rFonts w:ascii="Calibri" w:eastAsia="Times New Roman" w:hAnsi="Calibri" w:cs="Calibri"/>
          <w:color w:val="000000"/>
          <w:lang w:eastAsia="en-AU"/>
        </w:rPr>
        <w:t xml:space="preserve"> clarity and the most ‘future proofed’ option, while improving safety and confidence for people with disability. </w:t>
      </w:r>
      <w:r w:rsidRPr="007D162C">
        <w:rPr>
          <w:rFonts w:ascii="Calibri" w:hAnsi="Calibri" w:cs="Calibri"/>
          <w:color w:val="000000"/>
          <w:shd w:val="clear" w:color="auto" w:fill="FFFFFF"/>
        </w:rPr>
        <w:t xml:space="preserve">Option 2 </w:t>
      </w:r>
      <w:r w:rsidRPr="007D162C">
        <w:t>sets a prescriptive requirement for edge barrier heights.</w:t>
      </w:r>
      <w:r w:rsidRPr="007D162C">
        <w:rPr>
          <w:rFonts w:ascii="Calibri" w:hAnsi="Calibri" w:cs="Calibri"/>
          <w:color w:val="000000"/>
          <w:shd w:val="clear" w:color="auto" w:fill="FFFFFF"/>
        </w:rPr>
        <w:t xml:space="preserve"> </w:t>
      </w:r>
      <w:r w:rsidRPr="007D162C">
        <w:rPr>
          <w:rFonts w:ascii="Calibri" w:eastAsia="Times New Roman" w:hAnsi="Calibri" w:cs="Calibri"/>
          <w:color w:val="000000"/>
          <w:lang w:eastAsia="en-AU"/>
        </w:rPr>
        <w:t xml:space="preserve">One submission noted </w:t>
      </w:r>
      <w:r w:rsidRPr="007D162C">
        <w:rPr>
          <w:rFonts w:ascii="Calibri" w:hAnsi="Calibri" w:cs="Calibri"/>
          <w:color w:val="000000"/>
          <w:shd w:val="clear" w:color="auto" w:fill="FFFFFF"/>
        </w:rPr>
        <w:t>option 2 provides for an edge barrier height range (</w:t>
      </w:r>
      <w:r w:rsidRPr="007D162C">
        <w:t>65 to 75 millimetres</w:t>
      </w:r>
      <w:r w:rsidRPr="007D162C">
        <w:rPr>
          <w:rFonts w:ascii="Calibri" w:hAnsi="Calibri" w:cs="Calibri"/>
          <w:color w:val="000000"/>
          <w:shd w:val="clear" w:color="auto" w:fill="FFFFFF"/>
        </w:rPr>
        <w:t xml:space="preserve">) which allows for some flexibility. </w:t>
      </w:r>
    </w:p>
    <w:p w14:paraId="0325A00B" w14:textId="77777777" w:rsidR="00305410" w:rsidRPr="007D162C" w:rsidRDefault="00305410" w:rsidP="00305410">
      <w:pPr>
        <w:tabs>
          <w:tab w:val="left" w:pos="1290"/>
        </w:tabs>
      </w:pPr>
      <w:r w:rsidRPr="007D162C">
        <w:rPr>
          <w:rFonts w:ascii="Calibri" w:hAnsi="Calibri" w:cs="Calibri"/>
          <w:color w:val="000000"/>
          <w:shd w:val="clear" w:color="auto" w:fill="FFFFFF"/>
        </w:rPr>
        <w:t xml:space="preserve">While government and industry stakeholders acknowledged a regulatory approach would ensure consistency across networks and jurisdictions, a number of submissions expressed concerns regarding safety risks for staff providing boarding assistance using portable ramps, and concerns regarding folding and stowing boarding ramps with edge barriers, particularly on conveyances. </w:t>
      </w:r>
      <w:r w:rsidRPr="007D162C">
        <w:t>One government submission suggested clarification or additional guidance regarding the safety and importance of having an edge barrier on two sides of a ramp.</w:t>
      </w:r>
    </w:p>
    <w:p w14:paraId="5579781F" w14:textId="77777777" w:rsidR="00305410" w:rsidRPr="007D162C" w:rsidRDefault="00305410" w:rsidP="00305410">
      <w:r w:rsidRPr="007D162C">
        <w:t>Operators who deploy ramps that have no edge barrier or an edge barrier that does not meet the requirements would be required to update their portable boarding ramp stock depending on the option adopted. Updating ramps will incur a cost. Submissions indicate costs may be more significant where large scale design, fit-out and modification to existing storage in conveyances or assets may be required.</w:t>
      </w:r>
    </w:p>
    <w:p w14:paraId="30022AF6" w14:textId="77777777" w:rsidR="00305410" w:rsidRPr="007D162C" w:rsidRDefault="00305410" w:rsidP="00305410">
      <w:r w:rsidRPr="007D162C">
        <w:t>Implementation of a regulatory option will provide greater consistency across jurisdictions, and operators and providers. Passengers would also benefit from greater certainty on services across public transport. People with disability who use boarding ramps will benefit from greater passenger safety and confidence from the protection offered by edge barriers.</w:t>
      </w:r>
    </w:p>
    <w:p w14:paraId="5E36E6D9" w14:textId="77777777" w:rsidR="00305410" w:rsidRPr="007D162C" w:rsidRDefault="00305410" w:rsidP="00305410">
      <w:pPr>
        <w:pStyle w:val="Heading4"/>
      </w:pPr>
      <w:r w:rsidRPr="007D162C">
        <w:t>Preferred option</w:t>
      </w:r>
    </w:p>
    <w:p w14:paraId="7B42F79B" w14:textId="77777777" w:rsidR="00305410" w:rsidRPr="007D162C" w:rsidRDefault="00305410" w:rsidP="00305410">
      <w:r w:rsidRPr="007D162C">
        <w:t xml:space="preserve">Informed by the outcomes of consultation, stakeholder impacts, cost and outcomes analysis, the preferred option is </w:t>
      </w:r>
      <w:r w:rsidRPr="007D162C">
        <w:rPr>
          <w:b/>
        </w:rPr>
        <w:t>regulatory option 2</w:t>
      </w:r>
      <w:r w:rsidRPr="007D162C">
        <w:t xml:space="preserve">. </w:t>
      </w:r>
    </w:p>
    <w:p w14:paraId="53220146" w14:textId="77777777" w:rsidR="00305410" w:rsidRPr="007D162C" w:rsidRDefault="00305410" w:rsidP="00305410">
      <w:pPr>
        <w:tabs>
          <w:tab w:val="left" w:pos="1290"/>
        </w:tabs>
      </w:pPr>
      <w:r w:rsidRPr="007D162C">
        <w:t xml:space="preserve">The majority of submissions, across all stakeholder groups, supported a regulatory approach. </w:t>
      </w:r>
      <w:r w:rsidRPr="007D162C">
        <w:rPr>
          <w:rFonts w:ascii="Calibri" w:hAnsi="Calibri" w:cs="Calibri"/>
          <w:color w:val="000000"/>
          <w:shd w:val="clear" w:color="auto" w:fill="FFFFFF"/>
        </w:rPr>
        <w:t>A regulatory approach would ensure greater consistency across networks and jurisdictions, and address the omission of explicit requirements in the Transport Standards regarding</w:t>
      </w:r>
      <w:r w:rsidRPr="007D162C">
        <w:t xml:space="preserve"> edge ramps on portable boarding devices. People with disability who use boarding ramps will benefit from greater passenger safety and confidence from the protection offered by edge barriers. While regulatory option 3 was the preferred option amongst individuals, people with disability and disability organisations and regulatory option 1 was the preferred option from government and industry stakeholders, regulatory option 2 provides a prescriptive requirement, while still allowing for some flexibility. </w:t>
      </w:r>
    </w:p>
    <w:p w14:paraId="5A97BFF5" w14:textId="77777777" w:rsidR="00305410" w:rsidRPr="007D162C" w:rsidRDefault="00305410" w:rsidP="00305410">
      <w:pPr>
        <w:tabs>
          <w:tab w:val="left" w:pos="1290"/>
        </w:tabs>
      </w:pPr>
      <w:r w:rsidRPr="007D162C">
        <w:t>Concerns were raised that option 1 was open to interpretation and created too much flexibility. While acknowledging that this option allows flexibility for operators and providers to work within existing storage spaces of conveyance fleets and infrastructure, this option also presents challenges. Option 1 is not be the best option to achieve the objects of the reform in creating certainty, both from a legal and service provision perspective, and is unlikely to achieve the best outcomes for people with disability. In comparison, option 3 stipulates clear requirements for edge barrier heights and aligns with current Australian Standards. However, submissions highlighted that the edge barrier height specifications may not be suitable or achievable when considering the design and space constraints of transport assets and infrastructure, in particular, a number of submissions from industry and government noted it may present</w:t>
      </w:r>
      <w:r w:rsidRPr="007D162C">
        <w:rPr>
          <w:rFonts w:ascii="Calibri" w:hAnsi="Calibri" w:cs="Calibri"/>
          <w:color w:val="000000"/>
          <w:shd w:val="clear" w:color="auto" w:fill="FFFFFF"/>
        </w:rPr>
        <w:t xml:space="preserve"> challenges for</w:t>
      </w:r>
      <w:r w:rsidRPr="007D162C">
        <w:rPr>
          <w:rFonts w:ascii="Calibri" w:eastAsia="Times New Roman" w:hAnsi="Calibri" w:cs="Calibri"/>
          <w:color w:val="000000"/>
          <w:lang w:eastAsia="en-AU"/>
        </w:rPr>
        <w:t xml:space="preserve"> onboard storage spaces. </w:t>
      </w:r>
    </w:p>
    <w:p w14:paraId="0AABF891" w14:textId="41BD6942" w:rsidR="00305410" w:rsidRPr="007D162C" w:rsidRDefault="00305410" w:rsidP="00305410">
      <w:pPr>
        <w:tabs>
          <w:tab w:val="left" w:pos="1290"/>
        </w:tabs>
      </w:pPr>
      <w:r w:rsidRPr="007D162C">
        <w:lastRenderedPageBreak/>
        <w:t>Regulatory option 2 may present similar storage challenges</w:t>
      </w:r>
      <w:r w:rsidR="00B82E35">
        <w:t>;</w:t>
      </w:r>
      <w:r w:rsidRPr="007D162C">
        <w:t xml:space="preserve"> however</w:t>
      </w:r>
      <w:r w:rsidR="00B82E35">
        <w:t>,</w:t>
      </w:r>
      <w:r w:rsidRPr="007D162C">
        <w:t xml:space="preserve"> it provides clear requirements to limit variations in the edge barrier heights employed by operators and providers, while</w:t>
      </w:r>
      <w:r w:rsidRPr="007D162C">
        <w:rPr>
          <w:rFonts w:ascii="Calibri" w:eastAsia="Times New Roman" w:hAnsi="Calibri" w:cs="Calibri"/>
          <w:color w:val="000000" w:themeColor="text1"/>
          <w:lang w:eastAsia="en-AU"/>
        </w:rPr>
        <w:t xml:space="preserve"> allowing some </w:t>
      </w:r>
      <w:r w:rsidRPr="007D162C">
        <w:t>flexibility to work within existing storage spaces constraints within conveyance fleets and infrastructure.  This option responds to the needs of people with disability, focusing on accessibility and safety, while meeting the needs of all stakeholders by providing certainty and consistency in boarding ramp design.  This option also ensures the Transport Standards remain contemporaneous by avoiding the need to reference Australian Standards which may be superseded in the future.</w:t>
      </w:r>
    </w:p>
    <w:p w14:paraId="6464EE3C" w14:textId="1527D5F8" w:rsidR="000F79C9" w:rsidRPr="007D162C" w:rsidRDefault="00305410" w:rsidP="00305410">
      <w:r w:rsidRPr="007D162C">
        <w:t>Costs will be incurred in updating any ramps that are not compliant if the preferred option is adopted, however</w:t>
      </w:r>
      <w:r w:rsidR="00B82E35">
        <w:t>,</w:t>
      </w:r>
      <w:r w:rsidRPr="007D162C">
        <w:t xml:space="preserve"> as the life span of a boarding ramp is limited, </w:t>
      </w:r>
      <w:r w:rsidRPr="007D162C">
        <w:rPr>
          <w:rFonts w:ascii="Calibri" w:eastAsia="Calibri" w:hAnsi="Calibri" w:cs="Times New Roman"/>
          <w:color w:val="000000" w:themeColor="text1"/>
        </w:rPr>
        <w:t>the new Transport Standards requirements will be implemented prospectively and only apply to new boarding ramps. This will address concerns of stakeholders regarding the costs</w:t>
      </w:r>
      <w:r w:rsidRPr="007D162C">
        <w:t xml:space="preserve"> associated with replacing existing ramps to meet any new requirements.</w:t>
      </w:r>
    </w:p>
    <w:p w14:paraId="05E9E9B3"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026B8EFF" w14:textId="44C56949" w:rsidR="005456F0" w:rsidRPr="007D162C" w:rsidRDefault="00305410" w:rsidP="00305410">
      <w:r w:rsidRPr="007D162C">
        <w:br w:type="page"/>
      </w:r>
    </w:p>
    <w:p w14:paraId="4CD97B98" w14:textId="2033E91A" w:rsidR="00CD6B48" w:rsidRPr="007D162C" w:rsidRDefault="00CD6B48" w:rsidP="00F75EF4">
      <w:pPr>
        <w:pStyle w:val="Heading2"/>
        <w:numPr>
          <w:ilvl w:val="0"/>
          <w:numId w:val="28"/>
        </w:numPr>
        <w:ind w:hanging="720"/>
      </w:pPr>
      <w:bookmarkStart w:id="535" w:name="_Toc122515489"/>
      <w:bookmarkStart w:id="536" w:name="_Toc140239750"/>
      <w:r w:rsidRPr="007D162C">
        <w:lastRenderedPageBreak/>
        <w:t>Boarding ramp and removable gangway definitions</w:t>
      </w:r>
      <w:bookmarkEnd w:id="535"/>
      <w:bookmarkEnd w:id="536"/>
    </w:p>
    <w:p w14:paraId="4E67614A" w14:textId="77777777" w:rsidR="00CD6B48" w:rsidRPr="007D162C" w:rsidRDefault="00CD6B48" w:rsidP="00CD6B48">
      <w:pPr>
        <w:pStyle w:val="Heading4"/>
        <w:tabs>
          <w:tab w:val="left" w:pos="284"/>
        </w:tabs>
      </w:pPr>
      <w:r w:rsidRPr="007D162C">
        <w:t>Issue</w:t>
      </w:r>
    </w:p>
    <w:p w14:paraId="6F0C4360" w14:textId="7D9223E4" w:rsidR="00CD6B48" w:rsidRPr="007D162C" w:rsidRDefault="00CD6B48" w:rsidP="00CD6B48">
      <w:pPr>
        <w:tabs>
          <w:tab w:val="left" w:pos="284"/>
        </w:tabs>
      </w:pPr>
      <w:r w:rsidRPr="007D162C">
        <w:t>The Transport Standards do not differentiate between vehicle boarding ramps and removable gangways. Vehicle boarding ramps are operated in a static onshore environment and removable gangways for vessels are operated in a dynamic marine environment</w:t>
      </w:r>
      <w:r w:rsidR="00B82E35">
        <w:t>;</w:t>
      </w:r>
      <w:r w:rsidRPr="007D162C">
        <w:t xml:space="preserve"> however</w:t>
      </w:r>
      <w:r w:rsidR="00B82E35">
        <w:t>,</w:t>
      </w:r>
      <w:r w:rsidRPr="007D162C">
        <w:t xml:space="preserve"> removable gangways do not have distinct accessibility requirements in the Transport Standards. This is a risk for people with disability, as removable gangways may not be built fit for purpose with safety and support features to suit the environment. </w:t>
      </w:r>
    </w:p>
    <w:p w14:paraId="44819E81" w14:textId="77777777" w:rsidR="00CD6B48" w:rsidRPr="007D162C" w:rsidRDefault="00CD6B48" w:rsidP="00CD6B48">
      <w:pPr>
        <w:tabs>
          <w:tab w:val="left" w:pos="284"/>
        </w:tabs>
      </w:pPr>
      <w:r w:rsidRPr="007D162C">
        <w:t>Collective government action would ensure requirements for boarding are clear to public transport operators and providers and address key stakeholder issues raised through the Transport Standards review process.</w:t>
      </w:r>
    </w:p>
    <w:p w14:paraId="3BAA929B" w14:textId="77777777" w:rsidR="00CD6B48" w:rsidRPr="007D162C" w:rsidRDefault="00CD6B48" w:rsidP="00CD6B48">
      <w:pPr>
        <w:tabs>
          <w:tab w:val="left" w:pos="284"/>
        </w:tabs>
      </w:pPr>
      <w:r w:rsidRPr="007D162C">
        <w:t xml:space="preserve">This reform does not include design specifications for removeable gangways. This issue is covered in Reform 42: Removable gangway design - ferries. </w:t>
      </w:r>
    </w:p>
    <w:p w14:paraId="19C712B0" w14:textId="77777777" w:rsidR="00CD6B48" w:rsidRPr="007D162C" w:rsidRDefault="00CD6B48" w:rsidP="00CD6B48">
      <w:pPr>
        <w:pStyle w:val="Heading4"/>
        <w:tabs>
          <w:tab w:val="left" w:pos="284"/>
        </w:tabs>
      </w:pPr>
      <w:r w:rsidRPr="007D162C">
        <w:t>Reform options</w:t>
      </w:r>
    </w:p>
    <w:p w14:paraId="05249D44" w14:textId="77777777" w:rsidR="00CD6B48" w:rsidRPr="007D162C" w:rsidRDefault="00CD6B48" w:rsidP="00CD6B48">
      <w:pPr>
        <w:tabs>
          <w:tab w:val="left" w:pos="284"/>
        </w:tabs>
      </w:pPr>
      <w:r w:rsidRPr="007D162C">
        <w:t>Following is a summary of the proposed options for this reform. Full details of each reform option is provided at Appendix A.</w:t>
      </w:r>
    </w:p>
    <w:p w14:paraId="68B1FD70" w14:textId="02064183" w:rsidR="00CD6B48" w:rsidRPr="007D162C" w:rsidRDefault="00CD6B48" w:rsidP="00A83F71">
      <w:pPr>
        <w:pStyle w:val="Tablefigureheading"/>
      </w:pPr>
      <w:bookmarkStart w:id="537" w:name="_Toc122446435"/>
      <w:bookmarkStart w:id="538" w:name="_Toc139969273"/>
      <w:r w:rsidRPr="007D162C">
        <w:t xml:space="preserve">Table </w:t>
      </w:r>
      <w:fldSimple w:instr=" SEQ Table \* ARABIC ">
        <w:r w:rsidR="00DC26AC">
          <w:rPr>
            <w:noProof/>
          </w:rPr>
          <w:t>115</w:t>
        </w:r>
      </w:fldSimple>
      <w:r w:rsidRPr="007D162C">
        <w:t xml:space="preserve">: Reform options for </w:t>
      </w:r>
      <w:r w:rsidR="00A7148B" w:rsidRPr="007D162C">
        <w:t>B</w:t>
      </w:r>
      <w:r w:rsidRPr="007D162C">
        <w:t>oarding ramp and removable gangway definitions</w:t>
      </w:r>
      <w:bookmarkEnd w:id="537"/>
      <w:bookmarkEnd w:id="538"/>
    </w:p>
    <w:tbl>
      <w:tblPr>
        <w:tblStyle w:val="DefaultTable1"/>
        <w:tblW w:w="9072" w:type="dxa"/>
        <w:tblLook w:val="04A0" w:firstRow="1" w:lastRow="0" w:firstColumn="1" w:lastColumn="0" w:noHBand="0" w:noVBand="1"/>
        <w:tblCaption w:val="Reform options for boarding ramp and removable gangway definitions"/>
        <w:tblDescription w:val="This table provides a description of each of the options for this reform area. Status quo, non-regulatory and regulatory."/>
      </w:tblPr>
      <w:tblGrid>
        <w:gridCol w:w="2232"/>
        <w:gridCol w:w="6840"/>
      </w:tblGrid>
      <w:tr w:rsidR="00CD6B48" w:rsidRPr="007D162C" w14:paraId="538CC97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549353" w14:textId="77777777" w:rsidR="00CD6B48" w:rsidRPr="007D162C" w:rsidRDefault="00CD6B48" w:rsidP="001077D1">
            <w:pPr>
              <w:pStyle w:val="Tablerowcolumnheading"/>
              <w:keepNext/>
              <w:tabs>
                <w:tab w:val="left" w:pos="284"/>
              </w:tabs>
              <w:rPr>
                <w:rFonts w:asciiTheme="minorHAnsi" w:hAnsiTheme="minorHAnsi"/>
                <w:b/>
                <w:sz w:val="22"/>
                <w:szCs w:val="22"/>
              </w:rPr>
            </w:pPr>
            <w:bookmarkStart w:id="539" w:name="_Hlk127363159"/>
            <w:r w:rsidRPr="007D162C">
              <w:rPr>
                <w:b/>
                <w:sz w:val="22"/>
                <w:szCs w:val="22"/>
              </w:rPr>
              <w:t>Option</w:t>
            </w:r>
          </w:p>
        </w:tc>
        <w:tc>
          <w:tcPr>
            <w:tcW w:w="6840" w:type="dxa"/>
          </w:tcPr>
          <w:p w14:paraId="3AA47E44" w14:textId="77777777" w:rsidR="00CD6B48" w:rsidRPr="007D162C" w:rsidRDefault="00CD6B48" w:rsidP="001077D1">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CD6B48" w:rsidRPr="007D162C" w14:paraId="6E0368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B1B0253" w14:textId="77777777" w:rsidR="00CD6B48" w:rsidRPr="007D162C" w:rsidRDefault="00CD6B48" w:rsidP="001077D1">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3635074A"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to differentiate between vehicle boarding ramps and removable gangways. </w:t>
            </w:r>
          </w:p>
          <w:p w14:paraId="2B657342"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CD6B48" w:rsidRPr="007D162C" w14:paraId="2196AF0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3CC887C" w14:textId="77777777" w:rsidR="00CD6B48" w:rsidRPr="007D162C" w:rsidRDefault="00CD6B48"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289CC74D" w14:textId="77777777" w:rsidR="00CD6B48" w:rsidRPr="007D162C" w:rsidRDefault="00CD6B48" w:rsidP="001077D1">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007D162C">
              <w:rPr>
                <w:rFonts w:asciiTheme="minorHAnsi" w:eastAsiaTheme="minorEastAsia" w:hAnsiTheme="minorHAnsi" w:cstheme="minorBidi"/>
                <w:color w:val="auto"/>
                <w:lang w:val="en-US"/>
              </w:rPr>
              <w:t>Guidance would be included that provides distinction between vehicle boarding ramps and removable gangways.</w:t>
            </w:r>
          </w:p>
        </w:tc>
      </w:tr>
      <w:tr w:rsidR="00CD6B48" w:rsidRPr="007D162C" w14:paraId="02913C9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CC5D2D9" w14:textId="77777777" w:rsidR="00CD6B48" w:rsidRPr="007D162C" w:rsidRDefault="00CD6B48"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C369BDC"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The Transport Standards would be updated to include new definitions for boarding ramps and removable gangways.</w:t>
            </w:r>
          </w:p>
          <w:p w14:paraId="16061646" w14:textId="77777777" w:rsidR="00CD6B48" w:rsidRPr="007D162C" w:rsidRDefault="00CD6B48" w:rsidP="001077D1">
            <w:pPr>
              <w:cnfStyle w:val="000000100000" w:firstRow="0" w:lastRow="0" w:firstColumn="0" w:lastColumn="0" w:oddVBand="0" w:evenVBand="0" w:oddHBand="1" w:evenHBand="0" w:firstRowFirstColumn="0" w:firstRowLastColumn="0" w:lastRowFirstColumn="0" w:lastRowLastColumn="0"/>
            </w:pPr>
            <w:r w:rsidRPr="007D162C">
              <w:t>Guidance would be provided to reflect any new requirements.</w:t>
            </w:r>
          </w:p>
        </w:tc>
      </w:tr>
      <w:bookmarkEnd w:id="539"/>
    </w:tbl>
    <w:p w14:paraId="18CF544A" w14:textId="77777777" w:rsidR="00CD6B48" w:rsidRPr="007D162C" w:rsidRDefault="00CD6B48" w:rsidP="00A83F71"/>
    <w:p w14:paraId="64E15B06" w14:textId="77777777" w:rsidR="00CD6B48" w:rsidRPr="007D162C" w:rsidRDefault="00CD6B48" w:rsidP="00CD6B48">
      <w:pPr>
        <w:pStyle w:val="Heading4"/>
        <w:tabs>
          <w:tab w:val="left" w:pos="284"/>
        </w:tabs>
      </w:pPr>
      <w:r w:rsidRPr="007D162C">
        <w:t>Cost benefit analysis</w:t>
      </w:r>
    </w:p>
    <w:p w14:paraId="346DD23E" w14:textId="449F78CB" w:rsidR="00CD6B48" w:rsidRPr="007D162C" w:rsidRDefault="00CD6B48" w:rsidP="00A83F7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2E1F04"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74275EED" w14:textId="26EC251A" w:rsidR="00CD6B48" w:rsidRPr="007D162C" w:rsidRDefault="00CD6B48" w:rsidP="00CD6B48">
      <w:pPr>
        <w:pStyle w:val="BodyText"/>
        <w:rPr>
          <w:rFonts w:asciiTheme="minorHAnsi" w:hAnsiTheme="minorHAnsi" w:cstheme="minorBidi"/>
          <w:sz w:val="22"/>
          <w:szCs w:val="22"/>
        </w:rPr>
      </w:pPr>
      <w:r w:rsidRPr="007D162C">
        <w:rPr>
          <w:rFonts w:asciiTheme="minorHAnsi" w:hAnsiTheme="minorHAnsi" w:cstheme="minorBidi"/>
          <w:sz w:val="22"/>
          <w:szCs w:val="22"/>
        </w:rPr>
        <w:t>This assessment included a high-level summary of the definitional reform and potential impacts for defining boarding ramps and removable gangways.</w:t>
      </w:r>
    </w:p>
    <w:p w14:paraId="79E87910" w14:textId="77777777" w:rsidR="002E1F04" w:rsidRPr="007D162C" w:rsidRDefault="08D050C4" w:rsidP="002E1F04">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2571921A" w14:textId="17357BCF" w:rsidR="009B2DD4" w:rsidRPr="007D162C" w:rsidRDefault="08D050C4" w:rsidP="009B2DD4">
      <w:r w:rsidRPr="007D162C">
        <w:lastRenderedPageBreak/>
        <w:t>There are identified non-monetised benefits for people with disability associated with definitional reforms. These qualitative benefits improve outcomes for people with disability and are important for decision-makers to consider, in addition to the monetised costs and benefits.</w:t>
      </w:r>
    </w:p>
    <w:p w14:paraId="10FEA76C" w14:textId="77777777" w:rsidR="00CD6B48" w:rsidRPr="007D162C" w:rsidRDefault="00CD6B48" w:rsidP="00CD6B48">
      <w:pPr>
        <w:pStyle w:val="Heading4"/>
        <w:tabs>
          <w:tab w:val="left" w:pos="284"/>
        </w:tabs>
      </w:pPr>
      <w:r w:rsidRPr="007D162C">
        <w:t xml:space="preserve">Analysis of submissions </w:t>
      </w:r>
    </w:p>
    <w:p w14:paraId="146981A6" w14:textId="77777777" w:rsidR="00CD6B48" w:rsidRPr="007D162C" w:rsidRDefault="00CD6B48" w:rsidP="00A83F71">
      <w:pPr>
        <w:pStyle w:val="Heading5"/>
        <w:rPr>
          <w:b w:val="0"/>
        </w:rPr>
      </w:pPr>
      <w:r w:rsidRPr="007D162C">
        <w:t>Status quo</w:t>
      </w:r>
    </w:p>
    <w:p w14:paraId="2E9F859D" w14:textId="77777777" w:rsidR="00CD6B48" w:rsidRPr="007D162C" w:rsidRDefault="00CD6B48" w:rsidP="00CD6B48">
      <w:r w:rsidRPr="007D162C">
        <w:t>Under the status quo option the Transport Standards would continue to be silent on the difference between removable gangways and boarding ramps. The current requirements for boarding ramps are suitable for a static environment applicable to conveyances such as trains and buses. No submissions received during the public consultation period supported the status quo option.</w:t>
      </w:r>
    </w:p>
    <w:p w14:paraId="38D59660" w14:textId="77777777" w:rsidR="00CD6B48" w:rsidRPr="007D162C" w:rsidRDefault="00CD6B48" w:rsidP="00CD6B48">
      <w:r w:rsidRPr="007D162C">
        <w:rPr>
          <w:rFonts w:ascii="Calibri" w:hAnsi="Calibri" w:cs="Calibri"/>
          <w:color w:val="000000"/>
          <w:shd w:val="clear" w:color="auto" w:fill="FFFFFF"/>
        </w:rPr>
        <w:t>Submissions outlined that a distinction was required between the two terms. This would allow proper differentiation of the two different devices, with the defining characteristics that are necessary to ensure the amenity, convenience and safety of people with disability, in the environment in which the devices are deployed.</w:t>
      </w:r>
    </w:p>
    <w:p w14:paraId="74F6BF82" w14:textId="77777777" w:rsidR="00CD6B48" w:rsidRPr="007D162C" w:rsidRDefault="08D050C4" w:rsidP="00CD6B48">
      <w:r w:rsidRPr="007D162C">
        <w:t xml:space="preserve">Both the ferry deck and pontoon boarding points may be rising and falling vertically while the ferry is simultaneously moving laterally. As a result, removable gangways must be able to maintain two points of contact on moving pontoons and ferry decks. They must also accommodate lateral movement of the ferry to and from the pontoon. This cannot be achieved with a flat boarding ramp as required by the Transport Standards and the specifications in AS/NZS3856.1 (1998). A convex profile is required. Further, removable gangways are always longer than the 1520 millimetre maximum permitted for boarding ramps as outlined in section 6.4(b) of the Transport Standards. Removable gangways necessarily exceed these specifications to achieve a safe overlap of both decks due to the risk posed by lateral movement of the ferry while berthed. </w:t>
      </w:r>
    </w:p>
    <w:p w14:paraId="391DC7E0" w14:textId="77777777" w:rsidR="00CD6B48" w:rsidRPr="007D162C" w:rsidRDefault="00CD6B48" w:rsidP="00BE72A4">
      <w:pPr>
        <w:pStyle w:val="Quote"/>
      </w:pPr>
      <w:r w:rsidRPr="007D162C">
        <w:t>The definitional distinction between boarding ramps and removable gangways is important because the circumstances in which boarding ramps are used are quite different, and present different challenges for people with a disability, from those in which removable gangways are used – a train or bus operates in a completely different environment from a ferry.</w:t>
      </w:r>
    </w:p>
    <w:p w14:paraId="4689BAB6" w14:textId="77777777" w:rsidR="00CD6B48" w:rsidRPr="007D162C" w:rsidRDefault="00CD6B48" w:rsidP="00BE72A4">
      <w:pPr>
        <w:pStyle w:val="Quote"/>
      </w:pPr>
      <w:r w:rsidRPr="007D162C">
        <w:t>Vision Australia</w:t>
      </w:r>
    </w:p>
    <w:p w14:paraId="2CCCA5E5" w14:textId="77777777" w:rsidR="00CD6B48" w:rsidRPr="007D162C" w:rsidRDefault="00CD6B48" w:rsidP="00CD6B48">
      <w:r w:rsidRPr="007D162C">
        <w:t>Under the status quo there would continue to be a lack of clarity in regards to the difference between removable gangways and boarding ramps in the Transport Standards, and operators and providers may continue to be unable to comply with the technical requirements. The status quo will continue to pose a risk to the safety, amenity and confidence of all people while boarding or alighting if removable gangways are not differentiated from boarding ramps and continue to have design, safety and support features that are not suited to the environment in which they are used. The risk of both falls and injury are greater for people with disability. The status quo has no ongoing costs for public transport operators and providers, however negative impacts on community amenity, accessibility, and safety are high.</w:t>
      </w:r>
    </w:p>
    <w:p w14:paraId="42050A7F" w14:textId="77777777" w:rsidR="00CD6B48" w:rsidRPr="007D162C" w:rsidRDefault="00CD6B48" w:rsidP="00A83F71">
      <w:pPr>
        <w:pStyle w:val="Heading5"/>
        <w:rPr>
          <w:b w:val="0"/>
        </w:rPr>
      </w:pPr>
      <w:r w:rsidRPr="007D162C">
        <w:t>Non-regulatory</w:t>
      </w:r>
    </w:p>
    <w:p w14:paraId="56708ED7" w14:textId="77777777" w:rsidR="00CD6B48" w:rsidRPr="007D162C" w:rsidRDefault="00CD6B48" w:rsidP="00CD6B48">
      <w:r w:rsidRPr="007D162C">
        <w:t>The non-regulatory option would provide guidance distinguishing between vehicle boarding ramps and removable gangways.</w:t>
      </w:r>
    </w:p>
    <w:p w14:paraId="3724ACBE" w14:textId="1AD07C52" w:rsidR="00CD6B48" w:rsidRPr="007D162C" w:rsidRDefault="00CD6B48" w:rsidP="00CD6B48">
      <w:r w:rsidRPr="007D162C">
        <w:rPr>
          <w:rFonts w:ascii="Calibri" w:eastAsia="Times New Roman" w:hAnsi="Calibri" w:cs="Calibri"/>
          <w:color w:val="000000" w:themeColor="text1"/>
          <w:lang w:eastAsia="en-AU"/>
        </w:rPr>
        <w:t xml:space="preserve">Industry and government stakeholders were divided on whether they supported the regulatory or non-regulatory option. </w:t>
      </w:r>
      <w:r w:rsidRPr="007D162C">
        <w:t xml:space="preserve">Industry and government stakeholders who expressed support for the non-regulatory option noted that it would provide guidance on the design specifications for removeable gangways and flexibility for operators and providers to manage the implementation and associated </w:t>
      </w:r>
      <w:r w:rsidRPr="007D162C">
        <w:lastRenderedPageBreak/>
        <w:t>costs to suit their operational requirements. One submission considered that there was already sufficient industry regulation and adequate distinction between gangways and boarding ramps through the National Standard for Commercial Vessels</w:t>
      </w:r>
      <w:r w:rsidR="000917A8">
        <w:t xml:space="preserve"> (NSCV)</w:t>
      </w:r>
      <w:r w:rsidRPr="007D162C">
        <w:t> and that further regulation through the Transport Standards was not necessary.</w:t>
      </w:r>
    </w:p>
    <w:p w14:paraId="1503B850" w14:textId="74541E1F" w:rsidR="00CD6B48" w:rsidRPr="007D162C" w:rsidRDefault="00CD6B48" w:rsidP="00CD6B48">
      <w:r w:rsidRPr="007D162C">
        <w:t>The non-regulatory option would provide greater guidance and clarity on the difference between removable gangways and boarding ramps, however</w:t>
      </w:r>
      <w:r w:rsidR="00B82E35">
        <w:t>,</w:t>
      </w:r>
      <w:r w:rsidRPr="007D162C">
        <w:t xml:space="preserve"> the current requirements in the Transport Standards would remain.  Without differentiating the terms in the Transport Standards, there would continue to be a lack of clarity. Operators and providers may continue to face uncertainty of their obligations and be unable to comply with the requirements of the Transport Standards for ferries, as the current specifications for boarding ramps will continue to be unsuited to the marine environment in which they are deployed.</w:t>
      </w:r>
    </w:p>
    <w:p w14:paraId="4AC28CE2" w14:textId="77777777" w:rsidR="00CD6B48" w:rsidRPr="007D162C" w:rsidRDefault="00CD6B48" w:rsidP="00CD6B48">
      <w:r w:rsidRPr="007D162C">
        <w:t>To the extent that guidance is followed, operators and providers may incur some costs to audit and upgrade or replace boarding ramps and gangways in line with the definitional guidance distinguishing removable gangways and boarding ramps. Operators and providers would be able to manage these costs to suit their operational requirements, including through staging the implementation. Given this option is discretionary, it does not provide certainty that guidance will be implemented. Benefits may be achieved to the extent that operators and providers implement any changes to services, in line with the definitional changes. People with disability may experience an improvement in the safety of the devices in service.</w:t>
      </w:r>
    </w:p>
    <w:p w14:paraId="24A3A04E" w14:textId="77777777" w:rsidR="00CD6B48" w:rsidRPr="007D162C" w:rsidRDefault="00CD6B48" w:rsidP="00CD6B48">
      <w:pPr>
        <w:tabs>
          <w:tab w:val="left" w:pos="1653"/>
        </w:tabs>
        <w:rPr>
          <w:b/>
        </w:rPr>
      </w:pPr>
      <w:r w:rsidRPr="007D162C">
        <w:rPr>
          <w:rFonts w:ascii="Calibri" w:eastAsia="Calibri" w:hAnsi="Calibri" w:cs="Times New Roman"/>
          <w:b/>
          <w:color w:val="595959"/>
          <w:kern w:val="12"/>
          <w:sz w:val="26"/>
          <w:szCs w:val="26"/>
        </w:rPr>
        <w:t>Regulatory</w:t>
      </w:r>
      <w:r w:rsidRPr="007D162C">
        <w:rPr>
          <w:b/>
        </w:rPr>
        <w:tab/>
      </w:r>
    </w:p>
    <w:p w14:paraId="3449A0E3" w14:textId="77777777" w:rsidR="00CD6B48" w:rsidRPr="007D162C" w:rsidRDefault="00CD6B48" w:rsidP="00CD6B48">
      <w:r w:rsidRPr="007D162C">
        <w:t>The regulatory option would amend the Transport Standards to include new definitions for boarding ramps and removable gangways.</w:t>
      </w:r>
    </w:p>
    <w:p w14:paraId="07ADE20F" w14:textId="77777777" w:rsidR="00CD6B48" w:rsidRPr="007D162C" w:rsidRDefault="00CD6B48" w:rsidP="08D050C4">
      <w:pPr>
        <w:rPr>
          <w:rFonts w:ascii="Calibri" w:hAnsi="Calibri" w:cs="Calibri"/>
          <w:color w:val="000000" w:themeColor="text1"/>
        </w:rPr>
      </w:pPr>
      <w:r w:rsidRPr="007D162C">
        <w:t xml:space="preserve">The regulatory option was the preferred option for all individuals, people with disability and disability organisations. The regulatory option was supported as it </w:t>
      </w:r>
      <w:r w:rsidRPr="007D162C">
        <w:rPr>
          <w:rFonts w:ascii="Calibri" w:eastAsia="Times New Roman" w:hAnsi="Calibri" w:cs="Calibri"/>
          <w:color w:val="000000"/>
          <w:lang w:eastAsia="en-AU"/>
        </w:rPr>
        <w:t>recognises the clear distinction in operating environment between vehicle boarding ramps and removable gangways, to ensure gangways have the necessary design and safety features suited to the dynamic marine environment. One submission noted that c</w:t>
      </w:r>
      <w:r w:rsidRPr="007D162C">
        <w:rPr>
          <w:rFonts w:ascii="Calibri" w:hAnsi="Calibri" w:cs="Calibri"/>
          <w:color w:val="000000"/>
          <w:shd w:val="clear" w:color="auto" w:fill="FFFFFF"/>
        </w:rPr>
        <w:t>onflating the two terms makes it more difficult to define the characteristics that are necessary for the amenity, convenience and safety of people with a disability.</w:t>
      </w:r>
    </w:p>
    <w:p w14:paraId="34C618C4" w14:textId="77777777" w:rsidR="00CD6B48" w:rsidRPr="007D162C" w:rsidRDefault="00CD6B48" w:rsidP="00CD6B48">
      <w:r w:rsidRPr="007D162C">
        <w:rPr>
          <w:rFonts w:ascii="Calibri" w:eastAsia="Times New Roman" w:hAnsi="Calibri" w:cs="Calibri"/>
          <w:color w:val="000000" w:themeColor="text1"/>
          <w:lang w:eastAsia="en-AU"/>
        </w:rPr>
        <w:t xml:space="preserve">Industry and government stakeholders were divided on whether they supported the regulatory or non-regulatory option. </w:t>
      </w:r>
      <w:r w:rsidRPr="007D162C">
        <w:t>Industry and government stakeholders who expressed support for the regulatory option highlighted that it promoted consistency and greater clarity to support the design process. One submission also noted there would be no challenges to implement the regulatory option.</w:t>
      </w:r>
    </w:p>
    <w:p w14:paraId="2EB0DD56" w14:textId="77777777" w:rsidR="00CD6B48"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Another submission from a government stakeholder who did not express a preference for any of the options presented, </w:t>
      </w:r>
      <w:r w:rsidRPr="007D162C">
        <w:rPr>
          <w:rFonts w:ascii="Calibri" w:eastAsia="Times New Roman" w:hAnsi="Calibri" w:cs="Calibri"/>
          <w:color w:val="000000" w:themeColor="text1"/>
          <w:lang w:eastAsia="en-AU"/>
        </w:rPr>
        <w:t xml:space="preserve">outlined that if a regulatory approach is selected and developed effectively, it could assist with ensuring consistency across networks of multiple jurisdictions, providing clear guidance for operators and providers, and minimum requirements to ensure user safety. However, the submission highlighted that consideration should be given to the possibility that there is no one-size-fits-all solution. This submission noted a number of factors influence boarding accessibility and gangway slope and stability, including the level of fuel, water and waste water; wave action during boarding activity; and the number and distribution of passengers onboard. The submission recommended guidance which includes tolerances that recognise the dynamic marine environment. </w:t>
      </w:r>
    </w:p>
    <w:p w14:paraId="522806AE" w14:textId="77777777" w:rsidR="00CD6B48" w:rsidRPr="007D162C" w:rsidRDefault="08D050C4" w:rsidP="08D050C4">
      <w:pPr>
        <w:shd w:val="clear" w:color="auto" w:fill="FFFFFF" w:themeFill="background1"/>
      </w:pPr>
      <w:r w:rsidRPr="007D162C">
        <w:rPr>
          <w:rFonts w:ascii="Calibri" w:eastAsia="Times New Roman" w:hAnsi="Calibri" w:cs="Calibri"/>
          <w:color w:val="000000" w:themeColor="text1"/>
          <w:lang w:eastAsia="en-AU"/>
        </w:rPr>
        <w:t>This reform involves proposed definitional change to the Transport Standards. As there are no changes to assets, no costs would be incurred in adopting the regulatory approach. However, o</w:t>
      </w:r>
      <w:r w:rsidRPr="007D162C">
        <w:t xml:space="preserve">perators and providers may incur some cost if they choose to audit and upgrade or replace </w:t>
      </w:r>
      <w:r w:rsidRPr="007D162C">
        <w:lastRenderedPageBreak/>
        <w:t>boarding ramps and gangways in line with the definitional guidance distinguishing removable gangways and boarding ramps. The regulatory option would provide greater guidance and clarity, and remove uncertainty in the Transport Standards on the difference between removable gangways and boarding ramps. Benefits may be achieved to the extent that operators and providers implement any changes to services, in line with the definitional changes. People with disability may experience an improvement in the safety of the devices in service.</w:t>
      </w:r>
    </w:p>
    <w:p w14:paraId="64952444" w14:textId="77777777" w:rsidR="00CD6B48" w:rsidRPr="007D162C" w:rsidRDefault="00CD6B48" w:rsidP="00CD6B48">
      <w:pPr>
        <w:pStyle w:val="Heading4"/>
      </w:pPr>
      <w:r w:rsidRPr="007D162C">
        <w:t>Preferred option</w:t>
      </w:r>
    </w:p>
    <w:p w14:paraId="489D237D" w14:textId="77777777" w:rsidR="00CD6B48" w:rsidRPr="007D162C" w:rsidRDefault="00CD6B48" w:rsidP="00CD6B48">
      <w:r w:rsidRPr="007D162C">
        <w:t xml:space="preserve">Informed by the outcomes of consultation, stakeholder impacts, cost and outcomes analysis, the preferred option is the </w:t>
      </w:r>
      <w:r w:rsidRPr="007D162C">
        <w:rPr>
          <w:b/>
        </w:rPr>
        <w:t>regulatory option</w:t>
      </w:r>
      <w:r w:rsidRPr="007D162C">
        <w:t xml:space="preserve">. </w:t>
      </w:r>
    </w:p>
    <w:p w14:paraId="4F6743A2" w14:textId="77777777" w:rsidR="00CD6B48" w:rsidRPr="007D162C" w:rsidRDefault="00CD6B48" w:rsidP="00CD6B48">
      <w:r w:rsidRPr="007D162C">
        <w:t>This option will provide clarity to the Transport Standards by providing a definitional distinction between removable gangways and boarding ramps. This will provide operators and providers greater compliance certainty in meeting existing technical requirements relating to boarding ramps, which remain unsuited and unfeasible to meet in the marine environment in which removable gangways are deployed.</w:t>
      </w:r>
    </w:p>
    <w:p w14:paraId="479A73CB" w14:textId="77777777" w:rsidR="00E1199F" w:rsidRPr="007D162C" w:rsidRDefault="08D050C4" w:rsidP="08D050C4">
      <w:pPr>
        <w:shd w:val="clear" w:color="auto" w:fill="FFFFFF" w:themeFill="background1"/>
        <w:rPr>
          <w:rFonts w:ascii="Calibri" w:eastAsia="Calibri" w:hAnsi="Calibri" w:cs="Times New Roman"/>
          <w:color w:val="000000" w:themeColor="text1"/>
        </w:rPr>
      </w:pPr>
      <w:r w:rsidRPr="007D162C">
        <w:rPr>
          <w:rFonts w:ascii="Calibri" w:eastAsia="Times New Roman" w:hAnsi="Calibri" w:cs="Calibri"/>
          <w:color w:val="000000" w:themeColor="text1"/>
          <w:lang w:eastAsia="en-AU"/>
        </w:rPr>
        <w:t>This reform involves proposed definitional change to the Transport Standards. As there are no changes to assets, no costs would be incurred adopting the regulatory approach. T</w:t>
      </w:r>
      <w:r w:rsidRPr="007D162C">
        <w:rPr>
          <w:rFonts w:ascii="Calibri" w:eastAsia="Calibri" w:hAnsi="Calibri" w:cs="Times New Roman"/>
          <w:color w:val="000000" w:themeColor="text1"/>
        </w:rPr>
        <w:t>he definitional change to the Transport Standards would apply on commencement.</w:t>
      </w:r>
    </w:p>
    <w:p w14:paraId="0B5919B3" w14:textId="77777777" w:rsidR="00E1199F" w:rsidRPr="007D162C" w:rsidRDefault="00E1199F" w:rsidP="00E1199F">
      <w:r w:rsidRPr="007D162C">
        <w:br w:type="page"/>
      </w:r>
    </w:p>
    <w:p w14:paraId="743BB187" w14:textId="50E80357" w:rsidR="00E1199F" w:rsidRPr="007D162C" w:rsidRDefault="00E1199F" w:rsidP="00F75EF4">
      <w:pPr>
        <w:pStyle w:val="Heading2"/>
        <w:numPr>
          <w:ilvl w:val="0"/>
          <w:numId w:val="28"/>
        </w:numPr>
        <w:ind w:hanging="720"/>
      </w:pPr>
      <w:bookmarkStart w:id="540" w:name="_Toc127351793"/>
      <w:bookmarkStart w:id="541" w:name="_Toc140239751"/>
      <w:r w:rsidRPr="007D162C">
        <w:lastRenderedPageBreak/>
        <w:t>Removable gangway design – ferries</w:t>
      </w:r>
      <w:bookmarkEnd w:id="540"/>
      <w:bookmarkEnd w:id="541"/>
    </w:p>
    <w:p w14:paraId="31168F84" w14:textId="77777777" w:rsidR="00E1199F" w:rsidRPr="007D162C" w:rsidRDefault="00E1199F" w:rsidP="00E1199F">
      <w:pPr>
        <w:pStyle w:val="Heading4"/>
        <w:tabs>
          <w:tab w:val="left" w:pos="284"/>
        </w:tabs>
      </w:pPr>
      <w:r w:rsidRPr="007D162C">
        <w:t>Issue</w:t>
      </w:r>
    </w:p>
    <w:p w14:paraId="498C7E04" w14:textId="77777777" w:rsidR="00E1199F" w:rsidRPr="007D162C" w:rsidRDefault="00E1199F" w:rsidP="00E1199F">
      <w:pPr>
        <w:tabs>
          <w:tab w:val="left" w:pos="284"/>
        </w:tabs>
      </w:pPr>
      <w:r w:rsidRPr="007D162C">
        <w:t>As there is currently no differentiation in the Transport Standards between vehicle boarding ramps and removable gangways for vessels, the specifications for removable gangways are not fit for purpose with safety and support features to reflect a dynamic operating marine environment. This is a risk for people with disability due to the risk of falling into the water while boarding or alighting.</w:t>
      </w:r>
    </w:p>
    <w:p w14:paraId="2DCB28BC"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and would address key stakeholder issues raised through the Transport Standards review process.</w:t>
      </w:r>
    </w:p>
    <w:p w14:paraId="65E6807F" w14:textId="77777777" w:rsidR="00E1199F" w:rsidRPr="007D162C" w:rsidRDefault="00E1199F" w:rsidP="00E1199F">
      <w:pPr>
        <w:tabs>
          <w:tab w:val="left" w:pos="284"/>
        </w:tabs>
      </w:pPr>
      <w:r w:rsidRPr="007D162C">
        <w:t xml:space="preserve">This reform does not include how removable gangways and boarding ramps are defined in the Transport Standards. This issue is covered in Reform 41: Boarding ramp and removable gangway definitions. </w:t>
      </w:r>
    </w:p>
    <w:p w14:paraId="56DC7DEC" w14:textId="77777777" w:rsidR="00E1199F" w:rsidRPr="007D162C" w:rsidRDefault="00E1199F" w:rsidP="00E1199F">
      <w:pPr>
        <w:pStyle w:val="Heading4"/>
        <w:tabs>
          <w:tab w:val="left" w:pos="284"/>
        </w:tabs>
      </w:pPr>
      <w:r w:rsidRPr="007D162C">
        <w:t>Reform options</w:t>
      </w:r>
    </w:p>
    <w:p w14:paraId="63D7B540"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5515561" w14:textId="2BE1AE6E" w:rsidR="00E1199F" w:rsidRPr="007D162C" w:rsidRDefault="00E1199F" w:rsidP="00E1199F">
      <w:pPr>
        <w:pStyle w:val="Caption"/>
        <w:keepNext/>
      </w:pPr>
      <w:bookmarkStart w:id="542" w:name="_Toc122446437"/>
      <w:bookmarkStart w:id="543" w:name="_Toc139969274"/>
      <w:r w:rsidRPr="007D162C">
        <w:t xml:space="preserve">Table </w:t>
      </w:r>
      <w:fldSimple w:instr=" SEQ Table \* ARABIC ">
        <w:r w:rsidR="00DC26AC">
          <w:rPr>
            <w:noProof/>
          </w:rPr>
          <w:t>116</w:t>
        </w:r>
      </w:fldSimple>
      <w:r w:rsidRPr="007D162C">
        <w:t>: Reform options for removable gangway design – ferries</w:t>
      </w:r>
      <w:bookmarkEnd w:id="542"/>
      <w:bookmarkEnd w:id="543"/>
    </w:p>
    <w:tbl>
      <w:tblPr>
        <w:tblStyle w:val="DefaultTable1"/>
        <w:tblW w:w="9072" w:type="dxa"/>
        <w:tblLook w:val="04A0" w:firstRow="1" w:lastRow="0" w:firstColumn="1" w:lastColumn="0" w:noHBand="0" w:noVBand="1"/>
        <w:tblCaption w:val="Reform options for removable gangway design – ferries"/>
        <w:tblDescription w:val="This table provides a description of each of the options for this reform area. Status quo, non-regulatory and regulatory."/>
      </w:tblPr>
      <w:tblGrid>
        <w:gridCol w:w="2232"/>
        <w:gridCol w:w="6840"/>
      </w:tblGrid>
      <w:tr w:rsidR="00E1199F" w:rsidRPr="007D162C" w14:paraId="2E41BD8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45511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0A45AE70"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0C65891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B11B346" w14:textId="77777777" w:rsidR="00E1199F" w:rsidRPr="007D162C" w:rsidRDefault="00E1199F" w:rsidP="00E1199F">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tcPr>
          <w:p w14:paraId="6117513B" w14:textId="77777777" w:rsidR="00E1199F" w:rsidRPr="000917A8" w:rsidRDefault="00E1199F" w:rsidP="00E1199F">
            <w:pPr>
              <w:cnfStyle w:val="000000100000" w:firstRow="0" w:lastRow="0" w:firstColumn="0" w:lastColumn="0" w:oddVBand="0" w:evenVBand="0" w:oddHBand="1" w:evenHBand="0" w:firstRowFirstColumn="0" w:firstRowLastColumn="0" w:lastRowFirstColumn="0" w:lastRowLastColumn="0"/>
            </w:pPr>
            <w:r w:rsidRPr="000917A8">
              <w:t xml:space="preserve">The Transport Standards will continue not to differentiate between vehicle boarding ramps and removable gangways for vessels. </w:t>
            </w:r>
          </w:p>
          <w:p w14:paraId="5694253D" w14:textId="77777777" w:rsidR="00E1199F" w:rsidRPr="000917A8" w:rsidRDefault="00E1199F" w:rsidP="00E1199F">
            <w:pPr>
              <w:cnfStyle w:val="000000100000" w:firstRow="0" w:lastRow="0" w:firstColumn="0" w:lastColumn="0" w:oddVBand="0" w:evenVBand="0" w:oddHBand="1" w:evenHBand="0" w:firstRowFirstColumn="0" w:firstRowLastColumn="0" w:lastRowFirstColumn="0" w:lastRowLastColumn="0"/>
            </w:pPr>
            <w:r w:rsidRPr="000917A8">
              <w:t>The Transport Standards would remain unchanged and no new or updated guidance would be issued.</w:t>
            </w:r>
          </w:p>
        </w:tc>
      </w:tr>
      <w:tr w:rsidR="00E1199F" w:rsidRPr="007D162C" w14:paraId="34D8196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E4877AB" w14:textId="77777777" w:rsidR="00E1199F" w:rsidRPr="007D162C" w:rsidRDefault="00E1199F"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tcPr>
          <w:p w14:paraId="2D23A5D3" w14:textId="77777777" w:rsidR="00E1199F" w:rsidRPr="000917A8" w:rsidRDefault="00E1199F" w:rsidP="00E1199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rPr>
            </w:pPr>
            <w:r w:rsidRPr="000917A8">
              <w:rPr>
                <w:rFonts w:asciiTheme="minorHAnsi" w:hAnsiTheme="minorHAnsi" w:cstheme="minorBidi"/>
              </w:rPr>
              <w:t>Guidance would be updated to include advice on removable gangways, including, but not limited to:</w:t>
            </w:r>
          </w:p>
          <w:p w14:paraId="4B9D6D2A"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removable gangway design, including dimensions, grabrail and contrast recommendations</w:t>
            </w:r>
          </w:p>
          <w:p w14:paraId="7171B21B"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maximum gradient for independent access</w:t>
            </w:r>
          </w:p>
          <w:p w14:paraId="31CAAB72"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luminance contrast recommendations</w:t>
            </w:r>
          </w:p>
          <w:p w14:paraId="47201525" w14:textId="77777777" w:rsidR="00E1199F" w:rsidRPr="000917A8"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0917A8">
              <w:t>bilateral handrails and edge barriers (kerbs) on removable gangways</w:t>
            </w:r>
          </w:p>
        </w:tc>
      </w:tr>
      <w:tr w:rsidR="00E1199F" w:rsidRPr="007D162C" w14:paraId="766EEE9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152C8D9" w14:textId="77777777" w:rsidR="00E1199F" w:rsidRPr="007D162C" w:rsidRDefault="00E1199F"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tcPr>
          <w:p w14:paraId="3FF01D8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the design and construction of removable gangways, including profile, luminance contrast, and handrails. These requirements would pertain to ferries and pontoon wharves.</w:t>
            </w:r>
          </w:p>
          <w:p w14:paraId="79A97EB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18C34AF5" w14:textId="77777777" w:rsidR="00E1199F" w:rsidRPr="007D162C" w:rsidRDefault="00E1199F" w:rsidP="00E1199F">
      <w:pPr>
        <w:pStyle w:val="Heading4"/>
        <w:tabs>
          <w:tab w:val="left" w:pos="284"/>
        </w:tabs>
      </w:pPr>
      <w:r w:rsidRPr="007D162C">
        <w:t>Cost benefit analysis</w:t>
      </w:r>
    </w:p>
    <w:p w14:paraId="171F4C7C"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6C5DC5B" w14:textId="77777777" w:rsidR="00E1199F" w:rsidRPr="007D162C" w:rsidRDefault="00E1199F" w:rsidP="00E1199F">
      <w:r w:rsidRPr="007D162C">
        <w:t xml:space="preserve">The following categories of quantitative costs and benefits were identified in the CBA as pertaining to the reform options. </w:t>
      </w:r>
    </w:p>
    <w:p w14:paraId="0FA36874" w14:textId="468E99E5" w:rsidR="00E1199F" w:rsidRPr="007D162C" w:rsidRDefault="00E1199F" w:rsidP="00E1199F">
      <w:pPr>
        <w:pStyle w:val="Caption"/>
        <w:keepNext/>
      </w:pPr>
      <w:bookmarkStart w:id="544" w:name="_Toc122446438"/>
      <w:bookmarkStart w:id="545" w:name="_Toc139969275"/>
      <w:r w:rsidRPr="007D162C">
        <w:lastRenderedPageBreak/>
        <w:t xml:space="preserve">Table </w:t>
      </w:r>
      <w:fldSimple w:instr=" SEQ Table \* ARABIC ">
        <w:r w:rsidR="00DC26AC">
          <w:rPr>
            <w:noProof/>
          </w:rPr>
          <w:t>117</w:t>
        </w:r>
      </w:fldSimple>
      <w:r w:rsidRPr="007D162C">
        <w:t>: Benefit-cost ratios for removable gangway design – ferries</w:t>
      </w:r>
      <w:bookmarkEnd w:id="544"/>
      <w:bookmarkEnd w:id="545"/>
    </w:p>
    <w:tbl>
      <w:tblPr>
        <w:tblStyle w:val="DefaultTable1"/>
        <w:tblW w:w="9864" w:type="dxa"/>
        <w:tblLook w:val="04A0" w:firstRow="1" w:lastRow="0" w:firstColumn="1" w:lastColumn="0" w:noHBand="0" w:noVBand="1"/>
        <w:tblCaption w:val="Benefit-cost ratios for removable gangway design – ferries"/>
        <w:tblDescription w:val="This table provides the monetised benefits and costs for each of the options for this reform area."/>
      </w:tblPr>
      <w:tblGrid>
        <w:gridCol w:w="1214"/>
        <w:gridCol w:w="1531"/>
        <w:gridCol w:w="1791"/>
        <w:gridCol w:w="1843"/>
        <w:gridCol w:w="1701"/>
        <w:gridCol w:w="1784"/>
      </w:tblGrid>
      <w:tr w:rsidR="00E1199F" w:rsidRPr="007D162C" w14:paraId="0B37BF0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0AEAD202" w14:textId="77777777" w:rsidR="00E1199F" w:rsidRPr="007D162C" w:rsidRDefault="08D050C4" w:rsidP="00E1199F">
            <w:r w:rsidRPr="007D162C">
              <w:t>Reform Option</w:t>
            </w:r>
          </w:p>
        </w:tc>
        <w:tc>
          <w:tcPr>
            <w:tcW w:w="1531" w:type="dxa"/>
          </w:tcPr>
          <w:p w14:paraId="6D873C1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781A16D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1BEC706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701" w:type="dxa"/>
          </w:tcPr>
          <w:p w14:paraId="58A1285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3994596F" w14:textId="4F891781"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632BFC0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4A86939" w14:textId="77777777" w:rsidR="00E1199F" w:rsidRPr="007D162C" w:rsidRDefault="00E1199F" w:rsidP="00E1199F">
            <w:r w:rsidRPr="007D162C">
              <w:t>Status Quo</w:t>
            </w:r>
          </w:p>
        </w:tc>
        <w:tc>
          <w:tcPr>
            <w:tcW w:w="1531" w:type="dxa"/>
          </w:tcPr>
          <w:p w14:paraId="7BD9AF4E"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927506C"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244540A3"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0FCD7B4B"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58FFAA10"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5F72FE0"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9709F0A" w14:textId="77777777" w:rsidR="00E1199F" w:rsidRPr="007D162C" w:rsidRDefault="00E1199F" w:rsidP="00E1199F">
            <w:r w:rsidRPr="007D162C">
              <w:t xml:space="preserve">Non-regulatory </w:t>
            </w:r>
          </w:p>
        </w:tc>
        <w:tc>
          <w:tcPr>
            <w:tcW w:w="1531" w:type="dxa"/>
          </w:tcPr>
          <w:p w14:paraId="60921E32"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609D3CA7"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0B2CC05E"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4EDC86A0"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84" w:type="dxa"/>
          </w:tcPr>
          <w:p w14:paraId="7D2595F7" w14:textId="77777777" w:rsidR="00E1199F" w:rsidRPr="007D162C" w:rsidRDefault="08D050C4" w:rsidP="00081C4C">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442154F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6F463B1" w14:textId="77777777" w:rsidR="00E1199F" w:rsidRPr="007D162C" w:rsidRDefault="00E1199F" w:rsidP="00E1199F">
            <w:r w:rsidRPr="007D162C">
              <w:t>Regulatory</w:t>
            </w:r>
          </w:p>
        </w:tc>
        <w:tc>
          <w:tcPr>
            <w:tcW w:w="1531" w:type="dxa"/>
            <w:vAlign w:val="center"/>
          </w:tcPr>
          <w:p w14:paraId="38A1436F"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0.8</w:t>
            </w:r>
          </w:p>
        </w:tc>
        <w:tc>
          <w:tcPr>
            <w:tcW w:w="1791" w:type="dxa"/>
            <w:vAlign w:val="center"/>
          </w:tcPr>
          <w:p w14:paraId="1DA4D3C4"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575CC2E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1.0</w:t>
            </w:r>
          </w:p>
        </w:tc>
        <w:tc>
          <w:tcPr>
            <w:tcW w:w="1701" w:type="dxa"/>
            <w:vAlign w:val="center"/>
          </w:tcPr>
          <w:p w14:paraId="1CADA9F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1.0</w:t>
            </w:r>
          </w:p>
        </w:tc>
        <w:tc>
          <w:tcPr>
            <w:tcW w:w="1784" w:type="dxa"/>
            <w:vAlign w:val="center"/>
          </w:tcPr>
          <w:p w14:paraId="4D5EAD0B" w14:textId="0CF61363"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0.87</w:t>
            </w:r>
          </w:p>
        </w:tc>
      </w:tr>
    </w:tbl>
    <w:p w14:paraId="58252F2C" w14:textId="6B7D02D5" w:rsidR="000A4CD3" w:rsidRPr="00F75EF4" w:rsidRDefault="00E1199F" w:rsidP="00F75EF4">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67603039" w14:textId="389B8DC6" w:rsidR="00E1199F" w:rsidRPr="007D162C" w:rsidRDefault="00F75EF4" w:rsidP="00E1199F">
      <w:pPr>
        <w:pStyle w:val="Heading6"/>
      </w:pPr>
      <w:r>
        <w:br/>
      </w:r>
      <w:r w:rsidR="00E1199F" w:rsidRPr="007D162C">
        <w:t>Considerations to note in interpreting analysis</w:t>
      </w:r>
    </w:p>
    <w:p w14:paraId="7026DAFD" w14:textId="77777777" w:rsidR="00E1199F" w:rsidRPr="007D162C" w:rsidRDefault="00E1199F" w:rsidP="004E502A">
      <w:pPr>
        <w:pStyle w:val="Heading7"/>
      </w:pPr>
      <w:r w:rsidRPr="007D162C">
        <w:t>Limitations:</w:t>
      </w:r>
    </w:p>
    <w:p w14:paraId="1DAC0569" w14:textId="77777777" w:rsidR="00E1199F" w:rsidRPr="007D162C" w:rsidRDefault="00E1199F" w:rsidP="004E502A">
      <w:pPr>
        <w:pStyle w:val="Heading8"/>
      </w:pPr>
      <w:r w:rsidRPr="007D162C">
        <w:t>Non-regulatory option:</w:t>
      </w:r>
    </w:p>
    <w:p w14:paraId="6B585D64" w14:textId="6DE254CE" w:rsidR="00E1199F" w:rsidRPr="007D162C" w:rsidRDefault="00E1199F" w:rsidP="00F302D5">
      <w:pPr>
        <w:pStyle w:val="Listparagraphbullets"/>
        <w:numPr>
          <w:ilvl w:val="0"/>
          <w:numId w:val="0"/>
        </w:numPr>
        <w:autoSpaceDE w:val="0"/>
        <w:autoSpaceDN w:val="0"/>
        <w:spacing w:after="0"/>
      </w:pPr>
      <w:r w:rsidRPr="007D162C">
        <w:t xml:space="preserve">There are no costs and benefits associated with the non-regulatory reform. The compliance rate defined by the Department reflects an assumption that the guidance aligns with current industry practice. </w:t>
      </w:r>
    </w:p>
    <w:p w14:paraId="5C54B8E6" w14:textId="77777777" w:rsidR="00F302D5" w:rsidRPr="007D162C" w:rsidRDefault="00F302D5" w:rsidP="00F302D5">
      <w:pPr>
        <w:pStyle w:val="Listparagraphbullets"/>
        <w:numPr>
          <w:ilvl w:val="0"/>
          <w:numId w:val="0"/>
        </w:numPr>
        <w:autoSpaceDE w:val="0"/>
        <w:autoSpaceDN w:val="0"/>
        <w:spacing w:after="0"/>
      </w:pPr>
    </w:p>
    <w:p w14:paraId="3803B3C6" w14:textId="77777777" w:rsidR="00E1199F" w:rsidRPr="007D162C" w:rsidRDefault="00E1199F" w:rsidP="004E502A">
      <w:pPr>
        <w:pStyle w:val="Heading8"/>
      </w:pPr>
      <w:r w:rsidRPr="007D162C">
        <w:t>Regulatory option:</w:t>
      </w:r>
    </w:p>
    <w:p w14:paraId="011482E2" w14:textId="6792381B" w:rsidR="00E1199F" w:rsidRPr="007D162C" w:rsidRDefault="00E1199F" w:rsidP="00F302D5">
      <w:pPr>
        <w:pStyle w:val="Listparagraphbullets"/>
        <w:numPr>
          <w:ilvl w:val="0"/>
          <w:numId w:val="0"/>
        </w:numPr>
        <w:autoSpaceDE w:val="0"/>
        <w:autoSpaceDN w:val="0"/>
        <w:spacing w:after="0"/>
      </w:pPr>
      <w:r w:rsidRPr="007D162C">
        <w:t xml:space="preserve">The benefits and costs for this reform were estimated from publicly available data on the number of ferries and survey data. </w:t>
      </w:r>
      <w:r w:rsidR="00BF3954" w:rsidRPr="007D162C">
        <w:t xml:space="preserve">This </w:t>
      </w:r>
      <w:r w:rsidRPr="007D162C">
        <w:t>identified a small number of ferries not compliant at a national level which may not reflect the full extent of existing and future compliance.</w:t>
      </w:r>
    </w:p>
    <w:p w14:paraId="1D89CCC4" w14:textId="77777777" w:rsidR="00F47B58" w:rsidRPr="007D162C" w:rsidRDefault="00F47B58" w:rsidP="00F47B58">
      <w:pPr>
        <w:spacing w:line="259" w:lineRule="auto"/>
      </w:pPr>
    </w:p>
    <w:p w14:paraId="0AEDC450" w14:textId="5413FACF" w:rsidR="00E1199F" w:rsidRPr="007D162C" w:rsidRDefault="00E1199F" w:rsidP="00F47B58">
      <w:pPr>
        <w:spacing w:line="259" w:lineRule="auto"/>
        <w:rPr>
          <w:rFonts w:asciiTheme="majorHAnsi" w:eastAsiaTheme="majorEastAsia" w:hAnsiTheme="majorHAnsi" w:cstheme="majorBidi"/>
          <w:color w:val="44546A" w:themeColor="text2"/>
          <w:lang w:val="en-AU"/>
        </w:rPr>
      </w:pPr>
      <w:r w:rsidRPr="007D162C">
        <w:rPr>
          <w:rFonts w:asciiTheme="majorHAnsi" w:eastAsiaTheme="majorEastAsia" w:hAnsiTheme="majorHAnsi" w:cstheme="majorBidi"/>
          <w:color w:val="44546A" w:themeColor="text2"/>
          <w:lang w:val="en-AU"/>
        </w:rPr>
        <w:t xml:space="preserve">Qualitative assessment </w:t>
      </w:r>
    </w:p>
    <w:p w14:paraId="5E90EAFB" w14:textId="6D4D2F01" w:rsidR="00F47B58" w:rsidRPr="007D162C" w:rsidRDefault="00E1199F" w:rsidP="00E1199F">
      <w:r w:rsidRPr="007D162C">
        <w:t>The following categories of qualitative benefits were identified in the CBA as pertaining to the reform options.</w:t>
      </w:r>
    </w:p>
    <w:p w14:paraId="7893942E" w14:textId="5CFB5B86" w:rsidR="00E1199F" w:rsidRPr="007D162C" w:rsidRDefault="00E1199F" w:rsidP="00E1199F">
      <w:pPr>
        <w:pStyle w:val="Caption"/>
        <w:keepNext/>
      </w:pPr>
      <w:bookmarkStart w:id="546" w:name="_Toc122446439"/>
      <w:bookmarkStart w:id="547" w:name="_Toc139969276"/>
      <w:r w:rsidRPr="007D162C">
        <w:t xml:space="preserve">Table </w:t>
      </w:r>
      <w:fldSimple w:instr=" SEQ Table \* ARABIC ">
        <w:r w:rsidR="00DC26AC">
          <w:rPr>
            <w:noProof/>
          </w:rPr>
          <w:t>118</w:t>
        </w:r>
      </w:fldSimple>
      <w:r w:rsidRPr="007D162C">
        <w:rPr>
          <w:noProof/>
        </w:rPr>
        <w:t xml:space="preserve">: </w:t>
      </w:r>
      <w:r w:rsidRPr="007D162C">
        <w:t>Qualitative benefits for removable gangway design – ferries</w:t>
      </w:r>
      <w:bookmarkEnd w:id="546"/>
      <w:bookmarkEnd w:id="547"/>
    </w:p>
    <w:tbl>
      <w:tblPr>
        <w:tblStyle w:val="DefaultTable1"/>
        <w:tblW w:w="9864" w:type="dxa"/>
        <w:tblLook w:val="04A0" w:firstRow="1" w:lastRow="0" w:firstColumn="1" w:lastColumn="0" w:noHBand="0" w:noVBand="1"/>
        <w:tblCaption w:val="Qualitative benefits for removable gangway design – ferries"/>
      </w:tblPr>
      <w:tblGrid>
        <w:gridCol w:w="1213"/>
        <w:gridCol w:w="1343"/>
        <w:gridCol w:w="1626"/>
        <w:gridCol w:w="1300"/>
        <w:gridCol w:w="1278"/>
        <w:gridCol w:w="1641"/>
        <w:gridCol w:w="1463"/>
      </w:tblGrid>
      <w:tr w:rsidR="00E1199F" w:rsidRPr="007D162C" w14:paraId="1B6BAF80"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0A8ADEF" w14:textId="77777777" w:rsidR="00E1199F" w:rsidRPr="007D162C" w:rsidRDefault="08D050C4" w:rsidP="00E1199F">
            <w:r w:rsidRPr="007D162C">
              <w:t>Reform Option</w:t>
            </w:r>
          </w:p>
        </w:tc>
        <w:tc>
          <w:tcPr>
            <w:tcW w:w="1343" w:type="dxa"/>
          </w:tcPr>
          <w:p w14:paraId="7225822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3FF65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17D329B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AF3199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B2A32E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1CEF17A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66A0703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D3873B5" w14:textId="77777777" w:rsidR="00E1199F" w:rsidRPr="007D162C" w:rsidRDefault="00E1199F" w:rsidP="00E1199F">
            <w:r w:rsidRPr="007D162C">
              <w:t>Status Quo</w:t>
            </w:r>
          </w:p>
        </w:tc>
        <w:tc>
          <w:tcPr>
            <w:tcW w:w="1343" w:type="dxa"/>
          </w:tcPr>
          <w:p w14:paraId="49BB8EB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3B5DEF06"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DA7810A"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0E1787"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DA9670A"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26E2D209"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A26FE0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3FE0317" w14:textId="77777777" w:rsidR="00E1199F" w:rsidRPr="007D162C" w:rsidRDefault="00E1199F" w:rsidP="00E1199F">
            <w:r w:rsidRPr="007D162C">
              <w:t xml:space="preserve">Non-regulatory </w:t>
            </w:r>
          </w:p>
        </w:tc>
        <w:tc>
          <w:tcPr>
            <w:tcW w:w="1343" w:type="dxa"/>
          </w:tcPr>
          <w:p w14:paraId="32C94EA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FDBAA4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920031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3C23641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4C3C54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5744FD2"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714DB59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4EB80F1" w14:textId="77777777" w:rsidR="00E1199F" w:rsidRPr="007D162C" w:rsidRDefault="00E1199F" w:rsidP="00E1199F">
            <w:r w:rsidRPr="007D162C">
              <w:t>Regulatory</w:t>
            </w:r>
          </w:p>
        </w:tc>
        <w:tc>
          <w:tcPr>
            <w:tcW w:w="1343" w:type="dxa"/>
          </w:tcPr>
          <w:p w14:paraId="09BEA52D"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1D35A2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54359953"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747F060"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DDD69F2"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02361EF1" w14:textId="77777777" w:rsidR="00E1199F" w:rsidRPr="007D162C" w:rsidRDefault="08D050C4" w:rsidP="00081C4C">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77B8A121" w14:textId="77777777" w:rsidR="004C47E2" w:rsidRPr="007D162C" w:rsidRDefault="004C47E2" w:rsidP="000A4CD3">
      <w:pPr>
        <w:pStyle w:val="BodyText"/>
      </w:pPr>
    </w:p>
    <w:p w14:paraId="4D3CBBAD" w14:textId="6E20B47A" w:rsidR="00E1199F" w:rsidRPr="007D162C" w:rsidRDefault="00E1199F" w:rsidP="00E1199F">
      <w:pPr>
        <w:pStyle w:val="Heading4"/>
        <w:tabs>
          <w:tab w:val="left" w:pos="284"/>
        </w:tabs>
      </w:pPr>
      <w:r w:rsidRPr="007D162C">
        <w:t xml:space="preserve">Analysis of submissions </w:t>
      </w:r>
    </w:p>
    <w:p w14:paraId="2DF8A774" w14:textId="77777777" w:rsidR="00E1199F" w:rsidRPr="007D162C" w:rsidRDefault="00E1199F" w:rsidP="004E502A">
      <w:pPr>
        <w:pStyle w:val="Heading5"/>
      </w:pPr>
      <w:r w:rsidRPr="007D162C">
        <w:t>Status quo</w:t>
      </w:r>
    </w:p>
    <w:p w14:paraId="373CCB2F" w14:textId="77777777" w:rsidR="00E1199F" w:rsidRPr="007D162C" w:rsidRDefault="00E1199F" w:rsidP="00E1199F">
      <w:r w:rsidRPr="007D162C">
        <w:t xml:space="preserve">Under the status quo option the Transport Standards would continue to be silent on separate design specifications for removable gangways. The current requirements are suitable for a static </w:t>
      </w:r>
      <w:r w:rsidRPr="007D162C">
        <w:lastRenderedPageBreak/>
        <w:t>environment applicable to conveyances such as trains and buses. Under the status quo operators and providers may continue to be unable to comply with the requirement for ferries, or specifications for gangway design for ferries will continue to be unsuited to the dynamic operating marine environment in which they are deployed, creating a safety risk for passengers. No submissions received during the public consultation period supported the status quo option.</w:t>
      </w:r>
    </w:p>
    <w:p w14:paraId="324B8CD6" w14:textId="77777777" w:rsidR="00E1199F" w:rsidRPr="007D162C" w:rsidRDefault="08D050C4" w:rsidP="00E1199F">
      <w:r w:rsidRPr="007D162C">
        <w:t xml:space="preserve">Both ferry deck and pontoon boarding points may be rising and falling vertically while the ferry is simultaneously moving laterally. As a result, removable gangways must be able to maintain two points of contact on moving pontoons and ferry decks. They must also accommodate lateral movement of the ferry to and from the pontoon. This cannot be achieved with a flat boarding ramp suited to buses and trains. A convex profile is required. Further, removable gangways are always longer than the 1520 millimetre maximum permitted for boarding ramps as outlined in section 6.4(b) of the Transport Standards. Removable gangways necessarily exceed these specifications to achieve a safe overlap of both decks due to the risk posed by lateral movement of the ferry while berthed. </w:t>
      </w:r>
    </w:p>
    <w:p w14:paraId="1766C184" w14:textId="7E4BB2D8" w:rsidR="00E1199F" w:rsidRPr="007D162C" w:rsidRDefault="00E1199F" w:rsidP="00E1199F">
      <w:pPr>
        <w:pStyle w:val="Quote"/>
      </w:pPr>
      <w:r w:rsidRPr="007D162C">
        <w:t xml:space="preserve">It’s clear that the provisions of the </w:t>
      </w:r>
      <w:r w:rsidR="000917A8">
        <w:t>T</w:t>
      </w:r>
      <w:r w:rsidRPr="007D162C">
        <w:t xml:space="preserve">ransport </w:t>
      </w:r>
      <w:r w:rsidR="000917A8">
        <w:t>S</w:t>
      </w:r>
      <w:r w:rsidRPr="007D162C">
        <w:t>tandards as they currently stand do not reflect best practice design and safety for people with disabilities. The Standards need to reflect practical requirements around safety of passengers, including the need for sufficient overlap of the gangplank over both decks and the provision of bilateral handrails and edge barriers.</w:t>
      </w:r>
    </w:p>
    <w:p w14:paraId="5C1A9B46" w14:textId="77777777" w:rsidR="00E1199F" w:rsidRPr="007D162C" w:rsidRDefault="00E1199F" w:rsidP="00E1199F">
      <w:pPr>
        <w:pStyle w:val="Quote"/>
      </w:pPr>
      <w:r w:rsidRPr="007D162C">
        <w:t>Physical Disability Council of NSW</w:t>
      </w:r>
    </w:p>
    <w:p w14:paraId="03C3C0B9" w14:textId="77777777" w:rsidR="00E1199F" w:rsidRPr="007D162C" w:rsidRDefault="00E1199F" w:rsidP="00E1199F">
      <w:r w:rsidRPr="007D162C">
        <w:rPr>
          <w:rFonts w:ascii="Calibri" w:hAnsi="Calibri" w:cs="Calibri"/>
          <w:color w:val="000000"/>
          <w:shd w:val="clear" w:color="auto" w:fill="FFFFFF"/>
        </w:rPr>
        <w:t>Submissions outlined that change from the status quo is required to ensure the two different devices (boarding ramps and gangways) have the characteristics that are necessary for the environment in which they are used, to ensure the amenity, convenience and safety of people with disability.</w:t>
      </w:r>
    </w:p>
    <w:p w14:paraId="07C52917" w14:textId="32986308" w:rsidR="00E1199F" w:rsidRPr="007D162C" w:rsidRDefault="00E1199F" w:rsidP="00E1199F">
      <w:r w:rsidRPr="007D162C">
        <w:t>Under the status quo there would continue to be a lack of clarity in regards to the difference between removable gangways and boarding ramps in the Transport Standards and operators and providers may continue to be unable to comply with the technical requirements. The status quo will continue to pose a risk to the safety, amenity and confidence of all people while boarding or alighting if removable gangways do not have the necessary design, safety and support features that suit the environment in which they are used. The risk of both falls and injury are greater for people with disability. The status quo has no on-going costs for public transports operators and providers, however</w:t>
      </w:r>
      <w:r w:rsidR="00B82E35">
        <w:t>,</w:t>
      </w:r>
      <w:r w:rsidRPr="007D162C">
        <w:t xml:space="preserve"> negative impacts on community amenity, accessibility, and safety will remain.</w:t>
      </w:r>
    </w:p>
    <w:p w14:paraId="31C60D74" w14:textId="77777777" w:rsidR="00E1199F" w:rsidRPr="007D162C" w:rsidRDefault="00E1199F" w:rsidP="004E502A">
      <w:pPr>
        <w:pStyle w:val="Heading5"/>
      </w:pPr>
      <w:r w:rsidRPr="007D162C">
        <w:t>Non-regulatory</w:t>
      </w:r>
    </w:p>
    <w:p w14:paraId="15FEFA87" w14:textId="1279A8B2" w:rsidR="00E1199F" w:rsidRPr="007D162C" w:rsidRDefault="00E1199F" w:rsidP="00E1199F">
      <w:r w:rsidRPr="007D162C">
        <w:t xml:space="preserve">The non-regulatory option would provide updated guidance on removable gangways, including advice regarding gangway design and adopting requirements in the </w:t>
      </w:r>
      <w:r w:rsidR="009512B2" w:rsidRPr="007D162C">
        <w:t>NSCV</w:t>
      </w:r>
      <w:r w:rsidRPr="007D162C">
        <w:t>.</w:t>
      </w:r>
    </w:p>
    <w:p w14:paraId="71DDC948" w14:textId="1B7F9156" w:rsidR="00E1199F" w:rsidRPr="007D162C" w:rsidRDefault="08D050C4" w:rsidP="08D050C4">
      <w:pPr>
        <w:rPr>
          <w:rFonts w:ascii="Segoe UI" w:eastAsia="Times New Roman" w:hAnsi="Segoe UI" w:cs="Segoe UI"/>
          <w:color w:val="000000" w:themeColor="text1"/>
          <w:sz w:val="2"/>
          <w:szCs w:val="2"/>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divided on whether they supported the regulatory or non-regulatory option. </w:t>
      </w:r>
      <w:r w:rsidRPr="007D162C">
        <w:t xml:space="preserve">One government stakeholder who expressed support for the non-regulatory option noted that it would provide flexibility for operators and providers to address the difficulties in interfacing varying vessel and jetty infrastructure design. Another submission considered that there was already sufficient industry regulation and requirements under the </w:t>
      </w:r>
      <w:r w:rsidR="008058AA" w:rsidRPr="007D162C">
        <w:t>NSCV</w:t>
      </w:r>
      <w:r w:rsidRPr="007D162C">
        <w:t xml:space="preserve"> and that further regulation through the Transport Standards was not necessary. This submission noted that further regulation in the Transport Standards may cause conflicting requirements, particularly regarding handrail specifications referenced in AS1428.1 (2009), or inconsistencies in industry regulations in the future if the </w:t>
      </w:r>
      <w:r w:rsidR="008058AA" w:rsidRPr="007D162C">
        <w:t>NSCV</w:t>
      </w:r>
      <w:r w:rsidRPr="007D162C">
        <w:t xml:space="preserve"> is amended. This submission recommended that guidance be included regarding the safe deployment of gangways through the addition of </w:t>
      </w:r>
      <w:r w:rsidRPr="007D162C">
        <w:rPr>
          <w:rFonts w:ascii="Calibri" w:eastAsia="Times New Roman" w:hAnsi="Calibri" w:cs="Calibri"/>
          <w:color w:val="000000" w:themeColor="text1"/>
          <w:lang w:eastAsia="en-AU"/>
        </w:rPr>
        <w:t>'</w:t>
      </w:r>
      <w:r w:rsidRPr="007D162C">
        <w:rPr>
          <w:rFonts w:ascii="Calibri" w:eastAsia="Times New Roman" w:hAnsi="Calibri" w:cs="Calibri"/>
          <w:i/>
          <w:iCs/>
          <w:color w:val="000000" w:themeColor="text1"/>
          <w:lang w:eastAsia="en-AU"/>
        </w:rPr>
        <w:t>a gangway should be mechanically secured at the upper end.'</w:t>
      </w:r>
    </w:p>
    <w:p w14:paraId="647FD0DB" w14:textId="0FE22B7F" w:rsidR="00E1199F" w:rsidRPr="007D162C" w:rsidRDefault="00E1199F" w:rsidP="00E1199F">
      <w:r w:rsidRPr="007D162C">
        <w:lastRenderedPageBreak/>
        <w:t xml:space="preserve">To the extent that guidance is followed, operators and providers may incur some cost to audit and upgrade or replace boarding ramps and gangways in line with the recommended specifications, including installing or replacing handrails, and installing contrasting handrails and contrasting strips at the entry points of the gangway. However, operators and provides are already required to comply with the </w:t>
      </w:r>
      <w:r w:rsidR="008058AA" w:rsidRPr="007D162C">
        <w:t>NSCV</w:t>
      </w:r>
      <w:r w:rsidRPr="007D162C">
        <w:t xml:space="preserve"> and operators whose gangways already have these features will be unaffected. Operators and providers would be able to manage the implementation (and related costs) to suit their operational requirements, including through staging the implementation.</w:t>
      </w:r>
    </w:p>
    <w:p w14:paraId="167C4B96" w14:textId="3A0FA51D" w:rsidR="00E1199F" w:rsidRPr="007D162C" w:rsidRDefault="00E1199F" w:rsidP="00E1199F">
      <w:r w:rsidRPr="007D162C">
        <w:t xml:space="preserve">Given this option is discretionary, it does not provide certainty that guidance will be implemented. To the extent that guidance is followed, the non-regulatory option would provide greater guidance and clarity on the different specifications required for the dynamic marine environment in which removable gangways are deployed and would align with current industry standards and requirements for gangway design in the </w:t>
      </w:r>
      <w:r w:rsidR="008058AA" w:rsidRPr="007D162C">
        <w:t>NSCV</w:t>
      </w:r>
      <w:r w:rsidRPr="007D162C">
        <w:t>. Passengers would benefit from handrails and leading edges with improved luminance contrast. This will enhance safety for all passengers, particularly those with vision impairment, by reducing incident such as slips, trips and falls. This may also improve passenger confidence and increase patronage.</w:t>
      </w:r>
    </w:p>
    <w:p w14:paraId="396C6DCB" w14:textId="77777777" w:rsidR="00E1199F" w:rsidRPr="007D162C" w:rsidRDefault="00E1199F" w:rsidP="004E502A">
      <w:pPr>
        <w:pStyle w:val="Heading5"/>
      </w:pPr>
      <w:r w:rsidRPr="007D162C">
        <w:t>Regulatory</w:t>
      </w:r>
    </w:p>
    <w:p w14:paraId="0FBCD659" w14:textId="77777777" w:rsidR="00E1199F" w:rsidRPr="007D162C" w:rsidRDefault="00E1199F" w:rsidP="00E1199F">
      <w:r w:rsidRPr="007D162C">
        <w:t xml:space="preserve">The regulatory option would amend the Transport Standards to include design specifications for removeable gangways, including compliance with the National Standard for Commercial Vessels and handrail design specifications referenced in AS1428.1 (2009). </w:t>
      </w:r>
    </w:p>
    <w:p w14:paraId="5A77C063" w14:textId="77777777" w:rsidR="00E1199F" w:rsidRPr="007D162C" w:rsidRDefault="08D050C4" w:rsidP="00E1199F">
      <w:r w:rsidRPr="007D162C">
        <w:t>The regulatory option was the preferred option for all individuals, people with disability and disability organisations. These submissions highlighted particular safety concerns for wheelchair users and ambulant passengers who have balance or vision impairments, if the requirements for boarding ramps outlined in the Transport Standards are used in the design of removeable gangways.</w:t>
      </w:r>
    </w:p>
    <w:p w14:paraId="3F1C8EAD" w14:textId="60497FE4" w:rsidR="00E1199F" w:rsidRPr="007D162C" w:rsidRDefault="00E1199F" w:rsidP="08D050C4">
      <w:pPr>
        <w:shd w:val="clear" w:color="auto" w:fill="FFFFFF" w:themeFill="background1"/>
      </w:pPr>
      <w:r w:rsidRPr="007D162C">
        <w:t xml:space="preserve">One submission raised concerns that a </w:t>
      </w:r>
      <w:r w:rsidRPr="007D162C">
        <w:rPr>
          <w:rFonts w:ascii="Calibri" w:hAnsi="Calibri" w:cs="Calibri"/>
          <w:color w:val="000000"/>
          <w:shd w:val="clear" w:color="auto" w:fill="FFFFFF"/>
        </w:rPr>
        <w:t>30 per</w:t>
      </w:r>
      <w:r w:rsidR="000917A8">
        <w:rPr>
          <w:rFonts w:ascii="Calibri" w:hAnsi="Calibri" w:cs="Calibri"/>
          <w:color w:val="000000"/>
          <w:shd w:val="clear" w:color="auto" w:fill="FFFFFF"/>
        </w:rPr>
        <w:t xml:space="preserve"> </w:t>
      </w:r>
      <w:r w:rsidRPr="007D162C">
        <w:rPr>
          <w:rFonts w:ascii="Calibri" w:hAnsi="Calibri" w:cs="Calibri"/>
          <w:color w:val="000000"/>
          <w:shd w:val="clear" w:color="auto" w:fill="FFFFFF"/>
        </w:rPr>
        <w:t xml:space="preserve">cent luminance contrast with surfaces </w:t>
      </w:r>
      <w:r w:rsidRPr="007D162C">
        <w:t>on which gangways are deployed</w:t>
      </w:r>
      <w:r w:rsidRPr="007D162C">
        <w:rPr>
          <w:rFonts w:ascii="Calibri" w:hAnsi="Calibri" w:cs="Calibri"/>
          <w:color w:val="000000"/>
          <w:shd w:val="clear" w:color="auto" w:fill="FFFFFF"/>
        </w:rPr>
        <w:t xml:space="preserve"> is considered insufficient for people who are blind or vision impaired.</w:t>
      </w:r>
      <w:r w:rsidRPr="007D162C">
        <w:t xml:space="preserve"> This is a recurring concern where luminance contrast is an element of a reform area.  The submission stressed </w:t>
      </w:r>
      <w:r w:rsidRPr="007D162C">
        <w:rPr>
          <w:rFonts w:ascii="Calibri" w:hAnsi="Calibri" w:cs="Calibri"/>
          <w:color w:val="000000"/>
          <w:shd w:val="clear" w:color="auto" w:fill="FFFFFF"/>
        </w:rPr>
        <w:t xml:space="preserve">that further consultation and evidence is needed before a final decision is made for this area of reform, particularly when considered in the dynamic environment of a ferry. </w:t>
      </w:r>
    </w:p>
    <w:p w14:paraId="459A4E3A" w14:textId="081527E5" w:rsidR="00E1199F" w:rsidRPr="007D162C" w:rsidRDefault="00E1199F" w:rsidP="00E1199F">
      <w:r w:rsidRPr="007D162C">
        <w:rPr>
          <w:rFonts w:ascii="Calibri" w:eastAsia="Times New Roman" w:hAnsi="Calibri" w:cs="Calibri"/>
          <w:color w:val="000000"/>
          <w:lang w:eastAsia="en-AU"/>
        </w:rPr>
        <w:t xml:space="preserve">Industry and government stakeholders were divided on whether they supported the regulatory or non-regulatory option. One </w:t>
      </w:r>
      <w:r w:rsidRPr="007D162C">
        <w:t>government stakeholder who expressed support for the regulatory option acknowledged they did not operate a passenger ferry service, however</w:t>
      </w:r>
      <w:r w:rsidR="00B82E35">
        <w:t>,</w:t>
      </w:r>
      <w:r w:rsidRPr="007D162C">
        <w:t xml:space="preserve"> noted the </w:t>
      </w:r>
      <w:r w:rsidRPr="007D162C">
        <w:rPr>
          <w:rFonts w:ascii="Calibri" w:hAnsi="Calibri" w:cs="Calibri"/>
          <w:color w:val="000000"/>
          <w:shd w:val="clear" w:color="auto" w:fill="FFFFFF"/>
        </w:rPr>
        <w:t>regulatory option should ensure clarity around requirements for public transport gangways. The other government stakeholder who expressed support for the regulatory option noted their current arrangements are already similar</w:t>
      </w:r>
      <w:r w:rsidR="008058AA" w:rsidRPr="007D162C">
        <w:rPr>
          <w:rFonts w:ascii="Calibri" w:hAnsi="Calibri" w:cs="Calibri"/>
          <w:color w:val="000000"/>
          <w:shd w:val="clear" w:color="auto" w:fill="FFFFFF"/>
        </w:rPr>
        <w:t xml:space="preserve"> </w:t>
      </w:r>
      <w:r w:rsidRPr="007D162C">
        <w:rPr>
          <w:rFonts w:ascii="Calibri" w:hAnsi="Calibri" w:cs="Calibri"/>
          <w:color w:val="000000"/>
          <w:shd w:val="clear" w:color="auto" w:fill="FFFFFF"/>
        </w:rPr>
        <w:t>to the proposed regulatory approach so the change would likely result in minimal impact to current planning and delivery. This submission did note however, that increased weight requirements under regulatory options may result in manual handling risks and operational delays.</w:t>
      </w:r>
    </w:p>
    <w:p w14:paraId="4BB7D692" w14:textId="77777777" w:rsidR="00E1199F" w:rsidRPr="007D162C" w:rsidRDefault="00E1199F" w:rsidP="08D050C4">
      <w:pPr>
        <w:shd w:val="clear" w:color="auto" w:fill="FFFFFF" w:themeFill="background1"/>
        <w:rPr>
          <w:rFonts w:ascii="Calibri" w:eastAsia="Times New Roman" w:hAnsi="Calibri" w:cs="Calibri"/>
          <w:color w:val="000000" w:themeColor="text1"/>
          <w:lang w:eastAsia="en-AU"/>
        </w:rPr>
      </w:pPr>
      <w:r w:rsidRPr="007D162C">
        <w:t xml:space="preserve">Another government submission that did not express a preference for any of the options presented, </w:t>
      </w:r>
      <w:r w:rsidRPr="007D162C">
        <w:rPr>
          <w:rFonts w:ascii="Calibri" w:eastAsia="Times New Roman" w:hAnsi="Calibri" w:cs="Calibri"/>
          <w:color w:val="000000"/>
          <w:lang w:eastAsia="en-AU"/>
        </w:rPr>
        <w:t>outlined that if a regulatory approach is selected and developed effectively it could assist with ensuring consistency across networks of multiple jurisdictions, providing clear guidance for operators and providers, and minimum requirements to ensure user safety. However, the submission highlighted that consideration should be given to the possibility that there is no one-size-fits-all solution. The submission recommended that the Transport S</w:t>
      </w:r>
      <w:r w:rsidRPr="007D162C">
        <w:rPr>
          <w:rFonts w:ascii="Calibri" w:hAnsi="Calibri" w:cs="Calibri"/>
          <w:color w:val="000000"/>
          <w:shd w:val="clear" w:color="auto" w:fill="FFFFFF"/>
        </w:rPr>
        <w:t>tandards need to clarify the distinction between gangplanks and gangways (static and articulated) and that incorporating safety barriers onto gangplanks should be considered. It was also noted that small marine facilities are not able to support an articulated gangway, presenting a challenge to operators and providers.</w:t>
      </w:r>
    </w:p>
    <w:p w14:paraId="68D1F867" w14:textId="74144E76" w:rsidR="008058AA" w:rsidRPr="007D162C" w:rsidRDefault="008058AA" w:rsidP="008058AA">
      <w:r w:rsidRPr="007D162C">
        <w:lastRenderedPageBreak/>
        <w:t xml:space="preserve">The regulatory option would provide greater guidance and clarity on the different specifications required for the dynamic marine environment in which removable gangways are deployed. Operators and providers may incur some cost to audit and upgrade or replace boarding ramps and gangways in line with the recommended specifications. </w:t>
      </w:r>
      <w:r w:rsidRPr="007D162C">
        <w:rPr>
          <w:rFonts w:cstheme="minorHAnsi"/>
        </w:rPr>
        <w:t xml:space="preserve">Since the release of the Consultation RIS, the Australian Maritime Safety Authority (AMSA) has commenced a full review of </w:t>
      </w:r>
      <w:r w:rsidRPr="007D162C">
        <w:rPr>
          <w:bCs/>
        </w:rPr>
        <w:t>NSCV</w:t>
      </w:r>
      <w:r w:rsidRPr="007D162C">
        <w:rPr>
          <w:b/>
          <w:bCs/>
        </w:rPr>
        <w:t xml:space="preserve"> </w:t>
      </w:r>
      <w:r w:rsidRPr="007D162C">
        <w:rPr>
          <w:rFonts w:cstheme="minorHAnsi"/>
        </w:rPr>
        <w:t xml:space="preserve">Part C1 Standards. The proposed amendments include reforms to provisions that currently regulate the design of removeable gangways, including design specifications intended to improve the safety and accessibility of removeable gangways for people with disability. </w:t>
      </w:r>
      <w:r w:rsidRPr="007D162C">
        <w:rPr>
          <w:rFonts w:cstheme="minorHAnsi"/>
          <w:szCs w:val="24"/>
        </w:rPr>
        <w:t>As the proposed amendments to the NSCV are performance based, o</w:t>
      </w:r>
      <w:r w:rsidRPr="007D162C">
        <w:t xml:space="preserve">perators whose gangways align with current industry standards and requirements for gangway design are unlikely to be affected. Some extra costs on the current standard product may be imposed by the need to have contrasting strips at the entry points to the gangway and contrasting handrails where gangways do not already have these features. </w:t>
      </w:r>
    </w:p>
    <w:p w14:paraId="732213E7" w14:textId="77777777" w:rsidR="00E1199F" w:rsidRPr="007D162C" w:rsidRDefault="00E1199F" w:rsidP="00E1199F">
      <w:r w:rsidRPr="007D162C">
        <w:t>By defining removable gangways distinct from boarding ramps, currently safe and fit for purpose gangways would be made compliant with the Transport Standards. Implementation of the regulatory option will improve unassisted access and accessibility for people with disability on removable gangways. Installing luminance contrasting handrails and leading edges will enhance safety for vision impairment and reduce incidents such as slips, trips and falls. This may also improve passenger confidence and increase patronage.</w:t>
      </w:r>
    </w:p>
    <w:p w14:paraId="7D626C2A" w14:textId="77777777" w:rsidR="00E1199F" w:rsidRPr="007D162C" w:rsidRDefault="00E1199F" w:rsidP="00E1199F">
      <w:pPr>
        <w:pStyle w:val="Heading4"/>
      </w:pPr>
      <w:bookmarkStart w:id="548" w:name="_Hlk128406566"/>
      <w:r w:rsidRPr="007D162C">
        <w:t>Preferred option</w:t>
      </w:r>
    </w:p>
    <w:p w14:paraId="36BECE24" w14:textId="77777777" w:rsidR="006D4614" w:rsidRPr="007D162C" w:rsidRDefault="006D4614" w:rsidP="006D4614">
      <w:bookmarkStart w:id="549" w:name="_Hlk128406470"/>
      <w:bookmarkEnd w:id="548"/>
      <w:r w:rsidRPr="007D162C">
        <w:t xml:space="preserve">Informed by the outcomes of consultation, stakeholder impacts, cost and outcomes analysis, the preferred option is to support a </w:t>
      </w:r>
      <w:r w:rsidRPr="007D162C">
        <w:rPr>
          <w:b/>
        </w:rPr>
        <w:t>regulatory option in-principle, with further consultation, investigation and research recommended</w:t>
      </w:r>
      <w:r w:rsidRPr="007D162C">
        <w:t xml:space="preserve"> to develop revised options.</w:t>
      </w:r>
    </w:p>
    <w:p w14:paraId="50F70DB9" w14:textId="77777777" w:rsidR="006D4614" w:rsidRPr="007D162C" w:rsidRDefault="006D4614" w:rsidP="006D4614">
      <w:r w:rsidRPr="007D162C">
        <w:rPr>
          <w:rFonts w:cstheme="minorHAnsi"/>
        </w:rPr>
        <w:t>T</w:t>
      </w:r>
      <w:r w:rsidRPr="007D162C">
        <w:t>he majority of stakeholders supported a regulatory approach for this reform area. Consultation demonstrated that the inclusion of new requirements to improve safety, and provide greater guidance and clarity on the different specifications required for the dynamic marine environment in which removable gangways are deployed, is welcomed by all stakeholder groups.</w:t>
      </w:r>
    </w:p>
    <w:p w14:paraId="30D65976" w14:textId="77777777" w:rsidR="006D4614" w:rsidRPr="007D162C" w:rsidRDefault="006D4614" w:rsidP="006D4614">
      <w:pPr>
        <w:rPr>
          <w:rFonts w:cstheme="minorHAnsi"/>
        </w:rPr>
      </w:pPr>
      <w:r w:rsidRPr="007D162C">
        <w:rPr>
          <w:rFonts w:cstheme="minorHAnsi"/>
        </w:rPr>
        <w:t xml:space="preserve">The regulatory option presented in the Consultation RIS includes requirements to comply with the </w:t>
      </w:r>
      <w:r w:rsidRPr="007D162C">
        <w:rPr>
          <w:bCs/>
        </w:rPr>
        <w:t>NSCV</w:t>
      </w:r>
      <w:r w:rsidRPr="007D162C">
        <w:rPr>
          <w:b/>
          <w:bCs/>
        </w:rPr>
        <w:t xml:space="preserve"> </w:t>
      </w:r>
      <w:r w:rsidRPr="007D162C">
        <w:rPr>
          <w:rFonts w:cstheme="minorHAnsi"/>
        </w:rPr>
        <w:t xml:space="preserve">Part C1 (Design and construction - Arrangement, accommodation and personal safety) standards. Since the release of the Consultation RIS, the AMSA has commenced a full review of </w:t>
      </w:r>
      <w:r w:rsidRPr="007D162C">
        <w:rPr>
          <w:bCs/>
        </w:rPr>
        <w:t>NSCV</w:t>
      </w:r>
      <w:r w:rsidRPr="007D162C">
        <w:rPr>
          <w:b/>
          <w:bCs/>
        </w:rPr>
        <w:t xml:space="preserve"> </w:t>
      </w:r>
      <w:r w:rsidRPr="007D162C">
        <w:rPr>
          <w:rFonts w:cstheme="minorHAnsi"/>
        </w:rPr>
        <w:t xml:space="preserve">Part C1 Standards. The proposed amendments include reforms to provisions that currently regulate the design of removeable gangways, including design specifications intended to improve the safety and accessibility of removeable gangways for people with disability. </w:t>
      </w:r>
    </w:p>
    <w:p w14:paraId="2A32C2E2" w14:textId="77777777" w:rsidR="006D4614" w:rsidRPr="007D162C" w:rsidRDefault="006D4614" w:rsidP="006D4614">
      <w:r w:rsidRPr="007D162C">
        <w:t>As the regulatory option proposed adopting NSCV requirements and these are going to be amended, there is a risk that the adoption of this option will not result in the expected benefits many stakeholders anticipated, undermining the reforms. For this reason, this Decision RIS proposes the establishment of a working group consisting of disability community representatives, subject matter experts, public transport operators and providers and governments. Further consultation with community representatives and subject matter experts is required to develop a revised regulatory option for reform to address this issue.</w:t>
      </w:r>
    </w:p>
    <w:p w14:paraId="349CC9C2" w14:textId="47590AF8" w:rsidR="00E1199F" w:rsidRPr="00F75EF4" w:rsidRDefault="006D4614" w:rsidP="00E1199F">
      <w:r w:rsidRPr="007D162C">
        <w:rPr>
          <w:rFonts w:cstheme="minorHAnsi"/>
        </w:rPr>
        <w:t>While the revised option is being developed, clarity will be provided in the Transport Standards through the definitional distinction between removable gangways and boarding ramps in reform area 41. This will provide operators and providers greater compliance certainty in meeting existing technical requirements relating to boarding ramps, which remain unsuited and unfeasible to meet in the marine environment in which removable gangways are deployed.</w:t>
      </w:r>
      <w:bookmarkEnd w:id="549"/>
      <w:r w:rsidR="00E1199F" w:rsidRPr="007D162C">
        <w:rPr>
          <w:color w:val="FF0000"/>
        </w:rPr>
        <w:br w:type="page"/>
      </w:r>
    </w:p>
    <w:p w14:paraId="7DF4DE48" w14:textId="49D3853F" w:rsidR="00E1199F" w:rsidRPr="007D162C" w:rsidRDefault="00E1199F" w:rsidP="00F75EF4">
      <w:pPr>
        <w:pStyle w:val="Heading2"/>
        <w:numPr>
          <w:ilvl w:val="0"/>
          <w:numId w:val="28"/>
        </w:numPr>
        <w:ind w:hanging="720"/>
      </w:pPr>
      <w:bookmarkStart w:id="550" w:name="_Toc127351794"/>
      <w:bookmarkStart w:id="551" w:name="_Toc140239752"/>
      <w:r w:rsidRPr="007D162C">
        <w:lastRenderedPageBreak/>
        <w:t>Nominated assistance boarding points</w:t>
      </w:r>
      <w:bookmarkEnd w:id="550"/>
      <w:bookmarkEnd w:id="551"/>
    </w:p>
    <w:p w14:paraId="360062F3" w14:textId="77777777" w:rsidR="00E1199F" w:rsidRPr="007D162C" w:rsidRDefault="00E1199F" w:rsidP="00E1199F">
      <w:pPr>
        <w:pStyle w:val="Heading4"/>
        <w:tabs>
          <w:tab w:val="left" w:pos="284"/>
        </w:tabs>
      </w:pPr>
      <w:r w:rsidRPr="007D162C">
        <w:t>Issue</w:t>
      </w:r>
    </w:p>
    <w:p w14:paraId="47E0C23E" w14:textId="77777777" w:rsidR="00E1199F" w:rsidRPr="007D162C" w:rsidRDefault="00E1199F" w:rsidP="00E1199F">
      <w:pPr>
        <w:tabs>
          <w:tab w:val="left" w:pos="284"/>
        </w:tabs>
      </w:pPr>
      <w:r w:rsidRPr="007D162C">
        <w:t>Areas for accessing public transport conveyances, such as a train platform, can be large, long, and crowded. This can make it difficult for people with disability to know where to go to seek direct assistance for boarding, a boarding ramp to assist with boarding, directions to accessible facilities or other information.</w:t>
      </w:r>
    </w:p>
    <w:p w14:paraId="1488A6AF" w14:textId="77777777" w:rsidR="00E1199F" w:rsidRPr="007D162C" w:rsidRDefault="00E1199F" w:rsidP="00E1199F">
      <w:pPr>
        <w:tabs>
          <w:tab w:val="left" w:pos="284"/>
        </w:tabs>
      </w:pPr>
      <w:r w:rsidRPr="007D162C">
        <w:t>Collective government action would ensure requirements would provide certainty on how to provide assistance points to public transport operators and providers and address key stakeholder issues raised through the Transport Standards review process.</w:t>
      </w:r>
    </w:p>
    <w:p w14:paraId="596F391A" w14:textId="77777777" w:rsidR="00E1199F" w:rsidRPr="007D162C" w:rsidRDefault="00E1199F" w:rsidP="00E1199F">
      <w:pPr>
        <w:pStyle w:val="Heading4"/>
        <w:tabs>
          <w:tab w:val="left" w:pos="284"/>
        </w:tabs>
      </w:pPr>
      <w:r w:rsidRPr="007D162C">
        <w:t>Reform options</w:t>
      </w:r>
    </w:p>
    <w:p w14:paraId="1AEE76C2"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94EC1EC" w14:textId="1741296B" w:rsidR="00E1199F" w:rsidRPr="007D162C" w:rsidRDefault="00E1199F" w:rsidP="00E1199F">
      <w:pPr>
        <w:pStyle w:val="Caption"/>
        <w:keepNext/>
      </w:pPr>
      <w:bookmarkStart w:id="552" w:name="_Toc122446440"/>
      <w:bookmarkStart w:id="553" w:name="_Toc139969277"/>
      <w:r w:rsidRPr="007D162C">
        <w:t xml:space="preserve">Table </w:t>
      </w:r>
      <w:fldSimple w:instr=" SEQ Table \* ARABIC ">
        <w:r w:rsidR="00DC26AC">
          <w:rPr>
            <w:noProof/>
          </w:rPr>
          <w:t>119</w:t>
        </w:r>
      </w:fldSimple>
      <w:r w:rsidRPr="007D162C">
        <w:t>: Reform options for nominated assistance boarding points</w:t>
      </w:r>
      <w:bookmarkEnd w:id="552"/>
      <w:bookmarkEnd w:id="553"/>
    </w:p>
    <w:tbl>
      <w:tblPr>
        <w:tblStyle w:val="DefaultTable1"/>
        <w:tblW w:w="9072" w:type="dxa"/>
        <w:tblLook w:val="04A0" w:firstRow="1" w:lastRow="0" w:firstColumn="1" w:lastColumn="0" w:noHBand="0" w:noVBand="1"/>
        <w:tblCaption w:val="Reform options for nominated assistance boarding points"/>
        <w:tblDescription w:val="This table provides a description of each of the options for this reform area. Status quo, non-regulatory and regulatory."/>
      </w:tblPr>
      <w:tblGrid>
        <w:gridCol w:w="2232"/>
        <w:gridCol w:w="6840"/>
      </w:tblGrid>
      <w:tr w:rsidR="00E1199F" w:rsidRPr="007D162C" w14:paraId="6E26608B"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D726594"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8AFDFB7"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F1AF5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52B85F" w14:textId="77777777" w:rsidR="00E1199F" w:rsidRPr="007D162C" w:rsidRDefault="00E1199F" w:rsidP="00E1199F">
            <w:pPr>
              <w:pStyle w:val="Tabletext"/>
              <w:tabs>
                <w:tab w:val="left" w:pos="284"/>
              </w:tabs>
              <w:rPr>
                <w:rFonts w:asciiTheme="minorHAnsi" w:hAnsiTheme="minorHAnsi" w:cstheme="minorBidi"/>
              </w:rPr>
            </w:pPr>
            <w:r w:rsidRPr="007D162C">
              <w:rPr>
                <w:rFonts w:asciiTheme="minorHAnsi" w:hAnsiTheme="minorHAnsi" w:cstheme="minorBidi"/>
              </w:rPr>
              <w:t>Status Quo</w:t>
            </w:r>
          </w:p>
        </w:tc>
        <w:tc>
          <w:tcPr>
            <w:tcW w:w="6840" w:type="dxa"/>
            <w:vAlign w:val="center"/>
          </w:tcPr>
          <w:p w14:paraId="6D77E25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continue to specify provisions for when boarding devices must be provided and notification by passenger/s of need for a boarding device. Ambiguity will remain for people with disability in knowing where to seek direct boarding assistance and for public transport staff in locating people with disability requiring direct assistance.</w:t>
            </w:r>
          </w:p>
          <w:p w14:paraId="2B33D91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04392A6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83CD2A8" w14:textId="77777777" w:rsidR="00E1199F" w:rsidRPr="007D162C" w:rsidRDefault="00E1199F" w:rsidP="004A463A">
            <w:pPr>
              <w:pStyle w:val="Tabletext"/>
              <w:tabs>
                <w:tab w:val="left" w:pos="284"/>
              </w:tabs>
              <w:rPr>
                <w:rFonts w:asciiTheme="minorHAnsi" w:hAnsiTheme="minorHAnsi" w:cstheme="minorBidi"/>
                <w:color w:val="auto"/>
              </w:rPr>
            </w:pPr>
            <w:r w:rsidRPr="007D162C">
              <w:rPr>
                <w:rFonts w:asciiTheme="minorHAnsi" w:hAnsiTheme="minorHAnsi" w:cstheme="minorBidi"/>
                <w:color w:val="auto"/>
              </w:rPr>
              <w:t>Non-regulatory</w:t>
            </w:r>
          </w:p>
        </w:tc>
        <w:tc>
          <w:tcPr>
            <w:tcW w:w="6840" w:type="dxa"/>
            <w:vAlign w:val="center"/>
          </w:tcPr>
          <w:p w14:paraId="606A551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provided on assistance points to facilitate boarding, including, but not limited to:</w:t>
            </w:r>
          </w:p>
          <w:p w14:paraId="6A4E4570"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t>solutions to facilitate independent boarding</w:t>
            </w:r>
          </w:p>
          <w:p w14:paraId="57CAD8D7"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 xml:space="preserve">solutions for </w:t>
            </w:r>
            <w:r w:rsidRPr="007D162C">
              <w:t>when independent boarding cannot be provided, such as providing a nominated assistance point or direct assistance procedures</w:t>
            </w:r>
          </w:p>
          <w:p w14:paraId="1BED9350"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case</w:t>
            </w:r>
            <w:r w:rsidRPr="007D162C">
              <w:t xml:space="preserve"> studies of how </w:t>
            </w:r>
            <w:r w:rsidRPr="007D162C">
              <w:rPr>
                <w:lang w:val="en-US"/>
              </w:rPr>
              <w:t>to</w:t>
            </w:r>
            <w:r w:rsidRPr="007D162C">
              <w:t xml:space="preserve"> provide a nominated assistance point</w:t>
            </w:r>
            <w:r w:rsidRPr="007D162C">
              <w:rPr>
                <w:lang w:val="en-US"/>
              </w:rPr>
              <w:t>s</w:t>
            </w:r>
            <w:r w:rsidRPr="007D162C">
              <w:t>.</w:t>
            </w:r>
          </w:p>
        </w:tc>
      </w:tr>
      <w:tr w:rsidR="00E1199F" w:rsidRPr="007D162C" w14:paraId="5FCA00F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01D3A38" w14:textId="77777777" w:rsidR="00E1199F" w:rsidRPr="007D162C" w:rsidRDefault="00E1199F" w:rsidP="004A463A">
            <w:pPr>
              <w:pStyle w:val="Tabletext"/>
              <w:tabs>
                <w:tab w:val="left" w:pos="284"/>
              </w:tabs>
              <w:rPr>
                <w:rFonts w:asciiTheme="minorHAnsi" w:hAnsiTheme="minorHAnsi" w:cstheme="minorBidi"/>
              </w:rPr>
            </w:pPr>
            <w:r w:rsidRPr="007D162C">
              <w:rPr>
                <w:rFonts w:asciiTheme="minorHAnsi" w:hAnsiTheme="minorHAnsi" w:cstheme="minorBidi"/>
              </w:rPr>
              <w:t>Regulatory</w:t>
            </w:r>
          </w:p>
        </w:tc>
        <w:tc>
          <w:tcPr>
            <w:tcW w:w="6840" w:type="dxa"/>
            <w:vAlign w:val="center"/>
          </w:tcPr>
          <w:p w14:paraId="1C4F26A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nominated assistance points. There were two regulatory options consulted on:</w:t>
            </w:r>
          </w:p>
          <w:p w14:paraId="238B7465" w14:textId="77777777" w:rsidR="00E1199F" w:rsidRPr="007D162C" w:rsidRDefault="00E1199F" w:rsidP="004E502A">
            <w:pPr>
              <w:pStyle w:val="Listparagraphbulletssecondlevel"/>
              <w:cnfStyle w:val="000000100000" w:firstRow="0" w:lastRow="0" w:firstColumn="0" w:lastColumn="0" w:oddVBand="0" w:evenVBand="0" w:oddHBand="1" w:evenHBand="0" w:firstRowFirstColumn="0" w:firstRowLastColumn="0" w:lastRowFirstColumn="0" w:lastRowLastColumn="0"/>
            </w:pPr>
            <w:r w:rsidRPr="007D162C">
              <w:t>Option 1</w:t>
            </w:r>
          </w:p>
          <w:p w14:paraId="37FD0D59"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Independent boarding should be provided at all accessible entrances to a conveyance</w:t>
            </w:r>
          </w:p>
          <w:p w14:paraId="01F5F43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Direct assistance requirements where independent boarding is not available </w:t>
            </w:r>
          </w:p>
          <w:p w14:paraId="53A59BA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Option 1 </w:t>
            </w:r>
            <w:r w:rsidRPr="007D162C">
              <w:rPr>
                <w:lang w:val="en-US"/>
              </w:rPr>
              <w:t xml:space="preserve">proposed 5 </w:t>
            </w:r>
            <w:r w:rsidRPr="007D162C">
              <w:t>sub-options to define an accessible door</w:t>
            </w:r>
            <w:r w:rsidRPr="007D162C">
              <w:rPr>
                <w:lang w:val="en-US"/>
              </w:rPr>
              <w:t>:</w:t>
            </w:r>
          </w:p>
          <w:p w14:paraId="5420FCD8" w14:textId="71AD7E84" w:rsidR="004E502A" w:rsidRPr="007D162C" w:rsidRDefault="00E1199F" w:rsidP="00251CD3">
            <w:pPr>
              <w:pStyle w:val="Bullet2"/>
              <w:numPr>
                <w:ilvl w:val="1"/>
                <w:numId w:val="24"/>
              </w:numPr>
              <w:cnfStyle w:val="000000100000" w:firstRow="0" w:lastRow="0" w:firstColumn="0" w:lastColumn="0" w:oddVBand="0" w:evenVBand="0" w:oddHBand="1" w:evenHBand="0" w:firstRowFirstColumn="0" w:firstRowLastColumn="0" w:lastRowFirstColumn="0" w:lastRowLastColumn="0"/>
            </w:pPr>
            <w:r w:rsidRPr="007D162C">
              <w:t>1 (access to a seat), 2 (</w:t>
            </w:r>
            <w:r w:rsidRPr="007D162C">
              <w:rPr>
                <w:lang w:val="en-US"/>
              </w:rPr>
              <w:t>access to a priority seat), 3 (access to an allocated space), 4 (access to other accessible facilities, where available), 5 (all of the above).</w:t>
            </w:r>
          </w:p>
          <w:p w14:paraId="223B4E45" w14:textId="77777777" w:rsidR="00E1199F" w:rsidRPr="007D162C" w:rsidRDefault="00E1199F" w:rsidP="00E1199F">
            <w:pPr>
              <w:spacing w:before="0" w:after="0"/>
              <w:cnfStyle w:val="000000100000" w:firstRow="0" w:lastRow="0" w:firstColumn="0" w:lastColumn="0" w:oddVBand="0" w:evenVBand="0" w:oddHBand="1" w:evenHBand="0" w:firstRowFirstColumn="0" w:firstRowLastColumn="0" w:lastRowFirstColumn="0" w:lastRowLastColumn="0"/>
            </w:pPr>
            <w:r w:rsidRPr="007D162C">
              <w:rPr>
                <w:b/>
              </w:rPr>
              <w:t>Option 2</w:t>
            </w:r>
            <w:r w:rsidRPr="007D162C">
              <w:t xml:space="preserve"> </w:t>
            </w:r>
          </w:p>
          <w:p w14:paraId="58368328"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It must be possible for a passenger waiting to board a conveyance to notify the operator that he or she needs a boarding device.</w:t>
            </w:r>
          </w:p>
          <w:p w14:paraId="3E528A6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Request signal devices must be located on the conveyance or at the boarding point</w:t>
            </w:r>
          </w:p>
          <w:p w14:paraId="7F95127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lastRenderedPageBreak/>
              <w:t>Requirements for nominated assistance points</w:t>
            </w:r>
          </w:p>
          <w:p w14:paraId="14F373FF"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These requirements would apply to buses (except dedicated school buses), coaches, ferries, trains, trams, light rail, premises and infrastructure (except airports that do not accept regular public transport services).</w:t>
            </w:r>
          </w:p>
          <w:p w14:paraId="5AB5B9C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Any proposed option will need to consider interactions with other relevant parts of the Transport Standards, such as consolidation of on-board facilities.</w:t>
            </w:r>
          </w:p>
          <w:p w14:paraId="08A5E83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5E0AC979" w14:textId="77777777" w:rsidR="006A1CDA" w:rsidRDefault="006A1CDA" w:rsidP="006A1CDA">
      <w:pPr>
        <w:pStyle w:val="BodyText"/>
      </w:pPr>
    </w:p>
    <w:p w14:paraId="33EE292E" w14:textId="77777777" w:rsidR="00E1199F" w:rsidRPr="007D162C" w:rsidRDefault="00E1199F" w:rsidP="00E1199F">
      <w:pPr>
        <w:pStyle w:val="Heading4"/>
      </w:pPr>
      <w:r w:rsidRPr="007D162C">
        <w:t>Cost benefit analysis</w:t>
      </w:r>
    </w:p>
    <w:p w14:paraId="52AE8A00"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0CF0F600" w14:textId="77777777" w:rsidR="00E1199F" w:rsidRPr="007D162C" w:rsidRDefault="00E1199F" w:rsidP="00E1199F">
      <w:r w:rsidRPr="007D162C">
        <w:t xml:space="preserve">The following categories of quantitative costs and benefits were identified in the CBA as pertaining to the reform options. </w:t>
      </w:r>
    </w:p>
    <w:p w14:paraId="131A02DE" w14:textId="78FD017C" w:rsidR="00E1199F" w:rsidRPr="007D162C" w:rsidRDefault="00E1199F" w:rsidP="00E1199F">
      <w:pPr>
        <w:pStyle w:val="Caption"/>
        <w:keepNext/>
      </w:pPr>
      <w:bookmarkStart w:id="554" w:name="_Toc122446441"/>
      <w:bookmarkStart w:id="555" w:name="_Toc139969278"/>
      <w:r w:rsidRPr="007D162C">
        <w:t xml:space="preserve">Table </w:t>
      </w:r>
      <w:fldSimple w:instr=" SEQ Table \* ARABIC ">
        <w:r w:rsidR="00DC26AC">
          <w:rPr>
            <w:noProof/>
          </w:rPr>
          <w:t>120</w:t>
        </w:r>
      </w:fldSimple>
      <w:r w:rsidRPr="007D162C">
        <w:t>: Benefit-cost ratios for nominated assistance boarding points</w:t>
      </w:r>
      <w:bookmarkEnd w:id="554"/>
      <w:bookmarkEnd w:id="555"/>
    </w:p>
    <w:tbl>
      <w:tblPr>
        <w:tblStyle w:val="DefaultTable1"/>
        <w:tblW w:w="9864" w:type="dxa"/>
        <w:tblLook w:val="04A0" w:firstRow="1" w:lastRow="0" w:firstColumn="1" w:lastColumn="0" w:noHBand="0" w:noVBand="1"/>
        <w:tblCaption w:val="Benefit-cost ratios for nominated assistance boarding point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2FC0089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7ECC035" w14:textId="77777777" w:rsidR="00E1199F" w:rsidRPr="007D162C" w:rsidRDefault="08D050C4" w:rsidP="00E1199F">
            <w:r w:rsidRPr="007D162C">
              <w:t>Reform Option</w:t>
            </w:r>
          </w:p>
        </w:tc>
        <w:tc>
          <w:tcPr>
            <w:tcW w:w="1531" w:type="dxa"/>
          </w:tcPr>
          <w:p w14:paraId="0096AEF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2FC3CB7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05609C5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665ACFB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44DEBB30" w14:textId="5E2C8838"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0969F2C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5164EC3" w14:textId="77777777" w:rsidR="00E1199F" w:rsidRPr="007D162C" w:rsidRDefault="00E1199F" w:rsidP="00E1199F">
            <w:r w:rsidRPr="007D162C">
              <w:t>Status Quo</w:t>
            </w:r>
          </w:p>
        </w:tc>
        <w:tc>
          <w:tcPr>
            <w:tcW w:w="1531" w:type="dxa"/>
          </w:tcPr>
          <w:p w14:paraId="73D87ABC"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52E96DB7"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6022E337"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357397B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2E90F09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209CDCB"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0925DD5" w14:textId="77777777" w:rsidR="00E1199F" w:rsidRPr="007D162C" w:rsidRDefault="00E1199F" w:rsidP="00E1199F">
            <w:r w:rsidRPr="007D162C">
              <w:t xml:space="preserve">Non-regulatory </w:t>
            </w:r>
          </w:p>
        </w:tc>
        <w:tc>
          <w:tcPr>
            <w:tcW w:w="1531" w:type="dxa"/>
          </w:tcPr>
          <w:p w14:paraId="4A26830E"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427E7F49"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tcPr>
          <w:p w14:paraId="09E5ED2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54C7147B"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84" w:type="dxa"/>
          </w:tcPr>
          <w:p w14:paraId="7469986F"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45AAEB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D2894C7" w14:textId="77777777" w:rsidR="00E1199F" w:rsidRPr="007D162C" w:rsidRDefault="00E1199F" w:rsidP="00E1199F">
            <w:r w:rsidRPr="007D162C">
              <w:t>Regulatory option 1</w:t>
            </w:r>
          </w:p>
        </w:tc>
        <w:tc>
          <w:tcPr>
            <w:tcW w:w="1531" w:type="dxa"/>
            <w:vAlign w:val="center"/>
          </w:tcPr>
          <w:p w14:paraId="38E05A5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29.9</w:t>
            </w:r>
          </w:p>
        </w:tc>
        <w:tc>
          <w:tcPr>
            <w:tcW w:w="1791" w:type="dxa"/>
          </w:tcPr>
          <w:p w14:paraId="11F61FA9"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2A295363"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7.5</w:t>
            </w:r>
          </w:p>
        </w:tc>
        <w:tc>
          <w:tcPr>
            <w:tcW w:w="1843" w:type="dxa"/>
            <w:vAlign w:val="center"/>
          </w:tcPr>
          <w:p w14:paraId="0E70D143" w14:textId="0F9420C1"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7.5</w:t>
            </w:r>
            <w:r w:rsidRPr="007D162C">
              <w:rPr>
                <w:sz w:val="18"/>
                <w:szCs w:val="18"/>
                <w:vertAlign w:val="superscript"/>
              </w:rPr>
              <w:t xml:space="preserve"> i</w:t>
            </w:r>
          </w:p>
        </w:tc>
        <w:tc>
          <w:tcPr>
            <w:tcW w:w="1784" w:type="dxa"/>
            <w:vAlign w:val="center"/>
          </w:tcPr>
          <w:p w14:paraId="1918B815" w14:textId="251BFC1E"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3.98</w:t>
            </w:r>
          </w:p>
        </w:tc>
      </w:tr>
      <w:tr w:rsidR="00E1199F" w:rsidRPr="007D162C" w14:paraId="7EDBB5D7"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5ED2E9F" w14:textId="77777777" w:rsidR="00E1199F" w:rsidRPr="007D162C" w:rsidRDefault="00E1199F" w:rsidP="00E1199F">
            <w:r w:rsidRPr="007D162C">
              <w:t>Regulatory option 2</w:t>
            </w:r>
          </w:p>
        </w:tc>
        <w:tc>
          <w:tcPr>
            <w:tcW w:w="1531" w:type="dxa"/>
            <w:vAlign w:val="center"/>
          </w:tcPr>
          <w:p w14:paraId="77224D92"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18.2</w:t>
            </w:r>
          </w:p>
        </w:tc>
        <w:tc>
          <w:tcPr>
            <w:tcW w:w="1791" w:type="dxa"/>
          </w:tcPr>
          <w:p w14:paraId="7A06C2A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7065D6EE"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2.4</w:t>
            </w:r>
          </w:p>
        </w:tc>
        <w:tc>
          <w:tcPr>
            <w:tcW w:w="1843" w:type="dxa"/>
            <w:vAlign w:val="center"/>
          </w:tcPr>
          <w:p w14:paraId="0DF36213"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2.4</w:t>
            </w:r>
          </w:p>
        </w:tc>
        <w:tc>
          <w:tcPr>
            <w:tcW w:w="1784" w:type="dxa"/>
            <w:vAlign w:val="center"/>
          </w:tcPr>
          <w:p w14:paraId="4D061EE3" w14:textId="6A882BB1"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7.64</w:t>
            </w:r>
          </w:p>
        </w:tc>
      </w:tr>
    </w:tbl>
    <w:p w14:paraId="4DDBEEF8"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96B6F4C"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0C28A3B" w14:textId="77777777" w:rsidR="004C47E2" w:rsidRPr="007D162C" w:rsidRDefault="004C47E2" w:rsidP="00E1199F">
      <w:pPr>
        <w:spacing w:before="120" w:after="0"/>
        <w:rPr>
          <w:sz w:val="20"/>
        </w:rPr>
      </w:pPr>
    </w:p>
    <w:p w14:paraId="0D7F000E" w14:textId="77777777" w:rsidR="00E1199F" w:rsidRPr="007D162C" w:rsidRDefault="00E1199F" w:rsidP="00E1199F">
      <w:pPr>
        <w:pStyle w:val="Heading6"/>
      </w:pPr>
      <w:r w:rsidRPr="007D162C">
        <w:t>Considerations to note in interpreting analysis</w:t>
      </w:r>
    </w:p>
    <w:p w14:paraId="5C31D88C" w14:textId="77777777" w:rsidR="00E1199F" w:rsidRPr="007D162C" w:rsidRDefault="00E1199F" w:rsidP="004E502A">
      <w:pPr>
        <w:pStyle w:val="Heading7"/>
      </w:pPr>
      <w:r w:rsidRPr="007D162C">
        <w:t>Limitations:</w:t>
      </w:r>
    </w:p>
    <w:p w14:paraId="7F4D6D4A" w14:textId="77777777" w:rsidR="00E1199F" w:rsidRPr="007D162C" w:rsidRDefault="00E1199F" w:rsidP="004E502A">
      <w:pPr>
        <w:pStyle w:val="Heading8"/>
      </w:pPr>
      <w:r w:rsidRPr="007D162C">
        <w:t>Non-regulatory option:</w:t>
      </w:r>
    </w:p>
    <w:p w14:paraId="5866A871" w14:textId="3AE69D24" w:rsidR="00E1199F" w:rsidRPr="007D162C" w:rsidRDefault="00E1199F" w:rsidP="00F302D5">
      <w:pPr>
        <w:pStyle w:val="Listparagraphbullets"/>
        <w:numPr>
          <w:ilvl w:val="0"/>
          <w:numId w:val="0"/>
        </w:numPr>
        <w:autoSpaceDE w:val="0"/>
        <w:autoSpaceDN w:val="0"/>
        <w:spacing w:after="0"/>
      </w:pPr>
      <w:r w:rsidRPr="007D162C">
        <w:t>The non-regulatory option was not costed, on the basis that regulatory option seeks to introduce certainty for operators and providers that the provision of nominated assistance points is not discriminatory. The non-regulatory option would not provide this certainty and as a result, it is not expected to be adopted.</w:t>
      </w:r>
    </w:p>
    <w:p w14:paraId="3C27364F" w14:textId="77777777" w:rsidR="00F302D5" w:rsidRPr="007D162C" w:rsidRDefault="00F302D5" w:rsidP="00F302D5">
      <w:pPr>
        <w:pStyle w:val="Listparagraphbullets"/>
        <w:numPr>
          <w:ilvl w:val="0"/>
          <w:numId w:val="0"/>
        </w:numPr>
        <w:autoSpaceDE w:val="0"/>
        <w:autoSpaceDN w:val="0"/>
        <w:spacing w:after="0"/>
      </w:pPr>
    </w:p>
    <w:p w14:paraId="7558DAED" w14:textId="77777777" w:rsidR="00E1199F" w:rsidRPr="007D162C" w:rsidRDefault="00E1199F" w:rsidP="004E502A">
      <w:pPr>
        <w:pStyle w:val="Heading8"/>
      </w:pPr>
      <w:r w:rsidRPr="007D162C">
        <w:t>Regulatory option 1:</w:t>
      </w:r>
    </w:p>
    <w:p w14:paraId="59717B74" w14:textId="26B320AF" w:rsidR="000917A8" w:rsidRPr="007D162C" w:rsidRDefault="00E1199F" w:rsidP="000917A8">
      <w:pPr>
        <w:pStyle w:val="Normaldisclaimerpage"/>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11C0513E" w14:textId="4BCC3673" w:rsidR="00E1199F" w:rsidRPr="007D162C" w:rsidRDefault="00E1199F" w:rsidP="000917A8">
      <w:pPr>
        <w:pStyle w:val="Normaldisclaimerpage"/>
      </w:pPr>
      <w:r w:rsidRPr="007D162C">
        <w:lastRenderedPageBreak/>
        <w:t>This reform option relates to the provision of assistance at nominated boarding points and accessible features next to conveyance doors.</w:t>
      </w:r>
    </w:p>
    <w:p w14:paraId="7451B2A4" w14:textId="77777777" w:rsidR="00F302D5" w:rsidRPr="007D162C" w:rsidRDefault="00F302D5" w:rsidP="000917A8">
      <w:pPr>
        <w:pStyle w:val="Normaldisclaimerpage"/>
      </w:pPr>
    </w:p>
    <w:p w14:paraId="19F96B4D" w14:textId="77777777" w:rsidR="00E1199F" w:rsidRPr="007D162C" w:rsidRDefault="00E1199F" w:rsidP="004E502A">
      <w:pPr>
        <w:pStyle w:val="Heading8"/>
      </w:pPr>
      <w:r w:rsidRPr="007D162C">
        <w:t>Regulatory option 2:</w:t>
      </w:r>
    </w:p>
    <w:p w14:paraId="034C39AD" w14:textId="7B025427" w:rsidR="00F302D5" w:rsidRPr="007D162C" w:rsidRDefault="00E1199F" w:rsidP="000917A8">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6CC2376F" w14:textId="2A10D48B" w:rsidR="00E1199F" w:rsidRPr="007D162C" w:rsidRDefault="00E1199F" w:rsidP="000917A8">
      <w:r w:rsidRPr="007D162C">
        <w:t>This reform option relates to the provision of assistance at nominated boarding points reflecting lower costs and benefits compared to regulatory option 1.</w:t>
      </w:r>
    </w:p>
    <w:p w14:paraId="62B6B04F" w14:textId="77777777" w:rsidR="00F302D5" w:rsidRPr="007D162C" w:rsidRDefault="00F302D5" w:rsidP="00F302D5">
      <w:pPr>
        <w:pStyle w:val="Listparagraphbullets"/>
        <w:numPr>
          <w:ilvl w:val="0"/>
          <w:numId w:val="0"/>
        </w:numPr>
        <w:autoSpaceDE w:val="0"/>
        <w:autoSpaceDN w:val="0"/>
        <w:spacing w:after="0"/>
      </w:pPr>
    </w:p>
    <w:p w14:paraId="71D59369" w14:textId="77777777" w:rsidR="00E1199F" w:rsidRPr="007D162C" w:rsidRDefault="00E1199F" w:rsidP="00CC3E1D">
      <w:pPr>
        <w:pStyle w:val="Heading8"/>
      </w:pPr>
      <w:r w:rsidRPr="007D162C">
        <w:t xml:space="preserve">Interdependencies: </w:t>
      </w:r>
    </w:p>
    <w:p w14:paraId="2985072D" w14:textId="77777777" w:rsidR="00E1199F" w:rsidRPr="007D162C" w:rsidRDefault="00E1199F" w:rsidP="00F302D5">
      <w:pPr>
        <w:pStyle w:val="Listparagraphbullets"/>
        <w:numPr>
          <w:ilvl w:val="0"/>
          <w:numId w:val="0"/>
        </w:numPr>
      </w:pPr>
      <w:r w:rsidRPr="007D162C">
        <w:t>The accessibility benefits of this reform will only be realised if there was equitable access across the whole public transport journey, with benefits reliant on implementation of other reforms such as signals and process for requesting boarding devices.</w:t>
      </w:r>
    </w:p>
    <w:p w14:paraId="6F710FB4"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5F745BBC" w14:textId="77777777" w:rsidR="00E1199F" w:rsidRPr="007D162C" w:rsidRDefault="00E1199F" w:rsidP="00E1199F">
      <w:r w:rsidRPr="007D162C">
        <w:t>The following categories of qualitative benefits were identified in the CBA as pertaining to the reform options.</w:t>
      </w:r>
    </w:p>
    <w:p w14:paraId="0DF01224" w14:textId="13D9E248" w:rsidR="00E1199F" w:rsidRPr="007D162C" w:rsidRDefault="00E1199F" w:rsidP="00E1199F">
      <w:pPr>
        <w:pStyle w:val="Caption"/>
        <w:keepNext/>
      </w:pPr>
      <w:bookmarkStart w:id="556" w:name="_Toc122446442"/>
      <w:bookmarkStart w:id="557" w:name="_Toc139969279"/>
      <w:r w:rsidRPr="007D162C">
        <w:t xml:space="preserve">Table </w:t>
      </w:r>
      <w:fldSimple w:instr=" SEQ Table \* ARABIC ">
        <w:r w:rsidR="00DC26AC">
          <w:rPr>
            <w:noProof/>
          </w:rPr>
          <w:t>121</w:t>
        </w:r>
      </w:fldSimple>
      <w:r w:rsidRPr="007D162C">
        <w:rPr>
          <w:noProof/>
        </w:rPr>
        <w:t xml:space="preserve">: </w:t>
      </w:r>
      <w:r w:rsidRPr="007D162C">
        <w:t>Qualitative benefits for nominated assistance boarding points</w:t>
      </w:r>
      <w:bookmarkEnd w:id="556"/>
      <w:bookmarkEnd w:id="557"/>
    </w:p>
    <w:tbl>
      <w:tblPr>
        <w:tblStyle w:val="DefaultTable1"/>
        <w:tblW w:w="9864" w:type="dxa"/>
        <w:tblLook w:val="04A0" w:firstRow="1" w:lastRow="0" w:firstColumn="1" w:lastColumn="0" w:noHBand="0" w:noVBand="1"/>
        <w:tblCaption w:val="Qualitative benefits for nominated assistance boarding points"/>
      </w:tblPr>
      <w:tblGrid>
        <w:gridCol w:w="1213"/>
        <w:gridCol w:w="1343"/>
        <w:gridCol w:w="1626"/>
        <w:gridCol w:w="1300"/>
        <w:gridCol w:w="1278"/>
        <w:gridCol w:w="1641"/>
        <w:gridCol w:w="1463"/>
      </w:tblGrid>
      <w:tr w:rsidR="00E1199F" w:rsidRPr="007D162C" w14:paraId="0B84AF8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F4B68F" w14:textId="77777777" w:rsidR="00E1199F" w:rsidRPr="007D162C" w:rsidRDefault="08D050C4" w:rsidP="00E1199F">
            <w:r w:rsidRPr="007D162C">
              <w:t>Reform Option</w:t>
            </w:r>
          </w:p>
        </w:tc>
        <w:tc>
          <w:tcPr>
            <w:tcW w:w="1343" w:type="dxa"/>
          </w:tcPr>
          <w:p w14:paraId="400C70B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84D752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E94FE8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04F4C62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D62827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0734B15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0A88182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C4E7BBF" w14:textId="77777777" w:rsidR="00E1199F" w:rsidRPr="007D162C" w:rsidRDefault="00E1199F" w:rsidP="00E1199F">
            <w:r w:rsidRPr="007D162C">
              <w:t>Status Quo</w:t>
            </w:r>
          </w:p>
        </w:tc>
        <w:tc>
          <w:tcPr>
            <w:tcW w:w="1343" w:type="dxa"/>
          </w:tcPr>
          <w:p w14:paraId="69EE46F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52495C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7936B7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D8E31C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317B98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035C9B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AF83B1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21312CB" w14:textId="77777777" w:rsidR="00E1199F" w:rsidRPr="007D162C" w:rsidRDefault="00E1199F" w:rsidP="00E1199F">
            <w:r w:rsidRPr="007D162C">
              <w:t xml:space="preserve">Non-regulatory </w:t>
            </w:r>
          </w:p>
        </w:tc>
        <w:tc>
          <w:tcPr>
            <w:tcW w:w="1343" w:type="dxa"/>
          </w:tcPr>
          <w:p w14:paraId="50C4B6E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626" w:type="dxa"/>
          </w:tcPr>
          <w:p w14:paraId="25AAC9B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300" w:type="dxa"/>
          </w:tcPr>
          <w:p w14:paraId="2409319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FC166D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641" w:type="dxa"/>
          </w:tcPr>
          <w:p w14:paraId="099259C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4E8A4EA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1777D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FFF4303" w14:textId="77777777" w:rsidR="00E1199F" w:rsidRPr="007D162C" w:rsidRDefault="00E1199F" w:rsidP="00E1199F">
            <w:r w:rsidRPr="007D162C">
              <w:t>Regulatory option 1</w:t>
            </w:r>
          </w:p>
        </w:tc>
        <w:tc>
          <w:tcPr>
            <w:tcW w:w="1343" w:type="dxa"/>
          </w:tcPr>
          <w:p w14:paraId="4EBA8E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5F0F882"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687A6E5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3BE7D4A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7D5C45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EDAF860"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4569429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023DB27" w14:textId="77777777" w:rsidR="00E1199F" w:rsidRPr="007D162C" w:rsidRDefault="00E1199F" w:rsidP="00E1199F">
            <w:r w:rsidRPr="007D162C">
              <w:t>Regulatory option 2</w:t>
            </w:r>
          </w:p>
        </w:tc>
        <w:tc>
          <w:tcPr>
            <w:tcW w:w="1343" w:type="dxa"/>
          </w:tcPr>
          <w:p w14:paraId="3A9B418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12DDA7E"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0723F6A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09BB421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6FE212E9"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4EFC703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bl>
    <w:p w14:paraId="722CBAE6" w14:textId="77777777" w:rsidR="00E1199F" w:rsidRPr="007D162C" w:rsidRDefault="00E1199F" w:rsidP="00E1199F">
      <w:pPr>
        <w:pStyle w:val="Heading4"/>
        <w:tabs>
          <w:tab w:val="left" w:pos="284"/>
        </w:tabs>
      </w:pPr>
      <w:r w:rsidRPr="007D162C">
        <w:t xml:space="preserve">Analysis of submissions </w:t>
      </w:r>
    </w:p>
    <w:p w14:paraId="390B0929" w14:textId="77777777" w:rsidR="00E1199F" w:rsidRPr="007D162C" w:rsidRDefault="00E1199F" w:rsidP="00CC3E1D">
      <w:pPr>
        <w:pStyle w:val="Heading5"/>
      </w:pPr>
      <w:r w:rsidRPr="007D162C">
        <w:t>Status quo</w:t>
      </w:r>
    </w:p>
    <w:p w14:paraId="776B2A41" w14:textId="77777777" w:rsidR="00E1199F" w:rsidRPr="007D162C" w:rsidRDefault="00E1199F" w:rsidP="00E1199F">
      <w:pPr>
        <w:spacing w:before="120" w:after="120"/>
      </w:pPr>
      <w:r w:rsidRPr="007D162C">
        <w:t>The Transport Standards require that a manual or power assisted boarding device be available at an accessible entrance to a conveyance, where entrance to the conveyance presents gaps in excess of specified dimensions. The Transport Standards also outline requirements to enable passengers to notify the operator of a conveyance of the need for a boarding device to board or alight from a conveyance.</w:t>
      </w:r>
    </w:p>
    <w:p w14:paraId="654100F0" w14:textId="77777777" w:rsidR="00E1199F" w:rsidRPr="007D162C" w:rsidRDefault="08D050C4" w:rsidP="08D050C4">
      <w:pPr>
        <w:shd w:val="clear" w:color="auto" w:fill="FFFFFF" w:themeFill="background1"/>
        <w:spacing w:after="0"/>
      </w:pPr>
      <w:r w:rsidRPr="007D162C">
        <w:rPr>
          <w:rFonts w:ascii="Calibri" w:eastAsia="Times New Roman" w:hAnsi="Calibri" w:cs="Times New Roman"/>
          <w:color w:val="000000" w:themeColor="text1"/>
          <w:lang w:eastAsia="en-AU"/>
        </w:rPr>
        <w:t>Submissions received during the public consultation period outlined that nominated assistance points are an important means for people with a range of disabilities to board conveyances safely and confidently, with appropriate support where required. However, c</w:t>
      </w:r>
      <w:r w:rsidRPr="007D162C">
        <w:t>onsultation findings indicate that nominated assistance boarding points are often not appropriate.</w:t>
      </w:r>
    </w:p>
    <w:p w14:paraId="09CDE4D0" w14:textId="77777777" w:rsidR="00E1199F" w:rsidRPr="007D162C" w:rsidRDefault="00E1199F" w:rsidP="08D050C4">
      <w:pPr>
        <w:rPr>
          <w:rFonts w:ascii="Calibri" w:hAnsi="Calibri"/>
          <w:color w:val="000000" w:themeColor="text1"/>
        </w:rPr>
      </w:pPr>
      <w:r w:rsidRPr="007D162C">
        <w:rPr>
          <w:rFonts w:ascii="Calibri" w:hAnsi="Calibri" w:cs="Calibri"/>
          <w:color w:val="000000"/>
          <w:shd w:val="clear" w:color="auto" w:fill="FFFFFF"/>
        </w:rPr>
        <w:lastRenderedPageBreak/>
        <w:t xml:space="preserve">Submissions received from organisations representing the blind community and those with low vision highlighted </w:t>
      </w:r>
      <w:r w:rsidRPr="007D162C">
        <w:rPr>
          <w:rFonts w:ascii="Calibri" w:hAnsi="Calibri"/>
          <w:color w:val="000000"/>
          <w:shd w:val="clear" w:color="auto" w:fill="FFFFFF"/>
        </w:rPr>
        <w:t>that the inconsistency in locality of boarding points for different transport options creates challenging wayfinding conditions. These submissions highlighted the need for nominated assistance points near fixed and predictable reference points, such as on access paths.</w:t>
      </w:r>
    </w:p>
    <w:p w14:paraId="3ACFA913" w14:textId="77777777" w:rsidR="00E1199F" w:rsidRPr="007D162C" w:rsidRDefault="00E1199F" w:rsidP="00E1199F">
      <w:r w:rsidRPr="007D162C">
        <w:rPr>
          <w:rFonts w:ascii="Calibri" w:hAnsi="Calibri"/>
          <w:color w:val="000000"/>
          <w:shd w:val="clear" w:color="auto" w:fill="FFFFFF"/>
        </w:rPr>
        <w:t xml:space="preserve">Consultation findings also indicated that nominated assistance boarding points are often unstaffed </w:t>
      </w:r>
      <w:r w:rsidRPr="007D162C">
        <w:t>or staff are not sufficiently trained for assisting people with disability.</w:t>
      </w:r>
    </w:p>
    <w:p w14:paraId="4B960981" w14:textId="77777777" w:rsidR="00E1199F" w:rsidRPr="007D162C" w:rsidRDefault="00E1199F" w:rsidP="00E1199F">
      <w:pPr>
        <w:pStyle w:val="Quote"/>
      </w:pPr>
      <w:r w:rsidRPr="007D162C">
        <w:t>Staff will sometimes insist that the door adjacent to the nominated assistance point is the only door through which people who require assistance are allowed to board...People will then be crammed into an overloaded vestibule or area of one carriage while allocated spaces and priority seats are vacant in other carriages. This can leave people using mobility aids parked in vestibules with no access to the grabrails and communication devices located in the occupied allocated spaces.</w:t>
      </w:r>
    </w:p>
    <w:p w14:paraId="55F77E44" w14:textId="77777777" w:rsidR="00E1199F" w:rsidRPr="007D162C" w:rsidRDefault="00E1199F" w:rsidP="00E1199F">
      <w:pPr>
        <w:pStyle w:val="Quote"/>
      </w:pPr>
      <w:r w:rsidRPr="007D162C">
        <w:t>Queenslanders with Disability Network</w:t>
      </w:r>
    </w:p>
    <w:p w14:paraId="12B3DFD5" w14:textId="77777777" w:rsidR="00E1199F" w:rsidRPr="007D162C" w:rsidRDefault="08D050C4" w:rsidP="08D050C4">
      <w:pPr>
        <w:shd w:val="clear" w:color="auto" w:fill="FFFFFF" w:themeFill="background1"/>
        <w:spacing w:after="0"/>
        <w:rPr>
          <w:rFonts w:ascii="Calibri" w:eastAsia="Times New Roman" w:hAnsi="Calibri" w:cs="Times New Roman"/>
          <w:color w:val="000000" w:themeColor="text1"/>
          <w:lang w:eastAsia="en-AU"/>
        </w:rPr>
      </w:pPr>
      <w:r w:rsidRPr="007D162C">
        <w:t>The</w:t>
      </w:r>
      <w:r w:rsidRPr="007D162C">
        <w:rPr>
          <w:b/>
          <w:bCs/>
        </w:rPr>
        <w:t xml:space="preserve"> </w:t>
      </w:r>
      <w:r w:rsidRPr="007D162C">
        <w:t>Public Transport Ombudsman in Victoria</w:t>
      </w:r>
      <w:r w:rsidRPr="007D162C">
        <w:rPr>
          <w:b/>
          <w:bCs/>
        </w:rPr>
        <w:t xml:space="preserve"> </w:t>
      </w:r>
      <w:r w:rsidRPr="007D162C">
        <w:t>noted that n</w:t>
      </w:r>
      <w:r w:rsidRPr="007D162C">
        <w:rPr>
          <w:rFonts w:ascii="Calibri" w:eastAsia="Times New Roman" w:hAnsi="Calibri" w:cs="Times New Roman"/>
          <w:color w:val="000000" w:themeColor="text1"/>
          <w:lang w:eastAsia="en-AU"/>
        </w:rPr>
        <w:t xml:space="preserve">ominated assistance points continue to be the subject of a number of complaints. This further indicates that current arrangements may not be meeting the needs of people with disability. </w:t>
      </w:r>
    </w:p>
    <w:p w14:paraId="199E9BCA" w14:textId="77777777" w:rsidR="00E1199F" w:rsidRPr="007D162C" w:rsidRDefault="00E1199F" w:rsidP="00E1199F">
      <w:pPr>
        <w:rPr>
          <w:rFonts w:ascii="Calibri" w:hAnsi="Calibri" w:cs="Calibri"/>
          <w:color w:val="000000" w:themeColor="text1"/>
        </w:rPr>
      </w:pPr>
      <w:r w:rsidRPr="007D162C">
        <w:t xml:space="preserve">One submission from a government stakeholder expressed support for maintaining the status quo. The submission noted that while they strive to ensure that </w:t>
      </w:r>
      <w:r w:rsidRPr="007D162C">
        <w:rPr>
          <w:rFonts w:ascii="Calibri" w:hAnsi="Calibri" w:cs="Calibri"/>
          <w:color w:val="000000"/>
          <w:shd w:val="clear" w:color="auto" w:fill="FFFFFF"/>
        </w:rPr>
        <w:t>every door on their services is accessible, provision of a ramp at every door would be burdensome and likely to result in reduction of accessible doors on services.</w:t>
      </w:r>
    </w:p>
    <w:p w14:paraId="74CB4AB4" w14:textId="755D8D14" w:rsidR="00E1199F" w:rsidRPr="007D162C" w:rsidRDefault="00E1199F" w:rsidP="00E1199F">
      <w:r w:rsidRPr="007D162C">
        <w:t>The status quo has no ongoing costs for public transports operators and providers, however</w:t>
      </w:r>
      <w:r w:rsidR="00953BDD">
        <w:t>,</w:t>
      </w:r>
      <w:r w:rsidRPr="007D162C">
        <w:t xml:space="preserve"> negative impacts on community amenity, accessibility, and safety will remain. The status quo does not enhance equality and independence, or reduce discrimination for people with disability in relation to public transport. There would continue to be a lack of clarity about where and how passengers can seek information, timely boarding assistance, the provision of a boarding ramp or directions to accessible facilities. </w:t>
      </w:r>
    </w:p>
    <w:p w14:paraId="35FDCFAE" w14:textId="77777777" w:rsidR="00E1199F" w:rsidRPr="007D162C" w:rsidRDefault="00E1199F" w:rsidP="00CC3E1D">
      <w:pPr>
        <w:pStyle w:val="Heading5"/>
      </w:pPr>
      <w:r w:rsidRPr="007D162C">
        <w:t>Non-regulatory</w:t>
      </w:r>
    </w:p>
    <w:p w14:paraId="65151C74" w14:textId="77777777" w:rsidR="00E1199F" w:rsidRPr="007D162C" w:rsidRDefault="00E1199F" w:rsidP="00E1199F">
      <w:r w:rsidRPr="007D162C">
        <w:t xml:space="preserve">The non-regulatory option would update The Whole Journey Guide to include advice on assistance points to facilitate boarding and encourage operators and providers to provide independent boarding where possible. </w:t>
      </w:r>
    </w:p>
    <w:p w14:paraId="75F16A99" w14:textId="77777777" w:rsidR="00E1199F" w:rsidRPr="007D162C" w:rsidRDefault="08D050C4" w:rsidP="08D050C4">
      <w:pPr>
        <w:shd w:val="clear" w:color="auto" w:fill="FFFFFF" w:themeFill="background1"/>
        <w:rPr>
          <w:rFonts w:ascii="Calibri" w:eastAsia="Times New Roman" w:hAnsi="Calibri" w:cs="Segoe UI"/>
          <w:color w:val="000000" w:themeColor="text1"/>
          <w:lang w:eastAsia="en-AU"/>
        </w:rPr>
      </w:pPr>
      <w:r w:rsidRPr="007D162C">
        <w:t>One submission from government supported the non-regulatory option, stating that assistance points are already provided for relevant services. The submission outlined that g</w:t>
      </w:r>
      <w:r w:rsidRPr="007D162C">
        <w:rPr>
          <w:rFonts w:ascii="Calibri" w:eastAsia="Times New Roman" w:hAnsi="Calibri" w:cs="Segoe UI"/>
          <w:color w:val="000000" w:themeColor="text1"/>
          <w:lang w:eastAsia="en-AU"/>
        </w:rPr>
        <w:t xml:space="preserve">uidance will provide clarity for operators and providers while providing necessary flexibility to ensure operational requirements are considered for all transport modes and legacy conveyances, including locations where accessible boarding facilities may not be achievable or where there may be impediments to disembarking, particularly at legacy networks. It was suggested that guidance should also support managing customer expectations, for example, by outlining that passengers should arrive with sufficient time to allow boarding with assistance. </w:t>
      </w:r>
    </w:p>
    <w:p w14:paraId="49937554" w14:textId="23F7F8CD" w:rsidR="00E1199F" w:rsidRPr="007D162C" w:rsidRDefault="08D050C4" w:rsidP="08D050C4">
      <w:pPr>
        <w:shd w:val="clear" w:color="auto" w:fill="FFFFFF" w:themeFill="background1"/>
      </w:pPr>
      <w:r w:rsidRPr="007D162C">
        <w:t xml:space="preserve">This submission also noted that the regulatory and non-regulatory options should only apply to train stations as it is not appropriate for other conveyances. The submission recommended that changes be made to clarify that boarding devices do not need to be physically located on </w:t>
      </w:r>
      <w:r w:rsidR="00953BDD">
        <w:t xml:space="preserve">the </w:t>
      </w:r>
      <w:r w:rsidRPr="007D162C">
        <w:t xml:space="preserve">conveyance, and can be available or located on infrastructure and premises. Support for the non-regulatory option by this submission also </w:t>
      </w:r>
      <w:r w:rsidR="00953BDD" w:rsidRPr="007D162C">
        <w:t>centered</w:t>
      </w:r>
      <w:r w:rsidRPr="007D162C">
        <w:t xml:space="preserve"> around concerns regarding the impact on staffing, operational running of services and costs associated with regulatory option 1 and 2. These concerns are outlined further below in the analysis of the regulatory options presented. Another submission from an industry stakeholder that supported the non-regulatory option echoed </w:t>
      </w:r>
      <w:r w:rsidRPr="007D162C">
        <w:lastRenderedPageBreak/>
        <w:t>concerns expressed in this submission about the value and appropriateness of nominated assistance points in the service environment for certain conveyances.</w:t>
      </w:r>
    </w:p>
    <w:p w14:paraId="3908FA32" w14:textId="77777777" w:rsidR="00E1199F" w:rsidRPr="007D162C" w:rsidRDefault="00E1199F" w:rsidP="00E1199F">
      <w:r w:rsidRPr="007D162C">
        <w:t>To the extent that guidance is followed, costs to public transport operators and providers would be incurred in providing signage and / or markings on a platform to identify an assistance point, as well as updating existing website and passenger information. Costs would also be incurred for undertaking consultation with people with disability to develop appropriate direct assistance boarding procedures and to train staff in these procedures. Costs would depend on the adequacy of current procedures and capability. Operators and providers will be able to manage the implementation (and related costs) to suit their operational requirements, including through staging the implementation.</w:t>
      </w:r>
    </w:p>
    <w:p w14:paraId="28733279" w14:textId="1851EDF2" w:rsidR="00E1199F" w:rsidRPr="007D162C" w:rsidRDefault="00E1199F" w:rsidP="00E1199F">
      <w:r w:rsidRPr="007D162C">
        <w:t>Given this option is discretionary, it does not provide certainty that guidance will be implemented. To the extent that guidance is followed, consistent identification o</w:t>
      </w:r>
      <w:r w:rsidR="00953BDD">
        <w:t>f</w:t>
      </w:r>
      <w:r w:rsidRPr="007D162C">
        <w:t xml:space="preserve"> boarding points between modes, networks, and jurisdictions will benefit passengers. A single information point where passengers can obtain advice and information from a public transport employee when independent boarding is not possible for conveyances, would provide clarity about boarding assistance and where to seek directions to accessible facilities and other information. Equipping passengers with the necessary information to make informed travel decisions and receive boarding assistance will ensure passengers can access the support and information they need to complete their journey with safety, confidence, and dignity.  </w:t>
      </w:r>
    </w:p>
    <w:p w14:paraId="66640B6B" w14:textId="77777777" w:rsidR="00E1199F" w:rsidRPr="007D162C" w:rsidRDefault="00E1199F" w:rsidP="00CC3E1D">
      <w:pPr>
        <w:pStyle w:val="Heading5"/>
      </w:pPr>
      <w:r w:rsidRPr="007D162C">
        <w:t>Regulatory</w:t>
      </w:r>
    </w:p>
    <w:p w14:paraId="2717024E" w14:textId="77777777" w:rsidR="00E1199F" w:rsidRPr="007D162C" w:rsidRDefault="00E1199F" w:rsidP="00E1199F">
      <w:r w:rsidRPr="007D162C">
        <w:t>A regulatory approach would amend the Transport Standards to include new requirements for nominated assistance points. Two regulatory options relating to the provision of nominated assistance points</w:t>
      </w:r>
      <w:r w:rsidRPr="007D162C" w:rsidDel="00EF7A42">
        <w:t xml:space="preserve"> </w:t>
      </w:r>
      <w:r w:rsidRPr="007D162C">
        <w:t xml:space="preserve">were presented for consideration. </w:t>
      </w:r>
    </w:p>
    <w:p w14:paraId="38C03C88" w14:textId="77777777" w:rsidR="00E1199F" w:rsidRPr="007D162C" w:rsidRDefault="00E1199F" w:rsidP="00E1199F">
      <w:r w:rsidRPr="007D162C">
        <w:t xml:space="preserve">All submissions from individuals, people with disability and disability organisations supported a regulatory approach. </w:t>
      </w:r>
      <w:r w:rsidRPr="007D162C">
        <w:rPr>
          <w:rFonts w:ascii="Calibri" w:hAnsi="Calibri" w:cs="Calibri"/>
          <w:color w:val="000000"/>
          <w:shd w:val="clear" w:color="auto" w:fill="FFFFFF"/>
        </w:rPr>
        <w:t>Many submissions from i</w:t>
      </w:r>
      <w:r w:rsidRPr="007D162C">
        <w:t xml:space="preserve">ndividuals, people with disability and disability organisations stressed the importance of </w:t>
      </w:r>
      <w:r w:rsidRPr="007D162C">
        <w:rPr>
          <w:rFonts w:ascii="Calibri" w:hAnsi="Calibri" w:cs="Calibri"/>
          <w:color w:val="000000"/>
          <w:shd w:val="clear" w:color="auto" w:fill="FFFFFF"/>
        </w:rPr>
        <w:t xml:space="preserve">staff training. </w:t>
      </w:r>
      <w:r w:rsidRPr="007D162C">
        <w:t xml:space="preserve">Amongst this </w:t>
      </w:r>
      <w:r w:rsidRPr="000917A8">
        <w:t xml:space="preserve">stakeholder group, opinions were divided on whether option 1 (new section for nominated assistance points with 5 sub-options relating to accessibility features) or option 2 (amendment to existing section 8.8 </w:t>
      </w:r>
      <w:r w:rsidRPr="000917A8">
        <w:rPr>
          <w:iCs/>
        </w:rPr>
        <w:t>Notification by passengers of need for boarding device for nominated assistance points</w:t>
      </w:r>
      <w:r w:rsidRPr="000917A8">
        <w:t>) was the preferred option</w:t>
      </w:r>
      <w:r w:rsidRPr="007D162C">
        <w:t xml:space="preserve">. </w:t>
      </w:r>
    </w:p>
    <w:p w14:paraId="41DF1136" w14:textId="77777777" w:rsidR="00E1199F" w:rsidRPr="007D162C" w:rsidRDefault="00E1199F" w:rsidP="08D050C4">
      <w:pPr>
        <w:rPr>
          <w:rFonts w:ascii="Calibri" w:hAnsi="Calibri" w:cs="Calibri"/>
          <w:color w:val="000000" w:themeColor="text1"/>
        </w:rPr>
      </w:pPr>
      <w:r w:rsidRPr="007D162C">
        <w:t>Sub-option 5 was the most widely supported sub-option by individuals, people with disability and disability organisations who expressed support for option 1 and also expressed a preference for a sub-option.</w:t>
      </w:r>
      <w:r w:rsidRPr="007D162C">
        <w:rPr>
          <w:rFonts w:ascii="Calibri" w:hAnsi="Calibri" w:cs="Calibri"/>
          <w:color w:val="000000"/>
          <w:shd w:val="clear" w:color="auto" w:fill="FFFFFF"/>
        </w:rPr>
        <w:t xml:space="preserve"> Sub-option 5 would require all of the accessibility features outlined in regulatory option 2 to be available where a door on a conveyance is marked as accessible. Notably, sub-option 5 would require access to a seat, a priority seat, an allocated space and to other accessible facilities such as an accessible toilet, where available</w:t>
      </w:r>
      <w:r w:rsidRPr="007D162C">
        <w:t xml:space="preserve">. These submissions noted this sub-option would best ensure that </w:t>
      </w:r>
      <w:r w:rsidRPr="007D162C">
        <w:rPr>
          <w:rFonts w:ascii="Calibri" w:eastAsia="Times New Roman" w:hAnsi="Calibri" w:cs="Calibri"/>
          <w:color w:val="000000"/>
          <w:lang w:eastAsia="en-AU"/>
        </w:rPr>
        <w:t>operators and providers maximise the accessibility of their infrastructure, conveyances and operational practices</w:t>
      </w:r>
      <w:r w:rsidRPr="007D162C">
        <w:t xml:space="preserve"> by connecting all facilities </w:t>
      </w:r>
      <w:r w:rsidRPr="007D162C">
        <w:rPr>
          <w:rFonts w:ascii="Calibri" w:hAnsi="Calibri" w:cs="Calibri"/>
          <w:color w:val="000000"/>
          <w:shd w:val="clear" w:color="auto" w:fill="FFFFFF"/>
        </w:rPr>
        <w:t xml:space="preserve">by an access path to an accessible door. </w:t>
      </w:r>
    </w:p>
    <w:p w14:paraId="25A41C5C"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 xml:space="preserve">Sub-option 1 was the preferred sub-option in one submission from this stakeholder group. Sub-option 1 would require access to a seat where a door on a conveyance is marked as accessible. This submission recommended that nominated assistance points include power points for charging wheelchairs. </w:t>
      </w:r>
    </w:p>
    <w:p w14:paraId="23E0C3CD" w14:textId="77777777" w:rsidR="00E1199F" w:rsidRPr="007D162C" w:rsidRDefault="08D050C4" w:rsidP="00E1199F">
      <w:r w:rsidRPr="007D162C">
        <w:t xml:space="preserve">The majority of submissions from industry and government stakeholders also supported a regulatory approach. These stakeholder groups were divided on whether option 1 or option 2 was the preferred option. Sub-option 5 was also the most widely supported sub-option by industry and government stakeholders who expressed a preference for regulatory option 1. Two submissions noted that this option presented clear requirements and would result in consistency across networks, while recognising the constraints faced by operators and providers in providing choice </w:t>
      </w:r>
      <w:r w:rsidRPr="007D162C">
        <w:lastRenderedPageBreak/>
        <w:t xml:space="preserve">on whether or not to nominate an assistance point. One of these submissions suggested that further clarification is required regarding implementation of a request signal device for commuters while waiting at the boarding point. </w:t>
      </w:r>
    </w:p>
    <w:p w14:paraId="00C442CD" w14:textId="77777777" w:rsidR="00E1199F" w:rsidRPr="007D162C" w:rsidRDefault="00E1199F" w:rsidP="00E1199F">
      <w:pPr>
        <w:rPr>
          <w:rFonts w:ascii="Calibri" w:hAnsi="Calibri" w:cs="Calibri"/>
          <w:color w:val="000000" w:themeColor="text1"/>
        </w:rPr>
      </w:pPr>
      <w:r w:rsidRPr="007D162C">
        <w:t xml:space="preserve">One industry submission that supported regulatory option 1, expressed a preference for sub-option 3. </w:t>
      </w:r>
      <w:r w:rsidRPr="007D162C">
        <w:rPr>
          <w:rFonts w:ascii="Calibri" w:hAnsi="Calibri" w:cs="Calibri"/>
          <w:color w:val="000000"/>
          <w:shd w:val="clear" w:color="auto" w:fill="FFFFFF"/>
        </w:rPr>
        <w:t xml:space="preserve">Sub-option 3 would require access </w:t>
      </w:r>
      <w:r w:rsidRPr="007D162C">
        <w:t>to an allocated space</w:t>
      </w:r>
      <w:r w:rsidRPr="007D162C">
        <w:rPr>
          <w:rFonts w:ascii="Calibri" w:hAnsi="Calibri" w:cs="Calibri"/>
          <w:color w:val="000000"/>
          <w:shd w:val="clear" w:color="auto" w:fill="FFFFFF"/>
        </w:rPr>
        <w:t xml:space="preserve"> where a door on a conveyance is marked as accessible. </w:t>
      </w:r>
      <w:r w:rsidRPr="007D162C">
        <w:t xml:space="preserve">This submission noted that this sub-option generally reflected their current operations </w:t>
      </w:r>
      <w:r w:rsidRPr="007D162C">
        <w:rPr>
          <w:rFonts w:ascii="Calibri" w:hAnsi="Calibri" w:cs="Calibri"/>
          <w:color w:val="000000"/>
          <w:shd w:val="clear" w:color="auto" w:fill="FFFFFF"/>
        </w:rPr>
        <w:t>and would promote a nationally consistent approach to nominated assistance points. This submission also noted however, that having nominated assistance points does not mitigate the risk of a passenger not being seen by staff and being left behind where they cannot board independently. The submission highlighted that the outcomes for reforms 7 (real time communication), 38 (signals and process for requesting boarding devices) and 39 (notification by passenger of need for boarding device) will be critical to managing this risk.</w:t>
      </w:r>
    </w:p>
    <w:p w14:paraId="04437636" w14:textId="68C6A9C6" w:rsidR="00E1199F" w:rsidRPr="007D162C" w:rsidRDefault="00E1199F" w:rsidP="00E1199F">
      <w:pPr>
        <w:rPr>
          <w:rFonts w:ascii="Calibri" w:eastAsia="Times New Roman" w:hAnsi="Calibri" w:cs="Calibri"/>
          <w:color w:val="000000" w:themeColor="text1"/>
          <w:lang w:eastAsia="en-AU"/>
        </w:rPr>
      </w:pPr>
      <w:r w:rsidRPr="007D162C">
        <w:t xml:space="preserve">Two submissions expressed a preference for regulatory option 2. One government stakeholder who supported regulatory option 2 cited concerns that sub-options 1 and 2, presented in regulatory option 1, </w:t>
      </w:r>
      <w:r w:rsidRPr="007D162C">
        <w:rPr>
          <w:rFonts w:ascii="Calibri" w:eastAsia="Times New Roman" w:hAnsi="Calibri" w:cs="Calibri"/>
          <w:color w:val="000000" w:themeColor="text1"/>
          <w:lang w:eastAsia="en-AU"/>
        </w:rPr>
        <w:t xml:space="preserve">would mean that all doors on trains and trams would be classified as accessible, requiring boarding ramps to then be deployable at all doors. The submission noted that while this would be technically feasible, it would pose issues with on-time running across the network as a whole, as drivers would have to walk along a railcar carrying the boarding ramp, or alternatively incur significant cost in deploying additional staff on all services to fulfil this role. One industry stakeholder also supported regulatory option 2 with suggestions made to clarify the related changes to the Guidelines. This submission noted that this reform area is not really relevant for bus and coach travel as independent travel is somewhat assured noting there </w:t>
      </w:r>
      <w:r w:rsidR="00953BDD">
        <w:rPr>
          <w:rFonts w:ascii="Calibri" w:eastAsia="Times New Roman" w:hAnsi="Calibri" w:cs="Calibri"/>
          <w:color w:val="000000" w:themeColor="text1"/>
          <w:lang w:eastAsia="en-AU"/>
        </w:rPr>
        <w:t>are</w:t>
      </w:r>
      <w:r w:rsidRPr="007D162C">
        <w:rPr>
          <w:rFonts w:ascii="Calibri" w:eastAsia="Times New Roman" w:hAnsi="Calibri" w:cs="Calibri"/>
          <w:color w:val="000000" w:themeColor="text1"/>
          <w:lang w:eastAsia="en-AU"/>
        </w:rPr>
        <w:t xml:space="preserve"> no barriers such as turnstiles to access boarding points, and ticketing validation is deployed on the conveyance.</w:t>
      </w:r>
    </w:p>
    <w:p w14:paraId="2B1AB0E3" w14:textId="71A49F65"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A number of submissions in support of a non-regulatory option made similar suggestions</w:t>
      </w:r>
      <w:r w:rsidR="00953BDD">
        <w:t xml:space="preserve"> -</w:t>
      </w:r>
      <w:r w:rsidRPr="007D162C">
        <w:t xml:space="preserve"> that a regulatory approach to this reform area should only apply to trains as it is not appropriate for other conveyances (including trams or light rail). One submission recommended that changes be made to clarify that boarding devices do not need to be physically located on conveyances, and can be available or located on infrastructure and premises. Support for the non-regulatory option by this stakeholder centred around concerns regarding the impact on staffing, operational running of services and costs associated with regulatory option 1 and 2. </w:t>
      </w:r>
    </w:p>
    <w:p w14:paraId="3A00CD70" w14:textId="77777777" w:rsidR="00E1199F" w:rsidRPr="007D162C" w:rsidRDefault="00E1199F" w:rsidP="00E1199F">
      <w:r w:rsidRPr="007D162C">
        <w:t xml:space="preserve">Costs would be incurred by public transport operators and providers in providing signage and / or markings on a platform to identify an assistance point, as well as updating existing website and passenger information. Costs would also be incurred in undertaking consultation with people with disability to develop appropriate direct assistance boarding procedures and to train staff in these procedures. Costs would depend on the adequacy of current procedures and capability. If regulatory option 1 is the preferred option, operators and providers would also incur costs to audit and identify accessible doors based on the definition in the preferred sub-option. </w:t>
      </w:r>
    </w:p>
    <w:p w14:paraId="4BD61B7D" w14:textId="77777777" w:rsidR="00E1199F" w:rsidRPr="007D162C" w:rsidRDefault="00E1199F" w:rsidP="00E1199F">
      <w:pPr>
        <w:rPr>
          <w:b/>
        </w:rPr>
      </w:pPr>
      <w:r w:rsidRPr="007D162C">
        <w:t>Equipping passengers with the necessary information to make informed travel decisions and receive boarding assistance would ensure passengers can access the support and information they need to complete their journey with safety, confidence, and dignity. A single information point where passengers can obtain information from a public transport employee when independent boarding is not possible, would provide clarity about boarding assistance, the provision of a boarding ramp or other boarding assistance, direction to accessible facilities, and to seek information from staff. Consistent identification or boarding points and use of terminology across jurisdiction and modes will benefit passengers and public transport operators and providers alike.</w:t>
      </w:r>
    </w:p>
    <w:p w14:paraId="6FE96BD0" w14:textId="77777777" w:rsidR="00E1199F" w:rsidRPr="007D162C" w:rsidRDefault="00E1199F" w:rsidP="00E1199F">
      <w:pPr>
        <w:pStyle w:val="Heading4"/>
      </w:pPr>
      <w:r w:rsidRPr="007D162C">
        <w:lastRenderedPageBreak/>
        <w:t>Preferred option</w:t>
      </w:r>
    </w:p>
    <w:p w14:paraId="68DA0FDC" w14:textId="59082A00" w:rsidR="00E1199F" w:rsidRPr="007D162C" w:rsidRDefault="00E1199F" w:rsidP="00E1199F">
      <w:r w:rsidRPr="007D162C">
        <w:t xml:space="preserve">Informed by the outcomes of consultation, stakeholder impacts, cost and outcomes analysis, the preferred option is </w:t>
      </w:r>
      <w:r w:rsidRPr="007D162C">
        <w:rPr>
          <w:b/>
        </w:rPr>
        <w:t xml:space="preserve">regulatory </w:t>
      </w:r>
      <w:r w:rsidR="00E373EB" w:rsidRPr="007D162C">
        <w:rPr>
          <w:b/>
          <w:bCs/>
        </w:rPr>
        <w:t xml:space="preserve">with revisions </w:t>
      </w:r>
      <w:r w:rsidRPr="007D162C">
        <w:rPr>
          <w:b/>
        </w:rPr>
        <w:t>option 1</w:t>
      </w:r>
      <w:r w:rsidRPr="007D162C">
        <w:t xml:space="preserve">, with </w:t>
      </w:r>
      <w:r w:rsidRPr="007D162C">
        <w:rPr>
          <w:b/>
        </w:rPr>
        <w:t xml:space="preserve">sub-option 5 </w:t>
      </w:r>
      <w:r w:rsidRPr="007D162C">
        <w:t xml:space="preserve">in relation to defining the features of an accessible door. </w:t>
      </w:r>
    </w:p>
    <w:p w14:paraId="109F4A29" w14:textId="36D8ABFE" w:rsidR="00E1199F" w:rsidRPr="007D162C" w:rsidRDefault="00E1199F" w:rsidP="00CF7427">
      <w:pPr>
        <w:pStyle w:val="Style5"/>
        <w:framePr w:wrap="around"/>
      </w:pPr>
      <w:r w:rsidRPr="007D162C">
        <w:t>Following feedback through the Consultation RIS, the features for this option have been refined to apply only to trains. A number of submissions outlined that it was not appropriate for some conveyances, particularly trams and light rail, and not applicable to other conveyances, such as buses and coaches,</w:t>
      </w:r>
      <w:r w:rsidRPr="007D162C">
        <w:rPr>
          <w:rFonts w:ascii="Calibri" w:hAnsi="Calibri" w:cs="Calibri"/>
          <w:color w:val="000000" w:themeColor="text1"/>
        </w:rPr>
        <w:t xml:space="preserve"> as there are no barriers such as turnstiles to access boarding points, and ticketing validation is deployed on the conveyance.</w:t>
      </w:r>
      <w:r w:rsidR="00045819" w:rsidRPr="007D162C">
        <w:rPr>
          <w:noProof/>
        </w:rPr>
        <w:t xml:space="preserve"> </w:t>
      </w:r>
    </w:p>
    <w:p w14:paraId="49ECB533" w14:textId="63FE77DE" w:rsidR="00E1199F" w:rsidRPr="007D162C" w:rsidRDefault="00E373EB" w:rsidP="08D050C4">
      <w:pPr>
        <w:rPr>
          <w:b/>
          <w:bCs/>
        </w:rPr>
      </w:pPr>
      <w:r w:rsidRPr="007D162C">
        <w:rPr>
          <w:rFonts w:ascii="Calibri" w:eastAsia="Times New Roman" w:hAnsi="Calibri" w:cs="Times New Roman"/>
          <w:color w:val="000000"/>
          <w:lang w:eastAsia="en-AU"/>
        </w:rPr>
        <w:br/>
      </w:r>
      <w:r w:rsidR="00E1199F" w:rsidRPr="007D162C">
        <w:rPr>
          <w:rFonts w:ascii="Calibri" w:eastAsia="Times New Roman" w:hAnsi="Calibri" w:cs="Times New Roman"/>
          <w:color w:val="000000"/>
          <w:lang w:eastAsia="en-AU"/>
        </w:rPr>
        <w:t xml:space="preserve">Submissions highlighted that current arrangements may not be meeting the needs of people with disability, indicating the need for a regulatory approach. </w:t>
      </w:r>
      <w:r w:rsidR="00E1199F" w:rsidRPr="007D162C">
        <w:t xml:space="preserve">Submissions indicated wide support for the preferred option. </w:t>
      </w:r>
      <w:r w:rsidR="00E1199F" w:rsidRPr="007D162C">
        <w:rPr>
          <w:rFonts w:ascii="Calibri" w:hAnsi="Calibri" w:cs="Calibri"/>
          <w:color w:val="000000"/>
          <w:shd w:val="clear" w:color="auto" w:fill="FFFFFF"/>
        </w:rPr>
        <w:t>Submissions noted that a regulatory approach would ensure greater consistency in locality of assistance boarding points across networks and jurisdictions</w:t>
      </w:r>
      <w:r w:rsidR="00E1199F" w:rsidRPr="007D162C">
        <w:rPr>
          <w:rFonts w:ascii="Calibri" w:eastAsia="Times New Roman" w:hAnsi="Calibri" w:cs="Times New Roman"/>
          <w:color w:val="000000"/>
          <w:lang w:eastAsia="en-AU"/>
        </w:rPr>
        <w:t xml:space="preserve"> and provide an important and appropriate means for people with a range of disabilities to board conveyances safely and confidently, </w:t>
      </w:r>
      <w:r w:rsidR="00E1199F" w:rsidRPr="007D162C">
        <w:rPr>
          <w:rFonts w:ascii="Calibri" w:hAnsi="Calibri" w:cs="Calibri"/>
          <w:color w:val="000000"/>
          <w:shd w:val="clear" w:color="auto" w:fill="FFFFFF"/>
        </w:rPr>
        <w:t>with support where required. Consistent identification o</w:t>
      </w:r>
      <w:r w:rsidR="00953BDD">
        <w:rPr>
          <w:rFonts w:ascii="Calibri" w:hAnsi="Calibri" w:cs="Calibri"/>
          <w:color w:val="000000"/>
          <w:shd w:val="clear" w:color="auto" w:fill="FFFFFF"/>
        </w:rPr>
        <w:t>f</w:t>
      </w:r>
      <w:r w:rsidR="00E1199F" w:rsidRPr="007D162C">
        <w:rPr>
          <w:rFonts w:ascii="Calibri" w:hAnsi="Calibri" w:cs="Calibri"/>
          <w:color w:val="000000"/>
          <w:shd w:val="clear" w:color="auto" w:fill="FFFFFF"/>
        </w:rPr>
        <w:t xml:space="preserve"> boarding points and use of terminology across jurisdiction will benefit passengers and public transport operators and providers alike. Submissions noted that sub-option 5</w:t>
      </w:r>
      <w:r w:rsidR="00E1199F" w:rsidRPr="007D162C">
        <w:t xml:space="preserve"> presented clear requirements,</w:t>
      </w:r>
      <w:r w:rsidR="00E1199F" w:rsidRPr="007D162C">
        <w:rPr>
          <w:rFonts w:ascii="Calibri" w:hAnsi="Calibri" w:cs="Calibri"/>
          <w:color w:val="000000"/>
          <w:shd w:val="clear" w:color="auto" w:fill="FFFFFF"/>
        </w:rPr>
        <w:t xml:space="preserve"> </w:t>
      </w:r>
      <w:r w:rsidR="00E1199F" w:rsidRPr="007D162C">
        <w:t xml:space="preserve">would best ensure consistency across networks and </w:t>
      </w:r>
      <w:r w:rsidR="00171427">
        <w:t>would enable</w:t>
      </w:r>
      <w:r w:rsidR="00E1199F" w:rsidRPr="007D162C">
        <w:t xml:space="preserve"> </w:t>
      </w:r>
      <w:r w:rsidR="00E1199F" w:rsidRPr="007D162C">
        <w:rPr>
          <w:rFonts w:ascii="Calibri" w:eastAsia="Times New Roman" w:hAnsi="Calibri" w:cs="Calibri"/>
          <w:color w:val="000000"/>
          <w:lang w:eastAsia="en-AU"/>
        </w:rPr>
        <w:t xml:space="preserve">operators and providers </w:t>
      </w:r>
      <w:r w:rsidR="00171427">
        <w:rPr>
          <w:rFonts w:ascii="Calibri" w:eastAsia="Times New Roman" w:hAnsi="Calibri" w:cs="Calibri"/>
          <w:color w:val="000000"/>
          <w:lang w:eastAsia="en-AU"/>
        </w:rPr>
        <w:t xml:space="preserve">to </w:t>
      </w:r>
      <w:r w:rsidR="00E1199F" w:rsidRPr="007D162C">
        <w:rPr>
          <w:rFonts w:ascii="Calibri" w:eastAsia="Times New Roman" w:hAnsi="Calibri" w:cs="Calibri"/>
          <w:color w:val="000000"/>
          <w:lang w:eastAsia="en-AU"/>
        </w:rPr>
        <w:t>maximise the accessibility of their infrastructure, conveyances and operational practices</w:t>
      </w:r>
      <w:r w:rsidR="00E1199F" w:rsidRPr="007D162C">
        <w:t>, while also recognising the constraints faced by operators and providers by providing choice on nominating an assistance point.</w:t>
      </w:r>
    </w:p>
    <w:p w14:paraId="18F0491C" w14:textId="77777777" w:rsidR="00E1199F" w:rsidRPr="007D162C" w:rsidRDefault="00E1199F" w:rsidP="00E1199F">
      <w:pPr>
        <w:pStyle w:val="Heading4"/>
        <w:tabs>
          <w:tab w:val="left" w:pos="284"/>
        </w:tabs>
      </w:pPr>
      <w:r w:rsidRPr="007D162C">
        <w:rPr>
          <w:rFonts w:eastAsiaTheme="minorEastAsia"/>
          <w:b w:val="0"/>
          <w:color w:val="000000"/>
          <w:sz w:val="22"/>
          <w:szCs w:val="22"/>
          <w:shd w:val="clear" w:color="auto" w:fill="FFFFFF"/>
        </w:rPr>
        <w:t>Costs would be incurred by train operators and providers in providing signage and / or markings on a platform to identify an assistance point, as well as updating existing website and passenger information. Costs would also be incurred in undertaking consultation with people with disability to develop appropriate direct assistance boarding procedures and to train staff in these procedures. Costs would depend on the adequacy of current procedures and capability. Costs may also be incurred to audit and identify accessible doors that already meet the definition provided in sub-option 5.</w:t>
      </w:r>
      <w:r w:rsidRPr="007D162C">
        <w:t xml:space="preserve"> </w:t>
      </w:r>
    </w:p>
    <w:p w14:paraId="55317A02" w14:textId="4E732B03" w:rsidR="00F302D5" w:rsidRPr="007D162C" w:rsidRDefault="00E1199F" w:rsidP="00E1199F">
      <w:pPr>
        <w:rPr>
          <w:rFonts w:ascii="Calibri" w:eastAsia="Calibri" w:hAnsi="Calibri" w:cs="Times New Roman"/>
          <w:color w:val="000000" w:themeColor="text1"/>
        </w:rPr>
      </w:pPr>
      <w:bookmarkStart w:id="558" w:name="_Hlk121999767"/>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p>
    <w:p w14:paraId="3345E5B6" w14:textId="77777777" w:rsidR="00F302D5" w:rsidRPr="007D162C" w:rsidRDefault="00F302D5">
      <w:pPr>
        <w:spacing w:line="259" w:lineRule="auto"/>
        <w:rPr>
          <w:rFonts w:ascii="Calibri" w:eastAsia="Calibri" w:hAnsi="Calibri" w:cs="Times New Roman"/>
          <w:color w:val="000000"/>
        </w:rPr>
      </w:pPr>
      <w:r w:rsidRPr="007D162C">
        <w:rPr>
          <w:rFonts w:ascii="Calibri" w:eastAsia="Calibri" w:hAnsi="Calibri" w:cs="Times New Roman"/>
          <w:color w:val="000000"/>
        </w:rPr>
        <w:br w:type="page"/>
      </w:r>
    </w:p>
    <w:p w14:paraId="539AA2CB" w14:textId="5F5C38F1" w:rsidR="00E1199F" w:rsidRPr="007D162C" w:rsidRDefault="00E1199F" w:rsidP="00E177CC">
      <w:pPr>
        <w:pStyle w:val="Heading2"/>
        <w:numPr>
          <w:ilvl w:val="0"/>
          <w:numId w:val="28"/>
        </w:numPr>
        <w:ind w:hanging="720"/>
      </w:pPr>
      <w:bookmarkStart w:id="559" w:name="_Toc127351795"/>
      <w:bookmarkStart w:id="560" w:name="_Toc140239753"/>
      <w:bookmarkEnd w:id="558"/>
      <w:r w:rsidRPr="007D162C">
        <w:lastRenderedPageBreak/>
        <w:t>Identification of lead stops</w:t>
      </w:r>
      <w:bookmarkEnd w:id="559"/>
      <w:bookmarkEnd w:id="560"/>
    </w:p>
    <w:p w14:paraId="6E643A68" w14:textId="77777777" w:rsidR="00E1199F" w:rsidRPr="007D162C" w:rsidRDefault="00E1199F" w:rsidP="00E1199F">
      <w:pPr>
        <w:pStyle w:val="Heading4"/>
        <w:tabs>
          <w:tab w:val="left" w:pos="284"/>
        </w:tabs>
      </w:pPr>
      <w:r w:rsidRPr="007D162C">
        <w:t>Issue</w:t>
      </w:r>
    </w:p>
    <w:p w14:paraId="1621A0DE" w14:textId="77777777" w:rsidR="00E1199F" w:rsidRPr="007D162C" w:rsidRDefault="00E1199F" w:rsidP="00E1199F">
      <w:pPr>
        <w:tabs>
          <w:tab w:val="left" w:pos="284"/>
        </w:tabs>
      </w:pPr>
      <w:r w:rsidRPr="007D162C">
        <w:t>The Transport Standards have no technical specifications for how people with disability can identify lead stops at bus stations, bus interchanges and bus zones. A lead stop is a bus stop which is designed to have a single platform boarding point for passengers where buses queue behind each other, as opposed to independent designated stops for different services. Lead stops can be typical for bus stops with a high frequency of services passing through and are designed to reduce dwell times. Lead stops have been highlighted by people with disability as problematic when it comes to service recognition, moving to the right location on the platform and hailing the driver. Addressing lead stops in either the Transport Standards or guidance can provide a nationally consistent approach and reduce discrimination for people with disability.</w:t>
      </w:r>
    </w:p>
    <w:p w14:paraId="23252C82"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6429321E" w14:textId="77777777" w:rsidR="00E1199F" w:rsidRPr="007D162C" w:rsidRDefault="00E1199F" w:rsidP="00E1199F">
      <w:pPr>
        <w:pStyle w:val="Heading4"/>
        <w:tabs>
          <w:tab w:val="left" w:pos="284"/>
        </w:tabs>
      </w:pPr>
      <w:r w:rsidRPr="007D162C">
        <w:t>Reform options</w:t>
      </w:r>
    </w:p>
    <w:p w14:paraId="1B74A043"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434EB60" w14:textId="5D66F5AB" w:rsidR="00E1199F" w:rsidRPr="007D162C" w:rsidRDefault="00E1199F" w:rsidP="00E1199F">
      <w:pPr>
        <w:pStyle w:val="Caption"/>
        <w:keepNext/>
      </w:pPr>
      <w:bookmarkStart w:id="561" w:name="_Toc122446443"/>
      <w:bookmarkStart w:id="562" w:name="_Toc139969280"/>
      <w:r w:rsidRPr="007D162C">
        <w:t xml:space="preserve">Table </w:t>
      </w:r>
      <w:fldSimple w:instr=" SEQ Table \* ARABIC ">
        <w:r w:rsidR="00DC26AC">
          <w:rPr>
            <w:noProof/>
          </w:rPr>
          <w:t>122</w:t>
        </w:r>
      </w:fldSimple>
      <w:r w:rsidRPr="007D162C">
        <w:t>: Reform options for identification of lead stops</w:t>
      </w:r>
      <w:bookmarkEnd w:id="561"/>
      <w:bookmarkEnd w:id="562"/>
    </w:p>
    <w:tbl>
      <w:tblPr>
        <w:tblStyle w:val="DefaultTable1"/>
        <w:tblW w:w="9072" w:type="dxa"/>
        <w:tblLook w:val="04A0" w:firstRow="1" w:lastRow="0" w:firstColumn="1" w:lastColumn="0" w:noHBand="0" w:noVBand="1"/>
        <w:tblCaption w:val="Reform options for identification of lead stops"/>
        <w:tblDescription w:val="This table provides a description of each of the options for this reform area. Status quo, non-regulatory and regulatory."/>
      </w:tblPr>
      <w:tblGrid>
        <w:gridCol w:w="2232"/>
        <w:gridCol w:w="6840"/>
      </w:tblGrid>
      <w:tr w:rsidR="00E1199F" w:rsidRPr="007D162C" w14:paraId="0CB88D6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36B530"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16D1E12F"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564F21C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F14C31E"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7A8E198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not to include provisions for how people with disability can identify lead stops at bus stations, interchanges and zones. </w:t>
            </w:r>
          </w:p>
          <w:p w14:paraId="38775D9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DDE3713"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4CFD60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2452218F" w14:textId="2910CE4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provide advice on technical specifications for how people with disability are able to identify lead stops at bus stations, bus interchanges and bus zones, including, but not limited to</w:t>
            </w:r>
            <w:r w:rsidR="00171427">
              <w:t>,</w:t>
            </w:r>
            <w:r w:rsidRPr="007D162C">
              <w:t xml:space="preserve"> definition of a lead stop, how to make a lead stop clearly identifiable, and bus driver training.</w:t>
            </w:r>
          </w:p>
        </w:tc>
      </w:tr>
      <w:tr w:rsidR="00E1199F" w:rsidRPr="007D162C" w14:paraId="700432F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F3C2B8"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3281FF8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lead stop identification at bus stations, bus interchanges and bus zones. This includes where passengers board at a lead stop, the lead stop must be clearly identifiable by people with disability. If a bus station, interchange or zone has multiple lead stops each must be identifiable and distinguishable from the others.</w:t>
            </w:r>
          </w:p>
          <w:p w14:paraId="4035EE4F" w14:textId="77777777" w:rsidR="00E1199F" w:rsidRPr="007D162C" w:rsidRDefault="00E1199F" w:rsidP="00E1199F">
            <w:pPr>
              <w:tabs>
                <w:tab w:val="left" w:pos="284"/>
              </w:tabs>
              <w:spacing w:before="160"/>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762C9A87" w14:textId="77777777" w:rsidR="004C47E2" w:rsidRPr="007D162C" w:rsidRDefault="004C47E2" w:rsidP="00672DB6"/>
    <w:p w14:paraId="6C247856" w14:textId="0A22DAB2" w:rsidR="00E1199F" w:rsidRPr="007D162C" w:rsidRDefault="00E1199F" w:rsidP="00E1199F">
      <w:pPr>
        <w:pStyle w:val="Heading4"/>
        <w:tabs>
          <w:tab w:val="left" w:pos="284"/>
        </w:tabs>
      </w:pPr>
      <w:r w:rsidRPr="007D162C">
        <w:t>Cost benefit analysis</w:t>
      </w:r>
    </w:p>
    <w:p w14:paraId="4E295B13"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397CE08" w14:textId="77777777" w:rsidR="00E1199F" w:rsidRPr="007D162C" w:rsidRDefault="00E1199F" w:rsidP="00E1199F">
      <w:r w:rsidRPr="007D162C">
        <w:t xml:space="preserve">The following categories of quantitative costs and benefits were identified in the CBA as pertaining to the reform options. </w:t>
      </w:r>
    </w:p>
    <w:p w14:paraId="11C7D27D" w14:textId="63E71236" w:rsidR="00E1199F" w:rsidRPr="007D162C" w:rsidRDefault="00E1199F" w:rsidP="00E1199F">
      <w:pPr>
        <w:pStyle w:val="Caption"/>
        <w:keepNext/>
      </w:pPr>
      <w:bookmarkStart w:id="563" w:name="_Toc122446444"/>
      <w:bookmarkStart w:id="564" w:name="_Toc139969281"/>
      <w:r w:rsidRPr="007D162C">
        <w:lastRenderedPageBreak/>
        <w:t xml:space="preserve">Table </w:t>
      </w:r>
      <w:fldSimple w:instr=" SEQ Table \* ARABIC ">
        <w:r w:rsidR="00DC26AC">
          <w:rPr>
            <w:noProof/>
          </w:rPr>
          <w:t>123</w:t>
        </w:r>
      </w:fldSimple>
      <w:r w:rsidRPr="007D162C">
        <w:t>: Benefit-cost ratios for identification of lead stops</w:t>
      </w:r>
      <w:bookmarkEnd w:id="563"/>
      <w:bookmarkEnd w:id="564"/>
    </w:p>
    <w:tbl>
      <w:tblPr>
        <w:tblStyle w:val="DefaultTable1"/>
        <w:tblW w:w="9864" w:type="dxa"/>
        <w:tblLook w:val="04A0" w:firstRow="1" w:lastRow="0" w:firstColumn="1" w:lastColumn="0" w:noHBand="0" w:noVBand="1"/>
        <w:tblCaption w:val="Benefit-cost ratios for identification of lead stop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548523C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E2C71F" w14:textId="77777777" w:rsidR="00E1199F" w:rsidRPr="007D162C" w:rsidRDefault="08D050C4" w:rsidP="00E1199F">
            <w:r w:rsidRPr="007D162C">
              <w:t>Reform Option</w:t>
            </w:r>
          </w:p>
        </w:tc>
        <w:tc>
          <w:tcPr>
            <w:tcW w:w="1531" w:type="dxa"/>
          </w:tcPr>
          <w:p w14:paraId="4BFDD59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3F6E55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11C8B69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5C106D2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7D377B61" w14:textId="7F6D8685"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48434F5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2B9BC7F" w14:textId="77777777" w:rsidR="00E1199F" w:rsidRPr="007D162C" w:rsidRDefault="00E1199F" w:rsidP="00E1199F">
            <w:r w:rsidRPr="007D162C">
              <w:t>Status Quo</w:t>
            </w:r>
          </w:p>
        </w:tc>
        <w:tc>
          <w:tcPr>
            <w:tcW w:w="1531" w:type="dxa"/>
          </w:tcPr>
          <w:p w14:paraId="7A8100A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42028FBC"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7750F86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7855C6A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0DB3DD7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E2BE62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9473F74" w14:textId="77777777" w:rsidR="00E1199F" w:rsidRPr="007D162C" w:rsidRDefault="00E1199F" w:rsidP="00E1199F">
            <w:r w:rsidRPr="007D162C">
              <w:t xml:space="preserve">Non-regulatory </w:t>
            </w:r>
          </w:p>
        </w:tc>
        <w:tc>
          <w:tcPr>
            <w:tcW w:w="1531" w:type="dxa"/>
            <w:vAlign w:val="center"/>
          </w:tcPr>
          <w:p w14:paraId="1D5A1B3C"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0.3</w:t>
            </w:r>
          </w:p>
        </w:tc>
        <w:tc>
          <w:tcPr>
            <w:tcW w:w="1791" w:type="dxa"/>
          </w:tcPr>
          <w:p w14:paraId="24D39B53"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64FA806A" w14:textId="0FE2EFC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12.9</w:t>
            </w:r>
          </w:p>
        </w:tc>
        <w:tc>
          <w:tcPr>
            <w:tcW w:w="1843" w:type="dxa"/>
            <w:vAlign w:val="center"/>
          </w:tcPr>
          <w:p w14:paraId="791D445C" w14:textId="623EB59E"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12.9</w:t>
            </w:r>
            <w:r w:rsidR="00CC3E1D" w:rsidRPr="007D162C">
              <w:rPr>
                <w:sz w:val="18"/>
                <w:szCs w:val="18"/>
                <w:vertAlign w:val="superscript"/>
              </w:rPr>
              <w:t>i</w:t>
            </w:r>
          </w:p>
        </w:tc>
        <w:tc>
          <w:tcPr>
            <w:tcW w:w="1784" w:type="dxa"/>
            <w:vAlign w:val="center"/>
          </w:tcPr>
          <w:p w14:paraId="72D4862A" w14:textId="26AD1B7A"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0.03</w:t>
            </w:r>
          </w:p>
        </w:tc>
      </w:tr>
      <w:tr w:rsidR="00E1199F" w:rsidRPr="007D162C" w14:paraId="1BCF9F2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52856FB" w14:textId="77777777" w:rsidR="00E1199F" w:rsidRPr="007D162C" w:rsidRDefault="00E1199F" w:rsidP="00E1199F">
            <w:r w:rsidRPr="007D162C">
              <w:t>Regulatory</w:t>
            </w:r>
          </w:p>
        </w:tc>
        <w:tc>
          <w:tcPr>
            <w:tcW w:w="1531" w:type="dxa"/>
            <w:vAlign w:val="center"/>
          </w:tcPr>
          <w:p w14:paraId="079DB09B"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1.4</w:t>
            </w:r>
          </w:p>
        </w:tc>
        <w:tc>
          <w:tcPr>
            <w:tcW w:w="1791" w:type="dxa"/>
          </w:tcPr>
          <w:p w14:paraId="478CE07B"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028CB50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26.8</w:t>
            </w:r>
          </w:p>
        </w:tc>
        <w:tc>
          <w:tcPr>
            <w:tcW w:w="1843" w:type="dxa"/>
            <w:vAlign w:val="center"/>
          </w:tcPr>
          <w:p w14:paraId="6B09F8C0"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26.8</w:t>
            </w:r>
          </w:p>
        </w:tc>
        <w:tc>
          <w:tcPr>
            <w:tcW w:w="1784" w:type="dxa"/>
            <w:vAlign w:val="center"/>
          </w:tcPr>
          <w:p w14:paraId="7898DFD3" w14:textId="220CBBAE"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0.05</w:t>
            </w:r>
          </w:p>
        </w:tc>
      </w:tr>
    </w:tbl>
    <w:p w14:paraId="0719A4F7" w14:textId="4C19D2E5"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CD0DAAE" w14:textId="77777777" w:rsidR="00CC3E1D"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15BC8871" w14:textId="77777777" w:rsidR="00CC3E1D" w:rsidRPr="007D162C" w:rsidRDefault="00CC3E1D" w:rsidP="00E1199F">
      <w:pPr>
        <w:spacing w:before="120" w:after="0"/>
        <w:rPr>
          <w:sz w:val="20"/>
        </w:rPr>
      </w:pPr>
    </w:p>
    <w:p w14:paraId="7DDA4CA0" w14:textId="77777777" w:rsidR="00E1199F" w:rsidRPr="007D162C" w:rsidRDefault="00E1199F" w:rsidP="00E1199F">
      <w:pPr>
        <w:pStyle w:val="Heading6"/>
      </w:pPr>
      <w:r w:rsidRPr="007D162C">
        <w:t>Considerations to note in interpreting analysis</w:t>
      </w:r>
    </w:p>
    <w:p w14:paraId="3ABA9F78" w14:textId="77777777" w:rsidR="00E1199F" w:rsidRPr="007D162C" w:rsidRDefault="00E1199F" w:rsidP="00CC3E1D">
      <w:pPr>
        <w:pStyle w:val="Heading7"/>
      </w:pPr>
      <w:r w:rsidRPr="007D162C">
        <w:t>Limitations:</w:t>
      </w:r>
    </w:p>
    <w:p w14:paraId="2484967D" w14:textId="77777777" w:rsidR="00E1199F" w:rsidRPr="007D162C" w:rsidRDefault="00E1199F" w:rsidP="00CC3E1D">
      <w:pPr>
        <w:pStyle w:val="Heading8"/>
      </w:pPr>
      <w:r w:rsidRPr="007D162C">
        <w:t>Non-regulatory option:</w:t>
      </w:r>
    </w:p>
    <w:p w14:paraId="0D8DEF5D" w14:textId="4A9CFA71"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0917A8">
        <w:t xml:space="preserve"> per cent</w:t>
      </w:r>
      <w:r w:rsidRPr="007D162C">
        <w:t xml:space="preserve"> was applied to the non-regulatory option based on the low cost and complexity of identifying lead bus stops in many, but not all locations. Submissions indicated ‘lead stop’ is not a term used in some jurisdictions, this may limit the effectiveness of guidance. This implies that the benefits and costs quantified for this non-regulatory reform may not reflect future take-up of the reform.</w:t>
      </w:r>
    </w:p>
    <w:p w14:paraId="2C751418" w14:textId="77777777" w:rsidR="00F302D5" w:rsidRPr="007D162C" w:rsidRDefault="00F302D5" w:rsidP="00F302D5">
      <w:pPr>
        <w:pStyle w:val="Listparagraphbullets"/>
        <w:numPr>
          <w:ilvl w:val="0"/>
          <w:numId w:val="0"/>
        </w:numPr>
        <w:autoSpaceDE w:val="0"/>
        <w:autoSpaceDN w:val="0"/>
        <w:spacing w:after="0"/>
      </w:pPr>
    </w:p>
    <w:p w14:paraId="19246DDF" w14:textId="77777777" w:rsidR="00E1199F" w:rsidRPr="007D162C" w:rsidRDefault="00E1199F" w:rsidP="00CC3E1D">
      <w:pPr>
        <w:pStyle w:val="Heading8"/>
      </w:pPr>
      <w:r w:rsidRPr="007D162C">
        <w:t>Regulatory option:</w:t>
      </w:r>
    </w:p>
    <w:p w14:paraId="2597C880" w14:textId="7D859BFF" w:rsidR="00E1199F" w:rsidRPr="007D162C" w:rsidRDefault="00E1199F" w:rsidP="00F302D5">
      <w:pPr>
        <w:pStyle w:val="Listparagraphbullets"/>
        <w:numPr>
          <w:ilvl w:val="0"/>
          <w:numId w:val="0"/>
        </w:numPr>
        <w:autoSpaceDE w:val="0"/>
        <w:autoSpaceDN w:val="0"/>
        <w:spacing w:after="0"/>
      </w:pPr>
      <w:r w:rsidRPr="007D162C">
        <w:t>Upgrades to lead stops benefits users with vision impairments to identify boarding points but it does not impact timetabling or the configuration of bus stops, maintaining existing arrangements assists a small cohort of beneficiaries but would impact a large number of bus stops.</w:t>
      </w:r>
    </w:p>
    <w:p w14:paraId="09BE7C2D" w14:textId="77777777" w:rsidR="00F302D5" w:rsidRPr="007D162C" w:rsidRDefault="00F302D5" w:rsidP="00F302D5">
      <w:pPr>
        <w:pStyle w:val="Listparagraphbullets"/>
        <w:numPr>
          <w:ilvl w:val="0"/>
          <w:numId w:val="0"/>
        </w:numPr>
        <w:autoSpaceDE w:val="0"/>
        <w:autoSpaceDN w:val="0"/>
        <w:spacing w:after="0"/>
      </w:pPr>
    </w:p>
    <w:p w14:paraId="4AF38ABA" w14:textId="77777777" w:rsidR="00E1199F" w:rsidRPr="007D162C" w:rsidRDefault="00E1199F" w:rsidP="00CC3E1D">
      <w:pPr>
        <w:pStyle w:val="Heading8"/>
      </w:pPr>
      <w:r w:rsidRPr="007D162C">
        <w:t xml:space="preserve">Interdependencies: </w:t>
      </w:r>
    </w:p>
    <w:p w14:paraId="7C1DCC32" w14:textId="77777777" w:rsidR="00E1199F" w:rsidRPr="007D162C" w:rsidRDefault="00E1199F" w:rsidP="00F302D5">
      <w:pPr>
        <w:pStyle w:val="Listparagraphbullets"/>
        <w:numPr>
          <w:ilvl w:val="0"/>
          <w:numId w:val="0"/>
        </w:numPr>
      </w:pPr>
      <w:r w:rsidRPr="007D162C">
        <w:t>The accessibility benefits of this reform will only be realised if there was equitable access across the whole public transport journey, with benefits reliant on implementation of other reforms such as better communication of accessibility features, print size, letter heights and luminance contrast of signs and others.</w:t>
      </w:r>
    </w:p>
    <w:p w14:paraId="1E2F971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2C35F96" w14:textId="52509B11" w:rsidR="00800BEF" w:rsidRDefault="00E1199F" w:rsidP="00E1199F">
      <w:r w:rsidRPr="007D162C">
        <w:t>The following categories of qualitative benefits were identified in the CBA as pertaining to the reform options.</w:t>
      </w:r>
    </w:p>
    <w:p w14:paraId="7959B1CA" w14:textId="77777777" w:rsidR="00800BEF" w:rsidRDefault="00800BEF">
      <w:pPr>
        <w:spacing w:line="259" w:lineRule="auto"/>
      </w:pPr>
      <w:r>
        <w:br w:type="page"/>
      </w:r>
    </w:p>
    <w:p w14:paraId="3C36D35C" w14:textId="70CE7588" w:rsidR="00E1199F" w:rsidRPr="007D162C" w:rsidRDefault="00E1199F" w:rsidP="00E1199F">
      <w:pPr>
        <w:pStyle w:val="Caption"/>
        <w:keepNext/>
      </w:pPr>
      <w:bookmarkStart w:id="565" w:name="_Toc122446445"/>
      <w:bookmarkStart w:id="566" w:name="_Toc139969282"/>
      <w:r w:rsidRPr="007D162C">
        <w:lastRenderedPageBreak/>
        <w:t xml:space="preserve">Table </w:t>
      </w:r>
      <w:fldSimple w:instr=" SEQ Table \* ARABIC ">
        <w:r w:rsidR="00DC26AC">
          <w:rPr>
            <w:noProof/>
          </w:rPr>
          <w:t>124</w:t>
        </w:r>
      </w:fldSimple>
      <w:r w:rsidRPr="007D162C">
        <w:rPr>
          <w:noProof/>
        </w:rPr>
        <w:t xml:space="preserve">: </w:t>
      </w:r>
      <w:r w:rsidRPr="007D162C">
        <w:t>Qualitative benefits for identification of lead stops</w:t>
      </w:r>
      <w:bookmarkEnd w:id="565"/>
      <w:bookmarkEnd w:id="566"/>
    </w:p>
    <w:tbl>
      <w:tblPr>
        <w:tblStyle w:val="DefaultTable1"/>
        <w:tblW w:w="9864" w:type="dxa"/>
        <w:tblLook w:val="04A0" w:firstRow="1" w:lastRow="0" w:firstColumn="1" w:lastColumn="0" w:noHBand="0" w:noVBand="1"/>
        <w:tblCaption w:val="Qualitative benefits for identification of lead stops"/>
      </w:tblPr>
      <w:tblGrid>
        <w:gridCol w:w="1213"/>
        <w:gridCol w:w="1343"/>
        <w:gridCol w:w="1626"/>
        <w:gridCol w:w="1300"/>
        <w:gridCol w:w="1278"/>
        <w:gridCol w:w="1641"/>
        <w:gridCol w:w="1463"/>
      </w:tblGrid>
      <w:tr w:rsidR="00E1199F" w:rsidRPr="007D162C" w14:paraId="2E89559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E575068" w14:textId="77777777" w:rsidR="00E1199F" w:rsidRPr="007D162C" w:rsidRDefault="08D050C4" w:rsidP="00E1199F">
            <w:r w:rsidRPr="007D162C">
              <w:t>Reform Option</w:t>
            </w:r>
          </w:p>
        </w:tc>
        <w:tc>
          <w:tcPr>
            <w:tcW w:w="1343" w:type="dxa"/>
          </w:tcPr>
          <w:p w14:paraId="16B4736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3BC3D8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0790B78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5DDE0A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3C00575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24457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3EE8032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5A59C21" w14:textId="77777777" w:rsidR="00E1199F" w:rsidRPr="007D162C" w:rsidRDefault="00E1199F" w:rsidP="00E1199F">
            <w:r w:rsidRPr="007D162C">
              <w:t>Status Quo</w:t>
            </w:r>
          </w:p>
        </w:tc>
        <w:tc>
          <w:tcPr>
            <w:tcW w:w="1343" w:type="dxa"/>
          </w:tcPr>
          <w:p w14:paraId="1D639E1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1B5AF9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21E847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7CC4A5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34D545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8A9387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451B941"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5CE95EF" w14:textId="77777777" w:rsidR="00E1199F" w:rsidRPr="007D162C" w:rsidRDefault="00E1199F" w:rsidP="00E1199F">
            <w:r w:rsidRPr="007D162C">
              <w:t xml:space="preserve">Non-regulatory </w:t>
            </w:r>
          </w:p>
        </w:tc>
        <w:tc>
          <w:tcPr>
            <w:tcW w:w="1343" w:type="dxa"/>
          </w:tcPr>
          <w:p w14:paraId="415AE1B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691246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92E933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2AD2218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A5D50F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48F82FE1"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50508A5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E3CEFBD" w14:textId="77777777" w:rsidR="00E1199F" w:rsidRPr="007D162C" w:rsidRDefault="00E1199F" w:rsidP="00E1199F">
            <w:r w:rsidRPr="007D162C">
              <w:t>Regulatory</w:t>
            </w:r>
          </w:p>
        </w:tc>
        <w:tc>
          <w:tcPr>
            <w:tcW w:w="1343" w:type="dxa"/>
          </w:tcPr>
          <w:p w14:paraId="02C633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08A14A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EAB1D0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7585457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4C7A09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4968B0B9"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52910285" w14:textId="77777777" w:rsidR="004C47E2" w:rsidRPr="007D162C" w:rsidRDefault="004C47E2" w:rsidP="000A4CD3">
      <w:pPr>
        <w:pStyle w:val="BodyText"/>
      </w:pPr>
    </w:p>
    <w:p w14:paraId="3CD7087D" w14:textId="1FE941E0" w:rsidR="00E1199F" w:rsidRPr="007D162C" w:rsidRDefault="00E1199F" w:rsidP="00E1199F">
      <w:pPr>
        <w:pStyle w:val="Heading4"/>
        <w:tabs>
          <w:tab w:val="left" w:pos="284"/>
        </w:tabs>
      </w:pPr>
      <w:r w:rsidRPr="007D162C">
        <w:t xml:space="preserve">Analysis of submissions </w:t>
      </w:r>
    </w:p>
    <w:p w14:paraId="206D6CB1" w14:textId="77777777" w:rsidR="00E1199F" w:rsidRPr="007D162C" w:rsidRDefault="00E1199F" w:rsidP="00E1199F">
      <w:pPr>
        <w:pStyle w:val="Heading5"/>
      </w:pPr>
      <w:r w:rsidRPr="007D162C">
        <w:t>Status quo</w:t>
      </w:r>
    </w:p>
    <w:p w14:paraId="20EF8E81" w14:textId="5911302C" w:rsidR="00E1199F" w:rsidRPr="007D162C" w:rsidRDefault="00E1199F" w:rsidP="00E1199F">
      <w:r w:rsidRPr="007D162C">
        <w:t>Under the status quo the Transport Standards would continue to not contain specifications for identifying lead stops, leaving the responsibility with operators and providers. Consultation findings indicate that identifying lead stops is a significant issue for people with visual impairments. If a lead stop is not identified, passengers can struggle to identify the correct location to board the bus they want to catch. One submission noted that the ad-hoc solutions currently being used are inconsistent and unpredictable, often relying on staff or driver training.</w:t>
      </w:r>
    </w:p>
    <w:p w14:paraId="213ABA4A" w14:textId="77777777" w:rsidR="00E1199F" w:rsidRPr="007D162C" w:rsidRDefault="00E1199F" w:rsidP="00E1199F">
      <w:pPr>
        <w:pStyle w:val="Quote"/>
        <w:rPr>
          <w:shd w:val="clear" w:color="auto" w:fill="FFFFFF"/>
        </w:rPr>
      </w:pPr>
      <w:r w:rsidRPr="007D162C">
        <w:rPr>
          <w:shd w:val="clear" w:color="auto" w:fill="FFFFFF"/>
        </w:rPr>
        <w:t>It is not uncommon for people who are blind or have low vision to be directed to the incorrect stop, and to be ignored by drivers because they are not at the lead stop.</w:t>
      </w:r>
    </w:p>
    <w:p w14:paraId="65097109" w14:textId="77777777" w:rsidR="00E1199F" w:rsidRPr="007D162C" w:rsidRDefault="00E1199F" w:rsidP="00E1199F">
      <w:pPr>
        <w:pStyle w:val="Quote"/>
        <w:rPr>
          <w:shd w:val="clear" w:color="auto" w:fill="FFFFFF"/>
        </w:rPr>
      </w:pPr>
      <w:r w:rsidRPr="007D162C">
        <w:rPr>
          <w:shd w:val="clear" w:color="auto" w:fill="FFFFFF"/>
        </w:rPr>
        <w:t>Vision Australia</w:t>
      </w:r>
    </w:p>
    <w:p w14:paraId="36426367" w14:textId="77777777" w:rsidR="00E1199F" w:rsidRPr="007D162C" w:rsidRDefault="00E1199F" w:rsidP="00E1199F">
      <w:r w:rsidRPr="007D162C">
        <w:t xml:space="preserve">The status quo was not supported by any stakeholders, noting only 15 submissions discussed this reform area. Three stakeholders indicated that they did not use the terminology lead stop, or were unaware of the existence of them, indicating that the use of lead stops, and/or the terminology, may vary across jurisdictions and operators and providers. </w:t>
      </w:r>
    </w:p>
    <w:p w14:paraId="2BEC26EF" w14:textId="740CF8A0" w:rsidR="00E1199F" w:rsidRPr="007D162C" w:rsidRDefault="00E1199F" w:rsidP="00E1199F">
      <w:r w:rsidRPr="007D162C">
        <w:t>Maintaining the status quo continues to accept a low level of accessibility for people with disability, as poorly identified lead stops create challenges in identif</w:t>
      </w:r>
      <w:r w:rsidR="00171427">
        <w:t>ying</w:t>
      </w:r>
      <w:r w:rsidRPr="007D162C">
        <w:t xml:space="preserve"> boarding locations and in hailing the driver. The status quo does not enhance equality and independence, or reduce discrimination for people with disability in relation to public transport. Maintaining the status quo will have no additional costs for public transports operators and providers.</w:t>
      </w:r>
    </w:p>
    <w:p w14:paraId="1D9E615D" w14:textId="77777777" w:rsidR="00E1199F" w:rsidRPr="007D162C" w:rsidRDefault="00E1199F" w:rsidP="00E1199F">
      <w:pPr>
        <w:pStyle w:val="Heading5"/>
      </w:pPr>
      <w:r w:rsidRPr="007D162C">
        <w:t>Non-regulatory</w:t>
      </w:r>
    </w:p>
    <w:p w14:paraId="6009EBA6" w14:textId="77777777" w:rsidR="00E1199F" w:rsidRPr="007D162C" w:rsidRDefault="00E1199F" w:rsidP="00E1199F">
      <w:r w:rsidRPr="007D162C">
        <w:t>The non-regulatory option would provide guidance to operators and providers on what a lead stop is, how to make a lead stop clearly identifiable and training requirements for bus drivers. This may make it easier for people with disability to successfully catch buses where lead stops are used.</w:t>
      </w:r>
    </w:p>
    <w:p w14:paraId="77A2285A" w14:textId="03409F51" w:rsidR="00E1199F" w:rsidRPr="007D162C" w:rsidRDefault="00E1199F" w:rsidP="00E1199F">
      <w:r w:rsidRPr="007D162C">
        <w:t xml:space="preserve">There was minimal support for the non-regulatory option, with only one stakeholder supporting it out of the 15 who expressed a preference. This stakeholder supported the </w:t>
      </w:r>
      <w:r w:rsidR="169A030C" w:rsidRPr="007D162C">
        <w:t>non</w:t>
      </w:r>
      <w:r w:rsidR="000917A8">
        <w:t>-</w:t>
      </w:r>
      <w:r w:rsidR="169A030C" w:rsidRPr="007D162C">
        <w:t>regulatory</w:t>
      </w:r>
      <w:r w:rsidRPr="007D162C">
        <w:t xml:space="preserve"> option because they did not see the need to distinguish between lead stops and regular bus stops. </w:t>
      </w:r>
    </w:p>
    <w:p w14:paraId="22F2F7DD" w14:textId="77777777" w:rsidR="00E1199F" w:rsidRPr="007D162C" w:rsidRDefault="00E1199F" w:rsidP="00E1199F">
      <w:r w:rsidRPr="007D162C">
        <w:t xml:space="preserve">Due to the discretionary nature of this option, it does not provide certainty that operators and providers will follow the guidance on how to identify lead stops at bus stations, interchanges and zones. If the guidance is not followed, the impact on people with disability would be a lack of certainty in identifying where bus services will stop, impacting on the ability to successfully </w:t>
      </w:r>
      <w:r w:rsidRPr="007D162C">
        <w:lastRenderedPageBreak/>
        <w:t>undertake travel. To the extent that guidance is followed, costs would be incurred if lead stops needed additional identifying features installed.</w:t>
      </w:r>
    </w:p>
    <w:p w14:paraId="5E1B93CD" w14:textId="77777777" w:rsidR="00E1199F" w:rsidRPr="007D162C" w:rsidRDefault="00E1199F" w:rsidP="00E1199F">
      <w:pPr>
        <w:pStyle w:val="Heading5"/>
      </w:pPr>
      <w:r w:rsidRPr="007D162C">
        <w:t>Regulatory</w:t>
      </w:r>
    </w:p>
    <w:p w14:paraId="63021A5A" w14:textId="77777777" w:rsidR="00E1199F" w:rsidRPr="007D162C" w:rsidRDefault="08D050C4" w:rsidP="00E1199F">
      <w:r w:rsidRPr="007D162C">
        <w:t xml:space="preserve">The regulatory option was support by all individuals, people with disability and disability organisations who indicated a preferred option. Their submissions highlighted the clarity and predictability that would come from this option, making independent travel easier and reducing anxiety for people using large bus interchange hubs. In particular, submissions acknowledged the benefit of this reform for passengers with visual impairment. Two stakeholders also pointed out the benefit to people with mobility aids who might not be able to identify and hail the bus they need at bus interchanges. Two stakeholders raised that the regulatory option needs to be accompanied by a greater promotion of lead stop boarding so passengers know how to use them. </w:t>
      </w:r>
    </w:p>
    <w:p w14:paraId="62B9EAB3" w14:textId="45C4F57A" w:rsidR="00E1199F" w:rsidRPr="007D162C" w:rsidRDefault="08D050C4" w:rsidP="08D050C4">
      <w:r w:rsidRPr="007D162C">
        <w:t>The majority of government and industry stakeholders preferred the regulatory option (</w:t>
      </w:r>
      <w:r w:rsidR="000917A8">
        <w:t>six</w:t>
      </w:r>
      <w:r w:rsidRPr="007D162C">
        <w:t xml:space="preserve"> of </w:t>
      </w:r>
      <w:r w:rsidR="000917A8">
        <w:t>seven</w:t>
      </w:r>
      <w:r w:rsidRPr="007D162C">
        <w:t>). Those who supported the regulatory option noted it would result in the clear identification of lead stops and provide clear guidance for operators and providers. One government stakeholder advised that it already identified lead stops through various means (coloured poles and uprights with letters and stop numbers, with some including electronic displays and audio announcements). Another advised that the issue was not the identification of the lead stop, but the operation of buses at lead stops.</w:t>
      </w:r>
    </w:p>
    <w:p w14:paraId="116DC679" w14:textId="77777777" w:rsidR="00E1199F" w:rsidRPr="007D162C" w:rsidRDefault="00E1199F" w:rsidP="00E1199F">
      <w:r w:rsidRPr="007D162C">
        <w:t>Two stakeholders noted the requirement for lead stops to be ‘clearly identifiable to passengers with disability’ needs to be defined better or further guidance provided. This is because ‘clearly identifiable’ could be different for different types of disability. The flexibility of guidance to address this was noted. One stakeholder raised that references to platforms should be removed to avoid any confusion with train platforms.</w:t>
      </w:r>
    </w:p>
    <w:p w14:paraId="3B63C395" w14:textId="6187D0B3" w:rsidR="00E1199F" w:rsidRPr="007D162C" w:rsidRDefault="08D050C4" w:rsidP="00E1199F">
      <w:r w:rsidRPr="007D162C">
        <w:t>The impact of implementing this option was seen as being dependant on the extent of the requirements. One government stakeholder noted that the regulatory option was not consistently implementable, with implementation issue</w:t>
      </w:r>
      <w:r w:rsidR="00171427">
        <w:t>s</w:t>
      </w:r>
      <w:r w:rsidRPr="007D162C">
        <w:t xml:space="preserve"> arising when third parties own the relevant infrastructure or in regional or remote areas if supporting electronic or communications infrastructure was not readily available.</w:t>
      </w:r>
    </w:p>
    <w:p w14:paraId="7D530ABC" w14:textId="77777777" w:rsidR="00E1199F" w:rsidRPr="007D162C" w:rsidRDefault="00E1199F" w:rsidP="00E1199F">
      <w:pPr>
        <w:pStyle w:val="Heading4"/>
      </w:pPr>
      <w:r w:rsidRPr="007D162C">
        <w:t>Preferred option</w:t>
      </w:r>
    </w:p>
    <w:p w14:paraId="75CFC5CE" w14:textId="071E93E5" w:rsidR="00E1199F" w:rsidRPr="007D162C" w:rsidRDefault="00E1199F" w:rsidP="00E1199F">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t>
      </w:r>
    </w:p>
    <w:p w14:paraId="3EE46540" w14:textId="77777777" w:rsidR="00E1199F" w:rsidRPr="007D162C" w:rsidRDefault="00E1199F" w:rsidP="00E1199F">
      <w:r w:rsidRPr="007D162C">
        <w:t>There was a clear preference for the regulatory option amongst the stakeholders who expressed a preference during the consultation process (14 out of 15). There was agreement that the regulatory option would assist people with disability to identify lead stops, particularly people with visual impairments, and increase the ability to travel independently. The costs of implementing this option were not covered in detail by stakeholders, but are likely to modest given the identification methods currently being used to identify lead stops.</w:t>
      </w:r>
    </w:p>
    <w:p w14:paraId="5B0D1400" w14:textId="77777777" w:rsidR="00E1199F" w:rsidRPr="007D162C" w:rsidRDefault="00E1199F" w:rsidP="00E1199F">
      <w:r w:rsidRPr="007D162C">
        <w:t>The implementation of the regulatory option would need to be accompanied by an awareness campaign for passengers to ensure the full benefits of the option are achieved. To address concerns regarding the meaning of ‘clearly identifiable’ the guidance would be developed in consultation with people with disability and operators and providers to ensure the methods used to identify lead stops cater for the needs of all people with disability.</w:t>
      </w:r>
    </w:p>
    <w:p w14:paraId="1FC53658" w14:textId="77777777"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p>
    <w:p w14:paraId="20FAF7EE" w14:textId="7509E02B" w:rsidR="00E1199F" w:rsidRPr="007D162C" w:rsidRDefault="00E1199F" w:rsidP="00E177CC">
      <w:pPr>
        <w:pStyle w:val="Heading2"/>
        <w:numPr>
          <w:ilvl w:val="0"/>
          <w:numId w:val="28"/>
        </w:numPr>
        <w:ind w:hanging="720"/>
      </w:pPr>
      <w:bookmarkStart w:id="567" w:name="_Toc127351796"/>
      <w:bookmarkStart w:id="568" w:name="_Toc140239754"/>
      <w:r w:rsidRPr="007D162C">
        <w:lastRenderedPageBreak/>
        <w:t>Pontoon boarding points on infrastructure</w:t>
      </w:r>
      <w:bookmarkEnd w:id="567"/>
      <w:bookmarkEnd w:id="568"/>
    </w:p>
    <w:p w14:paraId="57063B1A" w14:textId="77777777" w:rsidR="00E1199F" w:rsidRPr="007D162C" w:rsidRDefault="00E1199F" w:rsidP="00E1199F">
      <w:pPr>
        <w:pStyle w:val="Heading4"/>
        <w:tabs>
          <w:tab w:val="left" w:pos="284"/>
        </w:tabs>
      </w:pPr>
      <w:r w:rsidRPr="007D162C">
        <w:t>Issue</w:t>
      </w:r>
    </w:p>
    <w:p w14:paraId="251645E4" w14:textId="77777777" w:rsidR="00E1199F" w:rsidRPr="007D162C" w:rsidRDefault="00E1199F" w:rsidP="00E1199F">
      <w:pPr>
        <w:tabs>
          <w:tab w:val="left" w:pos="284"/>
        </w:tabs>
      </w:pPr>
      <w:r w:rsidRPr="007D162C">
        <w:t>Currently, boarding points are required to have a firm and level surface where boarding devices can be deployed. However, there is uncertainty in what is meant by ‘firm and level’ in relation to pontoon boarding points as these are affected by wash, wave and wind action in a dynamic marine environment. This may result in pontoons that are not fit for purpose with design features that allow for maximum stability to ensure people with disability can board and alight ferries safely.</w:t>
      </w:r>
    </w:p>
    <w:p w14:paraId="6283EF74" w14:textId="77777777" w:rsidR="00E1199F" w:rsidRPr="007D162C" w:rsidRDefault="00E1199F" w:rsidP="00E1199F">
      <w:pPr>
        <w:tabs>
          <w:tab w:val="left" w:pos="284"/>
        </w:tabs>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7A8614BF" w14:textId="77777777" w:rsidR="00E1199F" w:rsidRPr="007D162C" w:rsidRDefault="00E1199F" w:rsidP="00E1199F">
      <w:pPr>
        <w:pStyle w:val="Heading4"/>
        <w:tabs>
          <w:tab w:val="left" w:pos="284"/>
        </w:tabs>
      </w:pPr>
      <w:r w:rsidRPr="007D162C">
        <w:t>Reform options</w:t>
      </w:r>
    </w:p>
    <w:p w14:paraId="04D6DAE7"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198789B" w14:textId="03A2617D" w:rsidR="00E1199F" w:rsidRPr="007D162C" w:rsidRDefault="00E1199F" w:rsidP="00E1199F">
      <w:pPr>
        <w:pStyle w:val="Caption"/>
        <w:keepNext/>
      </w:pPr>
      <w:bookmarkStart w:id="569" w:name="_Toc122446446"/>
      <w:bookmarkStart w:id="570" w:name="_Toc139969283"/>
      <w:r w:rsidRPr="007D162C">
        <w:t xml:space="preserve">Table </w:t>
      </w:r>
      <w:fldSimple w:instr=" SEQ Table \* ARABIC ">
        <w:r w:rsidR="00DC26AC">
          <w:rPr>
            <w:noProof/>
          </w:rPr>
          <w:t>125</w:t>
        </w:r>
      </w:fldSimple>
      <w:r w:rsidRPr="007D162C">
        <w:t>: Reform options for pontoon boarding points on infrastructure</w:t>
      </w:r>
      <w:bookmarkEnd w:id="569"/>
      <w:bookmarkEnd w:id="570"/>
    </w:p>
    <w:tbl>
      <w:tblPr>
        <w:tblStyle w:val="DefaultTable1"/>
        <w:tblW w:w="9072" w:type="dxa"/>
        <w:tblLook w:val="04A0" w:firstRow="1" w:lastRow="0" w:firstColumn="1" w:lastColumn="0" w:noHBand="0" w:noVBand="1"/>
        <w:tblCaption w:val="Reform options for pontoon boarding points on infrastructure"/>
        <w:tblDescription w:val="This table provides a description of each of the options for this reform area. Status quo, non-regulatory and regulatory."/>
      </w:tblPr>
      <w:tblGrid>
        <w:gridCol w:w="2232"/>
        <w:gridCol w:w="6840"/>
      </w:tblGrid>
      <w:tr w:rsidR="00E1199F" w:rsidRPr="007D162C" w14:paraId="7220975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1579DF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954B7EB"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0F444A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75C1204"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522C23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will continue to require boarding points to have a firm and level surface where boarding devices can be deployed. However, will not define ‘firm and level’ in relation to pontoon boarding points. </w:t>
            </w:r>
          </w:p>
          <w:p w14:paraId="0249B6B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ED8B89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5FAAC4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4CAF5EE8" w14:textId="7B0CE19C"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 xml:space="preserve">Guidance would be updated to include advice on pontoon boarding points, to ensure they have maximum stability and </w:t>
            </w:r>
            <w:r w:rsidR="00436AD8">
              <w:t xml:space="preserve">the </w:t>
            </w:r>
            <w:r w:rsidRPr="007D162C">
              <w:t>lowest possible gradients in their operating environment.</w:t>
            </w:r>
          </w:p>
        </w:tc>
      </w:tr>
      <w:tr w:rsidR="00E1199F" w:rsidRPr="007D162C" w14:paraId="3BF6C7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B2DFED9"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0E96B90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provide requirements for pontoon boarding points, including:</w:t>
            </w:r>
          </w:p>
          <w:p w14:paraId="474608F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Pontoons must have a flat and stable surface to which a removable gangway or other boarding device can be deployed.</w:t>
            </w:r>
          </w:p>
          <w:p w14:paraId="64D3562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rPr>
                <w:i/>
              </w:rPr>
            </w:pPr>
            <w:r w:rsidRPr="007D162C">
              <w:t>Ferry pontoon design must minimise vertical, horizontal and rocking movement of the boarding point as per the relevant Australian Standard.</w:t>
            </w:r>
          </w:p>
          <w:p w14:paraId="1A9E0A1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48B9A01C" w14:textId="77777777" w:rsidR="004C47E2" w:rsidRPr="007D162C" w:rsidRDefault="004C47E2" w:rsidP="00672DB6"/>
    <w:p w14:paraId="054FCECB" w14:textId="74F07B5D" w:rsidR="00E1199F" w:rsidRPr="007D162C" w:rsidRDefault="00E1199F" w:rsidP="00E1199F">
      <w:pPr>
        <w:pStyle w:val="Heading4"/>
        <w:tabs>
          <w:tab w:val="left" w:pos="284"/>
        </w:tabs>
      </w:pPr>
      <w:r w:rsidRPr="007D162C">
        <w:t>Cost benefit analysis</w:t>
      </w:r>
    </w:p>
    <w:p w14:paraId="61BD070E"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BC47E9A" w14:textId="77777777" w:rsidR="00E1199F" w:rsidRPr="007D162C" w:rsidRDefault="00E1199F" w:rsidP="00E1199F">
      <w:r w:rsidRPr="007D162C">
        <w:t xml:space="preserve">The following categories of quantitative costs and benefits were identified in the CBA as pertaining to the reform options. </w:t>
      </w:r>
    </w:p>
    <w:p w14:paraId="2C399D9B" w14:textId="78A16A55" w:rsidR="00E1199F" w:rsidRPr="007D162C" w:rsidRDefault="00E1199F" w:rsidP="00E1199F">
      <w:pPr>
        <w:pStyle w:val="Caption"/>
        <w:keepNext/>
      </w:pPr>
      <w:bookmarkStart w:id="571" w:name="_Toc122446447"/>
      <w:bookmarkStart w:id="572" w:name="_Toc139969284"/>
      <w:r w:rsidRPr="007D162C">
        <w:lastRenderedPageBreak/>
        <w:t xml:space="preserve">Table </w:t>
      </w:r>
      <w:fldSimple w:instr=" SEQ Table \* ARABIC ">
        <w:r w:rsidR="00DC26AC">
          <w:rPr>
            <w:noProof/>
          </w:rPr>
          <w:t>126</w:t>
        </w:r>
      </w:fldSimple>
      <w:r w:rsidRPr="007D162C">
        <w:t>: Benefit-cost ratios for pontoon boarding points on infrastructure</w:t>
      </w:r>
      <w:bookmarkEnd w:id="571"/>
      <w:bookmarkEnd w:id="572"/>
    </w:p>
    <w:tbl>
      <w:tblPr>
        <w:tblStyle w:val="DefaultTable1"/>
        <w:tblW w:w="9864" w:type="dxa"/>
        <w:tblLook w:val="04A0" w:firstRow="1" w:lastRow="0" w:firstColumn="1" w:lastColumn="0" w:noHBand="0" w:noVBand="1"/>
        <w:tblCaption w:val="Benefit-cost ratios for pontoon boarding points on infrastructure"/>
        <w:tblDescription w:val="This table provides the monetised benefits and costs for each of the options for this reform area."/>
      </w:tblPr>
      <w:tblGrid>
        <w:gridCol w:w="1214"/>
        <w:gridCol w:w="1531"/>
        <w:gridCol w:w="1791"/>
        <w:gridCol w:w="1843"/>
        <w:gridCol w:w="1559"/>
        <w:gridCol w:w="1926"/>
      </w:tblGrid>
      <w:tr w:rsidR="00E1199F" w:rsidRPr="007D162C" w14:paraId="148CC26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9601DF9" w14:textId="77777777" w:rsidR="00E1199F" w:rsidRPr="007D162C" w:rsidRDefault="08D050C4" w:rsidP="00E1199F">
            <w:r w:rsidRPr="007D162C">
              <w:t>Reform Option</w:t>
            </w:r>
          </w:p>
        </w:tc>
        <w:tc>
          <w:tcPr>
            <w:tcW w:w="1531" w:type="dxa"/>
          </w:tcPr>
          <w:p w14:paraId="376AAB0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12310A8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7E6CEF9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59" w:type="dxa"/>
          </w:tcPr>
          <w:p w14:paraId="342FA5C8"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926" w:type="dxa"/>
          </w:tcPr>
          <w:p w14:paraId="22F7B94F" w14:textId="4B72375C"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512F84E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70A8D75" w14:textId="77777777" w:rsidR="00E1199F" w:rsidRPr="007D162C" w:rsidRDefault="00E1199F" w:rsidP="00E1199F">
            <w:r w:rsidRPr="007D162C">
              <w:t>Status Quo</w:t>
            </w:r>
          </w:p>
        </w:tc>
        <w:tc>
          <w:tcPr>
            <w:tcW w:w="1531" w:type="dxa"/>
          </w:tcPr>
          <w:p w14:paraId="6AE1A98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E30983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594BAA60"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59" w:type="dxa"/>
          </w:tcPr>
          <w:p w14:paraId="46D41A9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26" w:type="dxa"/>
          </w:tcPr>
          <w:p w14:paraId="520CD40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8607CE2"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2709B89B" w14:textId="77777777" w:rsidR="00E1199F" w:rsidRPr="007D162C" w:rsidRDefault="00E1199F" w:rsidP="00E1199F">
            <w:r w:rsidRPr="007D162C">
              <w:t xml:space="preserve">Non-regulatory </w:t>
            </w:r>
          </w:p>
        </w:tc>
        <w:tc>
          <w:tcPr>
            <w:tcW w:w="1531" w:type="dxa"/>
          </w:tcPr>
          <w:p w14:paraId="3AFBD85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91" w:type="dxa"/>
          </w:tcPr>
          <w:p w14:paraId="6AA8619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tcPr>
          <w:p w14:paraId="58B5D193"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59" w:type="dxa"/>
          </w:tcPr>
          <w:p w14:paraId="5235D2D0"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926" w:type="dxa"/>
          </w:tcPr>
          <w:p w14:paraId="75E54A4E"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67F2552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8A3CF55" w14:textId="77777777" w:rsidR="00E1199F" w:rsidRPr="007D162C" w:rsidRDefault="00E1199F" w:rsidP="00E1199F">
            <w:r w:rsidRPr="007D162C">
              <w:t>Regulatory</w:t>
            </w:r>
          </w:p>
        </w:tc>
        <w:tc>
          <w:tcPr>
            <w:tcW w:w="1531" w:type="dxa"/>
            <w:vAlign w:val="center"/>
          </w:tcPr>
          <w:p w14:paraId="2F55B2A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26.5</w:t>
            </w:r>
          </w:p>
        </w:tc>
        <w:tc>
          <w:tcPr>
            <w:tcW w:w="1791" w:type="dxa"/>
            <w:vAlign w:val="center"/>
          </w:tcPr>
          <w:p w14:paraId="05B3115A"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41AD600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78.1</w:t>
            </w:r>
          </w:p>
        </w:tc>
        <w:tc>
          <w:tcPr>
            <w:tcW w:w="1559" w:type="dxa"/>
            <w:vAlign w:val="center"/>
          </w:tcPr>
          <w:p w14:paraId="33496DB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78.1</w:t>
            </w:r>
          </w:p>
        </w:tc>
        <w:tc>
          <w:tcPr>
            <w:tcW w:w="1926" w:type="dxa"/>
            <w:vAlign w:val="center"/>
          </w:tcPr>
          <w:p w14:paraId="2303E845" w14:textId="280771E1"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0.34</w:t>
            </w:r>
            <w:r w:rsidR="00CC3E1D" w:rsidRPr="007D162C">
              <w:rPr>
                <w:sz w:val="18"/>
                <w:szCs w:val="18"/>
                <w:vertAlign w:val="superscript"/>
              </w:rPr>
              <w:t>i</w:t>
            </w:r>
          </w:p>
        </w:tc>
      </w:tr>
    </w:tbl>
    <w:p w14:paraId="56BA0BA4"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2E65676A" w14:textId="4C8FCA1C" w:rsidR="00E1199F" w:rsidRPr="007D162C" w:rsidRDefault="08D050C4" w:rsidP="08D050C4">
      <w:pPr>
        <w:spacing w:before="120" w:after="0"/>
        <w:rPr>
          <w:sz w:val="20"/>
          <w:szCs w:val="20"/>
        </w:rPr>
      </w:pPr>
      <w:r w:rsidRPr="007D162C">
        <w:rPr>
          <w:sz w:val="20"/>
          <w:szCs w:val="20"/>
          <w:vertAlign w:val="superscript"/>
        </w:rPr>
        <w:t xml:space="preserve"> (i)</w:t>
      </w:r>
      <w:r w:rsidRPr="007D162C">
        <w:rPr>
          <w:sz w:val="20"/>
          <w:szCs w:val="20"/>
        </w:rPr>
        <w:t>The benefits and costs presented in the table above are rounded to two decimal places and calculated to four decimal places in the CBA workbook, which may result in zero values in the table.</w:t>
      </w:r>
    </w:p>
    <w:p w14:paraId="43497BCC" w14:textId="77777777" w:rsidR="00CC3E1D" w:rsidRPr="007D162C" w:rsidRDefault="00CC3E1D" w:rsidP="00E1199F">
      <w:pPr>
        <w:spacing w:before="120" w:after="0"/>
        <w:rPr>
          <w:sz w:val="20"/>
        </w:rPr>
      </w:pPr>
    </w:p>
    <w:p w14:paraId="033D1119" w14:textId="77777777" w:rsidR="00E1199F" w:rsidRPr="007D162C" w:rsidRDefault="00E1199F" w:rsidP="00E1199F">
      <w:pPr>
        <w:pStyle w:val="Heading6"/>
      </w:pPr>
      <w:r w:rsidRPr="007D162C">
        <w:t>Considerations to note in interpreting analysis</w:t>
      </w:r>
    </w:p>
    <w:p w14:paraId="58C5996A" w14:textId="77777777" w:rsidR="00E1199F" w:rsidRPr="007D162C" w:rsidRDefault="00E1199F" w:rsidP="00CC3E1D">
      <w:pPr>
        <w:pStyle w:val="Heading7"/>
      </w:pPr>
      <w:r w:rsidRPr="007D162C">
        <w:t>Limitations:</w:t>
      </w:r>
    </w:p>
    <w:p w14:paraId="2F9B4D3B" w14:textId="77777777" w:rsidR="00E1199F" w:rsidRPr="007D162C" w:rsidRDefault="00E1199F" w:rsidP="00CC3E1D">
      <w:pPr>
        <w:pStyle w:val="Heading8"/>
      </w:pPr>
      <w:r w:rsidRPr="007D162C">
        <w:t>Non-regulatory option:</w:t>
      </w:r>
    </w:p>
    <w:p w14:paraId="2A0D30AA" w14:textId="2E628276" w:rsidR="000917A8" w:rsidRPr="007D162C" w:rsidRDefault="00E1199F" w:rsidP="000917A8">
      <w:r w:rsidRPr="007D162C">
        <w:t xml:space="preserve">There are no costs and benefits </w:t>
      </w:r>
      <w:r w:rsidRPr="000917A8">
        <w:t>associated with the non-regulatory reform. The non-regulatory option was not costed, as submissions,</w:t>
      </w:r>
      <w:r w:rsidRPr="007D162C">
        <w:t xml:space="preserve"> indicated maritime design standards already implement these requirements. </w:t>
      </w:r>
    </w:p>
    <w:p w14:paraId="228ED911" w14:textId="77777777" w:rsidR="00E1199F" w:rsidRPr="007D162C" w:rsidRDefault="00E1199F" w:rsidP="000917A8">
      <w:pPr>
        <w:pStyle w:val="Heading8"/>
      </w:pPr>
      <w:r w:rsidRPr="007D162C">
        <w:t>Regulatory option:</w:t>
      </w:r>
    </w:p>
    <w:p w14:paraId="631F94BE" w14:textId="740944E8" w:rsidR="00F302D5" w:rsidRPr="007D162C" w:rsidRDefault="00E1199F" w:rsidP="000917A8">
      <w:r w:rsidRPr="007D162C">
        <w:t>The benefits and costs for this reform were developed based on a limited number of survey responses and may not fully capture the extent of national compliance.</w:t>
      </w:r>
    </w:p>
    <w:p w14:paraId="67EF3420" w14:textId="1A9BBC18" w:rsidR="00F302D5" w:rsidRPr="007D162C" w:rsidRDefault="00E1199F" w:rsidP="000917A8">
      <w:r w:rsidRPr="007D162C">
        <w:t>The compliance cost associated with retrofitting existing pontoons vary greatly between different marine environments and would require consideration of dynamic environments.</w:t>
      </w:r>
    </w:p>
    <w:p w14:paraId="3691F0B8" w14:textId="77777777" w:rsidR="00E1199F" w:rsidRPr="007D162C" w:rsidRDefault="00E1199F" w:rsidP="000917A8">
      <w:pPr>
        <w:pStyle w:val="Heading8"/>
      </w:pPr>
      <w:r w:rsidRPr="007D162C">
        <w:t>Interdependencies:</w:t>
      </w:r>
    </w:p>
    <w:p w14:paraId="17CC8DED" w14:textId="77777777" w:rsidR="00E1199F" w:rsidRPr="007D162C" w:rsidRDefault="00E1199F" w:rsidP="000917A8">
      <w:r w:rsidRPr="007D162C">
        <w:t>The accessibility benefits of this reform will only be realised if there was equitable access across the whole public transport journey, with benefits reliant on implementation of other reforms such as removable gangway design and stairs on ferries.</w:t>
      </w:r>
    </w:p>
    <w:p w14:paraId="1D6D70BA"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7A79E36" w14:textId="5DDF3B4A" w:rsidR="004C47E2" w:rsidRPr="007D162C" w:rsidRDefault="00E1199F" w:rsidP="00262CCB">
      <w:r w:rsidRPr="007D162C">
        <w:t>The following categories of qualitative benefits were identified in the CBA as pertaining to the reform options.</w:t>
      </w:r>
    </w:p>
    <w:p w14:paraId="76184B12" w14:textId="73F304C5" w:rsidR="00E1199F" w:rsidRPr="007D162C" w:rsidRDefault="00E1199F" w:rsidP="004C47E2">
      <w:pPr>
        <w:spacing w:line="259" w:lineRule="auto"/>
      </w:pPr>
      <w:bookmarkStart w:id="573" w:name="_Toc122446448"/>
      <w:bookmarkStart w:id="574" w:name="_Toc139969285"/>
      <w:r w:rsidRPr="007D162C">
        <w:t xml:space="preserve">Table </w:t>
      </w:r>
      <w:r w:rsidRPr="007D162C">
        <w:fldChar w:fldCharType="begin"/>
      </w:r>
      <w:r w:rsidRPr="007D162C">
        <w:instrText xml:space="preserve"> SEQ Table \* ARABIC </w:instrText>
      </w:r>
      <w:r w:rsidRPr="007D162C">
        <w:fldChar w:fldCharType="separate"/>
      </w:r>
      <w:r w:rsidR="00DC26AC">
        <w:rPr>
          <w:noProof/>
        </w:rPr>
        <w:t>127</w:t>
      </w:r>
      <w:r w:rsidRPr="007D162C">
        <w:rPr>
          <w:noProof/>
        </w:rPr>
        <w:fldChar w:fldCharType="end"/>
      </w:r>
      <w:r w:rsidRPr="007D162C">
        <w:rPr>
          <w:noProof/>
        </w:rPr>
        <w:t xml:space="preserve">: </w:t>
      </w:r>
      <w:r w:rsidRPr="007D162C">
        <w:t>Qualitative benefits for pontoon boarding points on infrastructure</w:t>
      </w:r>
      <w:bookmarkEnd w:id="573"/>
      <w:bookmarkEnd w:id="574"/>
    </w:p>
    <w:tbl>
      <w:tblPr>
        <w:tblStyle w:val="DefaultTable1"/>
        <w:tblW w:w="9864" w:type="dxa"/>
        <w:tblLook w:val="04A0" w:firstRow="1" w:lastRow="0" w:firstColumn="1" w:lastColumn="0" w:noHBand="0" w:noVBand="1"/>
        <w:tblCaption w:val="Qualitative benefits for pontoon boarding points on infrastructure"/>
      </w:tblPr>
      <w:tblGrid>
        <w:gridCol w:w="1213"/>
        <w:gridCol w:w="1343"/>
        <w:gridCol w:w="1626"/>
        <w:gridCol w:w="1300"/>
        <w:gridCol w:w="1278"/>
        <w:gridCol w:w="1641"/>
        <w:gridCol w:w="1463"/>
      </w:tblGrid>
      <w:tr w:rsidR="00E1199F" w:rsidRPr="007D162C" w14:paraId="013D126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D04E6E1" w14:textId="77777777" w:rsidR="00E1199F" w:rsidRPr="007D162C" w:rsidRDefault="08D050C4" w:rsidP="00E1199F">
            <w:r w:rsidRPr="007D162C">
              <w:t>Reform Option</w:t>
            </w:r>
          </w:p>
        </w:tc>
        <w:tc>
          <w:tcPr>
            <w:tcW w:w="1343" w:type="dxa"/>
          </w:tcPr>
          <w:p w14:paraId="601A0A9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621566A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A0FCAB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7ADFC0B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4F1133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F7AB34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3C2ACE3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F797D7" w14:textId="77777777" w:rsidR="00E1199F" w:rsidRPr="007D162C" w:rsidRDefault="00E1199F" w:rsidP="00E1199F">
            <w:r w:rsidRPr="007D162C">
              <w:t>Status Quo</w:t>
            </w:r>
          </w:p>
        </w:tc>
        <w:tc>
          <w:tcPr>
            <w:tcW w:w="1343" w:type="dxa"/>
          </w:tcPr>
          <w:p w14:paraId="1B88E33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6D812DE6"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FCAB73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EE4B04B"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564C273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289D12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0CA83C8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136F604" w14:textId="77777777" w:rsidR="00E1199F" w:rsidRPr="007D162C" w:rsidRDefault="00E1199F" w:rsidP="00E1199F">
            <w:r w:rsidRPr="007D162C">
              <w:t xml:space="preserve">Non-regulatory </w:t>
            </w:r>
          </w:p>
        </w:tc>
        <w:tc>
          <w:tcPr>
            <w:tcW w:w="1343" w:type="dxa"/>
          </w:tcPr>
          <w:p w14:paraId="4488DAF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144CB3C"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7359BA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3EA1543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E28E087"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113A825F"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7317C67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D25A0A4" w14:textId="77777777" w:rsidR="00E1199F" w:rsidRPr="007D162C" w:rsidRDefault="00E1199F" w:rsidP="00E1199F">
            <w:r w:rsidRPr="007D162C">
              <w:t>Regulatory</w:t>
            </w:r>
          </w:p>
        </w:tc>
        <w:tc>
          <w:tcPr>
            <w:tcW w:w="1343" w:type="dxa"/>
          </w:tcPr>
          <w:p w14:paraId="1790788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C6C17A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79D32D6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5812E1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7D3182E"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8536A0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0F8FB832" w14:textId="77777777" w:rsidR="00CC3E1D" w:rsidRPr="007D162C" w:rsidRDefault="00CC3E1D" w:rsidP="000A4CD3">
      <w:pPr>
        <w:pStyle w:val="BodyText"/>
      </w:pPr>
    </w:p>
    <w:p w14:paraId="7226A6D6" w14:textId="30DFAA29" w:rsidR="00E1199F" w:rsidRPr="007D162C" w:rsidRDefault="00E1199F" w:rsidP="00E1199F">
      <w:pPr>
        <w:pStyle w:val="Heading4"/>
        <w:tabs>
          <w:tab w:val="left" w:pos="284"/>
        </w:tabs>
      </w:pPr>
      <w:r w:rsidRPr="007D162C">
        <w:t xml:space="preserve">Analysis of submissions </w:t>
      </w:r>
    </w:p>
    <w:p w14:paraId="4FDB62A4" w14:textId="77777777" w:rsidR="00E1199F" w:rsidRPr="007D162C" w:rsidRDefault="00E1199F" w:rsidP="00CC3E1D">
      <w:pPr>
        <w:pStyle w:val="Heading5"/>
      </w:pPr>
      <w:r w:rsidRPr="007D162C">
        <w:t>Status quo</w:t>
      </w:r>
    </w:p>
    <w:p w14:paraId="2E641402" w14:textId="77777777" w:rsidR="00E1199F" w:rsidRPr="007D162C" w:rsidRDefault="00E1199F" w:rsidP="00E1199F">
      <w:r w:rsidRPr="007D162C">
        <w:t>Section 8.1 of the Transport Standards requires boarding points to have a firm and level surface to which a boarding device can be deployed. The section does not include environment-specific solutions or requirements, or guidance specific to each type of conveyance. Under the status quo option the Transport Standards would continue to be silent in relation to pontoons and how the section is to be applied to the dynamic operating marine environment in which they used. No submissions received during the public consultation period supported the status quo option.</w:t>
      </w:r>
    </w:p>
    <w:p w14:paraId="50604FD1" w14:textId="77777777" w:rsidR="00E1199F" w:rsidRPr="007D162C" w:rsidRDefault="00E1199F" w:rsidP="00E1199F">
      <w:pPr>
        <w:rPr>
          <w:rFonts w:ascii="Calibri" w:hAnsi="Calibri" w:cs="Calibri"/>
          <w:color w:val="000000" w:themeColor="text1"/>
        </w:rPr>
      </w:pPr>
      <w:r w:rsidRPr="007D162C">
        <w:t xml:space="preserve">Pontoon boarding points may be rising and falling vertically while the ferry is simultaneously moving laterally. </w:t>
      </w:r>
      <w:r w:rsidRPr="007D162C">
        <w:rPr>
          <w:rFonts w:ascii="Calibri" w:hAnsi="Calibri" w:cs="Calibri"/>
          <w:color w:val="000000"/>
          <w:shd w:val="clear" w:color="auto" w:fill="FFFFFF"/>
        </w:rPr>
        <w:t xml:space="preserve">Submissions outlined that change from the status quo is required to ensure that pontoons have the characteristics that are suited to the environment in which they are used, to ensure the amenity, convenience and safety of people with disability. </w:t>
      </w:r>
    </w:p>
    <w:p w14:paraId="19E2DC85" w14:textId="78664E24" w:rsidR="00E1199F" w:rsidRPr="007D162C" w:rsidRDefault="00E1199F" w:rsidP="00E1199F">
      <w:r w:rsidRPr="007D162C">
        <w:t>Under the status quo there would continue to be a lack of clarity in the Transport Standards. Operators and providers may continue to be unable to comply with the requirements, or will comply with requirements which are not suited to the marine environment. Pontoons that do not have the necessary design, safety and support features that suit the environment in which they are used will continue to pose a risk to the safety, amenity and confidence of all people while boarding or alighting.  This risk of both falls and injury are greater for people with disability. The status quo has no ongoing costs for public transport operators and providers</w:t>
      </w:r>
      <w:r w:rsidR="00436AD8">
        <w:t>;</w:t>
      </w:r>
      <w:r w:rsidRPr="007D162C">
        <w:t xml:space="preserve"> however</w:t>
      </w:r>
      <w:r w:rsidR="00436AD8">
        <w:t>,</w:t>
      </w:r>
      <w:r w:rsidRPr="007D162C">
        <w:t xml:space="preserve"> negative impacts on community amenity, accessibility, and safety will remain.</w:t>
      </w:r>
    </w:p>
    <w:p w14:paraId="2F329AC2" w14:textId="77777777" w:rsidR="00E1199F" w:rsidRPr="007D162C" w:rsidRDefault="00E1199F" w:rsidP="00CC3E1D">
      <w:pPr>
        <w:pStyle w:val="Heading5"/>
      </w:pPr>
      <w:r w:rsidRPr="007D162C">
        <w:t>Non-regulatory</w:t>
      </w:r>
    </w:p>
    <w:p w14:paraId="4367C00B" w14:textId="5E397B2E" w:rsidR="00E1199F" w:rsidRPr="007D162C" w:rsidRDefault="00E1199F" w:rsidP="00E1199F">
      <w:r w:rsidRPr="007D162C">
        <w:t xml:space="preserve">The non-regulatory option would provide updated guidance on pontoon boarding points to ensure they have maximum stability and </w:t>
      </w:r>
      <w:r w:rsidR="00436AD8">
        <w:t xml:space="preserve">the </w:t>
      </w:r>
      <w:r w:rsidRPr="007D162C">
        <w:t>lowest possible gradients that consider the dynamic operating marine environment in which they used. This may include advice on pontoon design.</w:t>
      </w:r>
    </w:p>
    <w:p w14:paraId="7E3F4F58" w14:textId="77777777" w:rsidR="00E1199F" w:rsidRPr="007D162C" w:rsidRDefault="08D050C4" w:rsidP="08D050C4">
      <w:pPr>
        <w:rPr>
          <w:b/>
          <w:bCs/>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largely divided on their preferred option; however, the non-regulatory option had a slight majority amongst those who expressed a preference. One submission outlined that a number of unique factors in the marine environment, such as vessel stability, wake from passing vessels and variable loading of vessels, create challenges with meeting the ‘firm and level’ requirement under the status quo. This submission noted that these challenges are not captured in the options so the non-regulatory option was the preferred option by this stakeholder. This submission also highlighted that retrofitting pontoons to meet the proposed regulatory option is highly complex and, in many cases, cost prohibitive due to many operational and technical variables, including vessel size, operations and environmental factors. Submissions indicated the non-regulatory option would provide greater flexibility to address such challenges. Another submission noted that guidance could also recognise that operators may not own the pontoons from which services are boarded.</w:t>
      </w:r>
    </w:p>
    <w:p w14:paraId="5DD3CBA4" w14:textId="77777777" w:rsidR="00E1199F" w:rsidRPr="007D162C" w:rsidRDefault="00E1199F" w:rsidP="00E1199F">
      <w:r w:rsidRPr="007D162C">
        <w:t xml:space="preserve">To the extent that guidance is followed, the non-regulatory option would provide greater guidance and clarity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 xml:space="preserve">One submission indicated that existing assets are likely to already be compliant and not require replacement so the cost impact should be minimal. However, another submission indicates that retrofitting existing pontoons cam be highly complex and, in many cases, would be cost prohibitive. Operators and providers will be able to manage the implementation (and related costs) to suit their operational requirements, including through staging the implementation. </w:t>
      </w:r>
    </w:p>
    <w:p w14:paraId="21384957" w14:textId="01A54490" w:rsidR="00E1199F" w:rsidRPr="007D162C" w:rsidRDefault="08D050C4" w:rsidP="00E1199F">
      <w:r w:rsidRPr="007D162C">
        <w:lastRenderedPageBreak/>
        <w:t xml:space="preserve">Given this option is discretionary, it does not provide certainty that guidance will be implemented. To the extent that guidance is followed, people will benefit from minimised pontoon movement, particularly people with disability. This will enhance passenger safety and confidence to board and alight ferries by improving accessibility at pontoons. </w:t>
      </w:r>
    </w:p>
    <w:p w14:paraId="076264A0" w14:textId="77777777" w:rsidR="00E1199F" w:rsidRPr="007D162C" w:rsidRDefault="00E1199F" w:rsidP="00CC3E1D">
      <w:pPr>
        <w:pStyle w:val="Heading5"/>
      </w:pPr>
      <w:r w:rsidRPr="007D162C">
        <w:t>Regulatory</w:t>
      </w:r>
    </w:p>
    <w:p w14:paraId="64BB15AE" w14:textId="77777777" w:rsidR="00E1199F" w:rsidRPr="000917A8" w:rsidRDefault="00E1199F" w:rsidP="00E1199F">
      <w:r w:rsidRPr="007D162C">
        <w:t xml:space="preserve">The Transport Standards would be amended to provide requirements for pontoon boarding points, including design requirements referencing AS3962 (2020) </w:t>
      </w:r>
      <w:r w:rsidRPr="000917A8">
        <w:t>Marina Design, Section 4 Loading and stability.</w:t>
      </w:r>
    </w:p>
    <w:p w14:paraId="783B9FF4" w14:textId="77777777" w:rsidR="00E1199F" w:rsidRPr="007D162C" w:rsidRDefault="00E1199F" w:rsidP="00E1199F">
      <w:r w:rsidRPr="000917A8">
        <w:t xml:space="preserve">The regulatory option was the preferred option for all individuals, people with disability and disability organisations. </w:t>
      </w:r>
      <w:r w:rsidRPr="000917A8">
        <w:rPr>
          <w:rFonts w:ascii="Calibri" w:eastAsia="Times New Roman" w:hAnsi="Calibri" w:cs="Calibri"/>
          <w:color w:val="000000"/>
          <w:lang w:eastAsia="en-AU"/>
        </w:rPr>
        <w:t>Slightly less than half of government stakeholder submissions</w:t>
      </w:r>
      <w:r w:rsidRPr="007D162C">
        <w:rPr>
          <w:rFonts w:ascii="Calibri" w:eastAsia="Times New Roman" w:hAnsi="Calibri" w:cs="Calibri"/>
          <w:color w:val="000000"/>
          <w:lang w:eastAsia="en-AU"/>
        </w:rPr>
        <w:t xml:space="preserve"> also expressed support for the regulatory option. </w:t>
      </w:r>
      <w:r w:rsidRPr="007D162C">
        <w:t>Submissions from individuals, people with disability and disability organisations expressed the need for separate prescribed guidelines for pontoon boarding points. Two submissions expressed particular concern with smaller pontoons which rock considerably</w:t>
      </w:r>
      <w:r w:rsidRPr="007D162C">
        <w:rPr>
          <w:rFonts w:ascii="Calibri" w:hAnsi="Calibri" w:cs="Calibri"/>
          <w:color w:val="000000"/>
          <w:shd w:val="clear" w:color="auto" w:fill="FFFFFF"/>
        </w:rPr>
        <w:t xml:space="preserve"> in adverse conditions. These submissions noted small pontoons prevent people with reduced mobility from using affected services due to anxiety and fear of an accident occurring.</w:t>
      </w:r>
    </w:p>
    <w:p w14:paraId="22745B7D" w14:textId="77777777" w:rsidR="00E1199F" w:rsidRPr="007D162C" w:rsidRDefault="00E1199F" w:rsidP="08D050C4">
      <w:pPr>
        <w:rPr>
          <w:rFonts w:ascii="Calibri" w:hAnsi="Calibri" w:cs="Calibri"/>
          <w:color w:val="000000" w:themeColor="text1"/>
        </w:rPr>
      </w:pPr>
      <w:r w:rsidRPr="007D162C">
        <w:t xml:space="preserve">One organisation representing the blind and vision impaired, while expressing support for a regulatory approach in providing consistency and certainty for people with disability, noted they did not fully support the option presented. This submission noted that </w:t>
      </w:r>
      <w:r w:rsidRPr="007D162C">
        <w:rPr>
          <w:rFonts w:ascii="Calibri" w:hAnsi="Calibri" w:cs="Calibri"/>
          <w:color w:val="000000"/>
          <w:shd w:val="clear" w:color="auto" w:fill="FFFFFF"/>
        </w:rPr>
        <w:t>given the unique hazards for pontoon boarding, the stakeholder would also like to see specific guidance included on appropriate placement of TGSIs, and a requirement for braille and tactile signage that provides information about the site, the manner in which functional stability has been achieved, any unique hazards that a passenger should be aware of, and clearly identifies the entry point.</w:t>
      </w:r>
    </w:p>
    <w:p w14:paraId="64E68A06" w14:textId="77777777" w:rsidR="00E1199F" w:rsidRPr="007D162C" w:rsidRDefault="00E1199F" w:rsidP="08D050C4">
      <w:r w:rsidRPr="007D162C">
        <w:t>Government stakeholders who expressed support for the regulatory option highlighted that separate requirements for modes is preferred and clarity for pontoons was required to recognise the dynamic environment in which they are used. It was noted that pontoon boarding points do not currently comply with the Transport Standards as they are not static structures, and accordingly, the Transport Standards should be amended to ensure they are fit for purpose. However, this submission recommended that reference to AS3962 (2020) should not be referenced in the Transport Standards</w:t>
      </w:r>
      <w:r w:rsidRPr="007D162C">
        <w:rPr>
          <w:rFonts w:ascii="Calibri" w:hAnsi="Calibri" w:cs="Calibri"/>
          <w:color w:val="000000"/>
          <w:shd w:val="clear" w:color="auto" w:fill="FFFFFF"/>
        </w:rPr>
        <w:t xml:space="preserve"> as it might lead to a lack of harmonisation in the future if the Australian Standard is amended. </w:t>
      </w:r>
      <w:r w:rsidRPr="007D162C">
        <w:t xml:space="preserve">This submission recommended that AS3962 (2020) </w:t>
      </w:r>
      <w:r w:rsidRPr="007D162C">
        <w:rPr>
          <w:rFonts w:ascii="Calibri" w:hAnsi="Calibri" w:cs="Calibri"/>
          <w:color w:val="000000"/>
          <w:shd w:val="clear" w:color="auto" w:fill="FFFFFF"/>
        </w:rPr>
        <w:t>should instead be included in guidance, along with additional guidance regarding gradients of gangway and cross fall.</w:t>
      </w:r>
    </w:p>
    <w:p w14:paraId="7B49EA2F"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Another submission from a government stakeholder who did not express a preference for any of the options presented, </w:t>
      </w:r>
      <w:r w:rsidRPr="007D162C">
        <w:rPr>
          <w:rFonts w:ascii="Calibri" w:eastAsia="Times New Roman" w:hAnsi="Calibri" w:cs="Calibri"/>
          <w:color w:val="000000" w:themeColor="text1"/>
          <w:lang w:eastAsia="en-AU"/>
        </w:rPr>
        <w:t xml:space="preserve">outlined that if a regulatory approach is selected and developed effectively it could assist with ensuring consistency across networks of multiple jurisdictions. However, the submission highlighted that consideration should be given to the possibility that there is no one-size-fits-all solution and the regulatory approach would need to allow for flexibility to adapt to changing circumstances within the marine environment and clear guidance for operators and providers. The submission noted the challenges posed for the provision of ferry services in a dynamic nature of the marine environment, and that a level surface may not be able to be provided. </w:t>
      </w:r>
    </w:p>
    <w:p w14:paraId="5DA9FD64" w14:textId="3774B0C7" w:rsidR="00E1199F" w:rsidRPr="007D162C" w:rsidRDefault="00E1199F" w:rsidP="00E1199F">
      <w:r w:rsidRPr="007D162C">
        <w:t xml:space="preserve">The regulatory option would provide greater clarity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Operators and providers would have requirements that are fit for purpose and technically feasible for pontoon stability. One submission indicated that existing assets are likely to already be compliant and not require replacement so the cost impact should be minimal. However, another submission indicates that retrofitting existing pontoons ca</w:t>
      </w:r>
      <w:r w:rsidR="00436AD8">
        <w:t>n</w:t>
      </w:r>
      <w:r w:rsidRPr="007D162C">
        <w:t xml:space="preserve"> be highly complex and, in many cases, would be cost prohibitive. Minimising pontoon </w:t>
      </w:r>
      <w:r w:rsidRPr="007D162C">
        <w:lastRenderedPageBreak/>
        <w:t xml:space="preserve">movement will benefit all users, but particularly people with disability, through improved safety and confidence to travel.  </w:t>
      </w:r>
    </w:p>
    <w:p w14:paraId="5D6AC9F5" w14:textId="77777777" w:rsidR="00E1199F" w:rsidRPr="007D162C" w:rsidRDefault="00E1199F" w:rsidP="00E1199F">
      <w:pPr>
        <w:pStyle w:val="Heading4"/>
      </w:pPr>
      <w:r w:rsidRPr="007D162C">
        <w:t>Preferred option</w:t>
      </w:r>
    </w:p>
    <w:p w14:paraId="64D293AB" w14:textId="77777777" w:rsidR="00E1199F" w:rsidRPr="007D162C" w:rsidRDefault="00E1199F" w:rsidP="00E1199F">
      <w:r w:rsidRPr="007D162C">
        <w:t xml:space="preserve">Informed by the outcomes of consultation, impacts, cost and outcomes analysis above, the preferred option is the </w:t>
      </w:r>
      <w:r w:rsidRPr="007D162C">
        <w:rPr>
          <w:b/>
        </w:rPr>
        <w:t>non-regulatory option</w:t>
      </w:r>
      <w:r w:rsidRPr="007D162C">
        <w:t xml:space="preserve">. </w:t>
      </w:r>
    </w:p>
    <w:p w14:paraId="7D77F4E3"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Submissions highlighted that designing fit-for-purpose pontoons is difficult to achieve without flexibility to adapt to the various environmental and operational factors. This includes contending with high and king tides, as well as different vessel sizes and stability, wake from passing vessels, varying freeboards of the ferry/pontoon, variable loading or the numbers of people on the ferry and waiting on pontoons. </w:t>
      </w:r>
      <w:r w:rsidRPr="007D162C">
        <w:t xml:space="preserve">While a regulatory approach was preferred amongst the majority of stakeholders, due to these complexities, submissions indicated that the regulatory option is unlikely to be flexible enough to adequately address stability and the current uncertainty. </w:t>
      </w:r>
    </w:p>
    <w:p w14:paraId="7DFAACA3" w14:textId="77777777" w:rsidR="00E1199F" w:rsidRPr="007D162C" w:rsidRDefault="00E1199F" w:rsidP="00E1199F">
      <w:r w:rsidRPr="007D162C">
        <w:t xml:space="preserve">The non-regulatory option would provide clear guidance on the characteristics required for </w:t>
      </w:r>
      <w:r w:rsidRPr="007D162C">
        <w:rPr>
          <w:rFonts w:ascii="Calibri" w:hAnsi="Calibri" w:cs="Calibri"/>
          <w:color w:val="000000"/>
          <w:shd w:val="clear" w:color="auto" w:fill="FFFFFF"/>
        </w:rPr>
        <w:t xml:space="preserve">pontoons that are suited to the environment in which they are used. </w:t>
      </w:r>
      <w:r w:rsidRPr="007D162C">
        <w:t>Minimising pontoon movement will benefit all users, but particularly people with disability, through improved safety and confidence to travel. It is likely that pontoons that do not meet the requirement of AS3962 (2020) will need to be upgraded as a matter of public safety, regardless of the requirements under the Transport Standards. Any additional impacts of the non-regulatory option on users, operators and providers is therefore likely to be minimal as the proposed option seeks to strengthen and encourage the application of the existing industry standard.</w:t>
      </w:r>
    </w:p>
    <w:p w14:paraId="14BDD2F1" w14:textId="77777777" w:rsidR="00E1199F" w:rsidRPr="007D162C" w:rsidRDefault="00E1199F" w:rsidP="00E1199F">
      <w:r w:rsidRPr="007D162C">
        <w:t xml:space="preserve">The non-regulatory option provides a balance of improvement for all ferry users, but particularly for people with disability, while encouraging the design of pontoons that will benefit all users through maximum stability and lowest possible gradients in their operating environment. Providing guidance will seek to address the current uncertainty in the Transport Standards. </w:t>
      </w:r>
    </w:p>
    <w:p w14:paraId="5152266A" w14:textId="77777777" w:rsidR="00E1199F" w:rsidRPr="007D162C" w:rsidRDefault="00E1199F" w:rsidP="00E1199F">
      <w:r w:rsidRPr="007D162C">
        <w:t xml:space="preserve">The preferred option will be implemented through inclusion in a revised Whole Journey Guide. </w:t>
      </w:r>
      <w:r w:rsidRPr="007D162C">
        <w:br w:type="page"/>
      </w:r>
    </w:p>
    <w:p w14:paraId="5798998E" w14:textId="1B89A330" w:rsidR="00E1199F" w:rsidRPr="007D162C" w:rsidRDefault="00E1199F" w:rsidP="00E177CC">
      <w:pPr>
        <w:pStyle w:val="Heading2"/>
        <w:numPr>
          <w:ilvl w:val="0"/>
          <w:numId w:val="28"/>
        </w:numPr>
        <w:ind w:hanging="720"/>
      </w:pPr>
      <w:bookmarkStart w:id="575" w:name="_Toc127351797"/>
      <w:bookmarkStart w:id="576" w:name="_Toc140239755"/>
      <w:r w:rsidRPr="007D162C">
        <w:lastRenderedPageBreak/>
        <w:t>Bus, tram and light rail boarding points on infrastructure</w:t>
      </w:r>
      <w:bookmarkEnd w:id="575"/>
      <w:bookmarkEnd w:id="576"/>
    </w:p>
    <w:p w14:paraId="1447CFC1" w14:textId="77777777" w:rsidR="00E1199F" w:rsidRPr="007D162C" w:rsidRDefault="00E1199F" w:rsidP="00E1199F">
      <w:pPr>
        <w:pStyle w:val="Heading4"/>
        <w:tabs>
          <w:tab w:val="left" w:pos="284"/>
        </w:tabs>
      </w:pPr>
      <w:r w:rsidRPr="007D162C">
        <w:t>Issue</w:t>
      </w:r>
    </w:p>
    <w:p w14:paraId="21F9D98F" w14:textId="77777777" w:rsidR="00E1199F" w:rsidRPr="007D162C" w:rsidRDefault="00E1199F" w:rsidP="00E1199F">
      <w:pPr>
        <w:tabs>
          <w:tab w:val="left" w:pos="284"/>
        </w:tabs>
      </w:pPr>
      <w:r w:rsidRPr="007D162C">
        <w:t>There are currently no requirements for bus, tram and light rail boarding points in the Transport Standards. Large gradient and cross fall changes between bus stops and roads can reduce accessibility for people with disability, and make boarding and alighting from conveyances unsafe.</w:t>
      </w:r>
    </w:p>
    <w:p w14:paraId="091C1081" w14:textId="77777777" w:rsidR="00E1199F" w:rsidRPr="007D162C" w:rsidRDefault="00E1199F" w:rsidP="00E1199F">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14B1D844" w14:textId="77777777" w:rsidR="00E1199F" w:rsidRPr="007D162C" w:rsidRDefault="00E1199F" w:rsidP="00E1199F">
      <w:pPr>
        <w:pStyle w:val="Heading4"/>
        <w:tabs>
          <w:tab w:val="left" w:pos="284"/>
        </w:tabs>
      </w:pPr>
      <w:r w:rsidRPr="007D162C">
        <w:t>Reform options</w:t>
      </w:r>
    </w:p>
    <w:p w14:paraId="05C27369"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0FD23A4C" w14:textId="5E5A11CD" w:rsidR="00E1199F" w:rsidRPr="007D162C" w:rsidRDefault="00E1199F" w:rsidP="00E1199F">
      <w:pPr>
        <w:pStyle w:val="Caption"/>
        <w:keepNext/>
      </w:pPr>
      <w:bookmarkStart w:id="577" w:name="_Toc122446449"/>
      <w:bookmarkStart w:id="578" w:name="_Toc139969286"/>
      <w:r w:rsidRPr="007D162C">
        <w:t xml:space="preserve">Table </w:t>
      </w:r>
      <w:fldSimple w:instr=" SEQ Table \* ARABIC ">
        <w:r w:rsidR="00DC26AC">
          <w:rPr>
            <w:noProof/>
          </w:rPr>
          <w:t>128</w:t>
        </w:r>
      </w:fldSimple>
      <w:r w:rsidRPr="007D162C">
        <w:rPr>
          <w:noProof/>
        </w:rPr>
        <w:t>: Reform options for b</w:t>
      </w:r>
      <w:r w:rsidRPr="007D162C">
        <w:t>us, tram and light rail boarding points on infrastructure</w:t>
      </w:r>
      <w:bookmarkEnd w:id="577"/>
      <w:bookmarkEnd w:id="578"/>
    </w:p>
    <w:tbl>
      <w:tblPr>
        <w:tblStyle w:val="DefaultTable1"/>
        <w:tblW w:w="9072" w:type="dxa"/>
        <w:tblLook w:val="04A0" w:firstRow="1" w:lastRow="0" w:firstColumn="1" w:lastColumn="0" w:noHBand="0" w:noVBand="1"/>
        <w:tblCaption w:val="Reform options for bus, tram and light rail boarding points on infrastructure"/>
        <w:tblDescription w:val="This table provides a description of each of the options for this reform area. Status quo, non-regulatory and regulatory."/>
      </w:tblPr>
      <w:tblGrid>
        <w:gridCol w:w="2232"/>
        <w:gridCol w:w="6840"/>
      </w:tblGrid>
      <w:tr w:rsidR="00E1199F" w:rsidRPr="007D162C" w14:paraId="7A9CDEA3"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131D1A"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B50175B"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1B1F6CA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F1618A9"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3DBCF891"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continue not to include requirements for bus, tram and light rail boarding points (explicit gradient and crossfall provisions) to ensure they are accessible for people with disability. </w:t>
            </w:r>
          </w:p>
          <w:p w14:paraId="15989F2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460C82C8"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F97D3FB"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1EABF61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bus, tram and light rail boarding points, including design requirements, locations where compliant boarding points are not achievable, and navigating intersections of boarding points and shared pathways.</w:t>
            </w:r>
          </w:p>
        </w:tc>
      </w:tr>
      <w:tr w:rsidR="00E1199F" w:rsidRPr="007D162C" w14:paraId="2079C0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90215DC"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100D85A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include new requirements in relation to bus, tram and light rail boarding points. There were 2 regulatory options consulted on. </w:t>
            </w:r>
          </w:p>
          <w:p w14:paraId="71CCD3E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premises and bus, tram and light rail boarding points on infrastructure.</w:t>
            </w:r>
          </w:p>
          <w:p w14:paraId="59EADB6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b/>
              </w:rPr>
            </w:pPr>
            <w:r w:rsidRPr="007D162C">
              <w:rPr>
                <w:b/>
              </w:rPr>
              <w:t>Option 1</w:t>
            </w:r>
          </w:p>
          <w:p w14:paraId="21F0C49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Boarding points must have a flat and stable surface to which a boarding device can be safely deployed and have a gradient no steeper than 1:40</w:t>
            </w:r>
          </w:p>
          <w:p w14:paraId="2CB255C2" w14:textId="77777777" w:rsidR="00E1199F" w:rsidRPr="007D162C" w:rsidRDefault="08D050C4"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camber (crossfall) of a boarding point must be no steeper than 1:40, except for bitumen surfaces, where 1:33 is permitted.</w:t>
            </w:r>
          </w:p>
          <w:p w14:paraId="5090ADD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rPr>
                <w:b/>
              </w:rPr>
            </w:pPr>
            <w:r w:rsidRPr="007D162C">
              <w:rPr>
                <w:b/>
              </w:rPr>
              <w:t>Option 2</w:t>
            </w:r>
          </w:p>
          <w:p w14:paraId="596A246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Boarding points must have a flat and stable surface to which a boarding device can be safely deployed and have a gradient no steeper than 1:40</w:t>
            </w:r>
          </w:p>
          <w:p w14:paraId="5803D464" w14:textId="77777777" w:rsidR="00E1199F" w:rsidRPr="007D162C" w:rsidRDefault="08D050C4"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The camber (crossfall) of a boarding point must be no steeper than 1:40, except for bitumen surfaces where 1:33 is permitted.</w:t>
            </w:r>
          </w:p>
          <w:p w14:paraId="25F7F106"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Where road gradient is at a gradient steeper than 1:40 and a 1:40 boarding point gradient would prevent safe deployment of a boarding device, the boarding point gradient may match that of the road.</w:t>
            </w:r>
          </w:p>
          <w:p w14:paraId="33E62DD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Whole Journey Guide would be updated to reflect any new requirements.</w:t>
            </w:r>
          </w:p>
        </w:tc>
      </w:tr>
    </w:tbl>
    <w:p w14:paraId="511FE061" w14:textId="77777777" w:rsidR="004C47E2" w:rsidRPr="007D162C" w:rsidRDefault="004C47E2" w:rsidP="000A4CD3">
      <w:pPr>
        <w:pStyle w:val="BodyText"/>
      </w:pPr>
    </w:p>
    <w:p w14:paraId="79D2A448" w14:textId="0999174F" w:rsidR="00E1199F" w:rsidRPr="007D162C" w:rsidRDefault="00E1199F" w:rsidP="00E1199F">
      <w:pPr>
        <w:pStyle w:val="Heading4"/>
        <w:tabs>
          <w:tab w:val="left" w:pos="284"/>
        </w:tabs>
      </w:pPr>
      <w:r w:rsidRPr="007D162C">
        <w:t>Cost benefit analysis</w:t>
      </w:r>
    </w:p>
    <w:p w14:paraId="20F5505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E183946" w14:textId="77777777" w:rsidR="00E1199F" w:rsidRPr="007D162C" w:rsidRDefault="00E1199F" w:rsidP="00E1199F">
      <w:r w:rsidRPr="007D162C">
        <w:t xml:space="preserve">The following categories of quantitative costs and benefits were identified in the CBA as pertaining to the reform options. </w:t>
      </w:r>
    </w:p>
    <w:p w14:paraId="025A358F" w14:textId="2DAABD99" w:rsidR="00E1199F" w:rsidRPr="007D162C" w:rsidRDefault="00E1199F" w:rsidP="00E1199F">
      <w:pPr>
        <w:pStyle w:val="Caption"/>
        <w:keepNext/>
      </w:pPr>
      <w:bookmarkStart w:id="579" w:name="_Toc122446450"/>
      <w:bookmarkStart w:id="580" w:name="_Toc139969287"/>
      <w:r w:rsidRPr="007D162C">
        <w:t xml:space="preserve">Table </w:t>
      </w:r>
      <w:fldSimple w:instr=" SEQ Table \* ARABIC ">
        <w:r w:rsidR="00DC26AC">
          <w:rPr>
            <w:noProof/>
          </w:rPr>
          <w:t>129</w:t>
        </w:r>
      </w:fldSimple>
      <w:r w:rsidRPr="007D162C">
        <w:t xml:space="preserve">: Benefit-cost ratios </w:t>
      </w:r>
      <w:r w:rsidRPr="007D162C">
        <w:rPr>
          <w:noProof/>
        </w:rPr>
        <w:t>for b</w:t>
      </w:r>
      <w:r w:rsidRPr="007D162C">
        <w:t>us, tram and light rail boarding points on infrastructure</w:t>
      </w:r>
      <w:bookmarkEnd w:id="579"/>
      <w:bookmarkEnd w:id="580"/>
    </w:p>
    <w:tbl>
      <w:tblPr>
        <w:tblStyle w:val="DefaultTable1"/>
        <w:tblW w:w="9864" w:type="dxa"/>
        <w:tblLook w:val="04A0" w:firstRow="1" w:lastRow="0" w:firstColumn="1" w:lastColumn="0" w:noHBand="0" w:noVBand="1"/>
        <w:tblCaption w:val="Benefit-cost ratios for bus, tram and light rail boarding points on infrastructure"/>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7C657148"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9C55DA1" w14:textId="77777777" w:rsidR="00E1199F" w:rsidRPr="007D162C" w:rsidRDefault="08D050C4" w:rsidP="00E1199F">
            <w:r w:rsidRPr="007D162C">
              <w:t>Reform Option</w:t>
            </w:r>
          </w:p>
        </w:tc>
        <w:tc>
          <w:tcPr>
            <w:tcW w:w="1531" w:type="dxa"/>
          </w:tcPr>
          <w:p w14:paraId="03A5C98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A31EB7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3822BB0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276EA98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5B69942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00382E6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AB7E48B" w14:textId="77777777" w:rsidR="00E1199F" w:rsidRPr="007D162C" w:rsidRDefault="00E1199F" w:rsidP="00E1199F">
            <w:r w:rsidRPr="007D162C">
              <w:t>Status Quo</w:t>
            </w:r>
          </w:p>
        </w:tc>
        <w:tc>
          <w:tcPr>
            <w:tcW w:w="1531" w:type="dxa"/>
          </w:tcPr>
          <w:p w14:paraId="5BC79F68"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43B3CB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3F95DDF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737185F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652CBC14"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D46597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0658BE73" w14:textId="77777777" w:rsidR="00E1199F" w:rsidRPr="007D162C" w:rsidRDefault="00E1199F" w:rsidP="00E1199F">
            <w:r w:rsidRPr="007D162C">
              <w:t xml:space="preserve">Non-regulatory </w:t>
            </w:r>
          </w:p>
        </w:tc>
        <w:tc>
          <w:tcPr>
            <w:tcW w:w="1531" w:type="dxa"/>
            <w:vAlign w:val="center"/>
          </w:tcPr>
          <w:p w14:paraId="158EE885" w14:textId="070936F3"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1.4</w:t>
            </w:r>
          </w:p>
        </w:tc>
        <w:tc>
          <w:tcPr>
            <w:tcW w:w="1791" w:type="dxa"/>
          </w:tcPr>
          <w:p w14:paraId="267AF4A5"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560825AF" w14:textId="09321B0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10.0</w:t>
            </w:r>
          </w:p>
        </w:tc>
        <w:tc>
          <w:tcPr>
            <w:tcW w:w="1539" w:type="dxa"/>
            <w:vAlign w:val="center"/>
          </w:tcPr>
          <w:p w14:paraId="119A9490" w14:textId="5DAEB448"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10.0</w:t>
            </w:r>
            <w:r w:rsidR="00CC3E1D" w:rsidRPr="007D162C">
              <w:rPr>
                <w:sz w:val="18"/>
                <w:szCs w:val="18"/>
                <w:vertAlign w:val="superscript"/>
              </w:rPr>
              <w:t>i</w:t>
            </w:r>
          </w:p>
        </w:tc>
        <w:tc>
          <w:tcPr>
            <w:tcW w:w="2216" w:type="dxa"/>
            <w:vAlign w:val="center"/>
          </w:tcPr>
          <w:p w14:paraId="72421C58" w14:textId="04BD067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0.14</w:t>
            </w:r>
          </w:p>
        </w:tc>
      </w:tr>
      <w:tr w:rsidR="00E1199F" w:rsidRPr="007D162C" w14:paraId="4CB46CB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3EE35A63" w14:textId="77777777" w:rsidR="00E1199F" w:rsidRPr="007D162C" w:rsidRDefault="00E1199F" w:rsidP="00E1199F">
            <w:r w:rsidRPr="007D162C">
              <w:t>Regulatory</w:t>
            </w:r>
          </w:p>
        </w:tc>
        <w:tc>
          <w:tcPr>
            <w:tcW w:w="1531" w:type="dxa"/>
            <w:vAlign w:val="center"/>
          </w:tcPr>
          <w:p w14:paraId="330F634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1568.9</w:t>
            </w:r>
          </w:p>
        </w:tc>
        <w:tc>
          <w:tcPr>
            <w:tcW w:w="1791" w:type="dxa"/>
          </w:tcPr>
          <w:p w14:paraId="70616AEB"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644FB36D"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431.2</w:t>
            </w:r>
          </w:p>
        </w:tc>
        <w:tc>
          <w:tcPr>
            <w:tcW w:w="1539" w:type="dxa"/>
            <w:vAlign w:val="center"/>
          </w:tcPr>
          <w:p w14:paraId="60A358C1"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431.2</w:t>
            </w:r>
          </w:p>
        </w:tc>
        <w:tc>
          <w:tcPr>
            <w:tcW w:w="2216" w:type="dxa"/>
            <w:vAlign w:val="center"/>
          </w:tcPr>
          <w:p w14:paraId="7590BD20" w14:textId="46E3E6B0"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3.64</w:t>
            </w:r>
          </w:p>
        </w:tc>
      </w:tr>
    </w:tbl>
    <w:p w14:paraId="053FEACE" w14:textId="77777777" w:rsidR="00CC3E1D" w:rsidRPr="007D162C" w:rsidRDefault="00E1199F" w:rsidP="00CC3E1D">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4607660A" w14:textId="2D1E7A20" w:rsidR="00CC3E1D"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13ED2E7" w14:textId="77777777" w:rsidR="004C47E2" w:rsidRPr="007D162C" w:rsidRDefault="004C47E2" w:rsidP="00CC3E1D">
      <w:pPr>
        <w:spacing w:before="120" w:after="0"/>
        <w:rPr>
          <w:sz w:val="20"/>
        </w:rPr>
      </w:pPr>
    </w:p>
    <w:p w14:paraId="2D55DD31" w14:textId="77777777" w:rsidR="004C47E2" w:rsidRPr="007D162C" w:rsidRDefault="00E1199F" w:rsidP="004C47E2">
      <w:pPr>
        <w:pStyle w:val="Heading6"/>
      </w:pPr>
      <w:r w:rsidRPr="007D162C">
        <w:t>Considerations to note in interpreting analysis</w:t>
      </w:r>
    </w:p>
    <w:p w14:paraId="769A7020" w14:textId="6441047B" w:rsidR="00E1199F" w:rsidRPr="007D162C" w:rsidRDefault="00E1199F" w:rsidP="004C47E2">
      <w:pPr>
        <w:pStyle w:val="Heading6"/>
        <w:rPr>
          <w:b w:val="0"/>
        </w:rPr>
      </w:pPr>
      <w:r w:rsidRPr="007D162C">
        <w:rPr>
          <w:b w:val="0"/>
        </w:rPr>
        <w:t>Limitations:</w:t>
      </w:r>
    </w:p>
    <w:p w14:paraId="1DCC6ABF" w14:textId="77777777" w:rsidR="00E1199F" w:rsidRPr="007D162C" w:rsidRDefault="00E1199F" w:rsidP="00CC3E1D">
      <w:pPr>
        <w:pStyle w:val="Heading8"/>
      </w:pPr>
      <w:r w:rsidRPr="007D162C">
        <w:t>Non-regulatory option:</w:t>
      </w:r>
    </w:p>
    <w:p w14:paraId="4627E340" w14:textId="38C69A8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0917A8">
        <w:t xml:space="preserve"> per cent</w:t>
      </w:r>
      <w:r w:rsidRPr="007D162C">
        <w:t xml:space="preserve"> was applied to the non-regulatory option based on submissions which indicated many operators and providers of public transport have adopted this guidance into their internal design documents and are progressively upgrading bus stops. This implies that the benefits and costs quantified for this non-regulatory reform may not reflect future take-up of the reform.</w:t>
      </w:r>
    </w:p>
    <w:p w14:paraId="6C932C0A" w14:textId="77777777" w:rsidR="00F302D5" w:rsidRPr="007D162C" w:rsidRDefault="00F302D5" w:rsidP="00F302D5">
      <w:pPr>
        <w:pStyle w:val="Listparagraphbullets"/>
        <w:numPr>
          <w:ilvl w:val="0"/>
          <w:numId w:val="0"/>
        </w:numPr>
        <w:autoSpaceDE w:val="0"/>
        <w:autoSpaceDN w:val="0"/>
        <w:spacing w:after="0"/>
      </w:pPr>
    </w:p>
    <w:p w14:paraId="0345DB21" w14:textId="77777777" w:rsidR="00E1199F" w:rsidRPr="007D162C" w:rsidRDefault="00E1199F" w:rsidP="00CC3E1D">
      <w:pPr>
        <w:pStyle w:val="Heading8"/>
      </w:pPr>
      <w:r w:rsidRPr="007D162C">
        <w:t>Regulatory option:</w:t>
      </w:r>
    </w:p>
    <w:p w14:paraId="29F44267" w14:textId="317F45DB"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7AA7ACA9" w14:textId="77777777" w:rsidR="00F302D5" w:rsidRPr="007D162C" w:rsidRDefault="00F302D5" w:rsidP="00F302D5">
      <w:pPr>
        <w:pStyle w:val="Listparagraphbullets"/>
        <w:numPr>
          <w:ilvl w:val="0"/>
          <w:numId w:val="0"/>
        </w:numPr>
        <w:autoSpaceDE w:val="0"/>
        <w:autoSpaceDN w:val="0"/>
        <w:spacing w:after="0"/>
      </w:pPr>
    </w:p>
    <w:p w14:paraId="1AA432DA" w14:textId="204605F0" w:rsidR="00E1199F" w:rsidRPr="007D162C" w:rsidRDefault="00E1199F" w:rsidP="00F302D5">
      <w:pPr>
        <w:pStyle w:val="Listparagraphbullets"/>
        <w:numPr>
          <w:ilvl w:val="0"/>
          <w:numId w:val="0"/>
        </w:numPr>
        <w:autoSpaceDE w:val="0"/>
        <w:autoSpaceDN w:val="0"/>
        <w:spacing w:after="0"/>
      </w:pPr>
      <w:r w:rsidRPr="007D162C">
        <w:t>This reform provides safety, amenity and accessibility benefits for all public transport users through the provision of step-free access.</w:t>
      </w:r>
    </w:p>
    <w:p w14:paraId="395E893A" w14:textId="77777777" w:rsidR="00F302D5" w:rsidRPr="007D162C" w:rsidRDefault="00F302D5" w:rsidP="00F302D5">
      <w:pPr>
        <w:pStyle w:val="Listparagraphbullets"/>
        <w:numPr>
          <w:ilvl w:val="0"/>
          <w:numId w:val="0"/>
        </w:numPr>
        <w:autoSpaceDE w:val="0"/>
        <w:autoSpaceDN w:val="0"/>
        <w:spacing w:after="0"/>
      </w:pPr>
    </w:p>
    <w:p w14:paraId="283F9FFA" w14:textId="77777777" w:rsidR="00E1199F" w:rsidRPr="007D162C" w:rsidRDefault="00E1199F" w:rsidP="00CC3E1D">
      <w:pPr>
        <w:pStyle w:val="Heading8"/>
      </w:pPr>
      <w:r w:rsidRPr="007D162C">
        <w:t xml:space="preserve">Interdependencies: </w:t>
      </w:r>
    </w:p>
    <w:p w14:paraId="2BE8F7F0"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stairs of buses and stairs on trains.</w:t>
      </w:r>
    </w:p>
    <w:p w14:paraId="237C7BE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Qualitative assessment:</w:t>
      </w:r>
    </w:p>
    <w:p w14:paraId="79AAB604" w14:textId="77777777" w:rsidR="00E1199F" w:rsidRPr="007D162C" w:rsidRDefault="00E1199F" w:rsidP="00E1199F">
      <w:r w:rsidRPr="007D162C">
        <w:t>The following categories of qualitative benefits were identified in the CBA as pertaining to the reform options.</w:t>
      </w:r>
    </w:p>
    <w:p w14:paraId="2515BAE1" w14:textId="68A898C9" w:rsidR="00E1199F" w:rsidRPr="007D162C" w:rsidRDefault="00E1199F" w:rsidP="00E1199F">
      <w:pPr>
        <w:pStyle w:val="Caption"/>
        <w:keepNext/>
      </w:pPr>
      <w:bookmarkStart w:id="581" w:name="_Toc122446451"/>
      <w:bookmarkStart w:id="582" w:name="_Toc139969288"/>
      <w:r w:rsidRPr="007D162C">
        <w:t xml:space="preserve">Table </w:t>
      </w:r>
      <w:fldSimple w:instr=" SEQ Table \* ARABIC ">
        <w:r w:rsidR="00DC26AC">
          <w:rPr>
            <w:noProof/>
          </w:rPr>
          <w:t>130</w:t>
        </w:r>
      </w:fldSimple>
      <w:r w:rsidRPr="007D162C">
        <w:rPr>
          <w:noProof/>
        </w:rPr>
        <w:t xml:space="preserve">: </w:t>
      </w:r>
      <w:r w:rsidRPr="007D162C">
        <w:t xml:space="preserve">Qualitative benefits </w:t>
      </w:r>
      <w:r w:rsidRPr="007D162C">
        <w:rPr>
          <w:noProof/>
        </w:rPr>
        <w:t>for b</w:t>
      </w:r>
      <w:r w:rsidRPr="007D162C">
        <w:t>us, tram and light rail boarding points on infrastructure</w:t>
      </w:r>
      <w:bookmarkEnd w:id="581"/>
      <w:bookmarkEnd w:id="582"/>
    </w:p>
    <w:tbl>
      <w:tblPr>
        <w:tblStyle w:val="DefaultTable1"/>
        <w:tblW w:w="9864" w:type="dxa"/>
        <w:tblLook w:val="04A0" w:firstRow="1" w:lastRow="0" w:firstColumn="1" w:lastColumn="0" w:noHBand="0" w:noVBand="1"/>
        <w:tblCaption w:val="Qualitative benefits for bus, tram and light rail boarding points on infrastructure"/>
      </w:tblPr>
      <w:tblGrid>
        <w:gridCol w:w="1213"/>
        <w:gridCol w:w="1343"/>
        <w:gridCol w:w="1626"/>
        <w:gridCol w:w="1300"/>
        <w:gridCol w:w="1278"/>
        <w:gridCol w:w="1641"/>
        <w:gridCol w:w="1463"/>
      </w:tblGrid>
      <w:tr w:rsidR="00E1199F" w:rsidRPr="007D162C" w14:paraId="72CAF84E"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4DAF144B" w14:textId="77777777" w:rsidR="00E1199F" w:rsidRPr="007D162C" w:rsidRDefault="08D050C4" w:rsidP="00E1199F">
            <w:r w:rsidRPr="007D162C">
              <w:t>Reform Option</w:t>
            </w:r>
          </w:p>
        </w:tc>
        <w:tc>
          <w:tcPr>
            <w:tcW w:w="1343" w:type="dxa"/>
          </w:tcPr>
          <w:p w14:paraId="50AA50D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30EB5E6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5090A42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57F5474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7BB441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630A23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7CC99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FA4C59D" w14:textId="77777777" w:rsidR="00E1199F" w:rsidRPr="007D162C" w:rsidRDefault="00E1199F" w:rsidP="00E1199F">
            <w:r w:rsidRPr="007D162C">
              <w:t>Status Quo</w:t>
            </w:r>
          </w:p>
        </w:tc>
        <w:tc>
          <w:tcPr>
            <w:tcW w:w="1343" w:type="dxa"/>
          </w:tcPr>
          <w:p w14:paraId="1F3E0CDA"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2A7FC191"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02319E43"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449127DD"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FB3139F"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64046612"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08550A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F3A0DB0" w14:textId="77777777" w:rsidR="00E1199F" w:rsidRPr="007D162C" w:rsidRDefault="00E1199F" w:rsidP="00E1199F">
            <w:r w:rsidRPr="007D162C">
              <w:t xml:space="preserve">Non-regulatory </w:t>
            </w:r>
          </w:p>
        </w:tc>
        <w:tc>
          <w:tcPr>
            <w:tcW w:w="1343" w:type="dxa"/>
          </w:tcPr>
          <w:p w14:paraId="112BE4B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BF1264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4D5652A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278" w:type="dxa"/>
          </w:tcPr>
          <w:p w14:paraId="03AE8B5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A256ACA"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463" w:type="dxa"/>
          </w:tcPr>
          <w:p w14:paraId="687EB8D2" w14:textId="77777777" w:rsidR="00E1199F" w:rsidRPr="007D162C" w:rsidRDefault="08D050C4" w:rsidP="000A4CD3">
            <w:pPr>
              <w:pStyle w:val="dash"/>
              <w:cnfStyle w:val="000000000000" w:firstRow="0" w:lastRow="0" w:firstColumn="0" w:lastColumn="0" w:oddVBand="0" w:evenVBand="0" w:oddHBand="0" w:evenHBand="0" w:firstRowFirstColumn="0" w:firstRowLastColumn="0" w:lastRowFirstColumn="0" w:lastRowLastColumn="0"/>
            </w:pPr>
            <w:r w:rsidRPr="007D162C">
              <w:t>-</w:t>
            </w:r>
          </w:p>
        </w:tc>
      </w:tr>
      <w:tr w:rsidR="00E1199F" w:rsidRPr="007D162C" w14:paraId="5B5B998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573832F" w14:textId="77777777" w:rsidR="00E1199F" w:rsidRPr="007D162C" w:rsidRDefault="00E1199F" w:rsidP="00E1199F">
            <w:r w:rsidRPr="007D162C">
              <w:t>Regulatory</w:t>
            </w:r>
          </w:p>
        </w:tc>
        <w:tc>
          <w:tcPr>
            <w:tcW w:w="1343" w:type="dxa"/>
          </w:tcPr>
          <w:p w14:paraId="6B7C999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61CDE8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C92464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278" w:type="dxa"/>
          </w:tcPr>
          <w:p w14:paraId="529DD13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B707EF5"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75C32B28" w14:textId="77777777" w:rsidR="00E1199F" w:rsidRPr="007D162C" w:rsidRDefault="08D050C4" w:rsidP="000A4CD3">
            <w:pPr>
              <w:pStyle w:val="dash"/>
              <w:cnfStyle w:val="000000100000" w:firstRow="0" w:lastRow="0" w:firstColumn="0" w:lastColumn="0" w:oddVBand="0" w:evenVBand="0" w:oddHBand="1" w:evenHBand="0" w:firstRowFirstColumn="0" w:firstRowLastColumn="0" w:lastRowFirstColumn="0" w:lastRowLastColumn="0"/>
            </w:pPr>
            <w:r w:rsidRPr="007D162C">
              <w:t>-</w:t>
            </w:r>
          </w:p>
        </w:tc>
      </w:tr>
    </w:tbl>
    <w:p w14:paraId="19697EBD" w14:textId="77777777" w:rsidR="00CC3E1D" w:rsidRPr="007D162C" w:rsidRDefault="00CC3E1D" w:rsidP="003D78B4">
      <w:pPr>
        <w:pStyle w:val="BodyText"/>
      </w:pPr>
    </w:p>
    <w:p w14:paraId="641E0E49" w14:textId="3ACB041C" w:rsidR="00E1199F" w:rsidRPr="007D162C" w:rsidRDefault="00E1199F" w:rsidP="00E1199F">
      <w:pPr>
        <w:pStyle w:val="Heading4"/>
        <w:tabs>
          <w:tab w:val="left" w:pos="284"/>
        </w:tabs>
      </w:pPr>
      <w:r w:rsidRPr="007D162C">
        <w:t xml:space="preserve">Analysis of submissions </w:t>
      </w:r>
    </w:p>
    <w:p w14:paraId="7016E779" w14:textId="77777777" w:rsidR="00E1199F" w:rsidRPr="007D162C" w:rsidRDefault="00E1199F" w:rsidP="00CC3E1D">
      <w:pPr>
        <w:pStyle w:val="Heading5"/>
      </w:pPr>
      <w:r w:rsidRPr="007D162C">
        <w:t>Status quo</w:t>
      </w:r>
    </w:p>
    <w:p w14:paraId="39BB0ECF" w14:textId="77777777" w:rsidR="00E1199F" w:rsidRPr="007D162C" w:rsidRDefault="08D050C4" w:rsidP="08D050C4">
      <w:pPr>
        <w:shd w:val="clear" w:color="auto" w:fill="FFFFFF" w:themeFill="background1"/>
      </w:pPr>
      <w:r w:rsidRPr="007D162C">
        <w:t xml:space="preserve">The Transport Standards do not contain explicit gradient and crossfall provisions for bus, tram and light rail boarding points. </w:t>
      </w:r>
    </w:p>
    <w:p w14:paraId="5833ECCC" w14:textId="77777777" w:rsidR="00E1199F" w:rsidRPr="007D162C" w:rsidRDefault="08D050C4" w:rsidP="08D050C4">
      <w:pPr>
        <w:shd w:val="clear" w:color="auto" w:fill="FFFFFF" w:themeFill="background1"/>
      </w:pPr>
      <w:r w:rsidRPr="007D162C">
        <w:t xml:space="preserve">One submission from a government stakeholder supported the status quo and considered that the requirements were already adequately covered by design guidelines developed by the stakeholder and the progressive upgrade of its public transport infrastructure. </w:t>
      </w:r>
    </w:p>
    <w:p w14:paraId="5B102087" w14:textId="77777777" w:rsidR="00E1199F" w:rsidRPr="007D162C" w:rsidRDefault="08D050C4" w:rsidP="08D050C4">
      <w:pPr>
        <w:shd w:val="clear" w:color="auto" w:fill="FFFFFF" w:themeFill="background1"/>
      </w:pPr>
      <w:r w:rsidRPr="007D162C">
        <w:t>However, many submissions noted the lack of clarity in the Transport Standards and the need for change with a prescriptive gradient for infrastructure boarding points. Submissions outlined many conveyance stops are affected by a steep gradient which impacts passenger safety and confidence, and poses a barrier to accessible public transport.</w:t>
      </w:r>
    </w:p>
    <w:p w14:paraId="14BCD3C1" w14:textId="77777777" w:rsidR="00E1199F" w:rsidRPr="007D162C" w:rsidRDefault="00E1199F" w:rsidP="00E1199F">
      <w:pPr>
        <w:pStyle w:val="Quote"/>
      </w:pPr>
      <w:r w:rsidRPr="007D162C">
        <w:t>Many people with disability will avoid these stops, especially given they are limiting their ability to access the whole of the transport network.</w:t>
      </w:r>
    </w:p>
    <w:p w14:paraId="2B145E7E" w14:textId="77777777" w:rsidR="00E1199F" w:rsidRPr="007D162C" w:rsidRDefault="00E1199F" w:rsidP="00E1199F">
      <w:pPr>
        <w:pStyle w:val="Quote"/>
      </w:pPr>
      <w:r w:rsidRPr="007D162C">
        <w:t>Queenslanders with Disability Network</w:t>
      </w:r>
    </w:p>
    <w:p w14:paraId="4779D746" w14:textId="196B9E3C" w:rsidR="00E1199F" w:rsidRPr="007D162C" w:rsidRDefault="00E1199F" w:rsidP="00E1199F">
      <w:r w:rsidRPr="007D162C">
        <w:t>The status quo maintains a level of safety, amenity and accessibility that continues to inhibit independence and safety of people with disability when boarding a bus, tram or light rail. Passengers will not benefit from level boarding points to access buses, trams and light rail, which may present a barrier to public transport use under extreme gradients. The status quo does not enhance or increase equality and independence, or reduce discrimination for people with disability in relation to public transport. The status quo has no ongoing costs for public transports operators and providers</w:t>
      </w:r>
      <w:r w:rsidR="00436AD8">
        <w:t>;</w:t>
      </w:r>
      <w:r w:rsidRPr="007D162C">
        <w:t xml:space="preserve"> however</w:t>
      </w:r>
      <w:r w:rsidR="00436AD8">
        <w:t>,</w:t>
      </w:r>
      <w:r w:rsidRPr="007D162C">
        <w:t xml:space="preserve"> negative impacts on community amenity, accessibility, and safety would remain.</w:t>
      </w:r>
    </w:p>
    <w:p w14:paraId="2844678E" w14:textId="77777777" w:rsidR="00E1199F" w:rsidRPr="007D162C" w:rsidRDefault="00E1199F" w:rsidP="00CC3E1D">
      <w:pPr>
        <w:pStyle w:val="Heading5"/>
      </w:pPr>
      <w:r w:rsidRPr="007D162C">
        <w:t>Non-regulatory</w:t>
      </w:r>
    </w:p>
    <w:p w14:paraId="6345853B" w14:textId="77777777" w:rsidR="00E1199F" w:rsidRPr="007D162C" w:rsidRDefault="00E1199F" w:rsidP="00E1199F">
      <w:r w:rsidRPr="007D162C">
        <w:t>The non-regulatory option would provide updated advice on bus, tram and light rail boarding points, including advice on design requirements.</w:t>
      </w:r>
    </w:p>
    <w:p w14:paraId="7D150FAE" w14:textId="77777777" w:rsidR="00E1199F" w:rsidRPr="007D162C" w:rsidRDefault="00E1199F" w:rsidP="00E1199F">
      <w:r w:rsidRPr="007D162C">
        <w:t xml:space="preserve">One submission from a government stakeholder supported the non-regulatory option noting it would allow for site-specific solutions which best meet customers’ needs and accounted for </w:t>
      </w:r>
      <w:r w:rsidRPr="007D162C">
        <w:lastRenderedPageBreak/>
        <w:t>topographical constraints faced by operators and providers, such as slopes, verge width, underground services, trees or other verge infrastructure. The submission expressed concerns about the cost of ensuring bus stops were compliant.</w:t>
      </w:r>
    </w:p>
    <w:p w14:paraId="2C0791F4" w14:textId="77777777" w:rsidR="00E1199F" w:rsidRPr="007D162C" w:rsidRDefault="08D050C4" w:rsidP="00E1199F">
      <w:r w:rsidRPr="007D162C">
        <w:t>To the extent that guidance is followed, costs would be incurred to meet the new gradient and crossfall guidance, where they are not compliant with the guidance, including costs to audit and upgrade existing boarding points. Operators and providers will be able to manage the implementation (and related costs) to suit their operational requirements, including through staging the implementation. Operators and providers will also benefit from better guidance, addressing concerns raised in a number of submissions regarding the lack of clarity and ambiguity surrounding current requirements.</w:t>
      </w:r>
    </w:p>
    <w:p w14:paraId="39770E57" w14:textId="6308D368" w:rsidR="00E1199F" w:rsidRPr="007D162C" w:rsidRDefault="08D050C4" w:rsidP="00E1199F">
      <w:r w:rsidRPr="007D162C">
        <w:t xml:space="preserve">Due to the discretionary nature of this option, it does not provide certainty that guidance will be implemented, particularly in existing areas where topography makes providing accessible boarding points more challenging and costly. To the extent that guidance is followed, people who require the use of boarding ramps when boarding or alighting will benefit from certainty that boarding points at bus, tram and light rail stops will be firm and aligned with the conveyance. Guidance will enhance passenger safety and confidence to board and alight conveyances by improving accessibility at stops that currently have steep gradients and crossfall. </w:t>
      </w:r>
    </w:p>
    <w:p w14:paraId="276DEB23" w14:textId="77777777" w:rsidR="00E1199F" w:rsidRPr="007D162C" w:rsidRDefault="00E1199F" w:rsidP="00CC3E1D">
      <w:pPr>
        <w:pStyle w:val="Heading5"/>
      </w:pPr>
      <w:r w:rsidRPr="007D162C">
        <w:t>Regulatory</w:t>
      </w:r>
    </w:p>
    <w:p w14:paraId="3EE254CA" w14:textId="77777777" w:rsidR="00E1199F" w:rsidRPr="007D162C" w:rsidRDefault="00E1199F" w:rsidP="00E1199F">
      <w:r w:rsidRPr="007D162C">
        <w:t>The regulatory option would amend the Transport Standards to include new requirements in relation to bus, tram and light rail boarding points. Both options had similar requirements with Option 2 including additional requirements for roads with a gradient steeper than 1:40.</w:t>
      </w:r>
    </w:p>
    <w:p w14:paraId="0BDB9045" w14:textId="44C91CA7" w:rsidR="00E1199F" w:rsidRPr="007D162C" w:rsidRDefault="08D050C4" w:rsidP="00E1199F">
      <w:r w:rsidRPr="007D162C">
        <w:t>The majority of submissions across all stakeholder groups expressed support for regulatory option 2, recognising that it presented the most viable solution as many stops may present a gradient steeper than 1:40. One submission estimated that 30</w:t>
      </w:r>
      <w:r w:rsidR="000917A8">
        <w:t xml:space="preserve"> per cent</w:t>
      </w:r>
      <w:r w:rsidRPr="007D162C">
        <w:t xml:space="preserve"> of the nation’s bus stops are impacted by topographical constraints making option 1 unviable. </w:t>
      </w:r>
    </w:p>
    <w:p w14:paraId="013A541A" w14:textId="64477586" w:rsidR="00E1199F" w:rsidRPr="007D162C" w:rsidRDefault="08D050C4" w:rsidP="00E1199F">
      <w:r w:rsidRPr="007D162C">
        <w:t>However, one submission from a disability organisation expressed support for regulatory option 1 citing concerns that option 2 posed an unacceptable risk of injury to passengers who use mobility aids. One submission from a government stakeholder also expressed support for regulatory option 1. The submission outlined that the option should be a minimum requirement with extra guidance provided where topography and road gradients prevent the deployment of boarding devices. This stakeholder outlined that retrofitting could be cost prohibitive</w:t>
      </w:r>
      <w:r w:rsidR="00436AD8">
        <w:t>;</w:t>
      </w:r>
      <w:r w:rsidRPr="007D162C">
        <w:t xml:space="preserve"> however</w:t>
      </w:r>
      <w:r w:rsidR="00436AD8">
        <w:t>,</w:t>
      </w:r>
      <w:r w:rsidRPr="007D162C">
        <w:t xml:space="preserve"> also noted that the requirements would not change the status quo as the requirements align with the Premises Standards and </w:t>
      </w:r>
      <w:r w:rsidR="000917A8">
        <w:t>NCC.</w:t>
      </w:r>
    </w:p>
    <w:p w14:paraId="35B9234A" w14:textId="77777777" w:rsidR="00E1199F" w:rsidRPr="007D162C" w:rsidRDefault="08D050C4" w:rsidP="08D050C4">
      <w:pPr>
        <w:rPr>
          <w:rFonts w:ascii="Calibri" w:eastAsia="Times New Roman" w:hAnsi="Calibri" w:cs="Calibri"/>
          <w:color w:val="000000" w:themeColor="text1"/>
          <w:lang w:eastAsia="en-AU"/>
        </w:rPr>
      </w:pPr>
      <w:r w:rsidRPr="007D162C">
        <w:t>Submissions from individuals, people with disability and disability organisations in support of regulatory option 2 were cognisant of the topographical limitations posed by option 1. Clear specifications in the Transport Standards on gradient and crossfall at boarding points was welcome, particularly in relation to providing clarification where road gradient poses additional safety considerations. This sentiment was echoed by submissions from government and industry stakeholders who also supported regulatory option 2.</w:t>
      </w:r>
    </w:p>
    <w:p w14:paraId="1A8BB06B" w14:textId="105DE3CA" w:rsidR="00E1199F" w:rsidRPr="007D162C" w:rsidRDefault="00E1199F" w:rsidP="08D050C4">
      <w:pPr>
        <w:rPr>
          <w:rFonts w:ascii="Calibri" w:eastAsia="Times New Roman" w:hAnsi="Calibri" w:cs="Calibri"/>
          <w:color w:val="000000" w:themeColor="text1"/>
          <w:lang w:eastAsia="en-AU"/>
        </w:rPr>
      </w:pPr>
      <w:r w:rsidRPr="007D162C">
        <w:rPr>
          <w:rFonts w:ascii="Calibri" w:hAnsi="Calibri" w:cs="Calibri"/>
          <w:color w:val="000000"/>
          <w:shd w:val="clear" w:color="auto" w:fill="FFFFFF"/>
        </w:rPr>
        <w:t xml:space="preserve">Submissions from government and industry noted that option 2 provides clarity and consistency, with minimal impacts, and would avoid localised inconsistencies where stops are located on longitudinal grades steeper than 1:40. </w:t>
      </w:r>
      <w:r w:rsidRPr="007D162C">
        <w:rPr>
          <w:rFonts w:ascii="Calibri" w:eastAsia="Times New Roman" w:hAnsi="Calibri" w:cs="Calibri"/>
          <w:color w:val="000000"/>
          <w:lang w:eastAsia="en-AU"/>
        </w:rPr>
        <w:t>One submission from a government stakeholder suggested clarifying where requirements relate to a “longitudinal gradient” (as opposed to just referring to a ‘gradient’), noting that gradient specifications can be applied to the crossfall or transvers</w:t>
      </w:r>
      <w:r w:rsidR="00A447A2">
        <w:rPr>
          <w:rFonts w:ascii="Calibri" w:eastAsia="Times New Roman" w:hAnsi="Calibri" w:cs="Calibri"/>
          <w:color w:val="000000"/>
          <w:lang w:eastAsia="en-AU"/>
        </w:rPr>
        <w:t>e</w:t>
      </w:r>
      <w:r w:rsidRPr="007D162C">
        <w:rPr>
          <w:rFonts w:ascii="Calibri" w:eastAsia="Times New Roman" w:hAnsi="Calibri" w:cs="Calibri"/>
          <w:color w:val="000000"/>
          <w:lang w:eastAsia="en-AU"/>
        </w:rPr>
        <w:t xml:space="preserve"> slope as well as the longitudinal section of a bus stop or railway station. </w:t>
      </w:r>
    </w:p>
    <w:p w14:paraId="7BFBB256" w14:textId="77777777" w:rsidR="00E1199F" w:rsidRPr="007D162C" w:rsidRDefault="08D050C4" w:rsidP="08D050C4">
      <w:pPr>
        <w:rPr>
          <w:rFonts w:ascii="Calibri" w:eastAsia="Times New Roman" w:hAnsi="Calibri" w:cs="Calibri"/>
          <w:color w:val="000000" w:themeColor="text1"/>
          <w:lang w:eastAsia="en-AU"/>
        </w:rPr>
      </w:pPr>
      <w:r w:rsidRPr="007D162C">
        <w:lastRenderedPageBreak/>
        <w:t xml:space="preserve">Operators and providers will incur costs to meet the crossfall and gradient requirements where they are not compliant, including costs to audit and upgrade existing boarding points. Costs may be greater if upgrading existing boarding points. This will vary depending on factors such as topography, existing infrastructure or street verge width. </w:t>
      </w:r>
      <w:r w:rsidRPr="007D162C">
        <w:rPr>
          <w:rFonts w:ascii="Calibri" w:eastAsia="Times New Roman" w:hAnsi="Calibri" w:cs="Calibri"/>
          <w:color w:val="000000" w:themeColor="text1"/>
          <w:lang w:eastAsia="en-AU"/>
        </w:rPr>
        <w:t xml:space="preserve">Collaboration with local authorities may also be required in upgrading infrastructure which submissions note can pose challenges.  </w:t>
      </w:r>
    </w:p>
    <w:p w14:paraId="01F599A9" w14:textId="77777777" w:rsidR="00E1199F" w:rsidRPr="007D162C" w:rsidRDefault="08D050C4" w:rsidP="00E1199F">
      <w:r w:rsidRPr="007D162C">
        <w:rPr>
          <w:rFonts w:ascii="Calibri" w:eastAsia="Times New Roman" w:hAnsi="Calibri" w:cs="Calibri"/>
          <w:color w:val="000000" w:themeColor="text1"/>
          <w:lang w:eastAsia="en-AU"/>
        </w:rPr>
        <w:t>People who require the use of boarding ramps when boarding or alighting will benefit from certainty that boarding points at bus, tram and light rail stops will be firm and aligned with the conveyance. This will</w:t>
      </w:r>
      <w:r w:rsidRPr="007D162C">
        <w:t xml:space="preserve"> enhance passenger safety and confidence to travel by improving accessibility at stops that currently have steep gradients and crossfall. Clear regulatory requirements will address concerns raised about the lack of requirements in the Transport Standards and provide greater certainty for operators and providers. Some uncertainty would remain under regulatory option 1 where road gradient is at a gradient steeper than 1:40. This would make providing accessible boarding points more challenging. </w:t>
      </w:r>
    </w:p>
    <w:p w14:paraId="4614AB28" w14:textId="77777777" w:rsidR="00E1199F" w:rsidRPr="007D162C" w:rsidRDefault="00E1199F" w:rsidP="00E1199F">
      <w:pPr>
        <w:pStyle w:val="Heading4"/>
      </w:pPr>
      <w:r w:rsidRPr="007D162C">
        <w:t>Preferred option</w:t>
      </w:r>
    </w:p>
    <w:p w14:paraId="11B97190" w14:textId="35C61559" w:rsidR="00FA7D2B" w:rsidRDefault="00E1199F" w:rsidP="00FA7D2B">
      <w:r w:rsidRPr="007D162C">
        <w:t xml:space="preserve">Informed by the outcomes of consultation, stakeholder impacts, cost and outcomes analysis, the preferred option is </w:t>
      </w:r>
      <w:r w:rsidRPr="007D162C">
        <w:rPr>
          <w:b/>
        </w:rPr>
        <w:t>regulatory option 2</w:t>
      </w:r>
      <w:r w:rsidRPr="007D162C">
        <w:t xml:space="preserve">. </w:t>
      </w:r>
    </w:p>
    <w:p w14:paraId="29AD612B" w14:textId="1A7C75A7" w:rsidR="00FA7D2B" w:rsidRPr="00F55FEE" w:rsidRDefault="00FA7D2B" w:rsidP="00FA7D2B">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AS1428.1 (2021), reference to AS1428.1 (2009</w:t>
      </w:r>
      <w:r w:rsidRPr="00FA7D2B">
        <w:t>) clauses 6.5.1 and 10.1</w:t>
      </w:r>
      <w:r w:rsidRPr="00F55FEE">
        <w:t xml:space="preserve"> </w:t>
      </w:r>
      <w:r w:rsidRPr="00F55FEE">
        <w:rPr>
          <w:shd w:val="clear" w:color="auto" w:fill="FFFFFF"/>
        </w:rPr>
        <w:t>will be updated with the equivalent clause reference</w:t>
      </w:r>
      <w:r>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w:t>
      </w:r>
    </w:p>
    <w:p w14:paraId="6E5C3E31" w14:textId="3F24CDC3" w:rsidR="00346787" w:rsidRDefault="00346787" w:rsidP="00FA7D2B">
      <w:pPr>
        <w:tabs>
          <w:tab w:val="left" w:pos="6007"/>
        </w:tabs>
      </w:pPr>
    </w:p>
    <w:p w14:paraId="5F69E09E" w14:textId="73FDE58D" w:rsidR="00E1199F" w:rsidRPr="007D162C" w:rsidRDefault="08D050C4" w:rsidP="00E1199F">
      <w:r w:rsidRPr="007D162C">
        <w:t>Submissions expressed support for addressing the current ambiguity in the Transport Standards with prescriptive gradient requirements and noted that a regulatory approach provides certainty for operators and providers, as well as people with disability. The majority of submissions across all stakeholder groups expressed support for regulatory option 2, recognising that it presented the only viable regulatory solution. It was noted that many conveyance stops are located on sloping roads presenting a gradient steeper than 1:40, making regulatory option 1 unfeasible.</w:t>
      </w:r>
    </w:p>
    <w:p w14:paraId="7BDAE476"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While regulatory option 2 may be more costly as it stipulates additional requirements for road gradients where the gradient is steeper than 1:40, a number of submissions noted that this option considers</w:t>
      </w:r>
      <w:r w:rsidRPr="007D162C">
        <w:rPr>
          <w:rFonts w:ascii="Calibri" w:eastAsia="Times New Roman" w:hAnsi="Calibri" w:cs="Calibri"/>
          <w:color w:val="000000" w:themeColor="text1"/>
          <w:lang w:eastAsia="en-AU"/>
        </w:rPr>
        <w:t xml:space="preserve"> common site complexities</w:t>
      </w:r>
      <w:r w:rsidRPr="007D162C">
        <w:t xml:space="preserve"> and is already the industry approach when constructing boarding points at difficult locations. </w:t>
      </w:r>
    </w:p>
    <w:p w14:paraId="177B859F" w14:textId="77777777" w:rsidR="00E1199F" w:rsidRPr="007D162C" w:rsidRDefault="08D050C4" w:rsidP="08D050C4">
      <w:pPr>
        <w:shd w:val="clear" w:color="auto" w:fill="FFFFFF" w:themeFill="background1"/>
      </w:pPr>
      <w:r w:rsidRPr="007D162C">
        <w:rPr>
          <w:rFonts w:ascii="Calibri" w:eastAsia="Times New Roman" w:hAnsi="Calibri" w:cs="Calibri"/>
          <w:color w:val="000000" w:themeColor="text1"/>
          <w:lang w:eastAsia="en-AU"/>
        </w:rPr>
        <w:t xml:space="preserve">Regulatory option 2 will provide greater clarity for all topography and sites, and better meets the needs of people with disability, as well as the constraints faced by operators and providers. Regulatory option 2 will deliver the greatest improvements to </w:t>
      </w:r>
      <w:r w:rsidRPr="007D162C">
        <w:t>accessibility at stops that currently have steep gradients and crossfall,</w:t>
      </w:r>
      <w:r w:rsidRPr="007D162C">
        <w:rPr>
          <w:rFonts w:ascii="Calibri" w:eastAsia="Times New Roman" w:hAnsi="Calibri" w:cs="Calibri"/>
          <w:color w:val="000000" w:themeColor="text1"/>
          <w:lang w:eastAsia="en-AU"/>
        </w:rPr>
        <w:t xml:space="preserve"> with resultant improvements to</w:t>
      </w:r>
      <w:r w:rsidRPr="007D162C">
        <w:t xml:space="preserve"> passenger safety and confidence to travel. </w:t>
      </w:r>
    </w:p>
    <w:p w14:paraId="78C1D6E3" w14:textId="77777777"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prospectively with a trigger mechanism. </w:t>
      </w:r>
      <w:r w:rsidRPr="007D162C">
        <w:rPr>
          <w:rFonts w:ascii="Calibri" w:eastAsia="Calibri" w:hAnsi="Calibri" w:cs="Times New Roman"/>
          <w:color w:val="000000" w:themeColor="text1"/>
        </w:rPr>
        <w:t xml:space="preserve">This would address the primary concerns of stakeholders. </w:t>
      </w:r>
      <w:r w:rsidRPr="007D162C">
        <w:br w:type="page"/>
      </w:r>
    </w:p>
    <w:p w14:paraId="3F5DB029" w14:textId="52CD5821" w:rsidR="00E1199F" w:rsidRPr="007D162C" w:rsidRDefault="00E1199F" w:rsidP="00E177CC">
      <w:pPr>
        <w:pStyle w:val="Heading2"/>
        <w:numPr>
          <w:ilvl w:val="0"/>
          <w:numId w:val="28"/>
        </w:numPr>
        <w:ind w:hanging="720"/>
      </w:pPr>
      <w:bookmarkStart w:id="583" w:name="_Toc127351798"/>
      <w:bookmarkStart w:id="584" w:name="_Toc140239756"/>
      <w:r w:rsidRPr="007D162C">
        <w:lastRenderedPageBreak/>
        <w:t>Hail-and-ride boarding points on infrastructure</w:t>
      </w:r>
      <w:bookmarkEnd w:id="583"/>
      <w:bookmarkEnd w:id="584"/>
    </w:p>
    <w:p w14:paraId="083BEBBD" w14:textId="77777777" w:rsidR="00E1199F" w:rsidRPr="007D162C" w:rsidRDefault="00E1199F" w:rsidP="00E1199F">
      <w:pPr>
        <w:pStyle w:val="Heading4"/>
        <w:tabs>
          <w:tab w:val="left" w:pos="284"/>
        </w:tabs>
      </w:pPr>
      <w:r w:rsidRPr="007D162C">
        <w:t>Issue</w:t>
      </w:r>
    </w:p>
    <w:p w14:paraId="7DCF7923" w14:textId="77777777" w:rsidR="00E1199F" w:rsidRPr="007D162C" w:rsidRDefault="00E1199F" w:rsidP="00E1199F">
      <w:pPr>
        <w:tabs>
          <w:tab w:val="left" w:pos="284"/>
        </w:tabs>
      </w:pPr>
      <w:r w:rsidRPr="007D162C">
        <w:t>Currently, people with disability may be unable to access hail-and-ride services due to a lack of clearly identified accessible boarding points for these services. Two issues have been identified with the current requirements of the Transport Standards:</w:t>
      </w:r>
    </w:p>
    <w:p w14:paraId="1B673EDC" w14:textId="77777777" w:rsidR="00E1199F" w:rsidRPr="007D162C" w:rsidRDefault="00E1199F" w:rsidP="00E1199F">
      <w:pPr>
        <w:pStyle w:val="Listparagraphbullets"/>
        <w:autoSpaceDE w:val="0"/>
        <w:autoSpaceDN w:val="0"/>
        <w:spacing w:after="0"/>
      </w:pPr>
      <w:r w:rsidRPr="007D162C">
        <w:t xml:space="preserve">Transport Standards section 8.4 Hail-and-ride services, sets requirements for hail-and-ride boarding, but does not set performance requirements for nominated accessible boarding points. </w:t>
      </w:r>
    </w:p>
    <w:p w14:paraId="62E33D3C" w14:textId="6D3E695B" w:rsidR="00E1199F" w:rsidRDefault="00E1199F" w:rsidP="00E1199F">
      <w:pPr>
        <w:pStyle w:val="Listparagraphbullets"/>
        <w:autoSpaceDE w:val="0"/>
        <w:autoSpaceDN w:val="0"/>
        <w:spacing w:after="0"/>
      </w:pPr>
      <w:r w:rsidRPr="007D162C">
        <w:t>Whilst Transport Standards section 8.1 Boarding points and kerbs, does require boarding points to have a firm and level surface to which a boarding device can be deployed it does not specify how this must be achieved if the boarding point is on the carriageway.</w:t>
      </w:r>
    </w:p>
    <w:p w14:paraId="0E5CBC0D" w14:textId="77777777" w:rsidR="000917A8" w:rsidRPr="007D162C" w:rsidRDefault="000917A8" w:rsidP="000917A8">
      <w:pPr>
        <w:pStyle w:val="Listparagraphbullets"/>
        <w:numPr>
          <w:ilvl w:val="0"/>
          <w:numId w:val="0"/>
        </w:numPr>
        <w:autoSpaceDE w:val="0"/>
        <w:autoSpaceDN w:val="0"/>
        <w:spacing w:after="0"/>
        <w:ind w:left="360"/>
      </w:pPr>
    </w:p>
    <w:p w14:paraId="42B1134B" w14:textId="77777777" w:rsidR="00E1199F" w:rsidRPr="007D162C" w:rsidRDefault="08D050C4" w:rsidP="00E1199F">
      <w:r w:rsidRPr="007D162C">
        <w:t>These issues are particularly problematic for rear loading wheelchair accessible taxi services where there is no break in the kerb permitting access to the carriageway.</w:t>
      </w:r>
    </w:p>
    <w:p w14:paraId="1E3DFEB0" w14:textId="77777777" w:rsidR="00E1199F" w:rsidRPr="007D162C" w:rsidRDefault="00E1199F" w:rsidP="00E1199F">
      <w:pPr>
        <w:tabs>
          <w:tab w:val="left" w:pos="284"/>
        </w:tabs>
        <w:suppressAutoHyphens/>
        <w:rPr>
          <w:rFonts w:asciiTheme="majorHAnsi" w:eastAsiaTheme="majorEastAsia" w:hAnsiTheme="majorHAnsi" w:cstheme="majorBidi"/>
          <w:b/>
          <w:color w:val="806000"/>
          <w:sz w:val="26"/>
          <w:szCs w:val="26"/>
        </w:rPr>
      </w:pPr>
      <w:r w:rsidRPr="007D162C">
        <w:t>Collective government action would ensure requirements for boarding are clear to public transport operators and providers and ensure all passengers can access services without discrimination. This would also address key stakeholder issues raised through the Transport Standards review process.</w:t>
      </w:r>
    </w:p>
    <w:p w14:paraId="4B6062A1" w14:textId="77777777" w:rsidR="00E1199F" w:rsidRPr="007D162C" w:rsidRDefault="00E1199F" w:rsidP="00E1199F">
      <w:pPr>
        <w:pStyle w:val="Heading4"/>
        <w:tabs>
          <w:tab w:val="left" w:pos="284"/>
        </w:tabs>
      </w:pPr>
      <w:r w:rsidRPr="007D162C">
        <w:t>Reform options</w:t>
      </w:r>
    </w:p>
    <w:p w14:paraId="4BB49946"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6A68E3A6" w14:textId="0E740A22" w:rsidR="00E1199F" w:rsidRPr="007D162C" w:rsidRDefault="00E1199F" w:rsidP="00E1199F">
      <w:pPr>
        <w:pStyle w:val="Caption"/>
        <w:keepNext/>
      </w:pPr>
      <w:bookmarkStart w:id="585" w:name="_Toc122446452"/>
      <w:bookmarkStart w:id="586" w:name="_Toc139969289"/>
      <w:r w:rsidRPr="007D162C">
        <w:t xml:space="preserve">Table </w:t>
      </w:r>
      <w:fldSimple w:instr=" SEQ Table \* ARABIC ">
        <w:r w:rsidR="00DC26AC">
          <w:rPr>
            <w:noProof/>
          </w:rPr>
          <w:t>131</w:t>
        </w:r>
      </w:fldSimple>
      <w:r w:rsidRPr="007D162C">
        <w:rPr>
          <w:noProof/>
        </w:rPr>
        <w:t>: Reform options for hail-and-ride boarding points on infrastructure</w:t>
      </w:r>
      <w:bookmarkEnd w:id="585"/>
      <w:bookmarkEnd w:id="586"/>
    </w:p>
    <w:tbl>
      <w:tblPr>
        <w:tblStyle w:val="DefaultTable1"/>
        <w:tblW w:w="9072" w:type="dxa"/>
        <w:tblLook w:val="04A0" w:firstRow="1" w:lastRow="0" w:firstColumn="1" w:lastColumn="0" w:noHBand="0" w:noVBand="1"/>
        <w:tblCaption w:val="Reform options for hail-and-ride boarding points on infrastructure"/>
        <w:tblDescription w:val="This table provides a description of each of the options for this reform area. Status quo, non-regulatory and regulatory."/>
      </w:tblPr>
      <w:tblGrid>
        <w:gridCol w:w="2232"/>
        <w:gridCol w:w="6840"/>
      </w:tblGrid>
      <w:tr w:rsidR="00E1199F" w:rsidRPr="007D162C" w14:paraId="6066B9A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2" w:type="dxa"/>
          </w:tcPr>
          <w:p w14:paraId="54F2539C"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F7E6E9F"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0367C1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EC36AB"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03FA2E8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to provide provision for hail-and-ride services. However, these provisions may continue to limit opportunity for people with disability to board and alight at clearly identified accessible hail-and-ride pick up locations.</w:t>
            </w:r>
          </w:p>
          <w:p w14:paraId="2FD7431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4F0568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544306F"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540312A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good practice for hail and ride boarding points, including location of boarding devices, responsibilities of vehicles, operator and provider, and passenger.</w:t>
            </w:r>
          </w:p>
        </w:tc>
      </w:tr>
      <w:tr w:rsidR="00E1199F" w:rsidRPr="007D162C" w14:paraId="27EC6C4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347785"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6EDA1A8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hail-and-ride boarding points, including:</w:t>
            </w:r>
          </w:p>
          <w:p w14:paraId="4038BED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rPr>
                <w:lang w:val="en-US"/>
              </w:rPr>
              <w:t>Passengers</w:t>
            </w:r>
            <w:r w:rsidRPr="007D162C">
              <w:t xml:space="preserve"> must be able to hail the service at accessible hail-and-ride boarding points where boarding devices can be deployed.</w:t>
            </w:r>
          </w:p>
          <w:p w14:paraId="5BFE9D5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rPr>
                <w:lang w:val="en-US"/>
              </w:rPr>
              <w:t xml:space="preserve">Accessible </w:t>
            </w:r>
            <w:r w:rsidRPr="007D162C">
              <w:t>boarding points must offer equal access to public transport services.</w:t>
            </w:r>
          </w:p>
          <w:p w14:paraId="51E60A63" w14:textId="77777777" w:rsidR="00E1199F" w:rsidRPr="007D162C" w:rsidRDefault="00E1199F" w:rsidP="004E502A">
            <w:pPr>
              <w:pStyle w:val="Listparagraphbulletssecondlevel"/>
              <w:cnfStyle w:val="000000100000" w:firstRow="0" w:lastRow="0" w:firstColumn="0" w:lastColumn="0" w:oddVBand="0" w:evenVBand="0" w:oddHBand="1" w:evenHBand="0" w:firstRowFirstColumn="0" w:firstRowLastColumn="0" w:lastRowFirstColumn="0" w:lastRowLastColumn="0"/>
              <w:rPr>
                <w:b w:val="0"/>
              </w:rPr>
            </w:pPr>
            <w:r w:rsidRPr="007D162C">
              <w:rPr>
                <w:b w:val="0"/>
              </w:rPr>
              <w:t>These requirements would pertain to hail-and-ride services, (except dedicated school buses.)</w:t>
            </w:r>
          </w:p>
          <w:p w14:paraId="0129494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09299275" w14:textId="77777777" w:rsidR="00CC3E1D" w:rsidRPr="007D162C" w:rsidRDefault="00CC3E1D" w:rsidP="003D78B4">
      <w:pPr>
        <w:pStyle w:val="BodyText"/>
      </w:pPr>
    </w:p>
    <w:p w14:paraId="3401B615" w14:textId="791A833C" w:rsidR="00E1199F" w:rsidRPr="007D162C" w:rsidRDefault="00E1199F" w:rsidP="00E1199F">
      <w:pPr>
        <w:pStyle w:val="Heading4"/>
        <w:tabs>
          <w:tab w:val="left" w:pos="284"/>
        </w:tabs>
      </w:pPr>
      <w:r w:rsidRPr="007D162C">
        <w:lastRenderedPageBreak/>
        <w:t>Cost benefit analysis</w:t>
      </w:r>
    </w:p>
    <w:p w14:paraId="40B31903" w14:textId="34FC04B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w:t>
      </w:r>
      <w:r w:rsidR="00DA1644" w:rsidRPr="007D162C">
        <w:rPr>
          <w:rFonts w:asciiTheme="majorHAnsi" w:eastAsiaTheme="majorEastAsia" w:hAnsiTheme="majorHAnsi" w:cstheme="majorBidi"/>
          <w:color w:val="44546A" w:themeColor="text2"/>
          <w:kern w:val="0"/>
          <w:sz w:val="22"/>
          <w:szCs w:val="22"/>
          <w:lang w:val="en-AU"/>
        </w:rPr>
        <w:t xml:space="preserve">and qualitative </w:t>
      </w:r>
      <w:r w:rsidRPr="007D162C">
        <w:rPr>
          <w:rFonts w:asciiTheme="majorHAnsi" w:eastAsiaTheme="majorEastAsia" w:hAnsiTheme="majorHAnsi" w:cstheme="majorBidi"/>
          <w:color w:val="44546A" w:themeColor="text2"/>
          <w:kern w:val="0"/>
          <w:sz w:val="22"/>
          <w:szCs w:val="22"/>
          <w:lang w:val="en-AU"/>
        </w:rPr>
        <w:t xml:space="preserve">assessment </w:t>
      </w:r>
    </w:p>
    <w:p w14:paraId="22081435" w14:textId="77777777" w:rsidR="00DA1644" w:rsidRPr="007D162C" w:rsidRDefault="00E1199F" w:rsidP="00E1199F">
      <w:r w:rsidRPr="007D162C">
        <w:t>This assessment included a high-level summary of the definitional reform and potential impacts for hail-and-ride boarding points on infrastructure.</w:t>
      </w:r>
    </w:p>
    <w:p w14:paraId="2FAAF097" w14:textId="77777777" w:rsidR="00DA1644" w:rsidRPr="007D162C" w:rsidRDefault="08D050C4" w:rsidP="00DA1644">
      <w:r w:rsidRPr="007D162C">
        <w:t>This is one of the six reforms categorised as definitional, which improves consistency and clarification of certain definitional terms and are considered minor and clarifying for providers, operators or manufacturers. As such, there are limited, or no costs and monetised benefits associated with these definitional reforms.</w:t>
      </w:r>
    </w:p>
    <w:p w14:paraId="31D34DF6" w14:textId="469E2212" w:rsidR="00E1199F" w:rsidRPr="007D162C" w:rsidRDefault="08D050C4" w:rsidP="00E1199F">
      <w:r w:rsidRPr="007D162C">
        <w:t xml:space="preserve">There are identified non-monetised benefits for people with disability associated with definitional reforms. These qualitative benefits improve outcomes for people with disability and are important for decision-makers to consider, in addition to the monetised costs and benefits. </w:t>
      </w:r>
    </w:p>
    <w:p w14:paraId="1262ABA4" w14:textId="77777777" w:rsidR="00E1199F" w:rsidRPr="007D162C" w:rsidRDefault="00E1199F" w:rsidP="00E1199F">
      <w:pPr>
        <w:pStyle w:val="Heading4"/>
        <w:tabs>
          <w:tab w:val="left" w:pos="284"/>
        </w:tabs>
      </w:pPr>
      <w:r w:rsidRPr="007D162C">
        <w:t xml:space="preserve">Analysis of submissions </w:t>
      </w:r>
    </w:p>
    <w:p w14:paraId="6E5F5AD0" w14:textId="77777777" w:rsidR="00E1199F" w:rsidRPr="007D162C" w:rsidRDefault="00E1199F" w:rsidP="00CC3E1D">
      <w:pPr>
        <w:pStyle w:val="Heading5"/>
      </w:pPr>
      <w:r w:rsidRPr="007D162C">
        <w:t>Status quo</w:t>
      </w:r>
    </w:p>
    <w:p w14:paraId="5B2BCC28"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A hail-and-ride service is operated by a conveyance, such as a bus or wheelchair accessible taxi, that follows a set route, but may stop for passengers at any safe point on the route. </w:t>
      </w:r>
    </w:p>
    <w:p w14:paraId="3A43F844" w14:textId="77777777" w:rsidR="00E1199F" w:rsidRPr="007D162C" w:rsidRDefault="00E1199F" w:rsidP="00E1199F">
      <w:r w:rsidRPr="007D162C">
        <w:t>The status quo would see the current requirements of the Transport Standards remain, and the identified issues persisting. No submissions received during the public consultation period supported the status quo option.</w:t>
      </w:r>
    </w:p>
    <w:p w14:paraId="5C982B75" w14:textId="77777777" w:rsidR="00E1199F" w:rsidRPr="007D162C" w:rsidRDefault="00E1199F" w:rsidP="00E1199F">
      <w:r w:rsidRPr="007D162C">
        <w:t xml:space="preserve">The status quo option is unlikely to involve any new costs to operators and providers and would not introduce additional regulatory burden or associated administrative costs. However, operators and providers would continue to face uncertainty about their obligations, and where responsibility lies in accessing hail-and-ride services. </w:t>
      </w:r>
    </w:p>
    <w:p w14:paraId="54C810C7" w14:textId="77777777" w:rsidR="00E1199F" w:rsidRPr="007D162C" w:rsidRDefault="00E1199F" w:rsidP="00E1199F">
      <w:r w:rsidRPr="007D162C">
        <w:t>The status quo maintains a level of safety, amenity and accessibility that continues to inhibit independence and safety of people with disability when attempting to use hail-and-ride services. People with disability will continue to face accessibility issues when accessing hail-and-ride services. The status quo does not enhance or increase equality and independence, or reduce discrimination for people with disability in relation to public transport. While the status quo has no ongoing costs for public transports operators and providers, regulatory uncertainty and negative impacts on community amenity, accessibility, and safety will remain.</w:t>
      </w:r>
    </w:p>
    <w:p w14:paraId="1A388401" w14:textId="77777777" w:rsidR="00E1199F" w:rsidRPr="007D162C" w:rsidRDefault="00E1199F" w:rsidP="00CC3E1D">
      <w:pPr>
        <w:pStyle w:val="Heading5"/>
      </w:pPr>
      <w:r w:rsidRPr="007D162C">
        <w:t>Non-regulatory</w:t>
      </w:r>
    </w:p>
    <w:p w14:paraId="052CC873" w14:textId="77777777" w:rsidR="00E1199F" w:rsidRPr="007D162C" w:rsidRDefault="00E1199F" w:rsidP="00E1199F">
      <w:r w:rsidRPr="007D162C">
        <w:t>The non-regulatory option would provide updated advice on good practice for hail-and-ride boarding points and the responsibilities of operators, providers, and passengers.</w:t>
      </w:r>
    </w:p>
    <w:p w14:paraId="1EAED44E" w14:textId="77777777" w:rsidR="000917A8"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t>No submissions from individuals, people with disability or disability organisations expressed support for the non-regulatory option.</w:t>
      </w:r>
      <w:r w:rsidRPr="007D162C">
        <w:rPr>
          <w:rFonts w:ascii="Calibri" w:eastAsia="Times New Roman" w:hAnsi="Calibri" w:cs="Calibri"/>
          <w:color w:val="000000" w:themeColor="text1"/>
          <w:lang w:eastAsia="en-AU"/>
        </w:rPr>
        <w:t xml:space="preserve"> Industry and government stakeholders were largely divided on their preferred option; however, the non-regulatory option had a slight majority in support amongst those who expressed a preference. These submissions outlined that the non-regulatory option should provide greater innovation in conveyances and flexibility for operators and providers in providing hail-and-ride service, particularly in instances where a third party owns relevant assets or land from which a user is hailing and boarding the service. Advice regarding customer responsibility in choosing safe boarding points, including considerations of stops and road rules was welcome.</w:t>
      </w:r>
    </w:p>
    <w:p w14:paraId="22128C17" w14:textId="681DA140" w:rsidR="00E1199F"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A number of submissions recommended that hail-and-ride services be better defined, and that guidance also include clarity regarding the number of accessible locations that should be included along a route. It was noted in one submission that any upgrades to boarding points would incur costs and these are usually located on the land of local authorities.</w:t>
      </w:r>
    </w:p>
    <w:p w14:paraId="53BFF548" w14:textId="77777777" w:rsidR="000917A8" w:rsidRPr="007D162C" w:rsidRDefault="000917A8" w:rsidP="08D050C4">
      <w:pPr>
        <w:shd w:val="clear" w:color="auto" w:fill="FFFFFF" w:themeFill="background1"/>
        <w:spacing w:after="0"/>
        <w:rPr>
          <w:rFonts w:ascii="Calibri" w:eastAsia="Times New Roman" w:hAnsi="Calibri" w:cs="Calibri"/>
          <w:color w:val="000000" w:themeColor="text1"/>
          <w:lang w:eastAsia="en-AU"/>
        </w:rPr>
      </w:pPr>
    </w:p>
    <w:p w14:paraId="3C951D8E" w14:textId="77777777" w:rsidR="00E1199F" w:rsidRPr="007D162C" w:rsidRDefault="00E1199F" w:rsidP="00E1199F">
      <w:r w:rsidRPr="007D162C">
        <w:t>To the extent that guidance is followed, the non-regulatory option would provide greater clarity regarding the roles and responsibilities of operators, providers and users alike. Operators would benefit from clarity regarding the requirements to ensure their service is accessible and may result in them being able to offer their service to a greater customer base.</w:t>
      </w:r>
    </w:p>
    <w:p w14:paraId="3F9BAA33" w14:textId="3B97D3C8" w:rsidR="00E1199F" w:rsidRPr="007D162C" w:rsidRDefault="08D050C4" w:rsidP="08D050C4">
      <w:pPr>
        <w:rPr>
          <w:rFonts w:ascii="Calibri" w:hAnsi="Calibri" w:cs="Calibri"/>
          <w:color w:val="000000" w:themeColor="text1"/>
        </w:rPr>
      </w:pPr>
      <w:r w:rsidRPr="007D162C">
        <w:t>Given this option is discretionary however, it does not provide certainty that guidance will be implemented which may reduce confidence of passengers to board and alight safely when accessing hail-and ride services. To the extent that guidance is followed however, people with disability would have greater clarity on good practice for hail-and-ride boarding points and would benefit from being able to board and alight safely when access</w:t>
      </w:r>
      <w:r w:rsidR="00A447A2">
        <w:t>ing</w:t>
      </w:r>
      <w:r w:rsidRPr="007D162C">
        <w:t xml:space="preserve"> these services.  For example, people with mobility aids who cannot currently cross a kerb to board a rear loading accessible conveyance would be able to access this service.  </w:t>
      </w:r>
    </w:p>
    <w:p w14:paraId="51DD49A8" w14:textId="77777777" w:rsidR="00E1199F" w:rsidRPr="007D162C" w:rsidRDefault="00E1199F" w:rsidP="00CC3E1D">
      <w:pPr>
        <w:pStyle w:val="Heading5"/>
      </w:pPr>
      <w:r w:rsidRPr="007D162C">
        <w:t>Regulatory</w:t>
      </w:r>
    </w:p>
    <w:p w14:paraId="315F97C9"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The regulatory option provides additional flexibility to both users, as well as operators and providers, and better reflects the nature of hail-and-ride services.</w:t>
      </w:r>
    </w:p>
    <w:p w14:paraId="3B4EC71F"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p>
    <w:p w14:paraId="5839C694"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Under the regulatory option, removing the need for ‘nominated’ accessible boarding points from the Transport Standards and providing additional guidance would clarify that operators and providers would not be expected to nominate or identify accessible boarding points, rather, the expectation is that a user could hail and board a service at any safe location along the route. This better reflects the intended use of hail-and-ride services. Guidance would also specify that conveyances may have either side or rear loading boarding devices and that the accessible boarding points must offer equal access to the hail-and-ride. For example, passengers with mobility aids should be able to cross kerbs to board rear loading conveyances. This may be achieved through the use of portable ramps or by using existing kerb ramps at or adjacent to the boarding point. Guidance would be provided that it is the passengers responsibility to select a boarding point that is accessible and at which a hail-and-ride conveyance can safely and lawfully stop. It would be the responsibility of the operator to ensure that the passenger is able to board the vehicle from this accessible boarding point.</w:t>
      </w:r>
    </w:p>
    <w:p w14:paraId="3B83FF32"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p>
    <w:p w14:paraId="51E1FC6D" w14:textId="0631AD9E" w:rsidR="00E1199F"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All submissions from individuals, people with disability or disability organisations expressed support for the regulatory option. Slightly less than half of industry and government stakeholder submissions also expressed support for the regulatory option. Submissions from individuals, people with disability or disability organisations noted the benefits of flexible and spontaneous public transport provided through hail-and-ride services. One submission noted that hail-and-ride and on-demand-transport services are slowly expanding in outer suburban areas where route bus services are not viable and these services work best in a contained catchment that focuses on core destinations such as rail stations and shops. Another submission noted that people with disability must often meticulously plan journeys, including boarding points, to ensure that their accessibility needs are met, and that it is important that the Transport Standards regulate, to the greatest extent possible, to ensure that people with disability have greater travel flexibility. This submission outlined that the regulatory option proposed was a good compromise in relation to hail-and-ride services. </w:t>
      </w:r>
    </w:p>
    <w:p w14:paraId="3ADE2D70" w14:textId="77777777" w:rsidR="000917A8" w:rsidRPr="007D162C" w:rsidRDefault="000917A8" w:rsidP="08D050C4">
      <w:pPr>
        <w:shd w:val="clear" w:color="auto" w:fill="FFFFFF" w:themeFill="background1"/>
        <w:spacing w:after="0"/>
        <w:rPr>
          <w:rFonts w:ascii="Calibri" w:eastAsia="Times New Roman" w:hAnsi="Calibri" w:cs="Calibri"/>
          <w:color w:val="000000" w:themeColor="text1"/>
          <w:lang w:eastAsia="en-AU"/>
        </w:rPr>
      </w:pPr>
    </w:p>
    <w:p w14:paraId="659DC493" w14:textId="77777777" w:rsidR="00E1199F" w:rsidRPr="007D162C" w:rsidRDefault="00E1199F" w:rsidP="00E1199F">
      <w:pPr>
        <w:pStyle w:val="Quote"/>
      </w:pPr>
      <w:r w:rsidRPr="007D162C">
        <w:lastRenderedPageBreak/>
        <w:t>The regulations proposed are a good compromise in that whilst they acknowledge that many elements of street infrastructure will not be in the control of the transport provider, drivers are expected to provide hail and ride services to people with disability where safe to do so and provide portable ramps or other loading boarding devices.</w:t>
      </w:r>
    </w:p>
    <w:p w14:paraId="708B3994" w14:textId="77777777" w:rsidR="00E1199F" w:rsidRPr="007D162C" w:rsidRDefault="00E1199F" w:rsidP="00E1199F">
      <w:pPr>
        <w:pStyle w:val="Quote"/>
      </w:pPr>
      <w:r w:rsidRPr="007D162C">
        <w:t>Physical Disability Council of NSW</w:t>
      </w:r>
    </w:p>
    <w:p w14:paraId="2B81B3E6" w14:textId="77777777" w:rsidR="000917A8" w:rsidRDefault="000917A8" w:rsidP="08D050C4">
      <w:pPr>
        <w:shd w:val="clear" w:color="auto" w:fill="FFFFFF" w:themeFill="background1"/>
        <w:spacing w:after="0"/>
        <w:rPr>
          <w:rFonts w:ascii="Calibri" w:eastAsia="Times New Roman" w:hAnsi="Calibri" w:cs="Calibri"/>
          <w:color w:val="000000"/>
          <w:lang w:eastAsia="en-AU"/>
        </w:rPr>
      </w:pPr>
    </w:p>
    <w:p w14:paraId="282CDE79" w14:textId="7881ED83"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r w:rsidRPr="007D162C">
        <w:rPr>
          <w:rFonts w:ascii="Calibri" w:eastAsia="Times New Roman" w:hAnsi="Calibri" w:cs="Calibri"/>
          <w:color w:val="000000"/>
          <w:lang w:eastAsia="en-AU"/>
        </w:rPr>
        <w:t>One submission that supported the regulatory option expressed the need for additional measures to be included. The submission noted that no detail was provided regarding</w:t>
      </w:r>
      <w:r w:rsidRPr="007D162C">
        <w:rPr>
          <w:rFonts w:ascii="Calibri" w:hAnsi="Calibri" w:cs="Calibri"/>
          <w:color w:val="000000"/>
          <w:shd w:val="clear" w:color="auto" w:fill="FFFFFF"/>
        </w:rPr>
        <w:t xml:space="preserve"> how accessible boarding points are chosen, and has no requirements for these boarding points to be clearly identifiable to people who are blind or vision impaired. </w:t>
      </w:r>
      <w:r w:rsidRPr="007D162C">
        <w:rPr>
          <w:rFonts w:ascii="Calibri" w:eastAsia="Times New Roman" w:hAnsi="Calibri" w:cs="Calibri"/>
          <w:color w:val="000000"/>
          <w:lang w:eastAsia="en-AU"/>
        </w:rPr>
        <w:t xml:space="preserve">Another submission also recommended the need for significant training across the public transport sector. The submission noted instances where public transport providers ignore or refuse to accept hail-and-ride requests from users with disability. </w:t>
      </w:r>
    </w:p>
    <w:p w14:paraId="78C1E730" w14:textId="77777777" w:rsidR="000917A8" w:rsidRDefault="000917A8" w:rsidP="00A447A2">
      <w:pPr>
        <w:shd w:val="clear" w:color="auto" w:fill="FFFFFF" w:themeFill="background1"/>
        <w:spacing w:after="0"/>
        <w:rPr>
          <w:rFonts w:ascii="Calibri" w:eastAsia="Times New Roman" w:hAnsi="Calibri" w:cs="Calibri"/>
          <w:color w:val="000000"/>
          <w:lang w:eastAsia="en-AU"/>
        </w:rPr>
      </w:pPr>
    </w:p>
    <w:p w14:paraId="5C5F9D99" w14:textId="29DF5B64" w:rsidR="00E1199F" w:rsidRPr="007D162C" w:rsidRDefault="00E1199F" w:rsidP="08D050C4">
      <w:pPr>
        <w:rPr>
          <w:rFonts w:ascii="Calibri" w:eastAsia="Times New Roman" w:hAnsi="Calibri" w:cs="Calibri"/>
          <w:color w:val="000000" w:themeColor="text1"/>
          <w:lang w:eastAsia="en-AU"/>
        </w:rPr>
      </w:pPr>
      <w:r w:rsidRPr="007D162C">
        <w:rPr>
          <w:rFonts w:ascii="Calibri" w:eastAsia="Times New Roman" w:hAnsi="Calibri" w:cs="Calibri"/>
          <w:color w:val="000000"/>
          <w:lang w:eastAsia="en-AU"/>
        </w:rPr>
        <w:t xml:space="preserve">Submissions from industry and government stakeholders who expressed support for the regulatory option expressed support for the Transport Standards being ‘re-defined’ </w:t>
      </w:r>
      <w:r w:rsidRPr="007D162C">
        <w:rPr>
          <w:rFonts w:ascii="Calibri" w:hAnsi="Calibri" w:cs="Calibri"/>
          <w:color w:val="000000"/>
          <w:shd w:val="clear" w:color="auto" w:fill="FFFFFF"/>
        </w:rPr>
        <w:t xml:space="preserve">by updating the requirement for a ‘nominated boarding point’ to an ‘accessible boarding point’, recognising that it ensures boarding devices are able to be deployed at an accessible boarding point. However, concerns were raised about the infrastructure costs in making all boarding points accessible for hail-and-ride services. Submissions noted that clarification is required on the application of hail-and-ride services. One submission outlined that guidance is not clear and </w:t>
      </w:r>
      <w:r w:rsidRPr="007D162C">
        <w:rPr>
          <w:rFonts w:ascii="Calibri" w:eastAsia="Times New Roman" w:hAnsi="Calibri" w:cs="Calibri"/>
          <w:color w:val="000000"/>
          <w:lang w:eastAsia="en-AU"/>
        </w:rPr>
        <w:t>passengers may not always be able to adequately identify an 'accessible location' or one that is safe for stopping, with drivers ultimately deciding where it is safe to stop. This submission noted that the onus should be on the type of conveyance used for the service and ensuring it is accessible.</w:t>
      </w:r>
    </w:p>
    <w:p w14:paraId="5B2DE806" w14:textId="4BC08D24" w:rsidR="00E1199F" w:rsidRPr="007D162C" w:rsidRDefault="00E1199F" w:rsidP="00E1199F">
      <w:r w:rsidRPr="007D162C">
        <w:t>The benefits of the regulatory and non-regulatory options are largely the same</w:t>
      </w:r>
      <w:r w:rsidR="004E19EA">
        <w:t>;</w:t>
      </w:r>
      <w:r w:rsidRPr="007D162C">
        <w:t xml:space="preserve"> however</w:t>
      </w:r>
      <w:r w:rsidR="004E19EA">
        <w:t>,</w:t>
      </w:r>
      <w:r w:rsidRPr="007D162C">
        <w:t xml:space="preserve"> the regulatory option provides greater certainty and clarity regarding the obligations of operators and providers and offers a recourse for people with disability where they experience discrimination. The regulatory option may result in operators being able to offer their service to a greater customer base. Updated guidance provided under the regulatory option will provide greater clarity regarding the roles and responsibilities of operators, providers and users alike. People with disability would benefit from being able to board and alight safely when accessing hail-and-ride services. </w:t>
      </w:r>
    </w:p>
    <w:p w14:paraId="0B2B082C" w14:textId="77777777" w:rsidR="00E1199F" w:rsidRPr="007D162C" w:rsidRDefault="00E1199F" w:rsidP="00E1199F">
      <w:pPr>
        <w:pStyle w:val="Heading4"/>
      </w:pPr>
      <w:r w:rsidRPr="007D162C">
        <w:t>Preferred option</w:t>
      </w:r>
    </w:p>
    <w:p w14:paraId="0CE5393C" w14:textId="2DE13C91" w:rsidR="00E1199F" w:rsidRPr="007D162C" w:rsidRDefault="00E1199F" w:rsidP="00E1199F">
      <w:r w:rsidRPr="007D162C">
        <w:t xml:space="preserve">Informed by the outcomes of consultation, impacts, cost and outcomes analysis above, the preferred option is the </w:t>
      </w:r>
      <w:r w:rsidRPr="007D162C">
        <w:rPr>
          <w:b/>
        </w:rPr>
        <w:t>regulatory option</w:t>
      </w:r>
      <w:r w:rsidR="000F79C9" w:rsidRPr="007D162C">
        <w:rPr>
          <w:b/>
        </w:rPr>
        <w:t xml:space="preserve"> with additional guidance</w:t>
      </w:r>
      <w:r w:rsidRPr="007D162C">
        <w:t xml:space="preserve">. </w:t>
      </w:r>
    </w:p>
    <w:p w14:paraId="50D15D95"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Submissions noted that hail-and-ride services fill an important public transport ‘gap’ in outer suburban areas where route bus services are not viable, but it was</w:t>
      </w:r>
      <w:r w:rsidRPr="007D162C">
        <w:t xml:space="preserve"> widely acknowledged that the status quo was not meeting the needs of people with disability and failed to provide operators and providers with certainty or clarity regarding their obligations. </w:t>
      </w:r>
      <w:r w:rsidRPr="007D162C">
        <w:rPr>
          <w:rFonts w:ascii="Calibri" w:eastAsia="Times New Roman" w:hAnsi="Calibri" w:cs="Calibri"/>
          <w:color w:val="000000" w:themeColor="text1"/>
          <w:lang w:eastAsia="en-AU"/>
        </w:rPr>
        <w:t xml:space="preserve">The non-regulatory option also fails to address the identified issues that this reform area seeks to address. </w:t>
      </w:r>
    </w:p>
    <w:p w14:paraId="0AFFEC1B" w14:textId="77777777" w:rsidR="00E1199F" w:rsidRPr="007D162C" w:rsidRDefault="00E1199F" w:rsidP="08D050C4">
      <w:pPr>
        <w:shd w:val="clear" w:color="auto" w:fill="FFFFFF" w:themeFill="background1"/>
        <w:spacing w:after="0"/>
        <w:rPr>
          <w:rFonts w:ascii="Calibri" w:eastAsia="Times New Roman" w:hAnsi="Calibri" w:cs="Calibri"/>
          <w:color w:val="000000" w:themeColor="text1"/>
          <w:lang w:eastAsia="en-AU"/>
        </w:rPr>
      </w:pPr>
      <w:r w:rsidRPr="007D162C">
        <w:t xml:space="preserve">Maintaining a regulatory approach is </w:t>
      </w:r>
      <w:r w:rsidRPr="007D162C">
        <w:rPr>
          <w:rFonts w:ascii="Calibri" w:hAnsi="Calibri" w:cs="Calibri"/>
          <w:color w:val="000000"/>
          <w:shd w:val="clear" w:color="auto" w:fill="FFFFFF"/>
        </w:rPr>
        <w:t>the most effective way of achieving consistency and certainty for operators, providers and users, and improving accessibility for people with disability.</w:t>
      </w:r>
      <w:r w:rsidRPr="007D162C">
        <w:rPr>
          <w:rFonts w:ascii="Calibri" w:eastAsia="Times New Roman" w:hAnsi="Calibri" w:cs="Calibri"/>
          <w:color w:val="000000"/>
          <w:lang w:eastAsia="en-AU"/>
        </w:rPr>
        <w:t xml:space="preserve"> Removing the need for ‘nominated’ accessible boarding points from the Transport Standards and providing additional guidance clarifies that the expectation is that a user could hail and board a service at any location along the route where a conveyance may safely and lawfully stop, and it would be the responsibility of the operator to ensure that the passenger is able to board the vehicle from this </w:t>
      </w:r>
      <w:r w:rsidRPr="007D162C">
        <w:rPr>
          <w:rFonts w:ascii="Calibri" w:eastAsia="Times New Roman" w:hAnsi="Calibri" w:cs="Calibri"/>
          <w:color w:val="000000"/>
          <w:lang w:eastAsia="en-AU"/>
        </w:rPr>
        <w:lastRenderedPageBreak/>
        <w:t>accessible boarding point, for example, by deploying an accessible boarding ramp. This better reflects the intended nature of hail-and-ride services.</w:t>
      </w:r>
    </w:p>
    <w:p w14:paraId="17118C85" w14:textId="77777777" w:rsidR="00E1199F" w:rsidRPr="007D162C" w:rsidRDefault="00E1199F" w:rsidP="00E1199F">
      <w:pPr>
        <w:spacing w:before="120" w:after="120"/>
        <w:rPr>
          <w:rFonts w:ascii="Calibri" w:eastAsia="Times New Roman" w:hAnsi="Calibri" w:cs="Calibri"/>
          <w:color w:val="000000" w:themeColor="text1"/>
          <w:lang w:eastAsia="en-AU"/>
        </w:rPr>
      </w:pPr>
      <w:r w:rsidRPr="007D162C">
        <w:t xml:space="preserve">Following feedback through the Consultation RIS, the updated guidance in the Transport Standards Guidelines and /or The Whole Journey Guide will seek to clearly define hail-and-ride services and the roles and responsibilities of users and operators and providers. </w:t>
      </w:r>
      <w:r w:rsidRPr="007D162C">
        <w:rPr>
          <w:rFonts w:ascii="Calibri" w:eastAsia="Times New Roman" w:hAnsi="Calibri" w:cs="Calibri"/>
          <w:color w:val="000000"/>
          <w:lang w:eastAsia="en-AU"/>
        </w:rPr>
        <w:t xml:space="preserve">Guidance would be provided   regarding matters to consider in choosing an accessible boarding point such as stops, road rules, </w:t>
      </w:r>
      <w:r w:rsidRPr="007D162C">
        <w:rPr>
          <w:rFonts w:ascii="Calibri" w:hAnsi="Calibri" w:cs="Calibri"/>
          <w:color w:val="000000"/>
          <w:shd w:val="clear" w:color="auto" w:fill="FFFFFF"/>
        </w:rPr>
        <w:t>safety, comfort and easily identifiable waiting space with clear sightlines for conveyance operators. Ensuring the user is able to board the conveyance from this point may involve the operator deploying a built in or portable ramp.</w:t>
      </w:r>
      <w:r w:rsidRPr="007D162C">
        <w:rPr>
          <w:rFonts w:ascii="Calibri" w:eastAsia="Times New Roman" w:hAnsi="Calibri" w:cs="Calibri"/>
          <w:color w:val="000000"/>
          <w:lang w:eastAsia="en-AU"/>
        </w:rPr>
        <w:t xml:space="preserve"> The guidance will also recommend training be provided to operators and providers about the use of hail-and-ride services by people with disability.  </w:t>
      </w:r>
    </w:p>
    <w:p w14:paraId="17489373" w14:textId="77777777" w:rsidR="00E1199F" w:rsidRPr="007D162C" w:rsidRDefault="00E1199F" w:rsidP="00E1199F">
      <w:pPr>
        <w:spacing w:before="120" w:after="120"/>
      </w:pPr>
      <w:r w:rsidRPr="007D162C">
        <w:t xml:space="preserve">Consistent with other reform areas where multiple land owners may be responsible for ensuring accessibility, clearer guidance will also be provided regarding who is responsible for assets, infrastructure </w:t>
      </w:r>
      <w:r w:rsidRPr="007D162C">
        <w:rPr>
          <w:rFonts w:ascii="Calibri" w:eastAsia="Times New Roman" w:hAnsi="Calibri" w:cs="Calibri"/>
          <w:color w:val="000000"/>
          <w:lang w:eastAsia="en-AU"/>
        </w:rPr>
        <w:t xml:space="preserve">and pedestrian precincts surrounding and servicing hail-and-ride service routes. </w:t>
      </w:r>
      <w:r w:rsidRPr="007D162C">
        <w:t>Local authorities currently have obligations under the DDA to maintain access paths under their jurisdiction in an accessible state. Including better guidance will highlight these obligations and encourage all landowners to provide continuous accessibility. This e</w:t>
      </w:r>
      <w:r w:rsidRPr="007D162C">
        <w:rPr>
          <w:rFonts w:ascii="Calibri" w:hAnsi="Calibri" w:cs="Calibri"/>
          <w:color w:val="000000"/>
          <w:shd w:val="clear" w:color="auto" w:fill="FFFFFF"/>
        </w:rPr>
        <w:t xml:space="preserve">mphasises cooperation and a </w:t>
      </w:r>
      <w:r w:rsidRPr="007D162C">
        <w:t>focus on people's accessibility needs across their whole journey</w:t>
      </w:r>
      <w:r w:rsidRPr="007D162C">
        <w:rPr>
          <w:rFonts w:ascii="Calibri" w:hAnsi="Calibri" w:cs="Calibri"/>
          <w:color w:val="000000"/>
          <w:shd w:val="clear" w:color="auto" w:fill="FFFFFF"/>
        </w:rPr>
        <w:t xml:space="preserve">, </w:t>
      </w:r>
      <w:r w:rsidRPr="007D162C">
        <w:t xml:space="preserve">and acknowledges that the public transport journey is managed and affected by a range of stakeholders. </w:t>
      </w:r>
    </w:p>
    <w:p w14:paraId="564D610B" w14:textId="77777777" w:rsidR="00E1199F" w:rsidRPr="007D162C" w:rsidRDefault="08D050C4" w:rsidP="00E1199F">
      <w:r w:rsidRPr="007D162C">
        <w:t xml:space="preserve">There is little material change to the intent of the Transport Standards, so the impact on users, and operators and providers will be minimal. The preferred approach would provide greater certainty and clarity regarding the obligations of operators and providers and offers a recourse for people with disability where they experience discrimination. The regulatory option may result in operators being able to offer their service to a greater customer base. Updated guidance provided under the regulatory option will provide greater clarity regarding the roles and responsibilities of operators, providers and users alike, and emphasise peoples’ accessibility needs across their whole journey and the need for cooperation between asset and landowners. </w:t>
      </w:r>
    </w:p>
    <w:p w14:paraId="7190BAA9" w14:textId="77777777" w:rsidR="00E1199F" w:rsidRPr="007D162C" w:rsidRDefault="00E1199F" w:rsidP="00E1199F">
      <w:r w:rsidRPr="007D162C">
        <w:rPr>
          <w:rFonts w:ascii="Calibri" w:eastAsia="Times New Roman" w:hAnsi="Calibri" w:cs="Calibri"/>
          <w:color w:val="000000" w:themeColor="text1"/>
          <w:lang w:eastAsia="en-AU"/>
        </w:rPr>
        <w:t xml:space="preserve">The regulatory option provides greater clarity on accessibility of boarding points for hail and ride services and would not introduce new requirements or require upgrades to existing infrastructure. As there is little material change to the intent of the Transport Standards, the </w:t>
      </w:r>
      <w:r w:rsidRPr="007D162C">
        <w:rPr>
          <w:rFonts w:ascii="Calibri" w:eastAsia="Calibri" w:hAnsi="Calibri" w:cs="Times New Roman"/>
          <w:color w:val="000000" w:themeColor="text1"/>
        </w:rPr>
        <w:t xml:space="preserve">changes to the Transport Standards would apply on commencement. </w:t>
      </w:r>
      <w:r w:rsidRPr="007D162C">
        <w:br w:type="page"/>
      </w:r>
    </w:p>
    <w:p w14:paraId="5855D32A" w14:textId="011B836E" w:rsidR="00E1199F" w:rsidRPr="007D162C" w:rsidRDefault="00E1199F" w:rsidP="00E177CC">
      <w:pPr>
        <w:pStyle w:val="Heading2"/>
        <w:numPr>
          <w:ilvl w:val="0"/>
          <w:numId w:val="28"/>
        </w:numPr>
        <w:ind w:hanging="720"/>
      </w:pPr>
      <w:bookmarkStart w:id="587" w:name="_Toc112050130"/>
      <w:bookmarkStart w:id="588" w:name="_Toc127351799"/>
      <w:bookmarkStart w:id="589" w:name="_Toc140239757"/>
      <w:r w:rsidRPr="007D162C">
        <w:lastRenderedPageBreak/>
        <w:t>Accessible taxi ranks</w:t>
      </w:r>
      <w:bookmarkEnd w:id="587"/>
      <w:bookmarkEnd w:id="588"/>
      <w:bookmarkEnd w:id="589"/>
    </w:p>
    <w:p w14:paraId="6F92D024" w14:textId="77777777" w:rsidR="00E1199F" w:rsidRPr="007D162C" w:rsidRDefault="00E1199F" w:rsidP="00E1199F">
      <w:pPr>
        <w:pStyle w:val="Heading4"/>
        <w:tabs>
          <w:tab w:val="left" w:pos="284"/>
        </w:tabs>
      </w:pPr>
      <w:r w:rsidRPr="007D162C">
        <w:t>Issue</w:t>
      </w:r>
    </w:p>
    <w:p w14:paraId="6E47E5C5" w14:textId="47A937FD" w:rsidR="00E1199F" w:rsidRPr="007D162C" w:rsidRDefault="00CF5E3F" w:rsidP="00E1199F">
      <w:r>
        <w:t>S</w:t>
      </w:r>
      <w:r w:rsidR="00E1199F" w:rsidRPr="007D162C">
        <w:t xml:space="preserve">ection 1.18 </w:t>
      </w:r>
      <w:r>
        <w:t xml:space="preserve">of the Transport Standards </w:t>
      </w:r>
      <w:r w:rsidR="00E1199F" w:rsidRPr="007D162C">
        <w:t>lists taxi ranks as infrastructure and boarding points. However, the Transport Standards do</w:t>
      </w:r>
      <w:r>
        <w:t>es</w:t>
      </w:r>
      <w:r w:rsidR="00E1199F" w:rsidRPr="007D162C">
        <w:t xml:space="preserve"> not include requirements on how to make taxi ranks accessible. </w:t>
      </w:r>
    </w:p>
    <w:p w14:paraId="57469799" w14:textId="32DD80C2" w:rsidR="00E1199F" w:rsidRPr="007D162C" w:rsidRDefault="08D050C4" w:rsidP="00E1199F">
      <w:r w:rsidRPr="007D162C">
        <w:t xml:space="preserve">Mobility aid passengers and WAT drivers encounter a number of barriers when using taxi ranks, including matters relating to unbroken kerbs, kerb ramps, the location of taxi ranks and signage. </w:t>
      </w:r>
    </w:p>
    <w:p w14:paraId="4A32AB1D" w14:textId="77777777" w:rsidR="00E1199F" w:rsidRPr="007D162C" w:rsidRDefault="08D050C4" w:rsidP="08D050C4">
      <w:pPr>
        <w:suppressAutoHyphens/>
        <w:rPr>
          <w:rFonts w:asciiTheme="majorHAnsi" w:eastAsiaTheme="majorEastAsia" w:hAnsiTheme="majorHAnsi" w:cstheme="majorBidi"/>
          <w:b/>
          <w:bCs/>
          <w:color w:val="806000"/>
          <w:sz w:val="26"/>
          <w:szCs w:val="26"/>
        </w:rPr>
      </w:pPr>
      <w:r w:rsidRPr="007D162C">
        <w:t>Collective government action to introduce requirements for accessible taxi ranks would modernise the Transport Standards and address key stakeholder issues raised through the Transport Standards review process.</w:t>
      </w:r>
    </w:p>
    <w:p w14:paraId="14DB4BE8" w14:textId="77777777" w:rsidR="00E1199F" w:rsidRPr="007D162C" w:rsidRDefault="00E1199F" w:rsidP="00E1199F">
      <w:pPr>
        <w:pStyle w:val="Heading4"/>
        <w:tabs>
          <w:tab w:val="left" w:pos="284"/>
        </w:tabs>
      </w:pPr>
      <w:r w:rsidRPr="007D162C">
        <w:t>Reform options</w:t>
      </w:r>
    </w:p>
    <w:p w14:paraId="3BFBCAFD"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5A71F3B" w14:textId="10A7B6BD" w:rsidR="00E1199F" w:rsidRPr="007D162C" w:rsidRDefault="00E1199F" w:rsidP="00E1199F">
      <w:pPr>
        <w:pStyle w:val="Caption"/>
        <w:keepNext/>
      </w:pPr>
      <w:bookmarkStart w:id="590" w:name="_Toc122446454"/>
      <w:bookmarkStart w:id="591" w:name="_Toc139969290"/>
      <w:r w:rsidRPr="007D162C">
        <w:t xml:space="preserve">Table </w:t>
      </w:r>
      <w:fldSimple w:instr=" SEQ Table \* ARABIC ">
        <w:r w:rsidR="00DC26AC">
          <w:rPr>
            <w:noProof/>
          </w:rPr>
          <w:t>132</w:t>
        </w:r>
      </w:fldSimple>
      <w:r w:rsidRPr="007D162C">
        <w:rPr>
          <w:noProof/>
        </w:rPr>
        <w:t>: Reform options for</w:t>
      </w:r>
      <w:r w:rsidRPr="007D162C">
        <w:t xml:space="preserve"> a</w:t>
      </w:r>
      <w:r w:rsidRPr="007D162C">
        <w:rPr>
          <w:noProof/>
        </w:rPr>
        <w:t>ccessible taxi ranks</w:t>
      </w:r>
      <w:bookmarkEnd w:id="590"/>
      <w:bookmarkEnd w:id="591"/>
    </w:p>
    <w:tbl>
      <w:tblPr>
        <w:tblStyle w:val="DefaultTable1"/>
        <w:tblW w:w="9072" w:type="dxa"/>
        <w:tblLook w:val="04A0" w:firstRow="1" w:lastRow="0" w:firstColumn="1" w:lastColumn="0" w:noHBand="0" w:noVBand="1"/>
        <w:tblCaption w:val="Reform options for accessible taxi ranks"/>
        <w:tblDescription w:val="This table provides a description of each of the options for this reform area. Status quo, non-regulatory and regulatory."/>
      </w:tblPr>
      <w:tblGrid>
        <w:gridCol w:w="2232"/>
        <w:gridCol w:w="6840"/>
      </w:tblGrid>
      <w:tr w:rsidR="00E1199F" w:rsidRPr="007D162C" w14:paraId="463FB6B6"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765F3AD"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D41F422"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42F8C1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5512F59"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66922AE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contain accessibility provisions for taxi ranks.</w:t>
            </w:r>
          </w:p>
          <w:p w14:paraId="10846A9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55017F1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C3169C3"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6EB3461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on accessibility specifications for taxi ranks, including, but not limited to:</w:t>
            </w:r>
          </w:p>
          <w:p w14:paraId="6E93C70D" w14:textId="77777777" w:rsidR="00E1199F" w:rsidRPr="007D162C"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t>Safe movement of mobility aids from the carriageway to the taxi</w:t>
            </w:r>
          </w:p>
          <w:p w14:paraId="364825A6" w14:textId="77777777" w:rsidR="00E1199F" w:rsidRPr="004D5EB9"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7D162C">
              <w:rPr>
                <w:lang w:val="en-US"/>
              </w:rPr>
              <w:t xml:space="preserve">Specifications, location, and design of </w:t>
            </w:r>
            <w:r w:rsidRPr="004D5EB9">
              <w:rPr>
                <w:lang w:val="en-US"/>
              </w:rPr>
              <w:t xml:space="preserve">accessible taxi ranks </w:t>
            </w:r>
          </w:p>
          <w:p w14:paraId="08D928C0" w14:textId="77777777" w:rsidR="00E1199F" w:rsidRPr="004D5EB9" w:rsidRDefault="00E1199F" w:rsidP="006F65FB">
            <w:pPr>
              <w:pStyle w:val="Bullet1"/>
              <w:numPr>
                <w:ilvl w:val="0"/>
                <w:numId w:val="24"/>
              </w:numPr>
              <w:cnfStyle w:val="000000000000" w:firstRow="0" w:lastRow="0" w:firstColumn="0" w:lastColumn="0" w:oddVBand="0" w:evenVBand="0" w:oddHBand="0" w:evenHBand="0" w:firstRowFirstColumn="0" w:firstRowLastColumn="0" w:lastRowFirstColumn="0" w:lastRowLastColumn="0"/>
            </w:pPr>
            <w:r w:rsidRPr="004D5EB9">
              <w:rPr>
                <w:lang w:val="en-US"/>
              </w:rPr>
              <w:t>Ratio of accessible taxi ranks</w:t>
            </w:r>
            <w:r w:rsidRPr="004D5EB9">
              <w:t>. There are 3 </w:t>
            </w:r>
            <w:r w:rsidRPr="004D5EB9">
              <w:rPr>
                <w:lang w:val="en-US"/>
              </w:rPr>
              <w:t xml:space="preserve">non-regulatory </w:t>
            </w:r>
            <w:r w:rsidRPr="004D5EB9">
              <w:t>sub-options that were consulted on in relation to the ratio of accessible spaces if there is more than 1 space</w:t>
            </w:r>
            <w:r w:rsidRPr="004D5EB9">
              <w:rPr>
                <w:lang w:val="en-US"/>
              </w:rPr>
              <w:t>:</w:t>
            </w:r>
          </w:p>
          <w:p w14:paraId="0DFD0041"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The first and last vehicle space must be accessible.</w:t>
            </w:r>
          </w:p>
          <w:p w14:paraId="3DFF816D"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The first, second and last vehicle space must be accessible.</w:t>
            </w:r>
          </w:p>
          <w:p w14:paraId="0E14F4D6" w14:textId="77777777" w:rsidR="00E1199F" w:rsidRPr="007D162C" w:rsidRDefault="00E1199F" w:rsidP="006F65FB">
            <w:pPr>
              <w:pStyle w:val="ListParagraph"/>
              <w:numPr>
                <w:ilvl w:val="6"/>
                <w:numId w:val="24"/>
              </w:numPr>
              <w:autoSpaceDE w:val="0"/>
              <w:autoSpaceDN w:val="0"/>
              <w:spacing w:before="40" w:after="40"/>
              <w:ind w:left="638"/>
              <w:cnfStyle w:val="000000000000" w:firstRow="0" w:lastRow="0" w:firstColumn="0" w:lastColumn="0" w:oddVBand="0" w:evenVBand="0" w:oddHBand="0" w:evenHBand="0" w:firstRowFirstColumn="0" w:firstRowLastColumn="0" w:lastRowFirstColumn="0" w:lastRowLastColumn="0"/>
            </w:pPr>
            <w:r w:rsidRPr="007D162C">
              <w:t>Where there are more than five spaces the first and last vehicle space must be accessible. In addition, one space for every four spaces between the first and last space must be accessible.</w:t>
            </w:r>
          </w:p>
        </w:tc>
      </w:tr>
      <w:tr w:rsidR="00E1199F" w:rsidRPr="007D162C" w14:paraId="7A64AFE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575B541"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7FB749E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requirements for accessible on-street taxi ranks to ensure on-street taxi ranks will be accessible to passengers with mobility impairments, including:</w:t>
            </w:r>
          </w:p>
          <w:p w14:paraId="359B84E7" w14:textId="77777777" w:rsidR="00E1199F" w:rsidRPr="004D5EB9"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Taxi ranks are boarding points that must connect to </w:t>
            </w:r>
            <w:r w:rsidRPr="004D5EB9">
              <w:t>accessways.</w:t>
            </w:r>
          </w:p>
          <w:p w14:paraId="2A46652A" w14:textId="57FA1893" w:rsidR="00E1199F"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4D5EB9">
              <w:t>Ratio of accessible taxi ranks. There were 3 regulatory sub-options</w:t>
            </w:r>
            <w:r w:rsidR="00A50EF0">
              <w:rPr>
                <w:lang w:val="en-US"/>
              </w:rPr>
              <w:t xml:space="preserve"> </w:t>
            </w:r>
            <w:r w:rsidRPr="004D5EB9">
              <w:t>consulted on, if the taxi rank has more than one vehicle space:</w:t>
            </w:r>
          </w:p>
          <w:p w14:paraId="308D974B" w14:textId="66886B60" w:rsidR="00A50EF0" w:rsidRPr="00A50EF0" w:rsidRDefault="00A50EF0" w:rsidP="00A50EF0">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Sub-option 1:</w:t>
            </w:r>
          </w:p>
          <w:p w14:paraId="69A3CE87" w14:textId="4A28B9D3" w:rsidR="00E1199F" w:rsidRDefault="00E1199F"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r w:rsidRPr="00A50EF0">
              <w:t>The first and last vehicle space must be accessible.</w:t>
            </w:r>
          </w:p>
          <w:p w14:paraId="176DB48A" w14:textId="1D4F704F" w:rsidR="00A50EF0" w:rsidRPr="00A50EF0" w:rsidRDefault="00A50EF0"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rPr>
                <w:b/>
              </w:rPr>
            </w:pPr>
            <w:r>
              <w:rPr>
                <w:b/>
              </w:rPr>
              <w:t xml:space="preserve">Sub-option 2: </w:t>
            </w:r>
          </w:p>
          <w:p w14:paraId="4C36FBD1" w14:textId="14B3B6CB" w:rsidR="00E1199F" w:rsidRDefault="00E1199F"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r w:rsidRPr="00A50EF0">
              <w:t>The first, second and last vehicle space must be accessible.</w:t>
            </w:r>
          </w:p>
          <w:p w14:paraId="4D784E4E" w14:textId="77777777" w:rsidR="00A50EF0" w:rsidRPr="00A50EF0" w:rsidRDefault="00A50EF0" w:rsidP="00A50EF0">
            <w:pPr>
              <w:autoSpaceDE w:val="0"/>
              <w:autoSpaceDN w:val="0"/>
              <w:spacing w:before="40" w:after="40"/>
              <w:ind w:left="567" w:hanging="567"/>
              <w:cnfStyle w:val="000000100000" w:firstRow="0" w:lastRow="0" w:firstColumn="0" w:lastColumn="0" w:oddVBand="0" w:evenVBand="0" w:oddHBand="1" w:evenHBand="0" w:firstRowFirstColumn="0" w:firstRowLastColumn="0" w:lastRowFirstColumn="0" w:lastRowLastColumn="0"/>
            </w:pPr>
          </w:p>
          <w:p w14:paraId="52F0808B" w14:textId="5005CACF" w:rsidR="00A50EF0" w:rsidRPr="00A50EF0" w:rsidRDefault="00A50EF0" w:rsidP="00A50EF0">
            <w:pPr>
              <w:autoSpaceDE w:val="0"/>
              <w:autoSpaceDN w:val="0"/>
              <w:spacing w:before="40" w:after="40"/>
              <w:cnfStyle w:val="000000100000" w:firstRow="0" w:lastRow="0" w:firstColumn="0" w:lastColumn="0" w:oddVBand="0" w:evenVBand="0" w:oddHBand="1" w:evenHBand="0" w:firstRowFirstColumn="0" w:firstRowLastColumn="0" w:lastRowFirstColumn="0" w:lastRowLastColumn="0"/>
              <w:rPr>
                <w:b/>
              </w:rPr>
            </w:pPr>
            <w:r>
              <w:rPr>
                <w:b/>
              </w:rPr>
              <w:lastRenderedPageBreak/>
              <w:t>Sub-option 3:</w:t>
            </w:r>
          </w:p>
          <w:p w14:paraId="7467548B" w14:textId="4E8EAF86" w:rsidR="00E1199F" w:rsidRPr="00A50EF0" w:rsidRDefault="00E1199F" w:rsidP="00A50EF0">
            <w:p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A50EF0">
              <w:t>Where there are more than five spaces the first and last vehicle space must be accessible. In addition, one space for every four spaces between the first and last space must be accessible.</w:t>
            </w:r>
          </w:p>
          <w:p w14:paraId="3B234D9C"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Accessible taxi spaces within a rank must conform to the requirements for disability parking spaces as per the relevant Australian Standards.</w:t>
            </w:r>
          </w:p>
          <w:p w14:paraId="54652FE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Kerb ramps must be placed to the rear of the accessible taxi space.</w:t>
            </w:r>
          </w:p>
          <w:p w14:paraId="48EC0078"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If an accessible taxi space is at the same grade as the adjacent footpath, bollards and warning TGSIs as per the relevant Australian Standard and must be installed for the length of the same grade section.</w:t>
            </w:r>
          </w:p>
          <w:p w14:paraId="20DADAF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infrastructure.</w:t>
            </w:r>
          </w:p>
          <w:p w14:paraId="070F8B6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21AEE9DF" w14:textId="77777777" w:rsidR="00A50EF0" w:rsidRDefault="00A50EF0" w:rsidP="00A50EF0">
      <w:pPr>
        <w:pStyle w:val="BodyText"/>
      </w:pPr>
    </w:p>
    <w:p w14:paraId="36BA78C6" w14:textId="0B0032F0" w:rsidR="00E1199F" w:rsidRPr="007D162C" w:rsidRDefault="00E1199F" w:rsidP="00E1199F">
      <w:pPr>
        <w:pStyle w:val="Heading4"/>
        <w:tabs>
          <w:tab w:val="left" w:pos="284"/>
        </w:tabs>
      </w:pPr>
      <w:r w:rsidRPr="007D162C">
        <w:t>Cost benefit analysis</w:t>
      </w:r>
    </w:p>
    <w:p w14:paraId="2AB82796"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5D36F4B" w14:textId="77777777" w:rsidR="00E1199F" w:rsidRPr="007D162C" w:rsidRDefault="00E1199F" w:rsidP="00E1199F">
      <w:r w:rsidRPr="007D162C">
        <w:t xml:space="preserve">The following categories of quantitative costs and benefits were identified in the CBA as pertaining to the reform options. </w:t>
      </w:r>
    </w:p>
    <w:p w14:paraId="4B618D3A" w14:textId="1BD87ECD" w:rsidR="00E1199F" w:rsidRPr="007D162C" w:rsidRDefault="00E1199F" w:rsidP="00E1199F">
      <w:pPr>
        <w:pStyle w:val="Caption"/>
        <w:keepNext/>
      </w:pPr>
      <w:bookmarkStart w:id="592" w:name="_Toc122446455"/>
      <w:bookmarkStart w:id="593" w:name="_Toc139969291"/>
      <w:r w:rsidRPr="007D162C">
        <w:t xml:space="preserve">Table </w:t>
      </w:r>
      <w:fldSimple w:instr=" SEQ Table \* ARABIC ">
        <w:r w:rsidR="00DC26AC">
          <w:rPr>
            <w:noProof/>
          </w:rPr>
          <w:t>133</w:t>
        </w:r>
      </w:fldSimple>
      <w:r w:rsidRPr="007D162C">
        <w:t xml:space="preserve">: Benefit-cost ratios </w:t>
      </w:r>
      <w:r w:rsidRPr="007D162C">
        <w:rPr>
          <w:noProof/>
        </w:rPr>
        <w:t>for</w:t>
      </w:r>
      <w:r w:rsidRPr="007D162C">
        <w:t xml:space="preserve"> a</w:t>
      </w:r>
      <w:r w:rsidRPr="007D162C">
        <w:rPr>
          <w:noProof/>
        </w:rPr>
        <w:t>ccessible taxi ranks</w:t>
      </w:r>
      <w:bookmarkEnd w:id="592"/>
      <w:bookmarkEnd w:id="593"/>
    </w:p>
    <w:tbl>
      <w:tblPr>
        <w:tblStyle w:val="DefaultTable1"/>
        <w:tblW w:w="9864" w:type="dxa"/>
        <w:tblLook w:val="04A0" w:firstRow="1" w:lastRow="0" w:firstColumn="1" w:lastColumn="0" w:noHBand="0" w:noVBand="1"/>
        <w:tblCaption w:val="Benefit-cost ratios for accessible taxi ranks"/>
        <w:tblDescription w:val="This table provides the monetised benefits and costs for each of the options for this reform area."/>
      </w:tblPr>
      <w:tblGrid>
        <w:gridCol w:w="1214"/>
        <w:gridCol w:w="1531"/>
        <w:gridCol w:w="1791"/>
        <w:gridCol w:w="1701"/>
        <w:gridCol w:w="1843"/>
        <w:gridCol w:w="1784"/>
      </w:tblGrid>
      <w:tr w:rsidR="00E1199F" w:rsidRPr="007D162C" w14:paraId="1730FAA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873C302" w14:textId="77777777" w:rsidR="00E1199F" w:rsidRPr="007D162C" w:rsidRDefault="08D050C4" w:rsidP="00E1199F">
            <w:r w:rsidRPr="007D162C">
              <w:t>Reform Option</w:t>
            </w:r>
          </w:p>
        </w:tc>
        <w:tc>
          <w:tcPr>
            <w:tcW w:w="1531" w:type="dxa"/>
          </w:tcPr>
          <w:p w14:paraId="0C0D14D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CE66D4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701" w:type="dxa"/>
          </w:tcPr>
          <w:p w14:paraId="5EFB147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843" w:type="dxa"/>
          </w:tcPr>
          <w:p w14:paraId="614CBA6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784" w:type="dxa"/>
          </w:tcPr>
          <w:p w14:paraId="5798ACFB" w14:textId="6B33C4F4"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2B7846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4D0D31A9" w14:textId="77777777" w:rsidR="00E1199F" w:rsidRPr="007D162C" w:rsidRDefault="00E1199F" w:rsidP="00E1199F">
            <w:r w:rsidRPr="007D162C">
              <w:t>Status Quo</w:t>
            </w:r>
          </w:p>
        </w:tc>
        <w:tc>
          <w:tcPr>
            <w:tcW w:w="1531" w:type="dxa"/>
          </w:tcPr>
          <w:p w14:paraId="0E36FB70"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6E589F66"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tcPr>
          <w:p w14:paraId="58E7F03C"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54F80217"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84" w:type="dxa"/>
          </w:tcPr>
          <w:p w14:paraId="49751375"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B7ABC15"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0468AC8" w14:textId="77777777" w:rsidR="00E1199F" w:rsidRPr="007D162C" w:rsidRDefault="00E1199F" w:rsidP="00E1199F">
            <w:r w:rsidRPr="007D162C">
              <w:t xml:space="preserve">Non-regulatory </w:t>
            </w:r>
          </w:p>
        </w:tc>
        <w:tc>
          <w:tcPr>
            <w:tcW w:w="1531" w:type="dxa"/>
            <w:vAlign w:val="center"/>
          </w:tcPr>
          <w:p w14:paraId="6D46DE77"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w:t>
            </w:r>
          </w:p>
        </w:tc>
        <w:tc>
          <w:tcPr>
            <w:tcW w:w="1791" w:type="dxa"/>
          </w:tcPr>
          <w:p w14:paraId="52D163D4"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701" w:type="dxa"/>
            <w:vAlign w:val="center"/>
          </w:tcPr>
          <w:p w14:paraId="45EFABBC" w14:textId="17918721"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0.8</w:t>
            </w:r>
          </w:p>
        </w:tc>
        <w:tc>
          <w:tcPr>
            <w:tcW w:w="1843" w:type="dxa"/>
            <w:vAlign w:val="center"/>
          </w:tcPr>
          <w:p w14:paraId="169C1E78" w14:textId="17DB4D33"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0.8</w:t>
            </w:r>
            <w:r w:rsidR="00CC3E1D" w:rsidRPr="007D162C">
              <w:rPr>
                <w:sz w:val="18"/>
                <w:szCs w:val="18"/>
                <w:vertAlign w:val="superscript"/>
              </w:rPr>
              <w:t>i</w:t>
            </w:r>
          </w:p>
        </w:tc>
        <w:tc>
          <w:tcPr>
            <w:tcW w:w="1784" w:type="dxa"/>
            <w:vAlign w:val="center"/>
          </w:tcPr>
          <w:p w14:paraId="7E49ACE5" w14:textId="6FA3E143"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1.08</w:t>
            </w:r>
          </w:p>
        </w:tc>
      </w:tr>
      <w:tr w:rsidR="00E1199F" w:rsidRPr="007D162C" w14:paraId="6B6CD54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5E8E6B3C" w14:textId="77777777" w:rsidR="00E1199F" w:rsidRPr="007D162C" w:rsidRDefault="00E1199F" w:rsidP="00E1199F">
            <w:r w:rsidRPr="007D162C">
              <w:t>Regulatory</w:t>
            </w:r>
          </w:p>
        </w:tc>
        <w:tc>
          <w:tcPr>
            <w:tcW w:w="1531" w:type="dxa"/>
            <w:vAlign w:val="center"/>
          </w:tcPr>
          <w:p w14:paraId="18B4D582"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7.3</w:t>
            </w:r>
          </w:p>
        </w:tc>
        <w:tc>
          <w:tcPr>
            <w:tcW w:w="1791" w:type="dxa"/>
          </w:tcPr>
          <w:p w14:paraId="6C6FA79A"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01" w:type="dxa"/>
            <w:vAlign w:val="center"/>
          </w:tcPr>
          <w:p w14:paraId="127DB4D0"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5.6</w:t>
            </w:r>
          </w:p>
        </w:tc>
        <w:tc>
          <w:tcPr>
            <w:tcW w:w="1843" w:type="dxa"/>
            <w:vAlign w:val="center"/>
          </w:tcPr>
          <w:p w14:paraId="7B8E386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5.6</w:t>
            </w:r>
          </w:p>
        </w:tc>
        <w:tc>
          <w:tcPr>
            <w:tcW w:w="1784" w:type="dxa"/>
            <w:vAlign w:val="center"/>
          </w:tcPr>
          <w:p w14:paraId="1A167AAC" w14:textId="38C361F0"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1.31</w:t>
            </w:r>
          </w:p>
        </w:tc>
      </w:tr>
    </w:tbl>
    <w:p w14:paraId="493DDE01"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657A999D"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3F9E8E4B" w14:textId="77777777" w:rsidR="000A4CD3" w:rsidRPr="007D162C" w:rsidRDefault="000A4CD3" w:rsidP="000A4CD3">
      <w:pPr>
        <w:pStyle w:val="BodyText"/>
      </w:pPr>
    </w:p>
    <w:p w14:paraId="366BF212" w14:textId="6A4A4DFB" w:rsidR="00E1199F" w:rsidRPr="007D162C" w:rsidRDefault="00E1199F" w:rsidP="00E1199F">
      <w:pPr>
        <w:pStyle w:val="Heading6"/>
      </w:pPr>
      <w:r w:rsidRPr="007D162C">
        <w:t>Considerations to note in interpreting analysis</w:t>
      </w:r>
    </w:p>
    <w:p w14:paraId="6632788D" w14:textId="77777777" w:rsidR="00E1199F" w:rsidRPr="007D162C" w:rsidRDefault="00E1199F" w:rsidP="00CC3E1D">
      <w:pPr>
        <w:pStyle w:val="Heading7"/>
      </w:pPr>
      <w:r w:rsidRPr="007D162C">
        <w:t>Limitations:</w:t>
      </w:r>
    </w:p>
    <w:p w14:paraId="39479529" w14:textId="77777777" w:rsidR="00E1199F" w:rsidRPr="007D162C" w:rsidRDefault="00E1199F" w:rsidP="00CC3E1D">
      <w:pPr>
        <w:pStyle w:val="Heading8"/>
      </w:pPr>
      <w:r w:rsidRPr="007D162C">
        <w:t>Non-regulatory option:</w:t>
      </w:r>
    </w:p>
    <w:p w14:paraId="0A321ADE" w14:textId="2855758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15</w:t>
      </w:r>
      <w:r w:rsidR="004D5EB9">
        <w:t xml:space="preserve"> per cent</w:t>
      </w:r>
      <w:r w:rsidRPr="007D162C">
        <w:t xml:space="preserve"> was applied to the non-regulatory option based on high volume of taxi ranks which require upgrading, and the high cost burden on local governments to implement the guidance. This implies that the benefits and costs quantified for this non-regulatory reform may not reflect future take-up of the reform.</w:t>
      </w:r>
    </w:p>
    <w:p w14:paraId="4AEE9483" w14:textId="77777777" w:rsidR="00CC3E1D" w:rsidRPr="007D162C" w:rsidRDefault="00CC3E1D" w:rsidP="00CC3E1D">
      <w:pPr>
        <w:pStyle w:val="Listparagraphbullets"/>
        <w:numPr>
          <w:ilvl w:val="0"/>
          <w:numId w:val="0"/>
        </w:numPr>
        <w:autoSpaceDE w:val="0"/>
        <w:autoSpaceDN w:val="0"/>
        <w:spacing w:after="0"/>
        <w:ind w:left="360"/>
      </w:pPr>
    </w:p>
    <w:p w14:paraId="3F3D6960" w14:textId="77777777" w:rsidR="00E1199F" w:rsidRPr="007D162C" w:rsidRDefault="00E1199F" w:rsidP="00CC3E1D">
      <w:pPr>
        <w:pStyle w:val="Heading8"/>
      </w:pPr>
      <w:r w:rsidRPr="007D162C">
        <w:lastRenderedPageBreak/>
        <w:t>Regulatory option:</w:t>
      </w:r>
    </w:p>
    <w:p w14:paraId="32006097" w14:textId="67571B53"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from survey responses proxied to a national level, potentially not reflecting the full extent of existing and future compliance.</w:t>
      </w:r>
    </w:p>
    <w:p w14:paraId="13C01AB8" w14:textId="77777777" w:rsidR="00CC3E1D" w:rsidRPr="007D162C" w:rsidRDefault="00CC3E1D" w:rsidP="00CC3E1D">
      <w:pPr>
        <w:pStyle w:val="Listparagraphbullets"/>
        <w:numPr>
          <w:ilvl w:val="0"/>
          <w:numId w:val="0"/>
        </w:numPr>
        <w:autoSpaceDE w:val="0"/>
        <w:autoSpaceDN w:val="0"/>
        <w:spacing w:after="0"/>
        <w:ind w:left="360"/>
      </w:pPr>
    </w:p>
    <w:p w14:paraId="53865D17" w14:textId="77777777" w:rsidR="00E1199F" w:rsidRPr="007D162C" w:rsidRDefault="00E1199F" w:rsidP="00CC3E1D">
      <w:pPr>
        <w:pStyle w:val="Heading8"/>
      </w:pPr>
      <w:r w:rsidRPr="007D162C">
        <w:t xml:space="preserve">Interdependencies: </w:t>
      </w:r>
    </w:p>
    <w:p w14:paraId="64AE2C32"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rideshare and accessible passenger loading zones on-street.</w:t>
      </w:r>
    </w:p>
    <w:p w14:paraId="08E26923"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70E81790" w14:textId="77777777" w:rsidR="00E1199F" w:rsidRPr="007D162C" w:rsidRDefault="00E1199F" w:rsidP="00E1199F">
      <w:r w:rsidRPr="007D162C">
        <w:t>The following categories of qualitative benefits were identified in the CBA as pertaining to the reform options.</w:t>
      </w:r>
    </w:p>
    <w:p w14:paraId="12DCE3D4" w14:textId="70FDD9E2" w:rsidR="00E1199F" w:rsidRPr="007D162C" w:rsidRDefault="00E1199F" w:rsidP="00E1199F">
      <w:pPr>
        <w:pStyle w:val="Caption"/>
        <w:keepNext/>
      </w:pPr>
      <w:bookmarkStart w:id="594" w:name="_Toc122446456"/>
      <w:bookmarkStart w:id="595" w:name="_Toc139969292"/>
      <w:r w:rsidRPr="007D162C">
        <w:t xml:space="preserve">Table </w:t>
      </w:r>
      <w:fldSimple w:instr=" SEQ Table \* ARABIC ">
        <w:r w:rsidR="00DC26AC">
          <w:rPr>
            <w:noProof/>
          </w:rPr>
          <w:t>134</w:t>
        </w:r>
      </w:fldSimple>
      <w:r w:rsidRPr="007D162C">
        <w:rPr>
          <w:noProof/>
        </w:rPr>
        <w:t xml:space="preserve">: </w:t>
      </w:r>
      <w:r w:rsidRPr="007D162C">
        <w:t xml:space="preserve">Qualitative benefits </w:t>
      </w:r>
      <w:r w:rsidRPr="007D162C">
        <w:rPr>
          <w:noProof/>
        </w:rPr>
        <w:t>for</w:t>
      </w:r>
      <w:r w:rsidRPr="007D162C">
        <w:t xml:space="preserve"> a</w:t>
      </w:r>
      <w:r w:rsidRPr="007D162C">
        <w:rPr>
          <w:noProof/>
        </w:rPr>
        <w:t>ccessible taxi ranks</w:t>
      </w:r>
      <w:bookmarkEnd w:id="594"/>
      <w:bookmarkEnd w:id="595"/>
    </w:p>
    <w:tbl>
      <w:tblPr>
        <w:tblStyle w:val="DefaultTable1"/>
        <w:tblW w:w="9864" w:type="dxa"/>
        <w:tblLook w:val="04A0" w:firstRow="1" w:lastRow="0" w:firstColumn="1" w:lastColumn="0" w:noHBand="0" w:noVBand="1"/>
        <w:tblCaption w:val="Qualitative benefits for accessible taxi ranks"/>
      </w:tblPr>
      <w:tblGrid>
        <w:gridCol w:w="1213"/>
        <w:gridCol w:w="1343"/>
        <w:gridCol w:w="1626"/>
        <w:gridCol w:w="1300"/>
        <w:gridCol w:w="1278"/>
        <w:gridCol w:w="1641"/>
        <w:gridCol w:w="1463"/>
      </w:tblGrid>
      <w:tr w:rsidR="00E1199F" w:rsidRPr="007D162C" w14:paraId="56B2D4F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F1D00E0" w14:textId="77777777" w:rsidR="00E1199F" w:rsidRPr="007D162C" w:rsidRDefault="08D050C4" w:rsidP="00E1199F">
            <w:r w:rsidRPr="007D162C">
              <w:t>Reform Option</w:t>
            </w:r>
          </w:p>
        </w:tc>
        <w:tc>
          <w:tcPr>
            <w:tcW w:w="1343" w:type="dxa"/>
          </w:tcPr>
          <w:p w14:paraId="56B7687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52E937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6DB081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4BD2B42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D56D7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3783CF4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06FA31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5A003B5" w14:textId="77777777" w:rsidR="00E1199F" w:rsidRPr="007D162C" w:rsidRDefault="00E1199F" w:rsidP="00E1199F">
            <w:r w:rsidRPr="007D162C">
              <w:t>Status Quo</w:t>
            </w:r>
          </w:p>
        </w:tc>
        <w:tc>
          <w:tcPr>
            <w:tcW w:w="1343" w:type="dxa"/>
          </w:tcPr>
          <w:p w14:paraId="06BB0EA6"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512DAC41"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60360B0F"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1453294D"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55642332"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7DA72627"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BC1BBF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5CFE1F3" w14:textId="77777777" w:rsidR="00E1199F" w:rsidRPr="007D162C" w:rsidRDefault="00E1199F" w:rsidP="00E1199F">
            <w:r w:rsidRPr="007D162C">
              <w:t xml:space="preserve">Non-regulatory </w:t>
            </w:r>
          </w:p>
        </w:tc>
        <w:tc>
          <w:tcPr>
            <w:tcW w:w="1343" w:type="dxa"/>
          </w:tcPr>
          <w:p w14:paraId="331BFD2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3CB546C"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3A72A739" w14:textId="77777777" w:rsidR="00E1199F" w:rsidRPr="007D162C" w:rsidRDefault="08D050C4" w:rsidP="003D78B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B86167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4217B3A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22532BB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30F8F63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255B9F2" w14:textId="77777777" w:rsidR="00E1199F" w:rsidRPr="007D162C" w:rsidRDefault="00E1199F" w:rsidP="00E1199F">
            <w:r w:rsidRPr="007D162C">
              <w:t>Regulatory</w:t>
            </w:r>
          </w:p>
        </w:tc>
        <w:tc>
          <w:tcPr>
            <w:tcW w:w="1343" w:type="dxa"/>
          </w:tcPr>
          <w:p w14:paraId="2DCB351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67C03B0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54A44DB5"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3E46095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1FE25B9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49DFFCF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0EB5695C" w14:textId="77777777" w:rsidR="004C47E2" w:rsidRPr="007D162C" w:rsidRDefault="004C47E2" w:rsidP="000A4CD3">
      <w:pPr>
        <w:pStyle w:val="BodyText"/>
      </w:pPr>
    </w:p>
    <w:p w14:paraId="5A0A44F7" w14:textId="054DA4BC" w:rsidR="00E1199F" w:rsidRPr="007D162C" w:rsidRDefault="00E1199F" w:rsidP="00E1199F">
      <w:pPr>
        <w:pStyle w:val="Heading4"/>
        <w:tabs>
          <w:tab w:val="left" w:pos="284"/>
        </w:tabs>
      </w:pPr>
      <w:r w:rsidRPr="007D162C">
        <w:t xml:space="preserve">Analysis of submissions </w:t>
      </w:r>
    </w:p>
    <w:p w14:paraId="57049F48" w14:textId="77777777" w:rsidR="00E1199F" w:rsidRPr="007D162C" w:rsidRDefault="00E1199F" w:rsidP="00E1199F">
      <w:pPr>
        <w:pStyle w:val="Heading5"/>
      </w:pPr>
      <w:r w:rsidRPr="007D162C">
        <w:t>Status quo</w:t>
      </w:r>
    </w:p>
    <w:p w14:paraId="675F680B" w14:textId="77777777" w:rsidR="00E1199F" w:rsidRPr="007D162C" w:rsidRDefault="00E1199F" w:rsidP="00E1199F">
      <w:r w:rsidRPr="007D162C">
        <w:t xml:space="preserve">Under the status quo, the Transport Standards would continue to not specify requirements for the design of taxi ranks or what proportion of spaces in the rank should be accessible to people who use mobility aids. The status quo does not enhance or increase equality and independence, or reduce discrimination for people with disability in relation to public transport. </w:t>
      </w:r>
    </w:p>
    <w:p w14:paraId="5227547F" w14:textId="77777777" w:rsidR="00E1199F" w:rsidRPr="007D162C" w:rsidRDefault="00E1199F" w:rsidP="00E1199F">
      <w:r w:rsidRPr="007D162C">
        <w:t>During consultation, issues with using taxis were raised by several participants, in particular accessibility at taxi ranks and getting into and out of taxis. Safety was a concern for a few participants, who highlighted the issue of loading in and out of vehicles in loading zones and onto busy streets.</w:t>
      </w:r>
    </w:p>
    <w:p w14:paraId="49E1788F" w14:textId="77777777" w:rsidR="00E1199F" w:rsidRPr="007D162C" w:rsidRDefault="00E1199F" w:rsidP="00E1199F">
      <w:pPr>
        <w:pStyle w:val="Quote"/>
      </w:pPr>
      <w:r w:rsidRPr="007D162C">
        <w:t xml:space="preserve">An issue important for passengers of wheelchair-accessible taxis, is loading and unloading. I believe there are issues of using loading zones as an appropriate place to load and unload, problems being in bigger built-up city areas. It is often very difficult to try and find a place, and a safe place to load and unload.  </w:t>
      </w:r>
    </w:p>
    <w:p w14:paraId="69DAD96B" w14:textId="77777777" w:rsidR="00E1199F" w:rsidRPr="007D162C" w:rsidRDefault="00E1199F" w:rsidP="00E1199F">
      <w:pPr>
        <w:pStyle w:val="Quote"/>
      </w:pPr>
      <w:r w:rsidRPr="007D162C">
        <w:t>Stakeholder roundtable participant.</w:t>
      </w:r>
    </w:p>
    <w:p w14:paraId="0BD3C50D" w14:textId="77777777" w:rsidR="00E1199F" w:rsidRPr="007D162C" w:rsidRDefault="00E1199F" w:rsidP="00E1199F">
      <w:r w:rsidRPr="007D162C">
        <w:t>No submissions supported the status quo option.</w:t>
      </w:r>
    </w:p>
    <w:p w14:paraId="563B3BC5" w14:textId="77777777" w:rsidR="00E1199F" w:rsidRPr="007D162C" w:rsidRDefault="00E1199F" w:rsidP="00E1199F">
      <w:r w:rsidRPr="007D162C">
        <w:t xml:space="preserve">Maintaining the status quo would incur no additional costs to operators and provider or infrastructure owners, and would not address barriers identified to the safe use of taxi ranks by people with disability. </w:t>
      </w:r>
    </w:p>
    <w:p w14:paraId="3970C950" w14:textId="77777777" w:rsidR="00E1199F" w:rsidRPr="007D162C" w:rsidRDefault="00E1199F" w:rsidP="00E1199F">
      <w:pPr>
        <w:pStyle w:val="Heading5"/>
      </w:pPr>
      <w:r w:rsidRPr="007D162C">
        <w:lastRenderedPageBreak/>
        <w:t>Non-regulatory</w:t>
      </w:r>
    </w:p>
    <w:p w14:paraId="36E7C640" w14:textId="77777777" w:rsidR="00E1199F" w:rsidRPr="007D162C" w:rsidRDefault="08D050C4" w:rsidP="00E1199F">
      <w:r w:rsidRPr="007D162C">
        <w:t>Throughout consultation, there was broad acknowledgement that taxi ranks are an important public transport interface through which people with disability access essential services such as airports, hospitals and shopping centres. When designed with accessibility in-mind, taxi ranks were noted as providing a safe and convenient option for passengers with disability. During consultation, multiple participants from both industry and government highlighted that taxi ranks are generally a local council responsibility, and constraints such as topography, adjacent built form, sightlines and traffic conditions make it difficult to apply specific design requirements consistently.</w:t>
      </w:r>
    </w:p>
    <w:p w14:paraId="74AD43F6" w14:textId="77777777" w:rsidR="00E1199F" w:rsidRPr="007D162C" w:rsidRDefault="08D050C4" w:rsidP="00E1199F">
      <w:r w:rsidRPr="007D162C">
        <w:t xml:space="preserve">Three submissions from government and one submission from industry supported the non-regulatory option. The development of guidance material was identified as a practical step towards delivering a consistent and equitable outcome for passengers with disability. Submissions noted that the non-regulatory option provides important flexibility that accommodates the needs of passengers while accounting for practical limitations faced by operators and providers, depending on the location of the taxi rank. For example, one submission noted there are some high-capacity ranks, particular in city centres and at major venues, where providing multiple accessible access points may not improve access to wheelchair taxis. In these circumstances, taxi queues may inhibit WATs from accessing nominated spots, and impact on the overall efficient operation of the rank. </w:t>
      </w:r>
    </w:p>
    <w:p w14:paraId="361535D8" w14:textId="77777777" w:rsidR="00E1199F" w:rsidRPr="007D162C" w:rsidRDefault="00E1199F" w:rsidP="00E1199F">
      <w:r w:rsidRPr="007D162C">
        <w:t>One submission from government supported the non-regulatory option, as they held concerns with the inclusion of references to AS2890.5 (2020) Clause 4.5.2 in the regulatory option. This submission stated that the inclusion of this reference would severely restrict where both permanent and temporary taxi ranks could be placed. For example, the requirements for longitudinal gradients in Clause 4.5.2 could potentially necessitate the relocation of many taxi ranks, given no exceptions for topography are provided.</w:t>
      </w:r>
    </w:p>
    <w:p w14:paraId="66BF7483" w14:textId="77777777" w:rsidR="00E1199F" w:rsidRPr="007D162C" w:rsidRDefault="00E1199F" w:rsidP="00E1199F">
      <w:r w:rsidRPr="007D162C">
        <w:t>Submissions also noted that the non-regulatory option should allow for the staged implementation of upgrades based on demand and the operational requirements of ranks.</w:t>
      </w:r>
    </w:p>
    <w:p w14:paraId="59E5A5A6" w14:textId="77777777" w:rsidR="00E1199F" w:rsidRPr="007D162C" w:rsidRDefault="00E1199F" w:rsidP="00E1199F">
      <w:r w:rsidRPr="007D162C">
        <w:t>A number of challenges with implementing the proposed regulatory option were also identified. For example, the poorly delineated operational responsibilities at taxi ranks – such as who is responsible for providing information. There are additional challenges relating to ongoing challenges with WAT response times also impacts the overall effectiveness of improvements to the accessibility of taxi ranks.</w:t>
      </w:r>
    </w:p>
    <w:p w14:paraId="5A10A5E6" w14:textId="77777777" w:rsidR="00E1199F" w:rsidRPr="007D162C" w:rsidRDefault="00E1199F" w:rsidP="00E1199F">
      <w:pPr>
        <w:pStyle w:val="Heading5"/>
      </w:pPr>
      <w:r w:rsidRPr="007D162C">
        <w:t>Regulatory</w:t>
      </w:r>
    </w:p>
    <w:p w14:paraId="4BB9452A" w14:textId="77777777" w:rsidR="00E1199F" w:rsidRPr="007D162C" w:rsidRDefault="08D050C4" w:rsidP="00E1199F">
      <w:r w:rsidRPr="007D162C">
        <w:t>All submissions from individuals, people with disability and disability organisations supported the regulatory option. There was mixed support for the regulatory option by industry and government. Across all submissions, the regulatory option was identified as an important step in providing consistency of service to passengers across all jurisdictions and at important inter-modal hubs.</w:t>
      </w:r>
    </w:p>
    <w:p w14:paraId="1D9F4995" w14:textId="77777777" w:rsidR="00E1199F" w:rsidRPr="007D162C" w:rsidRDefault="00E1199F" w:rsidP="00E1199F">
      <w:bookmarkStart w:id="596" w:name="_Hlk119486532"/>
      <w:r w:rsidRPr="007D162C">
        <w:t xml:space="preserve">During consultation, people with disability noted that inconsistency in the provision of accessible taxi ranks can cause significant anxiety and impact the ability to plan and complete a journey. </w:t>
      </w:r>
      <w:bookmarkEnd w:id="596"/>
      <w:r w:rsidRPr="007D162C">
        <w:t xml:space="preserve">For this reason, the regulatory option was viewed as an important step to ensuring infrastructure is designed with accessibility considered, including the different configurations of WATs used. </w:t>
      </w:r>
    </w:p>
    <w:p w14:paraId="02D68D22" w14:textId="77777777" w:rsidR="00E1199F" w:rsidRPr="007D162C" w:rsidRDefault="00E1199F" w:rsidP="00E1199F">
      <w:pPr>
        <w:pStyle w:val="Quote"/>
      </w:pPr>
      <w:r w:rsidRPr="007D162C">
        <w:t>Accessible taxi ranks are extremely important in ensuring that passengers can safely enter and exit taxis. It is important that the number of accessible taxi ranks meets demand and that people with disability are guaranteed a consistent (and importantly safe!) standard across all accessible ranks including temporary taxi ranks.</w:t>
      </w:r>
    </w:p>
    <w:p w14:paraId="7BF10712" w14:textId="77777777" w:rsidR="00E1199F" w:rsidRPr="007D162C" w:rsidRDefault="00E1199F" w:rsidP="00E1199F">
      <w:pPr>
        <w:pStyle w:val="Quote"/>
      </w:pPr>
      <w:r w:rsidRPr="007D162C">
        <w:t>Physical Disability Council of NSW</w:t>
      </w:r>
    </w:p>
    <w:p w14:paraId="68A946CF" w14:textId="77777777" w:rsidR="00E1199F" w:rsidRPr="007D162C" w:rsidRDefault="00E1199F" w:rsidP="00E1199F">
      <w:r w:rsidRPr="007D162C">
        <w:lastRenderedPageBreak/>
        <w:t xml:space="preserve">Similarly, submissions from government and industry that supported the regulatory option noted that the proposed requirements are feasible, represents a functional accessibility improvement to people with disability, and will address current gaps in the Transport Standards. One submission from industry highlighted the that the continuation of the status quo is unacceptable, and the expectation that infrastructure owners will voluntarily remedy the accessibility limitations of their taxi ranks is unlikely. During consultation, a number of stakeholders also noted that taxi ranks are generally owned by local government and used by a variety of operators and providers. Complexities in implementing the regulatory option may arise where additional lane width is required to accommodate accessible taxi rank spaces, particularly if requirements are implemented retrospectively. </w:t>
      </w:r>
    </w:p>
    <w:p w14:paraId="410E5B20" w14:textId="673822B6" w:rsidR="00E1199F" w:rsidRPr="007D162C" w:rsidRDefault="08D050C4" w:rsidP="00E1199F">
      <w:r w:rsidRPr="007D162C">
        <w:t xml:space="preserve">Three submissions from industry and government supported sub-option 1, noting the importance of introducing a balanced approach that accommodates locations which serve multiple uses. For example, </w:t>
      </w:r>
      <w:r w:rsidR="00CF5E3F">
        <w:t>one</w:t>
      </w:r>
      <w:r w:rsidRPr="007D162C">
        <w:t xml:space="preserve"> submission from industry highlighted that in some cases, taxi ranks are used for boarding and alighting of rail replacement bus services during service disruption, and that inappropriate placement of kerb ramps can introduce accessibility, safety and operational challenges. The proposed requirements were also highlighted as a tangible pathway to promote consistency and universal accessibility of taxi ranks.</w:t>
      </w:r>
    </w:p>
    <w:p w14:paraId="5ECAB1FD" w14:textId="77777777" w:rsidR="00E1199F" w:rsidRPr="007D162C" w:rsidRDefault="00E1199F" w:rsidP="00E1199F">
      <w:r w:rsidRPr="007D162C">
        <w:t>Three disability community and one government submissions supported sub-option 2. These submissions noted the relative strength of sub-option 2 to compared to sub-option 1, resulting in a greater net-benefit to people with disability. The greater provision of accessible spaces was also identified as providing more options to support drivers who are assisting passengers to disembark.</w:t>
      </w:r>
    </w:p>
    <w:p w14:paraId="211B2F2C" w14:textId="77777777" w:rsidR="00E1199F" w:rsidRPr="007D162C" w:rsidRDefault="00E1199F" w:rsidP="00E1199F">
      <w:r w:rsidRPr="007D162C">
        <w:t xml:space="preserve">Sub-option 3 was supported by one government and three disability community stakeholders. These submissions agreed that in all circumstances, the first taxi rank space should always be accessible. The submission from government highlighted the value of providing a scalable design that ensures accessibility at key points across a bay, whilst providing flexibility to consider site constraints. </w:t>
      </w:r>
    </w:p>
    <w:p w14:paraId="2AED72EB" w14:textId="77777777" w:rsidR="00E1199F" w:rsidRPr="007D162C" w:rsidRDefault="00E1199F" w:rsidP="00E1199F">
      <w:pPr>
        <w:pStyle w:val="Heading4"/>
      </w:pPr>
      <w:r w:rsidRPr="007D162C">
        <w:t>Preferred option</w:t>
      </w:r>
    </w:p>
    <w:p w14:paraId="725E633B" w14:textId="77777777" w:rsidR="00E1199F" w:rsidRPr="007D162C" w:rsidRDefault="00E1199F" w:rsidP="00E1199F">
      <w:r w:rsidRPr="007D162C">
        <w:t xml:space="preserve">Informed by the outcomes of consultation, impacts, cost and outcomes analysis above, the preferred option is </w:t>
      </w:r>
      <w:r w:rsidRPr="007D162C">
        <w:rPr>
          <w:b/>
        </w:rPr>
        <w:t>regulatory option, sub-option 1</w:t>
      </w:r>
      <w:r w:rsidRPr="007D162C">
        <w:t xml:space="preserve">. </w:t>
      </w:r>
    </w:p>
    <w:p w14:paraId="67FCD23C" w14:textId="77777777" w:rsidR="009B58C3" w:rsidRPr="007D162C" w:rsidRDefault="009B58C3" w:rsidP="009B58C3">
      <w:pPr>
        <w:pStyle w:val="Style5"/>
        <w:framePr w:wrap="around" w:hAnchor="page" w:x="1644" w:y="1473"/>
      </w:pPr>
      <w:r>
        <w:t>F</w:t>
      </w:r>
      <w:r w:rsidRPr="007D162C">
        <w:t xml:space="preserve">eedback </w:t>
      </w:r>
      <w:r>
        <w:t>from some stakeholders</w:t>
      </w:r>
      <w:r w:rsidRPr="007D162C">
        <w:t xml:space="preserve"> raised concerns about the application of these requirements to temporary taxi ranks, where infrastructure changes may not be possible or reasonable for short-term arrangements. As such, temporary taxi ranks will be excluded from these requirements. </w:t>
      </w:r>
    </w:p>
    <w:p w14:paraId="2A11C1AD" w14:textId="77777777" w:rsidR="00E1199F" w:rsidRPr="007D162C" w:rsidRDefault="00E1199F" w:rsidP="00E1199F">
      <w:r w:rsidRPr="007D162C">
        <w:t xml:space="preserve">During consultation, there was agreement across all stakeholder groups that inconsistency in the provision of accessible taxi ranks can cause significant anxiety and impact the ability to plan and complete a journey for people with disability. Industry and government provided mixed support for the non-regulatory and regulatory options, while all submissions from the disability sector supported the regulatory option. </w:t>
      </w:r>
    </w:p>
    <w:p w14:paraId="4610669B" w14:textId="77777777" w:rsidR="009B58C3" w:rsidRDefault="009B58C3" w:rsidP="00E1199F"/>
    <w:p w14:paraId="063FCB6A" w14:textId="280AEC1A" w:rsidR="00E1199F" w:rsidRPr="007D162C" w:rsidRDefault="00E1199F" w:rsidP="00E1199F">
      <w:r w:rsidRPr="007D162C">
        <w:t xml:space="preserve">The regulatory option will support consistency of service to passengers across all jurisdictions and produce tangible accessibility benefits, particularly at inter-modal terminals. The regulatory option will also align design requirements with the recommended regulatory option in Chapter 49 Accessible passenger loading zones on-street. Ongoing collaboration between operators and providers and infrastructure owners must continue to manage implementation challenges. </w:t>
      </w:r>
    </w:p>
    <w:p w14:paraId="586B5282" w14:textId="324E65C9" w:rsidR="00E1199F" w:rsidRPr="007D162C" w:rsidRDefault="00E1199F" w:rsidP="00E1199F">
      <w:r w:rsidRPr="007D162C">
        <w:lastRenderedPageBreak/>
        <w:t>There was mixed support for the three proposed regulatory options. Option 1 will provide consistency in the design and accessibility of taxi ranks, while accommodating locations with multiple uses and environmental constraints.</w:t>
      </w:r>
    </w:p>
    <w:p w14:paraId="28493D7D" w14:textId="4F447E92" w:rsidR="00E1199F"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10 years. </w:t>
      </w:r>
    </w:p>
    <w:p w14:paraId="10F4B2F7" w14:textId="77777777" w:rsidR="00490001" w:rsidRPr="007D162C" w:rsidRDefault="00490001" w:rsidP="00490001">
      <w:pPr>
        <w:pStyle w:val="Heading4"/>
      </w:pPr>
      <w:r w:rsidRPr="007D162C">
        <w:t>Interaction with Stage 1 reform area</w:t>
      </w:r>
    </w:p>
    <w:p w14:paraId="16826EFF" w14:textId="63CA3C1E" w:rsidR="00490001" w:rsidRPr="007D162C" w:rsidRDefault="00490001" w:rsidP="00490001">
      <w:pPr>
        <w:pStyle w:val="Tablefigureheading"/>
      </w:pPr>
      <w:bookmarkStart w:id="597" w:name="_Toc139969293"/>
      <w:r w:rsidRPr="007D162C">
        <w:t xml:space="preserve">Table </w:t>
      </w:r>
      <w:fldSimple w:instr=" SEQ Table \* ARABIC ">
        <w:r w:rsidR="00DC26AC">
          <w:rPr>
            <w:noProof/>
          </w:rPr>
          <w:t>135</w:t>
        </w:r>
      </w:fldSimple>
      <w:r w:rsidRPr="007D162C">
        <w:rPr>
          <w:noProof/>
        </w:rPr>
        <w:t xml:space="preserve">: Interactions with Stage 1 </w:t>
      </w:r>
      <w:r w:rsidRPr="007D162C">
        <w:t>for Accessible taxi ranks</w:t>
      </w:r>
      <w:bookmarkEnd w:id="597"/>
    </w:p>
    <w:tbl>
      <w:tblPr>
        <w:tblStyle w:val="DefaultTable1"/>
        <w:tblW w:w="9072" w:type="dxa"/>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5244"/>
      </w:tblGrid>
      <w:tr w:rsidR="00490001" w:rsidRPr="007D162C" w14:paraId="729CC9DC" w14:textId="77777777" w:rsidTr="00E17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dxa"/>
            <w:hideMark/>
          </w:tcPr>
          <w:p w14:paraId="24E8E822" w14:textId="77777777" w:rsidR="00490001" w:rsidRPr="007D162C" w:rsidRDefault="00490001" w:rsidP="00490001">
            <w:r w:rsidRPr="007D162C">
              <w:t>Stage 1 reform area</w:t>
            </w:r>
          </w:p>
        </w:tc>
        <w:tc>
          <w:tcPr>
            <w:tcW w:w="2190" w:type="dxa"/>
            <w:hideMark/>
          </w:tcPr>
          <w:p w14:paraId="161E1C5F" w14:textId="77777777" w:rsidR="00490001" w:rsidRPr="007D162C" w:rsidRDefault="00490001" w:rsidP="00490001">
            <w:pPr>
              <w:cnfStyle w:val="100000000000" w:firstRow="1" w:lastRow="0" w:firstColumn="0" w:lastColumn="0" w:oddVBand="0" w:evenVBand="0" w:oddHBand="0" w:evenHBand="0" w:firstRowFirstColumn="0" w:firstRowLastColumn="0" w:lastRowFirstColumn="0" w:lastRowLastColumn="0"/>
            </w:pPr>
            <w:r w:rsidRPr="007D162C">
              <w:t>Interaction</w:t>
            </w:r>
          </w:p>
        </w:tc>
        <w:tc>
          <w:tcPr>
            <w:tcW w:w="5244" w:type="dxa"/>
            <w:hideMark/>
          </w:tcPr>
          <w:p w14:paraId="1C332EF2" w14:textId="77777777" w:rsidR="00490001" w:rsidRPr="007D162C" w:rsidRDefault="00490001" w:rsidP="00490001">
            <w:pPr>
              <w:cnfStyle w:val="100000000000" w:firstRow="1" w:lastRow="0" w:firstColumn="0" w:lastColumn="0" w:oddVBand="0" w:evenVBand="0" w:oddHBand="0" w:evenHBand="0" w:firstRowFirstColumn="0" w:firstRowLastColumn="0" w:lastRowFirstColumn="0" w:lastRowLastColumn="0"/>
            </w:pPr>
            <w:r w:rsidRPr="007D162C">
              <w:t>Description</w:t>
            </w:r>
          </w:p>
        </w:tc>
      </w:tr>
      <w:tr w:rsidR="00490001" w:rsidRPr="007D162C" w14:paraId="4419E70D" w14:textId="77777777" w:rsidTr="00E1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hideMark/>
          </w:tcPr>
          <w:p w14:paraId="03F8F5DC" w14:textId="18F447DA" w:rsidR="00490001" w:rsidRPr="007D162C" w:rsidRDefault="00490001" w:rsidP="00490001">
            <w:pPr>
              <w:rPr>
                <w:b w:val="0"/>
              </w:rPr>
            </w:pPr>
            <w:r w:rsidRPr="007D162C">
              <w:rPr>
                <w:b w:val="0"/>
                <w:iCs/>
              </w:rPr>
              <w:t>Chapter 5.15: Passenger loading areas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hideMark/>
          </w:tcPr>
          <w:p w14:paraId="00FCB2FF" w14:textId="6B8F0815"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Propose design requirements for the number of accessible car spaces to be provided at a site.</w:t>
            </w:r>
          </w:p>
        </w:tc>
        <w:tc>
          <w:tcPr>
            <w:tcW w:w="5244" w:type="dxa"/>
            <w:tcBorders>
              <w:top w:val="single" w:sz="4" w:space="0" w:color="ED7D31" w:themeColor="accent2"/>
              <w:left w:val="single" w:sz="4" w:space="0" w:color="ED7D31" w:themeColor="accent2"/>
              <w:bottom w:val="single" w:sz="4" w:space="0" w:color="ED7D31" w:themeColor="accent2"/>
              <w:right w:val="nil"/>
            </w:tcBorders>
            <w:hideMark/>
          </w:tcPr>
          <w:p w14:paraId="2DCD9D57" w14:textId="74032E05"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The two proposals refer to loading zones in two discrete and different locations.</w:t>
            </w:r>
          </w:p>
          <w:p w14:paraId="39097AF7" w14:textId="4344C55C" w:rsidR="00490001" w:rsidRPr="007D162C" w:rsidRDefault="00490001" w:rsidP="00490001">
            <w:pPr>
              <w:cnfStyle w:val="000000100000" w:firstRow="0" w:lastRow="0" w:firstColumn="0" w:lastColumn="0" w:oddVBand="0" w:evenVBand="0" w:oddHBand="1" w:evenHBand="0" w:firstRowFirstColumn="0" w:firstRowLastColumn="0" w:lastRowFirstColumn="0" w:lastRowLastColumn="0"/>
            </w:pPr>
            <w:r w:rsidRPr="007D162C">
              <w:t>The design requirements for the number of accessible spaces recommended in Stage 1, Chapter 15 and Stage 2, Chapters 48 and 49 align.</w:t>
            </w:r>
          </w:p>
        </w:tc>
      </w:tr>
    </w:tbl>
    <w:p w14:paraId="2E246AE8" w14:textId="77777777" w:rsidR="00490001" w:rsidRPr="007D162C" w:rsidRDefault="00490001" w:rsidP="00E1199F"/>
    <w:p w14:paraId="1CC8AC58" w14:textId="77777777" w:rsidR="00E1199F" w:rsidRPr="007D162C" w:rsidRDefault="00E1199F" w:rsidP="00E1199F">
      <w:r w:rsidRPr="007D162C">
        <w:br w:type="page"/>
      </w:r>
    </w:p>
    <w:p w14:paraId="59886DD4" w14:textId="2DA86860" w:rsidR="00E1199F" w:rsidRPr="007D162C" w:rsidRDefault="00E1199F" w:rsidP="00E177CC">
      <w:pPr>
        <w:pStyle w:val="Heading2"/>
        <w:numPr>
          <w:ilvl w:val="0"/>
          <w:numId w:val="28"/>
        </w:numPr>
        <w:ind w:hanging="720"/>
      </w:pPr>
      <w:bookmarkStart w:id="598" w:name="_Toc112050131"/>
      <w:bookmarkStart w:id="599" w:name="_Toc127351800"/>
      <w:bookmarkStart w:id="600" w:name="_Toc140239758"/>
      <w:r w:rsidRPr="007D162C">
        <w:lastRenderedPageBreak/>
        <w:t>Accessible passenger loading zones on-street</w:t>
      </w:r>
      <w:bookmarkEnd w:id="598"/>
      <w:bookmarkEnd w:id="599"/>
      <w:bookmarkEnd w:id="600"/>
    </w:p>
    <w:p w14:paraId="61EA5141" w14:textId="77777777" w:rsidR="00E1199F" w:rsidRPr="007D162C" w:rsidRDefault="00E1199F" w:rsidP="00E1199F">
      <w:pPr>
        <w:pStyle w:val="Heading4"/>
        <w:tabs>
          <w:tab w:val="left" w:pos="284"/>
        </w:tabs>
      </w:pPr>
      <w:r w:rsidRPr="007D162C">
        <w:t>Issue</w:t>
      </w:r>
    </w:p>
    <w:p w14:paraId="753C1263" w14:textId="77777777" w:rsidR="00E1199F" w:rsidRPr="007D162C" w:rsidRDefault="08D050C4" w:rsidP="00E1199F">
      <w:r w:rsidRPr="007D162C">
        <w:t xml:space="preserve">The Transport Standards do not recognise passenger loading zones located on-street as boarding points for wheelchair accessible taxis (WATs) and small conveyances. Consequently, the Transport Standards do no detail accessibility specifications for on-street passenger loading areas. </w:t>
      </w:r>
    </w:p>
    <w:p w14:paraId="1C9A4FC3" w14:textId="77777777" w:rsidR="00E1199F" w:rsidRPr="007D162C" w:rsidRDefault="00E1199F" w:rsidP="00E1199F">
      <w:r w:rsidRPr="007D162C">
        <w:t>On-street passenger loading zones are often used as a pickup and drop-off point by WATs. Consequently, people with disability, particularly those who use mobility aid devices, may encounter accessibility and safety barriers when boarding at these locations.</w:t>
      </w:r>
    </w:p>
    <w:p w14:paraId="66F29F9D" w14:textId="77777777" w:rsidR="00E1199F" w:rsidRPr="007D162C" w:rsidRDefault="00E1199F" w:rsidP="00E1199F">
      <w:pPr>
        <w:suppressAutoHyphens/>
        <w:rPr>
          <w:rFonts w:asciiTheme="majorHAnsi" w:eastAsiaTheme="majorEastAsia" w:hAnsiTheme="majorHAnsi" w:cstheme="majorBidi"/>
          <w:b/>
          <w:color w:val="806000"/>
          <w:sz w:val="26"/>
          <w:szCs w:val="26"/>
        </w:rPr>
      </w:pPr>
      <w:r w:rsidRPr="007D162C">
        <w:t>Collective government action to introduce requirements for accessible on-street passenger loading zones would address key stakeholder issues raised through the Transport Standards review process.</w:t>
      </w:r>
    </w:p>
    <w:p w14:paraId="04E23796" w14:textId="77777777" w:rsidR="00E1199F" w:rsidRPr="007D162C" w:rsidRDefault="00E1199F" w:rsidP="00E1199F">
      <w:pPr>
        <w:pStyle w:val="Heading4"/>
        <w:tabs>
          <w:tab w:val="left" w:pos="284"/>
        </w:tabs>
      </w:pPr>
      <w:r w:rsidRPr="007D162C">
        <w:t>Reform options</w:t>
      </w:r>
    </w:p>
    <w:p w14:paraId="757B1808"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0E55E0FF" w14:textId="69ADCD83" w:rsidR="00E1199F" w:rsidRPr="007D162C" w:rsidRDefault="00E1199F" w:rsidP="00E1199F">
      <w:pPr>
        <w:pStyle w:val="Caption"/>
        <w:keepNext/>
      </w:pPr>
      <w:bookmarkStart w:id="601" w:name="_Toc122446457"/>
      <w:bookmarkStart w:id="602" w:name="_Toc139969294"/>
      <w:r w:rsidRPr="007D162C">
        <w:t xml:space="preserve">Table </w:t>
      </w:r>
      <w:fldSimple w:instr=" SEQ Table \* ARABIC ">
        <w:r w:rsidR="00DC26AC">
          <w:rPr>
            <w:noProof/>
          </w:rPr>
          <w:t>136</w:t>
        </w:r>
      </w:fldSimple>
      <w:r w:rsidRPr="007D162C">
        <w:rPr>
          <w:noProof/>
        </w:rPr>
        <w:t>: Reform options for</w:t>
      </w:r>
      <w:r w:rsidRPr="007D162C">
        <w:t xml:space="preserve"> a</w:t>
      </w:r>
      <w:r w:rsidRPr="007D162C">
        <w:rPr>
          <w:noProof/>
        </w:rPr>
        <w:t>ccessible passenger loading zones on-street</w:t>
      </w:r>
      <w:bookmarkEnd w:id="601"/>
      <w:bookmarkEnd w:id="602"/>
    </w:p>
    <w:tbl>
      <w:tblPr>
        <w:tblStyle w:val="DefaultTable1"/>
        <w:tblW w:w="9072" w:type="dxa"/>
        <w:tblLook w:val="04A0" w:firstRow="1" w:lastRow="0" w:firstColumn="1" w:lastColumn="0" w:noHBand="0" w:noVBand="1"/>
        <w:tblCaption w:val="Reform options for accessible passenger loading zones on-street"/>
        <w:tblDescription w:val="This table provides a description of each of the options for this reform area. Status quo, non-regulatory and regulatory."/>
      </w:tblPr>
      <w:tblGrid>
        <w:gridCol w:w="2232"/>
        <w:gridCol w:w="6840"/>
      </w:tblGrid>
      <w:tr w:rsidR="00E1199F" w:rsidRPr="007D162C" w14:paraId="185E67C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FA5544E"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549FFA9E"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F48CA0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8BFF1BD"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76A9E58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include accessibility provisions for on-street passenger loading areas.</w:t>
            </w:r>
          </w:p>
          <w:p w14:paraId="6ED8693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7CE154E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267B5C2A"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658B8734"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w:t>
            </w:r>
          </w:p>
          <w:p w14:paraId="34CECED3"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 xml:space="preserve">The non-regulatory option </w:t>
            </w:r>
            <w:r w:rsidRPr="0043456A">
              <w:t>proposed 3 sub-options for the</w:t>
            </w:r>
            <w:r w:rsidRPr="007D162C">
              <w:t xml:space="preserve"> ratio of passenger loading zones, where there is more than one vehicle space.</w:t>
            </w:r>
          </w:p>
        </w:tc>
      </w:tr>
      <w:tr w:rsidR="00E1199F" w:rsidRPr="007D162C" w14:paraId="0BCE619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843E52"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4B57C66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requirements for on-street passenger loading zones, including:</w:t>
            </w:r>
          </w:p>
          <w:p w14:paraId="01632594" w14:textId="77777777" w:rsidR="00E1199F" w:rsidRPr="0043456A"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 xml:space="preserve">On-street passenger </w:t>
            </w:r>
            <w:r w:rsidRPr="0043456A">
              <w:t xml:space="preserve">loading zones are boarding points for </w:t>
            </w:r>
            <w:r w:rsidRPr="0043456A">
              <w:rPr>
                <w:lang w:val="en-US"/>
              </w:rPr>
              <w:t xml:space="preserve">WAT </w:t>
            </w:r>
            <w:r w:rsidRPr="0043456A">
              <w:t>and other public transport conveyances.</w:t>
            </w:r>
          </w:p>
          <w:p w14:paraId="53A54F2B"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43456A">
              <w:t>The regulatory option proposed 3 sub-options for the ratio of passenger loading zones, where there is more than one vehicle</w:t>
            </w:r>
            <w:r w:rsidRPr="007D162C">
              <w:t xml:space="preserve"> space.</w:t>
            </w:r>
          </w:p>
          <w:p w14:paraId="3668A193" w14:textId="306043FC" w:rsidR="0043456A" w:rsidRP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Sub-option 1</w:t>
            </w:r>
          </w:p>
          <w:p w14:paraId="07DB0B81" w14:textId="1E718D53" w:rsidR="00E1199F"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Accessible passenger loading spaces must conform to the requirements for on-street disability parking spaces as per the relevant Australian Standard.</w:t>
            </w:r>
          </w:p>
          <w:p w14:paraId="05476792" w14:textId="77289058"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Pr>
                <w:b/>
                <w:lang w:val="en-US"/>
              </w:rPr>
              <w:t>Sub-option 2</w:t>
            </w:r>
          </w:p>
          <w:p w14:paraId="7954FB7F" w14:textId="77777777"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If a kerb ramp is installed in an accessible passenger loading zone vehicle space, it must be placed to the rear of the accessible vehicle space.</w:t>
            </w:r>
          </w:p>
          <w:p w14:paraId="1844BA19" w14:textId="77777777" w:rsid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p>
          <w:p w14:paraId="2B4F5BD6" w14:textId="77777777" w:rsidR="0043456A"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b/>
                <w:lang w:val="en-US"/>
              </w:rPr>
            </w:pPr>
            <w:r>
              <w:rPr>
                <w:b/>
                <w:lang w:val="en-US"/>
              </w:rPr>
              <w:t xml:space="preserve">Sub-option 3 </w:t>
            </w:r>
          </w:p>
          <w:p w14:paraId="4C413AB6" w14:textId="31D3F449"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lastRenderedPageBreak/>
              <w:t xml:space="preserve">If an accessible passenger loading zone vehicle space is at the same grade as the adjacent footpath, bollards and warning TGSIs as per </w:t>
            </w:r>
            <w:r w:rsidRPr="007D162C">
              <w:rPr>
                <w:lang w:val="en-US"/>
              </w:rPr>
              <w:t>the relevant Australian Standards</w:t>
            </w:r>
            <w:r w:rsidRPr="007D162C">
              <w:t xml:space="preserve"> </w:t>
            </w:r>
            <w:r w:rsidRPr="007D162C">
              <w:rPr>
                <w:lang w:val="en-US"/>
              </w:rPr>
              <w:t>and</w:t>
            </w:r>
            <w:r w:rsidRPr="007D162C">
              <w:t xml:space="preserve"> must be installed for the length of the same grade section.</w:t>
            </w:r>
          </w:p>
          <w:p w14:paraId="7D76307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These requirements would pertain to infrastructure.</w:t>
            </w:r>
          </w:p>
          <w:p w14:paraId="3A2DD84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64120D11" w14:textId="77777777" w:rsidR="0043456A" w:rsidRDefault="0043456A" w:rsidP="00CB454F"/>
    <w:p w14:paraId="2508AB1F" w14:textId="0D071735" w:rsidR="00E1199F" w:rsidRPr="007D162C" w:rsidRDefault="00E1199F" w:rsidP="00E1199F">
      <w:pPr>
        <w:pStyle w:val="Heading4"/>
        <w:tabs>
          <w:tab w:val="left" w:pos="284"/>
        </w:tabs>
      </w:pPr>
      <w:r w:rsidRPr="007D162C">
        <w:t>Cost benefit analysis</w:t>
      </w:r>
    </w:p>
    <w:p w14:paraId="5899871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14E0A4D3" w14:textId="77777777" w:rsidR="00E1199F" w:rsidRPr="007D162C" w:rsidRDefault="00E1199F" w:rsidP="00E1199F">
      <w:r w:rsidRPr="007D162C">
        <w:t xml:space="preserve">The following categories of quantitative costs and benefits were identified in the CBA as pertaining to the reform options. </w:t>
      </w:r>
    </w:p>
    <w:p w14:paraId="091FE4DC" w14:textId="7CFCF82D" w:rsidR="00E1199F" w:rsidRPr="007D162C" w:rsidRDefault="00E1199F" w:rsidP="00E1199F">
      <w:pPr>
        <w:pStyle w:val="Caption"/>
        <w:keepNext/>
      </w:pPr>
      <w:bookmarkStart w:id="603" w:name="_Toc122446458"/>
      <w:bookmarkStart w:id="604" w:name="_Toc139969295"/>
      <w:r w:rsidRPr="007D162C">
        <w:t xml:space="preserve">Table </w:t>
      </w:r>
      <w:fldSimple w:instr=" SEQ Table \* ARABIC ">
        <w:r w:rsidR="00DC26AC">
          <w:rPr>
            <w:noProof/>
          </w:rPr>
          <w:t>137</w:t>
        </w:r>
      </w:fldSimple>
      <w:r w:rsidRPr="007D162C">
        <w:t xml:space="preserve">: Benefit-cost ratios </w:t>
      </w:r>
      <w:r w:rsidRPr="007D162C">
        <w:rPr>
          <w:noProof/>
        </w:rPr>
        <w:t>for</w:t>
      </w:r>
      <w:r w:rsidRPr="007D162C">
        <w:t xml:space="preserve"> a</w:t>
      </w:r>
      <w:r w:rsidRPr="007D162C">
        <w:rPr>
          <w:noProof/>
        </w:rPr>
        <w:t>ccessible passenger loading zones on-street</w:t>
      </w:r>
      <w:bookmarkEnd w:id="603"/>
      <w:bookmarkEnd w:id="604"/>
    </w:p>
    <w:tbl>
      <w:tblPr>
        <w:tblStyle w:val="DefaultTable1"/>
        <w:tblW w:w="9864" w:type="dxa"/>
        <w:tblLook w:val="04A0" w:firstRow="1" w:lastRow="0" w:firstColumn="1" w:lastColumn="0" w:noHBand="0" w:noVBand="1"/>
        <w:tblCaption w:val="Benefit-cost ratios for accessible passenger loading zones on-street"/>
        <w:tblDescription w:val="This table provides the monetised benefits and costs for each of the options for this reform area."/>
      </w:tblPr>
      <w:tblGrid>
        <w:gridCol w:w="1214"/>
        <w:gridCol w:w="1531"/>
        <w:gridCol w:w="1791"/>
        <w:gridCol w:w="1843"/>
        <w:gridCol w:w="1985"/>
        <w:gridCol w:w="1500"/>
      </w:tblGrid>
      <w:tr w:rsidR="00E1199F" w:rsidRPr="007D162C" w14:paraId="2B949534"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279B73DC" w14:textId="77777777" w:rsidR="00E1199F" w:rsidRPr="007D162C" w:rsidRDefault="08D050C4" w:rsidP="00E1199F">
            <w:r w:rsidRPr="007D162C">
              <w:t>Reform Option</w:t>
            </w:r>
          </w:p>
        </w:tc>
        <w:tc>
          <w:tcPr>
            <w:tcW w:w="1531" w:type="dxa"/>
          </w:tcPr>
          <w:p w14:paraId="11B891A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70B82EC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843" w:type="dxa"/>
          </w:tcPr>
          <w:p w14:paraId="64E8295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985" w:type="dxa"/>
          </w:tcPr>
          <w:p w14:paraId="3987CC4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1500" w:type="dxa"/>
          </w:tcPr>
          <w:p w14:paraId="29B54E96" w14:textId="0E8455EA"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BCR</w:t>
            </w:r>
          </w:p>
        </w:tc>
      </w:tr>
      <w:tr w:rsidR="00E1199F" w:rsidRPr="007D162C" w14:paraId="6C8EBC6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E2CB504" w14:textId="77777777" w:rsidR="00E1199F" w:rsidRPr="007D162C" w:rsidRDefault="00E1199F" w:rsidP="00E1199F">
            <w:r w:rsidRPr="007D162C">
              <w:t>Status Quo</w:t>
            </w:r>
          </w:p>
        </w:tc>
        <w:tc>
          <w:tcPr>
            <w:tcW w:w="1531" w:type="dxa"/>
          </w:tcPr>
          <w:p w14:paraId="14296573"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3259E28"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tcPr>
          <w:p w14:paraId="253132E9"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985" w:type="dxa"/>
          </w:tcPr>
          <w:p w14:paraId="6B7AC7F8"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00" w:type="dxa"/>
          </w:tcPr>
          <w:p w14:paraId="60565F31"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08E60AC"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3ADFBBCD" w14:textId="77777777" w:rsidR="00E1199F" w:rsidRPr="007D162C" w:rsidRDefault="00E1199F" w:rsidP="00E1199F">
            <w:r w:rsidRPr="007D162C">
              <w:t xml:space="preserve">Non-regulatory </w:t>
            </w:r>
          </w:p>
        </w:tc>
        <w:tc>
          <w:tcPr>
            <w:tcW w:w="1531" w:type="dxa"/>
            <w:vAlign w:val="center"/>
          </w:tcPr>
          <w:p w14:paraId="34347A6B"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1.5</w:t>
            </w:r>
          </w:p>
        </w:tc>
        <w:tc>
          <w:tcPr>
            <w:tcW w:w="1791" w:type="dxa"/>
          </w:tcPr>
          <w:p w14:paraId="5C4937A2" w14:textId="77777777" w:rsidR="00E1199F" w:rsidRPr="007D162C" w:rsidRDefault="08D050C4" w:rsidP="003D78B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843" w:type="dxa"/>
            <w:vAlign w:val="center"/>
          </w:tcPr>
          <w:p w14:paraId="7FE816BE" w14:textId="705637B4"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3.0</w:t>
            </w:r>
          </w:p>
        </w:tc>
        <w:tc>
          <w:tcPr>
            <w:tcW w:w="1985" w:type="dxa"/>
            <w:vAlign w:val="center"/>
          </w:tcPr>
          <w:p w14:paraId="05BD6F83" w14:textId="1A837C4B"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3.0</w:t>
            </w:r>
            <w:r w:rsidR="00CC3E1D" w:rsidRPr="007D162C">
              <w:rPr>
                <w:sz w:val="18"/>
                <w:szCs w:val="18"/>
                <w:vertAlign w:val="superscript"/>
              </w:rPr>
              <w:t>i</w:t>
            </w:r>
          </w:p>
        </w:tc>
        <w:tc>
          <w:tcPr>
            <w:tcW w:w="1500" w:type="dxa"/>
            <w:vAlign w:val="center"/>
          </w:tcPr>
          <w:p w14:paraId="4F6BAB10" w14:textId="6AFCBE1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0.51</w:t>
            </w:r>
          </w:p>
        </w:tc>
      </w:tr>
      <w:tr w:rsidR="00E1199F" w:rsidRPr="007D162C" w14:paraId="38A763D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11F9ADA" w14:textId="77777777" w:rsidR="00E1199F" w:rsidRPr="007D162C" w:rsidRDefault="00E1199F" w:rsidP="00E1199F">
            <w:r w:rsidRPr="007D162C">
              <w:t>Regulatory</w:t>
            </w:r>
          </w:p>
        </w:tc>
        <w:tc>
          <w:tcPr>
            <w:tcW w:w="1531" w:type="dxa"/>
            <w:vAlign w:val="center"/>
          </w:tcPr>
          <w:p w14:paraId="5484541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12.9</w:t>
            </w:r>
          </w:p>
        </w:tc>
        <w:tc>
          <w:tcPr>
            <w:tcW w:w="1791" w:type="dxa"/>
          </w:tcPr>
          <w:p w14:paraId="739BE234" w14:textId="77777777" w:rsidR="00E1199F" w:rsidRPr="007D162C" w:rsidRDefault="08D050C4" w:rsidP="003D78B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843" w:type="dxa"/>
            <w:vAlign w:val="center"/>
          </w:tcPr>
          <w:p w14:paraId="3E41E6E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20.5</w:t>
            </w:r>
          </w:p>
        </w:tc>
        <w:tc>
          <w:tcPr>
            <w:tcW w:w="1985" w:type="dxa"/>
            <w:vAlign w:val="center"/>
          </w:tcPr>
          <w:p w14:paraId="0143985E"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20.5</w:t>
            </w:r>
          </w:p>
        </w:tc>
        <w:tc>
          <w:tcPr>
            <w:tcW w:w="1500" w:type="dxa"/>
            <w:vAlign w:val="center"/>
          </w:tcPr>
          <w:p w14:paraId="1938F1F8" w14:textId="4B988BA8"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rPr>
                <w:vertAlign w:val="superscript"/>
              </w:rPr>
            </w:pPr>
            <w:r w:rsidRPr="007D162C">
              <w:rPr>
                <w:sz w:val="18"/>
                <w:szCs w:val="18"/>
              </w:rPr>
              <w:t>0.63</w:t>
            </w:r>
          </w:p>
        </w:tc>
      </w:tr>
    </w:tbl>
    <w:p w14:paraId="08AD8BDB"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04DB0576"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632799B" w14:textId="77777777" w:rsidR="00091883" w:rsidRPr="007D162C" w:rsidRDefault="00091883" w:rsidP="00E1199F">
      <w:pPr>
        <w:spacing w:before="120" w:after="0"/>
        <w:rPr>
          <w:sz w:val="20"/>
        </w:rPr>
      </w:pPr>
    </w:p>
    <w:p w14:paraId="36B638DD" w14:textId="77777777" w:rsidR="00E1199F" w:rsidRPr="007D162C" w:rsidRDefault="00E1199F" w:rsidP="00E1199F">
      <w:pPr>
        <w:pStyle w:val="Heading6"/>
      </w:pPr>
      <w:r w:rsidRPr="007D162C">
        <w:t>Considerations to note in interpreting analysis</w:t>
      </w:r>
    </w:p>
    <w:p w14:paraId="07B04BA2" w14:textId="77777777" w:rsidR="00E1199F" w:rsidRPr="007D162C" w:rsidRDefault="00E1199F" w:rsidP="00CC3E1D">
      <w:pPr>
        <w:pStyle w:val="Heading7"/>
      </w:pPr>
      <w:r w:rsidRPr="007D162C">
        <w:t>Limitations:</w:t>
      </w:r>
    </w:p>
    <w:p w14:paraId="1152350F" w14:textId="77777777" w:rsidR="00E1199F" w:rsidRPr="007D162C" w:rsidRDefault="00E1199F" w:rsidP="00CC3E1D">
      <w:pPr>
        <w:pStyle w:val="Heading8"/>
      </w:pPr>
      <w:r w:rsidRPr="007D162C">
        <w:t>Non-regulatory option:</w:t>
      </w:r>
    </w:p>
    <w:p w14:paraId="43B08683" w14:textId="56A5A4DC" w:rsidR="00CC3E1D" w:rsidRPr="007D162C" w:rsidRDefault="00E1199F" w:rsidP="0043456A">
      <w:pPr>
        <w:pStyle w:val="Normaldisclaimerpage"/>
      </w:pPr>
      <w:r w:rsidRPr="007D162C">
        <w:t>The costs and benefits associated with the non-regulatory reform are lower than its regulatory counterpart reflecting an assumed lower rate of compliance with the reform. An estimated rate of uptake of 15</w:t>
      </w:r>
      <w:r w:rsidR="0043456A">
        <w:t xml:space="preserve"> per cent</w:t>
      </w:r>
      <w:r w:rsidRPr="007D162C">
        <w:t xml:space="preserve"> was applied to the non-regulatory option based on high volume of passenger loading zones which require upgrading, and the high cost burden on local governments to implement the guidance. This implies that the benefits and costs quantified for this non-regulatory reform may not reflect future take-up of the reform.</w:t>
      </w:r>
    </w:p>
    <w:p w14:paraId="7FB5000E" w14:textId="77777777" w:rsidR="00E1199F" w:rsidRPr="007D162C" w:rsidRDefault="00E1199F" w:rsidP="0043456A">
      <w:pPr>
        <w:pStyle w:val="Heading8"/>
      </w:pPr>
      <w:r w:rsidRPr="007D162C">
        <w:t>Regulatory option:</w:t>
      </w:r>
    </w:p>
    <w:p w14:paraId="5DD01EAE" w14:textId="43651A85" w:rsidR="00E1199F" w:rsidRPr="007D162C" w:rsidRDefault="00E1199F" w:rsidP="0043456A">
      <w:pPr>
        <w:pStyle w:val="Normaldisclaimerpage"/>
      </w:pPr>
      <w:r w:rsidRPr="007D162C">
        <w:t>The benefits and costs of this reform were estimated from survey responses proxied to a national level, potentially not reflecting the full extent of existing and future compliance.</w:t>
      </w:r>
    </w:p>
    <w:p w14:paraId="18B74938" w14:textId="77777777" w:rsidR="00F302D5" w:rsidRPr="007D162C" w:rsidRDefault="00F302D5" w:rsidP="0043456A">
      <w:pPr>
        <w:pStyle w:val="Normaldisclaimerpage"/>
      </w:pPr>
    </w:p>
    <w:p w14:paraId="0C408EBA" w14:textId="1D16C29C" w:rsidR="00F302D5" w:rsidRPr="007D162C" w:rsidRDefault="00E1199F" w:rsidP="0043456A">
      <w:pPr>
        <w:pStyle w:val="Normaldisclaimerpage"/>
      </w:pPr>
      <w:r w:rsidRPr="007D162C">
        <w:t>A material number of assets would need to be upgraded leading to higher substantive compliance costs in comparison to the benefits.</w:t>
      </w:r>
    </w:p>
    <w:p w14:paraId="74EAB1F9" w14:textId="77777777" w:rsidR="00E1199F" w:rsidRPr="007D162C" w:rsidRDefault="00E1199F" w:rsidP="0043456A">
      <w:pPr>
        <w:pStyle w:val="Heading8"/>
      </w:pPr>
      <w:r w:rsidRPr="007D162C">
        <w:lastRenderedPageBreak/>
        <w:t>Interdependencies:</w:t>
      </w:r>
    </w:p>
    <w:p w14:paraId="6ABA8288" w14:textId="77777777" w:rsidR="00E1199F" w:rsidRPr="007D162C" w:rsidRDefault="00E1199F" w:rsidP="0043456A">
      <w:pPr>
        <w:pStyle w:val="Normaldisclaimerpage"/>
      </w:pPr>
      <w:r w:rsidRPr="007D162C">
        <w:t>The accessibility benefits of this reform will only be realised if there was equitable access across the whole public transport journey, with benefits reliant on implementation of other reforms such as accessible taxi ranks and rideshare.</w:t>
      </w:r>
    </w:p>
    <w:p w14:paraId="102E9CF6"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67483F04" w14:textId="77777777" w:rsidR="00E1199F" w:rsidRPr="007D162C" w:rsidRDefault="00E1199F" w:rsidP="00E1199F">
      <w:r w:rsidRPr="007D162C">
        <w:t>The following categories of qualitative benefits were identified in the CBA as pertaining to the reform options.</w:t>
      </w:r>
    </w:p>
    <w:p w14:paraId="59A65864" w14:textId="44BE34E7" w:rsidR="00E1199F" w:rsidRPr="007D162C" w:rsidRDefault="00E1199F" w:rsidP="00E1199F">
      <w:pPr>
        <w:pStyle w:val="Caption"/>
        <w:keepNext/>
      </w:pPr>
      <w:bookmarkStart w:id="605" w:name="_Toc122446459"/>
      <w:bookmarkStart w:id="606" w:name="_Toc139969296"/>
      <w:r w:rsidRPr="007D162C">
        <w:t xml:space="preserve">Table </w:t>
      </w:r>
      <w:fldSimple w:instr=" SEQ Table \* ARABIC ">
        <w:r w:rsidR="00DC26AC">
          <w:rPr>
            <w:noProof/>
          </w:rPr>
          <w:t>138</w:t>
        </w:r>
      </w:fldSimple>
      <w:r w:rsidRPr="007D162C">
        <w:rPr>
          <w:noProof/>
        </w:rPr>
        <w:t xml:space="preserve">: </w:t>
      </w:r>
      <w:r w:rsidRPr="007D162C">
        <w:t xml:space="preserve">Qualitative benefits </w:t>
      </w:r>
      <w:r w:rsidRPr="007D162C">
        <w:rPr>
          <w:noProof/>
        </w:rPr>
        <w:t>for</w:t>
      </w:r>
      <w:r w:rsidRPr="007D162C">
        <w:t xml:space="preserve"> a</w:t>
      </w:r>
      <w:r w:rsidRPr="007D162C">
        <w:rPr>
          <w:noProof/>
        </w:rPr>
        <w:t>ccessible passenger loading zones on-street</w:t>
      </w:r>
      <w:bookmarkEnd w:id="605"/>
      <w:bookmarkEnd w:id="606"/>
    </w:p>
    <w:tbl>
      <w:tblPr>
        <w:tblStyle w:val="DefaultTable1"/>
        <w:tblW w:w="9864" w:type="dxa"/>
        <w:tblLook w:val="04A0" w:firstRow="1" w:lastRow="0" w:firstColumn="1" w:lastColumn="0" w:noHBand="0" w:noVBand="1"/>
        <w:tblCaption w:val="Qualitative benefits for accessible passenger loading zones on-street"/>
      </w:tblPr>
      <w:tblGrid>
        <w:gridCol w:w="1213"/>
        <w:gridCol w:w="1343"/>
        <w:gridCol w:w="1626"/>
        <w:gridCol w:w="1300"/>
        <w:gridCol w:w="1278"/>
        <w:gridCol w:w="1641"/>
        <w:gridCol w:w="1463"/>
      </w:tblGrid>
      <w:tr w:rsidR="00E1199F" w:rsidRPr="007D162C" w14:paraId="443F47B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5D99C94C" w14:textId="77777777" w:rsidR="00E1199F" w:rsidRPr="007D162C" w:rsidRDefault="08D050C4" w:rsidP="00E1199F">
            <w:r w:rsidRPr="007D162C">
              <w:t>Reform Option</w:t>
            </w:r>
          </w:p>
        </w:tc>
        <w:tc>
          <w:tcPr>
            <w:tcW w:w="1343" w:type="dxa"/>
          </w:tcPr>
          <w:p w14:paraId="6FCC41B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A0148B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E507D4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0E23DD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26A6A0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6773102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147DD56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AAEFD03" w14:textId="77777777" w:rsidR="00E1199F" w:rsidRPr="007D162C" w:rsidRDefault="00E1199F" w:rsidP="00E1199F">
            <w:r w:rsidRPr="007D162C">
              <w:t>Status Quo</w:t>
            </w:r>
          </w:p>
        </w:tc>
        <w:tc>
          <w:tcPr>
            <w:tcW w:w="1343" w:type="dxa"/>
          </w:tcPr>
          <w:p w14:paraId="362D4B8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02B697E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31EDBB4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83573A7"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05A2794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451367B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79C8E070"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A70C408" w14:textId="77777777" w:rsidR="00E1199F" w:rsidRPr="007D162C" w:rsidRDefault="00E1199F" w:rsidP="00E1199F">
            <w:r w:rsidRPr="007D162C">
              <w:t xml:space="preserve">Non-regulatory </w:t>
            </w:r>
          </w:p>
        </w:tc>
        <w:tc>
          <w:tcPr>
            <w:tcW w:w="1343" w:type="dxa"/>
          </w:tcPr>
          <w:p w14:paraId="131D4B2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65D93F1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5A55E4A4"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2C31438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78F7F3EB"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5B557DD3"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62A0E22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A573242" w14:textId="77777777" w:rsidR="00E1199F" w:rsidRPr="007D162C" w:rsidRDefault="00E1199F" w:rsidP="00E1199F">
            <w:r w:rsidRPr="007D162C">
              <w:t>Regulatory</w:t>
            </w:r>
          </w:p>
        </w:tc>
        <w:tc>
          <w:tcPr>
            <w:tcW w:w="1343" w:type="dxa"/>
          </w:tcPr>
          <w:p w14:paraId="6E2FD45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BF1B03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202518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DFF55B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7787BF2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2DBDBA4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3173C7D5" w14:textId="77777777" w:rsidR="00091883" w:rsidRPr="007D162C" w:rsidRDefault="00091883" w:rsidP="00874437">
      <w:pPr>
        <w:pStyle w:val="BodyText"/>
      </w:pPr>
    </w:p>
    <w:p w14:paraId="5111E01E" w14:textId="33612922" w:rsidR="00E1199F" w:rsidRPr="007D162C" w:rsidRDefault="00E1199F" w:rsidP="00E1199F">
      <w:pPr>
        <w:pStyle w:val="Heading4"/>
        <w:tabs>
          <w:tab w:val="left" w:pos="284"/>
        </w:tabs>
      </w:pPr>
      <w:r w:rsidRPr="007D162C">
        <w:t xml:space="preserve">Analysis of submissions </w:t>
      </w:r>
    </w:p>
    <w:p w14:paraId="35CFBDD5" w14:textId="77777777" w:rsidR="00E1199F" w:rsidRPr="007D162C" w:rsidRDefault="00E1199F" w:rsidP="00E1199F">
      <w:pPr>
        <w:pStyle w:val="Heading5"/>
      </w:pPr>
      <w:r w:rsidRPr="007D162C">
        <w:t>Status quo</w:t>
      </w:r>
    </w:p>
    <w:p w14:paraId="7DB27389" w14:textId="77777777" w:rsidR="00E1199F" w:rsidRPr="007D162C" w:rsidRDefault="00E1199F" w:rsidP="00E1199F">
      <w:r w:rsidRPr="007D162C">
        <w:t xml:space="preserve">Currently, the Transport Standards do not include design specifications to ensure the accessibility of on-street passenger loading zones. </w:t>
      </w:r>
    </w:p>
    <w:p w14:paraId="420742D5" w14:textId="77777777" w:rsidR="00E1199F" w:rsidRPr="007D162C" w:rsidRDefault="00E1199F" w:rsidP="00E1199F">
      <w:r w:rsidRPr="007D162C">
        <w:t>During consultation, people with disability identified that the accessibility of on-street passenger loading zones varies. In locations where pickup and drop-off areas have been designed with consideration of accessibility, one submission noted that the experience for passengers is positive. In circumstances where accessibility has not been considered, however, passengers may experience barriers to safety and an accessible ‘whole of journey’ experience. Similarly, inconsistency in the design of on-street passenger loading zones was noted as a barrier to effective journey planning.</w:t>
      </w:r>
    </w:p>
    <w:p w14:paraId="2B9BCD28" w14:textId="77777777" w:rsidR="00E1199F" w:rsidRPr="007D162C" w:rsidRDefault="00E1199F" w:rsidP="00E1199F">
      <w:r w:rsidRPr="007D162C">
        <w:t>No submissions supported the status quo option.</w:t>
      </w:r>
    </w:p>
    <w:p w14:paraId="131A40F7" w14:textId="77777777" w:rsidR="00E1199F" w:rsidRPr="007D162C" w:rsidRDefault="00E1199F" w:rsidP="00E1199F">
      <w:r w:rsidRPr="007D162C">
        <w:t>The status quo does not enhance or increase equality and independence, or reduce discrimination for people with disability in relation to public transport. Maintaining the status quo would incur no additional costs to public transports operators and providers.</w:t>
      </w:r>
    </w:p>
    <w:p w14:paraId="713AF781" w14:textId="77777777" w:rsidR="00E1199F" w:rsidRPr="007D162C" w:rsidRDefault="00E1199F" w:rsidP="00E1199F">
      <w:pPr>
        <w:pStyle w:val="Heading5"/>
      </w:pPr>
      <w:r w:rsidRPr="007D162C">
        <w:t>Non-regulatory</w:t>
      </w:r>
    </w:p>
    <w:p w14:paraId="7E35FD68" w14:textId="77777777" w:rsidR="00E1199F" w:rsidRPr="007D162C" w:rsidRDefault="08D050C4" w:rsidP="00E1199F">
      <w:r w:rsidRPr="007D162C">
        <w:t xml:space="preserve">Three submissions from government supported the non-regulatory option. All three submissions noted that on-street passenger loading zones are primarily the responsibility of local councils. Similarly, all three submissions noted that the unique operating environment of these locations presents challenges to meeting the proposed requirements, for example relating to competing road rules, topography, adjacent built structures and traffic conditions. In particular, one submission outlined that compliance with AS2890.5 (2020) could restrict where permanent and temporary passenger loading zones could be placed. For this reason, the non-regulatory option was favoured as it would allow for innovative solutions to be developed meet both the needs of </w:t>
      </w:r>
      <w:r w:rsidRPr="007D162C">
        <w:lastRenderedPageBreak/>
        <w:t xml:space="preserve">passengers and account for practical limitations faced by operators and providers. One submission also noted the benefit of the non-regulatory option in allowing infrastructure owners to manage costs, as retrofitting may be cost prohibitive. </w:t>
      </w:r>
    </w:p>
    <w:p w14:paraId="78476E32" w14:textId="77777777" w:rsidR="00E1199F" w:rsidRPr="007D162C" w:rsidRDefault="00E1199F" w:rsidP="00E1199F">
      <w:r w:rsidRPr="007D162C">
        <w:t xml:space="preserve">To provide greater clarity, one submission suggested additional guidance material be included relating to the interaction between the Transport Standards and other road rules, the style of parking to be provided and accompanying symbols. </w:t>
      </w:r>
    </w:p>
    <w:p w14:paraId="675B7843" w14:textId="77777777" w:rsidR="00E1199F" w:rsidRPr="007D162C" w:rsidRDefault="00E1199F" w:rsidP="00E1199F">
      <w:r w:rsidRPr="007D162C">
        <w:t>One submission supported sub-option 2, stating it is likely to deliver the greatest benefit to people with disability. The other two submissions did not state a preference for a sub-option.</w:t>
      </w:r>
    </w:p>
    <w:p w14:paraId="3B21852C" w14:textId="77777777" w:rsidR="00E1199F" w:rsidRPr="007D162C" w:rsidRDefault="00E1199F" w:rsidP="00E1199F">
      <w:pPr>
        <w:pStyle w:val="Heading5"/>
      </w:pPr>
      <w:r w:rsidRPr="007D162C">
        <w:t>Regulatory</w:t>
      </w:r>
    </w:p>
    <w:p w14:paraId="0FFEB2DE" w14:textId="77777777" w:rsidR="00E1199F" w:rsidRPr="007D162C" w:rsidRDefault="08D050C4" w:rsidP="00E1199F">
      <w:r w:rsidRPr="007D162C">
        <w:t>All submissions from individuals, people with disability and disability organisations supported the regulatory option. There was general agreement among these responses that the non-provision of accessible spaces in on-street passenger loading zones produces negative outcomes for people with disability. These spaces were identified as important pickup and drop-off locations for WATs, and the inaccessibility of spaces, particularly relating to kerbs and spacing, as being both unsafe and a barrier to spontaneous travel. Similarly, one submission noted the importance of increasing the availability of accessible spaces to meet the needs of people with disability. The regulatory option was preferred by these submissions, noting it would provide a greater level of certainty than the non-regulatory option.</w:t>
      </w:r>
      <w:bookmarkStart w:id="607" w:name="_Hlk119488146"/>
      <w:bookmarkEnd w:id="607"/>
    </w:p>
    <w:p w14:paraId="3920A5DF" w14:textId="77777777" w:rsidR="00E1199F" w:rsidRPr="007D162C" w:rsidRDefault="00E1199F" w:rsidP="00E1199F">
      <w:pPr>
        <w:pStyle w:val="Quote"/>
      </w:pPr>
      <w:r w:rsidRPr="007D162C">
        <w:t>In terms of the number of accessible on-street passenger loading zones, we are keen to see the number of given spaces increased substantially. One in every 5 on-street passenger loading zones should be accessible in line with national data on the prevalence of disability as a proportion of the overall population.</w:t>
      </w:r>
    </w:p>
    <w:p w14:paraId="348830D5" w14:textId="77777777" w:rsidR="00E1199F" w:rsidRPr="007D162C" w:rsidRDefault="00E1199F" w:rsidP="00E1199F">
      <w:pPr>
        <w:pStyle w:val="Quote"/>
      </w:pPr>
      <w:r w:rsidRPr="007D162C">
        <w:t>Physical Disability Council of NSW</w:t>
      </w:r>
    </w:p>
    <w:p w14:paraId="67C62688" w14:textId="77777777" w:rsidR="00E1199F" w:rsidRPr="007D162C" w:rsidRDefault="00E1199F" w:rsidP="00E1199F">
      <w:r w:rsidRPr="007D162C">
        <w:t>Three submissions from industry and three submissions from government supported the regulatory option. These submissions agreed that the regulatory option will provide certainty to people with disability that public transport will be accessible from on-street passenger loading zones. One submission from industry noted the proposed requirements are feasible to implement, and would result in practical improvements to the accessibility of sites for passengers. One submission from industry noted, however, that the cost to implement proposed requirements retrospectively would be significant, and the feasibility may be impacted by external factors such as topography, other interacting infrastructure and road passengers. Similarly, one submission from government noted that the successful implementation of the proposed requirements is dependent on effective collaboration between infrastructure owners, people with disability and operators and providers.</w:t>
      </w:r>
    </w:p>
    <w:p w14:paraId="37C1105D" w14:textId="77777777" w:rsidR="00E1199F" w:rsidRPr="007D162C" w:rsidRDefault="00E1199F" w:rsidP="00E1199F">
      <w:r w:rsidRPr="007D162C">
        <w:t>One submission from government highlighted the importance of aligning the outcomes of this reform area with Chapter 48 (Accessible taxi ranks) for consistency and regulatory clarity. The submission noted that this is particularly important in facilities where the taxi rank and loading zone are designed or operated as one continuous zone. </w:t>
      </w:r>
    </w:p>
    <w:p w14:paraId="049D9B47" w14:textId="58B3C42F" w:rsidR="00E1199F" w:rsidRPr="007D162C" w:rsidRDefault="00E1199F" w:rsidP="00E1199F">
      <w:r w:rsidRPr="007D162C">
        <w:t xml:space="preserve">The majority of submissions from industry and government supported sub-option 1. These submissions noted the </w:t>
      </w:r>
      <w:bookmarkStart w:id="608" w:name="_Hlk119488442"/>
      <w:r w:rsidRPr="007D162C">
        <w:t xml:space="preserve">specified requirements will provide certainty to people with disability and </w:t>
      </w:r>
      <w:r w:rsidR="00CF5E3F">
        <w:t xml:space="preserve">are </w:t>
      </w:r>
      <w:r w:rsidRPr="007D162C">
        <w:t xml:space="preserve">feasible to implement, whilst providing a balanced approach to accommodate different operating environments. </w:t>
      </w:r>
      <w:bookmarkEnd w:id="608"/>
      <w:r w:rsidRPr="007D162C">
        <w:t xml:space="preserve">One submission from industry suggested that the sub-option may also avoid the potential for designers to limit zones to four spaces or less, to avoid additional compliance costs. </w:t>
      </w:r>
    </w:p>
    <w:p w14:paraId="2D5A9DF4" w14:textId="77777777" w:rsidR="00E1199F" w:rsidRPr="007D162C" w:rsidRDefault="08D050C4" w:rsidP="00E1199F">
      <w:r w:rsidRPr="007D162C">
        <w:t>One submission from an individual and one submission from a disability organisation supported sub-option 2. Both submissions highlighted the value of consistency in design and the provision of a greater number of accessible spaces compared with sub-option 1.</w:t>
      </w:r>
    </w:p>
    <w:p w14:paraId="086A6519" w14:textId="77777777" w:rsidR="00E1199F" w:rsidRPr="007D162C" w:rsidRDefault="08D050C4" w:rsidP="00E1199F">
      <w:r w:rsidRPr="007D162C">
        <w:lastRenderedPageBreak/>
        <w:t>The majority of submissions from the disability community and one submission from government supported sub-option 3. The submission from government highlighted that sub-option 3 provides scalable requirements which would ensure there are accessible spaces at both key points of the loading zone, and along the length of the bay as necessary. This was identified as both beneficial in terms of accessibility outcomes, but also in minimising regulatory burden that would result from fixed placement requirements. The submission provided this support, pending further clarity on the requirements applicable in circumstances where less than five spaces are provided.</w:t>
      </w:r>
    </w:p>
    <w:p w14:paraId="74B5202F" w14:textId="77777777" w:rsidR="00E1199F" w:rsidRPr="007D162C" w:rsidRDefault="00E1199F" w:rsidP="00E1199F">
      <w:pPr>
        <w:pStyle w:val="Heading4"/>
      </w:pPr>
      <w:r w:rsidRPr="007D162C">
        <w:t>Preferred option</w:t>
      </w:r>
    </w:p>
    <w:p w14:paraId="63A09C70" w14:textId="77777777" w:rsidR="00E1199F" w:rsidRPr="007D162C" w:rsidRDefault="00E1199F" w:rsidP="00E1199F">
      <w:r w:rsidRPr="007D162C">
        <w:t xml:space="preserve">Informed by the outcomes of consultation, impacts, cost and outcomes analysis above, the preferred option is the </w:t>
      </w:r>
      <w:r w:rsidRPr="007D162C">
        <w:rPr>
          <w:b/>
        </w:rPr>
        <w:t>regulatory option, sub-option 1</w:t>
      </w:r>
      <w:r w:rsidRPr="007D162C">
        <w:t xml:space="preserve">. </w:t>
      </w:r>
    </w:p>
    <w:p w14:paraId="61C7ABDB" w14:textId="77777777" w:rsidR="009B58C3" w:rsidRPr="007D162C" w:rsidRDefault="009B58C3" w:rsidP="009B58C3">
      <w:pPr>
        <w:pStyle w:val="Style5"/>
        <w:framePr w:wrap="around" w:hAnchor="page" w:x="1644" w:y="1455"/>
      </w:pPr>
      <w:r>
        <w:t>F</w:t>
      </w:r>
      <w:r w:rsidRPr="007D162C">
        <w:t xml:space="preserve">eedback </w:t>
      </w:r>
      <w:r>
        <w:t>from some stakeholders</w:t>
      </w:r>
      <w:r w:rsidRPr="007D162C">
        <w:t xml:space="preserve"> raised concerns about the application of these requirements to temporary passenger loading zones, where infrastructure changes may not be possible or reasonable for short-term arrangements. As such, temporary passenger loading zones will be excluded from these requirements. </w:t>
      </w:r>
    </w:p>
    <w:p w14:paraId="239E6E26" w14:textId="77777777" w:rsidR="00E1199F" w:rsidRPr="007D162C" w:rsidRDefault="00E1199F" w:rsidP="00E1199F">
      <w:r w:rsidRPr="007D162C">
        <w:t xml:space="preserve">During consultation, there was agreement across all stakeholder groups that inconsistency in the provision of accessible spaces in on-street passenger loading zones produces negative outcomes for people with disability, particularly when travelling in a WAT. Industry and government provided mixed support for the non-regulatory and regulatory options, while all submissions from the disability sector supported the regulatory option. </w:t>
      </w:r>
    </w:p>
    <w:p w14:paraId="2516EEDA" w14:textId="77777777" w:rsidR="009B58C3" w:rsidRDefault="009B58C3" w:rsidP="00E1199F"/>
    <w:p w14:paraId="0FF46C24" w14:textId="3AE95963" w:rsidR="00E1199F" w:rsidRPr="007D162C" w:rsidRDefault="00E1199F" w:rsidP="00E1199F">
      <w:r w:rsidRPr="007D162C">
        <w:t xml:space="preserve">The regulatory option will introduce regulatory clarity regarding the role of on-street passenger loading zones, and ensure a greater level of consistency and accessibility for passengers who board and disembark from these locations. The regulatory option will also align design requirements with the recommended regulatory option in Chapter 48 (Accessible taxi ranks). Ongoing collaboration between operators and providers and infrastructure owners must continue to manage implementation challenges. </w:t>
      </w:r>
    </w:p>
    <w:p w14:paraId="2EE56DBB" w14:textId="58F5E058" w:rsidR="00E1199F" w:rsidRPr="007D162C" w:rsidRDefault="00E1199F" w:rsidP="00E1199F">
      <w:r w:rsidRPr="007D162C">
        <w:t xml:space="preserve">There was mixed support for the three proposed sub-options. The layout for accessible spaces proposed in sub-option 1 will provide certainty to people with disability and is feasible to implement, whilst providing a balanced approach to accommodate different operating environments.  </w:t>
      </w:r>
    </w:p>
    <w:p w14:paraId="5A356A64" w14:textId="58A7ECEE" w:rsidR="00DB7243" w:rsidRPr="007D162C" w:rsidRDefault="00E1199F" w:rsidP="00E1199F">
      <w:r w:rsidRPr="007D162C">
        <w:t xml:space="preserve">The preferred option will be implemented through amendments to the Transport Standards and Guidelines. Operators and providers will be required to meet the new Transport Standards requirements retrospectively with a compliance schedule timing of 10 years. </w:t>
      </w:r>
    </w:p>
    <w:p w14:paraId="1E7FE1D2" w14:textId="14821B0B" w:rsidR="00DB7243" w:rsidRPr="007D162C" w:rsidRDefault="00DB7243" w:rsidP="00DB7243">
      <w:pPr>
        <w:pStyle w:val="Heading4"/>
      </w:pPr>
      <w:r w:rsidRPr="007D162C">
        <w:t>Interaction with Stage 1 reform area</w:t>
      </w:r>
    </w:p>
    <w:p w14:paraId="2B06EBFD" w14:textId="4EC1993F" w:rsidR="00DB7243" w:rsidRPr="007D162C" w:rsidRDefault="00DB7243" w:rsidP="00DB7243">
      <w:pPr>
        <w:pStyle w:val="Tablefigureheading"/>
      </w:pPr>
      <w:bookmarkStart w:id="609" w:name="_Toc139969297"/>
      <w:r w:rsidRPr="007D162C">
        <w:t xml:space="preserve">Table </w:t>
      </w:r>
      <w:fldSimple w:instr=" SEQ Table \* ARABIC ">
        <w:r w:rsidR="00DC26AC">
          <w:rPr>
            <w:noProof/>
          </w:rPr>
          <w:t>139</w:t>
        </w:r>
      </w:fldSimple>
      <w:r w:rsidRPr="007D162C">
        <w:rPr>
          <w:noProof/>
        </w:rPr>
        <w:t xml:space="preserve">: Interactions with Stage 1 </w:t>
      </w:r>
      <w:r w:rsidRPr="007D162C">
        <w:t>for Accessible passenger loading zones on-street</w:t>
      </w:r>
      <w:bookmarkEnd w:id="609"/>
    </w:p>
    <w:tbl>
      <w:tblPr>
        <w:tblStyle w:val="DefaultTable1"/>
        <w:tblW w:w="9072" w:type="dxa"/>
        <w:tblLook w:val="04A0" w:firstRow="1" w:lastRow="0" w:firstColumn="1" w:lastColumn="0" w:noHBand="0" w:noVBand="1"/>
        <w:tblCaption w:val="Interactions with Stage 1 for accessible fare system elements"/>
        <w:tblDescription w:val="This table provides a description of the interactions with Stage 1 reform areas"/>
      </w:tblPr>
      <w:tblGrid>
        <w:gridCol w:w="1638"/>
        <w:gridCol w:w="2190"/>
        <w:gridCol w:w="5244"/>
      </w:tblGrid>
      <w:tr w:rsidR="00DB7243" w:rsidRPr="007D162C" w14:paraId="00235F96" w14:textId="77777777" w:rsidTr="00E177C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dxa"/>
            <w:hideMark/>
          </w:tcPr>
          <w:p w14:paraId="43981350" w14:textId="77777777" w:rsidR="00DB7243" w:rsidRPr="007D162C" w:rsidRDefault="00DB7243" w:rsidP="00DB7243">
            <w:r w:rsidRPr="007D162C">
              <w:t>Stage 1 reform area</w:t>
            </w:r>
          </w:p>
        </w:tc>
        <w:tc>
          <w:tcPr>
            <w:tcW w:w="2190" w:type="dxa"/>
            <w:hideMark/>
          </w:tcPr>
          <w:p w14:paraId="3C29CC10" w14:textId="77777777" w:rsidR="00DB7243" w:rsidRPr="007D162C" w:rsidRDefault="00DB7243" w:rsidP="00DB7243">
            <w:pPr>
              <w:cnfStyle w:val="100000000000" w:firstRow="1" w:lastRow="0" w:firstColumn="0" w:lastColumn="0" w:oddVBand="0" w:evenVBand="0" w:oddHBand="0" w:evenHBand="0" w:firstRowFirstColumn="0" w:firstRowLastColumn="0" w:lastRowFirstColumn="0" w:lastRowLastColumn="0"/>
            </w:pPr>
            <w:r w:rsidRPr="007D162C">
              <w:t>Interaction</w:t>
            </w:r>
          </w:p>
        </w:tc>
        <w:tc>
          <w:tcPr>
            <w:tcW w:w="5244" w:type="dxa"/>
            <w:hideMark/>
          </w:tcPr>
          <w:p w14:paraId="2A866026" w14:textId="77777777" w:rsidR="00DB7243" w:rsidRPr="007D162C" w:rsidRDefault="00DB7243" w:rsidP="00DB7243">
            <w:pPr>
              <w:cnfStyle w:val="100000000000" w:firstRow="1" w:lastRow="0" w:firstColumn="0" w:lastColumn="0" w:oddVBand="0" w:evenVBand="0" w:oddHBand="0" w:evenHBand="0" w:firstRowFirstColumn="0" w:firstRowLastColumn="0" w:lastRowFirstColumn="0" w:lastRowLastColumn="0"/>
            </w:pPr>
            <w:r w:rsidRPr="007D162C">
              <w:t>Description</w:t>
            </w:r>
          </w:p>
        </w:tc>
      </w:tr>
      <w:tr w:rsidR="00DB7243" w:rsidRPr="007D162C" w14:paraId="3CD91FD4" w14:textId="77777777" w:rsidTr="00E17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single" w:sz="4" w:space="0" w:color="ED7D31" w:themeColor="accent2"/>
              <w:left w:val="nil"/>
              <w:bottom w:val="single" w:sz="4" w:space="0" w:color="ED7D31" w:themeColor="accent2"/>
              <w:right w:val="single" w:sz="4" w:space="0" w:color="ED7D31" w:themeColor="accent2"/>
            </w:tcBorders>
            <w:hideMark/>
          </w:tcPr>
          <w:p w14:paraId="68169F6F" w14:textId="77777777" w:rsidR="00DB7243" w:rsidRPr="007D162C" w:rsidRDefault="00DB7243" w:rsidP="00DB7243">
            <w:pPr>
              <w:rPr>
                <w:b w:val="0"/>
              </w:rPr>
            </w:pPr>
            <w:r w:rsidRPr="007D162C">
              <w:rPr>
                <w:b w:val="0"/>
                <w:iCs/>
              </w:rPr>
              <w:t>Chapter 5.15: Passenger loading areas</w:t>
            </w:r>
          </w:p>
        </w:tc>
        <w:tc>
          <w:tcPr>
            <w:tcW w:w="2190"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hideMark/>
          </w:tcPr>
          <w:p w14:paraId="46EF4A07"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Propose design requirements for the number of accessible car spaces to be provided at a site.</w:t>
            </w:r>
          </w:p>
        </w:tc>
        <w:tc>
          <w:tcPr>
            <w:tcW w:w="5244" w:type="dxa"/>
            <w:tcBorders>
              <w:top w:val="single" w:sz="4" w:space="0" w:color="ED7D31" w:themeColor="accent2"/>
              <w:left w:val="single" w:sz="4" w:space="0" w:color="ED7D31" w:themeColor="accent2"/>
              <w:bottom w:val="single" w:sz="4" w:space="0" w:color="ED7D31" w:themeColor="accent2"/>
              <w:right w:val="nil"/>
            </w:tcBorders>
            <w:hideMark/>
          </w:tcPr>
          <w:p w14:paraId="64F7DB90"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The two proposals refer to loading zones in two discrete and different locations.</w:t>
            </w:r>
          </w:p>
          <w:p w14:paraId="13AF082B" w14:textId="77777777" w:rsidR="00DB7243" w:rsidRPr="007D162C" w:rsidRDefault="00DB7243" w:rsidP="00DB7243">
            <w:pPr>
              <w:cnfStyle w:val="000000100000" w:firstRow="0" w:lastRow="0" w:firstColumn="0" w:lastColumn="0" w:oddVBand="0" w:evenVBand="0" w:oddHBand="1" w:evenHBand="0" w:firstRowFirstColumn="0" w:firstRowLastColumn="0" w:lastRowFirstColumn="0" w:lastRowLastColumn="0"/>
            </w:pPr>
            <w:r w:rsidRPr="007D162C">
              <w:t>The design requirements for the number of accessible spaces recommended in Stage 1, Chapter 15 and Stage 2, Chapters 48 and 49 align.</w:t>
            </w:r>
          </w:p>
        </w:tc>
      </w:tr>
    </w:tbl>
    <w:p w14:paraId="32AF71CE" w14:textId="2EA66F07" w:rsidR="00E1199F" w:rsidRPr="007D162C" w:rsidRDefault="00E1199F" w:rsidP="00E1199F">
      <w:r w:rsidRPr="007D162C">
        <w:br w:type="page"/>
      </w:r>
    </w:p>
    <w:p w14:paraId="0FADC1A2" w14:textId="2A185BDB" w:rsidR="00E1199F" w:rsidRPr="007D162C" w:rsidRDefault="00E1199F" w:rsidP="00E177CC">
      <w:pPr>
        <w:pStyle w:val="Heading2"/>
        <w:numPr>
          <w:ilvl w:val="0"/>
          <w:numId w:val="28"/>
        </w:numPr>
        <w:ind w:hanging="720"/>
      </w:pPr>
      <w:bookmarkStart w:id="610" w:name="_Toc112050132"/>
      <w:bookmarkStart w:id="611" w:name="_Toc127351801"/>
      <w:bookmarkStart w:id="612" w:name="_Toc140239759"/>
      <w:r w:rsidRPr="007D162C">
        <w:lastRenderedPageBreak/>
        <w:t>Accessible parking spaces in infrastructure off-street carparks</w:t>
      </w:r>
      <w:bookmarkEnd w:id="610"/>
      <w:bookmarkEnd w:id="611"/>
      <w:bookmarkEnd w:id="612"/>
    </w:p>
    <w:p w14:paraId="17EA1682" w14:textId="77777777" w:rsidR="00E1199F" w:rsidRPr="007D162C" w:rsidRDefault="00E1199F" w:rsidP="00E1199F">
      <w:pPr>
        <w:pStyle w:val="Heading4"/>
        <w:tabs>
          <w:tab w:val="left" w:pos="284"/>
        </w:tabs>
      </w:pPr>
      <w:r w:rsidRPr="007D162C">
        <w:t>Issue</w:t>
      </w:r>
    </w:p>
    <w:p w14:paraId="0A6E249D" w14:textId="77777777" w:rsidR="00E1199F" w:rsidRPr="007D162C" w:rsidRDefault="00E1199F" w:rsidP="00E1199F">
      <w:r w:rsidRPr="007D162C">
        <w:t xml:space="preserve">Public transport infrastructure, such as train stations, ferry terminals and bus interchanges, often have dedicated off-street parking areas. In some cases, this infrastructure is located off-premises, and therefore falls under the remit of the Transport Standards, rather than the Premises Standards. </w:t>
      </w:r>
    </w:p>
    <w:p w14:paraId="3E7F5508" w14:textId="77777777" w:rsidR="00E1199F" w:rsidRPr="007D162C" w:rsidRDefault="00E1199F" w:rsidP="00E1199F">
      <w:r w:rsidRPr="007D162C">
        <w:t xml:space="preserve">The Transport Standards do not specify requirements for off-street parking areas associated with public transport infrastructure, including specifications for accessible parking spaces or access paths connecting to infrastructure. This may result in situations where off-street carpark infrastructure is inaccessible to people with disability, and does not provide regulatory clarity to infrastructure owners. </w:t>
      </w:r>
    </w:p>
    <w:p w14:paraId="35EDDE03" w14:textId="77777777" w:rsidR="00E1199F" w:rsidRPr="007D162C" w:rsidRDefault="00E1199F" w:rsidP="00E1199F">
      <w:pPr>
        <w:suppressAutoHyphens/>
        <w:rPr>
          <w:rFonts w:asciiTheme="majorHAnsi" w:eastAsiaTheme="majorEastAsia" w:hAnsiTheme="majorHAnsi" w:cstheme="majorBidi"/>
          <w:b/>
          <w:color w:val="806000"/>
          <w:sz w:val="26"/>
          <w:szCs w:val="26"/>
        </w:rPr>
      </w:pPr>
      <w:r w:rsidRPr="007D162C">
        <w:t>Collective government action to introduce requirements for accessible parking spaces in public transport infrastructure off-street carparks would address key stakeholder issues raised through the Transport Standards review process, and promote consistency through alignment with requirements in the Premises Standards.</w:t>
      </w:r>
    </w:p>
    <w:p w14:paraId="016AE539" w14:textId="77777777" w:rsidR="00E1199F" w:rsidRPr="007D162C" w:rsidRDefault="00E1199F" w:rsidP="00E1199F">
      <w:pPr>
        <w:pStyle w:val="Heading4"/>
        <w:tabs>
          <w:tab w:val="left" w:pos="284"/>
        </w:tabs>
      </w:pPr>
      <w:r w:rsidRPr="007D162C">
        <w:t>Reform options</w:t>
      </w:r>
    </w:p>
    <w:p w14:paraId="7CE85DCC"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79634DBF" w14:textId="580FDCBD" w:rsidR="00E1199F" w:rsidRPr="007D162C" w:rsidRDefault="00E1199F" w:rsidP="00E1199F">
      <w:pPr>
        <w:pStyle w:val="Caption"/>
        <w:keepNext/>
      </w:pPr>
      <w:bookmarkStart w:id="613" w:name="_Toc122446460"/>
      <w:bookmarkStart w:id="614" w:name="_Toc139969298"/>
      <w:r w:rsidRPr="007D162C">
        <w:t xml:space="preserve">Table </w:t>
      </w:r>
      <w:fldSimple w:instr=" SEQ Table \* ARABIC ">
        <w:r w:rsidR="00DC26AC">
          <w:rPr>
            <w:noProof/>
          </w:rPr>
          <w:t>140</w:t>
        </w:r>
      </w:fldSimple>
      <w:r w:rsidRPr="007D162C">
        <w:rPr>
          <w:noProof/>
        </w:rPr>
        <w:t>: Reform options for</w:t>
      </w:r>
      <w:r w:rsidRPr="007D162C">
        <w:t xml:space="preserve"> </w:t>
      </w:r>
      <w:r w:rsidRPr="007D162C">
        <w:rPr>
          <w:noProof/>
        </w:rPr>
        <w:t>accessible parking spaces in infrastructure off-street carparks</w:t>
      </w:r>
      <w:bookmarkEnd w:id="613"/>
      <w:bookmarkEnd w:id="614"/>
    </w:p>
    <w:tbl>
      <w:tblPr>
        <w:tblStyle w:val="DefaultTable1"/>
        <w:tblW w:w="9072" w:type="dxa"/>
        <w:tblLook w:val="04A0" w:firstRow="1" w:lastRow="0" w:firstColumn="1" w:lastColumn="0" w:noHBand="0" w:noVBand="1"/>
        <w:tblCaption w:val="Reform options for accessible parking spaces in infrastructure off-street carparks"/>
        <w:tblDescription w:val="This table provides a description of each of the options for this reform area. Status quo, non-regulatory and regulatory."/>
      </w:tblPr>
      <w:tblGrid>
        <w:gridCol w:w="2232"/>
        <w:gridCol w:w="6840"/>
      </w:tblGrid>
      <w:tr w:rsidR="00E1199F" w:rsidRPr="007D162C" w14:paraId="58CE629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1AAA0AE"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39E31CA3"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37B1D56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0A84E37" w14:textId="77777777" w:rsidR="00E1199F" w:rsidRPr="007D162C" w:rsidRDefault="00E1199F" w:rsidP="00E1199F">
            <w:pPr>
              <w:pStyle w:val="Tabletext"/>
              <w:tabs>
                <w:tab w:val="left" w:pos="284"/>
              </w:tabs>
              <w:rPr>
                <w:rFonts w:asciiTheme="minorHAnsi" w:hAnsiTheme="minorHAnsi" w:cstheme="minorBidi"/>
                <w:sz w:val="22"/>
                <w:szCs w:val="22"/>
              </w:rPr>
            </w:pPr>
            <w:r w:rsidRPr="007D162C">
              <w:rPr>
                <w:rFonts w:asciiTheme="minorHAnsi" w:hAnsiTheme="minorHAnsi" w:cstheme="minorBidi"/>
                <w:sz w:val="22"/>
                <w:szCs w:val="22"/>
              </w:rPr>
              <w:t>Status Quo</w:t>
            </w:r>
          </w:p>
        </w:tc>
        <w:tc>
          <w:tcPr>
            <w:tcW w:w="6840" w:type="dxa"/>
            <w:vAlign w:val="center"/>
          </w:tcPr>
          <w:p w14:paraId="53CD38E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will continue not to include provision for accessible off-street parking.</w:t>
            </w:r>
          </w:p>
          <w:p w14:paraId="030D7E4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7F6BBC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C550DC4"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Non-Regulatory</w:t>
            </w:r>
          </w:p>
        </w:tc>
        <w:tc>
          <w:tcPr>
            <w:tcW w:w="6840" w:type="dxa"/>
            <w:vAlign w:val="center"/>
          </w:tcPr>
          <w:p w14:paraId="25FDE2E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provided to include advice for off-street parking areas, including, but not limited to layout and dimensions consistent with the Premises Standards, location and ration of parking spaces.</w:t>
            </w:r>
          </w:p>
        </w:tc>
      </w:tr>
      <w:tr w:rsidR="00E1199F" w:rsidRPr="007D162C" w14:paraId="65C0A0E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F8F2898" w14:textId="77777777" w:rsidR="00E1199F" w:rsidRPr="007D162C" w:rsidRDefault="00E1199F" w:rsidP="00E1199F">
            <w:pPr>
              <w:pStyle w:val="Tabletext"/>
              <w:rPr>
                <w:rFonts w:asciiTheme="minorHAnsi" w:hAnsiTheme="minorHAnsi" w:cstheme="minorBidi"/>
                <w:sz w:val="22"/>
                <w:szCs w:val="22"/>
              </w:rPr>
            </w:pPr>
            <w:r w:rsidRPr="007D162C">
              <w:rPr>
                <w:rFonts w:asciiTheme="minorHAnsi" w:hAnsiTheme="minorHAnsi" w:cstheme="minorBidi"/>
                <w:sz w:val="22"/>
                <w:szCs w:val="22"/>
              </w:rPr>
              <w:t>Regulatory</w:t>
            </w:r>
          </w:p>
        </w:tc>
        <w:tc>
          <w:tcPr>
            <w:tcW w:w="6840" w:type="dxa"/>
            <w:vAlign w:val="center"/>
          </w:tcPr>
          <w:p w14:paraId="621544D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would be amended to include requirements for off-street parking areas associated with public transport infrastructure and premises (to which the Premises Standards do not apply), including: </w:t>
            </w:r>
          </w:p>
          <w:p w14:paraId="64FF664A" w14:textId="5ADA37DF" w:rsidR="00E1199F" w:rsidRPr="0043456A"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Off-street public parking areas must provide one accessible parking space for every 50 parking spaces where there are more than five parking spaces</w:t>
            </w:r>
            <w:r w:rsidRPr="007D162C">
              <w:rPr>
                <w:lang w:val="en-US"/>
              </w:rPr>
              <w:t>. In addition, there are 2 regulatory sub-options that were consulted on in relation to the number of designated accessible parking spaces.</w:t>
            </w:r>
          </w:p>
          <w:p w14:paraId="009E4A32" w14:textId="1E1637D9"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Pr>
                <w:b/>
                <w:lang w:val="en-US"/>
              </w:rPr>
              <w:t>Sub-option 1</w:t>
            </w:r>
          </w:p>
          <w:p w14:paraId="41E28EA1" w14:textId="06A2ABF1" w:rsidR="0043456A"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sidRPr="007D162C">
              <w:rPr>
                <w:lang w:val="en-US"/>
              </w:rPr>
              <w:t>Accessible parking spaces must be located as close as practicable to accessible entrances and connected to via accessways.</w:t>
            </w:r>
          </w:p>
          <w:p w14:paraId="6D7A1C20" w14:textId="19CA251F" w:rsidR="0043456A" w:rsidRPr="007D162C" w:rsidRDefault="0043456A"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rPr>
                <w:lang w:val="en-US"/>
              </w:rPr>
            </w:pPr>
            <w:r>
              <w:rPr>
                <w:b/>
                <w:lang w:val="en-US"/>
              </w:rPr>
              <w:t>Sub-option 2</w:t>
            </w:r>
          </w:p>
          <w:p w14:paraId="782CCFE6" w14:textId="77777777" w:rsidR="00E1199F" w:rsidRPr="007D162C" w:rsidRDefault="00E1199F" w:rsidP="0043456A">
            <w:pPr>
              <w:pStyle w:val="Bullet1"/>
              <w:numPr>
                <w:ilvl w:val="0"/>
                <w:numId w:val="0"/>
              </w:numPr>
              <w:cnfStyle w:val="000000100000" w:firstRow="0" w:lastRow="0" w:firstColumn="0" w:lastColumn="0" w:oddVBand="0" w:evenVBand="0" w:oddHBand="1" w:evenHBand="0" w:firstRowFirstColumn="0" w:firstRowLastColumn="0" w:lastRowFirstColumn="0" w:lastRowLastColumn="0"/>
            </w:pPr>
            <w:r w:rsidRPr="007D162C">
              <w:t xml:space="preserve">Accessible parking spaces must conform </w:t>
            </w:r>
            <w:r w:rsidRPr="007D162C">
              <w:rPr>
                <w:lang w:val="en-US"/>
              </w:rPr>
              <w:t>with the relevant Australian Standards</w:t>
            </w:r>
            <w:r w:rsidRPr="007D162C">
              <w:t>.</w:t>
            </w:r>
          </w:p>
          <w:p w14:paraId="6A309B3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7D729902" w14:textId="77777777" w:rsidR="0043456A" w:rsidRDefault="0043456A" w:rsidP="00CB454F"/>
    <w:p w14:paraId="29EA39D4" w14:textId="210CA715" w:rsidR="00E1199F" w:rsidRPr="007D162C" w:rsidRDefault="00E1199F" w:rsidP="00E1199F">
      <w:pPr>
        <w:pStyle w:val="Heading4"/>
      </w:pPr>
      <w:r w:rsidRPr="007D162C">
        <w:t>Cost benefit analysis</w:t>
      </w:r>
    </w:p>
    <w:p w14:paraId="19B9476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73F59FB2" w14:textId="77777777" w:rsidR="00E1199F" w:rsidRPr="007D162C" w:rsidRDefault="00E1199F" w:rsidP="00E1199F">
      <w:r w:rsidRPr="007D162C">
        <w:t xml:space="preserve">The following categories of quantitative costs and benefits were identified in the CBA as pertaining to the reform options. </w:t>
      </w:r>
    </w:p>
    <w:p w14:paraId="30FC68F9" w14:textId="0C7DD5F2" w:rsidR="00E1199F" w:rsidRPr="007D162C" w:rsidRDefault="00E1199F" w:rsidP="00E1199F">
      <w:pPr>
        <w:pStyle w:val="Caption"/>
        <w:keepNext/>
      </w:pPr>
      <w:bookmarkStart w:id="615" w:name="_Toc122446461"/>
      <w:bookmarkStart w:id="616" w:name="_Toc139969299"/>
      <w:r w:rsidRPr="007D162C">
        <w:t xml:space="preserve">Table </w:t>
      </w:r>
      <w:fldSimple w:instr=" SEQ Table \* ARABIC ">
        <w:r w:rsidR="00DC26AC">
          <w:rPr>
            <w:noProof/>
          </w:rPr>
          <w:t>141</w:t>
        </w:r>
      </w:fldSimple>
      <w:r w:rsidRPr="007D162C">
        <w:t xml:space="preserve">: Benefit-cost ratios </w:t>
      </w:r>
      <w:r w:rsidRPr="007D162C">
        <w:rPr>
          <w:noProof/>
        </w:rPr>
        <w:t>for</w:t>
      </w:r>
      <w:r w:rsidRPr="007D162C">
        <w:t xml:space="preserve"> </w:t>
      </w:r>
      <w:r w:rsidRPr="007D162C">
        <w:rPr>
          <w:noProof/>
        </w:rPr>
        <w:t>accessible parking spaces in infrastructure off-street carparks</w:t>
      </w:r>
      <w:bookmarkEnd w:id="615"/>
      <w:bookmarkEnd w:id="616"/>
    </w:p>
    <w:tbl>
      <w:tblPr>
        <w:tblStyle w:val="DefaultTable1"/>
        <w:tblW w:w="9864" w:type="dxa"/>
        <w:tblLook w:val="04A0" w:firstRow="1" w:lastRow="0" w:firstColumn="1" w:lastColumn="0" w:noHBand="0" w:noVBand="1"/>
        <w:tblCaption w:val="Benefit-cost ratios for accessible parking spaces in infrastructure off-street carpark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439D77D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E53F54B" w14:textId="77777777" w:rsidR="00E1199F" w:rsidRPr="007D162C" w:rsidRDefault="08D050C4" w:rsidP="00E1199F">
            <w:r w:rsidRPr="007D162C">
              <w:t>Reform Option</w:t>
            </w:r>
          </w:p>
        </w:tc>
        <w:tc>
          <w:tcPr>
            <w:tcW w:w="1531" w:type="dxa"/>
          </w:tcPr>
          <w:p w14:paraId="55F61A1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5D54722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0BACDF3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01FB598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22A589A0"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1363E91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B0B9D92" w14:textId="77777777" w:rsidR="00E1199F" w:rsidRPr="007D162C" w:rsidRDefault="00E1199F" w:rsidP="00E1199F">
            <w:r w:rsidRPr="007D162C">
              <w:t>Status Quo</w:t>
            </w:r>
          </w:p>
        </w:tc>
        <w:tc>
          <w:tcPr>
            <w:tcW w:w="1531" w:type="dxa"/>
          </w:tcPr>
          <w:p w14:paraId="57A8A66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7C05B33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01B9E68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53CCB74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6FA1206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B19FB78"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AF174CF" w14:textId="77777777" w:rsidR="00E1199F" w:rsidRPr="007D162C" w:rsidRDefault="00E1199F" w:rsidP="00E1199F">
            <w:r w:rsidRPr="007D162C">
              <w:t xml:space="preserve">Non-regulatory </w:t>
            </w:r>
          </w:p>
        </w:tc>
        <w:tc>
          <w:tcPr>
            <w:tcW w:w="1531" w:type="dxa"/>
            <w:vAlign w:val="center"/>
          </w:tcPr>
          <w:p w14:paraId="1C1B3385"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9.2</w:t>
            </w:r>
          </w:p>
        </w:tc>
        <w:tc>
          <w:tcPr>
            <w:tcW w:w="1791" w:type="dxa"/>
          </w:tcPr>
          <w:p w14:paraId="5A9434C8" w14:textId="77777777" w:rsidR="00E1199F" w:rsidRPr="007D162C" w:rsidRDefault="08D050C4" w:rsidP="08D050C4">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02B9B0BB" w14:textId="71AFB2A9"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150.2</w:t>
            </w:r>
          </w:p>
        </w:tc>
        <w:tc>
          <w:tcPr>
            <w:tcW w:w="1539" w:type="dxa"/>
            <w:vAlign w:val="center"/>
          </w:tcPr>
          <w:p w14:paraId="28BDA1C5" w14:textId="7E432CF5"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150.2</w:t>
            </w:r>
            <w:r w:rsidRPr="007D162C">
              <w:rPr>
                <w:sz w:val="18"/>
                <w:szCs w:val="18"/>
                <w:vertAlign w:val="superscript"/>
              </w:rPr>
              <w:t xml:space="preserve"> i</w:t>
            </w:r>
          </w:p>
        </w:tc>
        <w:tc>
          <w:tcPr>
            <w:tcW w:w="2216" w:type="dxa"/>
            <w:vAlign w:val="center"/>
          </w:tcPr>
          <w:p w14:paraId="0DF3C003" w14:textId="13779A36"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0.06</w:t>
            </w:r>
            <w:r w:rsidRPr="007D162C">
              <w:rPr>
                <w:sz w:val="18"/>
                <w:szCs w:val="18"/>
                <w:vertAlign w:val="superscript"/>
              </w:rPr>
              <w:t xml:space="preserve"> </w:t>
            </w:r>
          </w:p>
        </w:tc>
      </w:tr>
      <w:tr w:rsidR="00E1199F" w:rsidRPr="007D162C" w14:paraId="20CC4BD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ED11645" w14:textId="77777777" w:rsidR="00E1199F" w:rsidRPr="007D162C" w:rsidRDefault="00E1199F" w:rsidP="00E1199F">
            <w:r w:rsidRPr="007D162C">
              <w:t>Regulatory</w:t>
            </w:r>
          </w:p>
        </w:tc>
        <w:tc>
          <w:tcPr>
            <w:tcW w:w="1531" w:type="dxa"/>
            <w:vAlign w:val="center"/>
          </w:tcPr>
          <w:p w14:paraId="06500938"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76.8</w:t>
            </w:r>
          </w:p>
        </w:tc>
        <w:tc>
          <w:tcPr>
            <w:tcW w:w="1791" w:type="dxa"/>
          </w:tcPr>
          <w:p w14:paraId="477E6D01" w14:textId="77777777" w:rsidR="00E1199F" w:rsidRPr="007D162C"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58289A06"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556.7</w:t>
            </w:r>
          </w:p>
        </w:tc>
        <w:tc>
          <w:tcPr>
            <w:tcW w:w="1539" w:type="dxa"/>
            <w:vAlign w:val="center"/>
          </w:tcPr>
          <w:p w14:paraId="28A9D02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556.7</w:t>
            </w:r>
          </w:p>
        </w:tc>
        <w:tc>
          <w:tcPr>
            <w:tcW w:w="2216" w:type="dxa"/>
            <w:vAlign w:val="center"/>
          </w:tcPr>
          <w:p w14:paraId="15A2C781" w14:textId="7B584064"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rPr>
                <w:sz w:val="18"/>
                <w:szCs w:val="18"/>
              </w:rPr>
              <w:t>0.14</w:t>
            </w:r>
            <w:r w:rsidR="009E27A5" w:rsidRPr="007D162C">
              <w:rPr>
                <w:sz w:val="18"/>
                <w:szCs w:val="18"/>
                <w:vertAlign w:val="superscript"/>
              </w:rPr>
              <w:t>i</w:t>
            </w:r>
          </w:p>
        </w:tc>
      </w:tr>
    </w:tbl>
    <w:p w14:paraId="58868F35"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3D30DA1E"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693BA018" w14:textId="77777777" w:rsidR="009E27A5" w:rsidRPr="007D162C" w:rsidRDefault="009E27A5" w:rsidP="00E1199F">
      <w:pPr>
        <w:spacing w:before="120" w:after="0"/>
        <w:rPr>
          <w:sz w:val="20"/>
        </w:rPr>
      </w:pPr>
    </w:p>
    <w:p w14:paraId="443838D3" w14:textId="77777777" w:rsidR="00E1199F" w:rsidRPr="007D162C" w:rsidRDefault="00E1199F" w:rsidP="00E1199F">
      <w:pPr>
        <w:pStyle w:val="Heading6"/>
      </w:pPr>
      <w:r w:rsidRPr="007D162C">
        <w:t>Considerations to note in interpreting analysis</w:t>
      </w:r>
    </w:p>
    <w:p w14:paraId="3BE8DDE7" w14:textId="77777777" w:rsidR="00E1199F" w:rsidRPr="007D162C" w:rsidRDefault="00E1199F" w:rsidP="00081C4C">
      <w:pPr>
        <w:pStyle w:val="Heading7"/>
      </w:pPr>
      <w:r w:rsidRPr="007D162C">
        <w:t>Limitations:</w:t>
      </w:r>
    </w:p>
    <w:p w14:paraId="6F95CC4B" w14:textId="77777777" w:rsidR="00E1199F" w:rsidRPr="007D162C" w:rsidRDefault="00E1199F" w:rsidP="00081C4C">
      <w:pPr>
        <w:pStyle w:val="Heading8"/>
      </w:pPr>
      <w:r w:rsidRPr="007D162C">
        <w:t>Non-regulatory option:</w:t>
      </w:r>
    </w:p>
    <w:p w14:paraId="60CB503B" w14:textId="2FC7F772"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15</w:t>
      </w:r>
      <w:r w:rsidR="0043456A">
        <w:t xml:space="preserve"> per cent</w:t>
      </w:r>
      <w:r w:rsidRPr="007D162C">
        <w:t xml:space="preserve"> was applied to the non-regulatory option based on high volume of parking spaces which require upgrading, and the high cost burden on local governments to implement the guidance. This implies that the benefits and costs quantified for this non-regulatory reform may not reflect future take-up of the reform.</w:t>
      </w:r>
    </w:p>
    <w:p w14:paraId="20EE0796" w14:textId="77777777" w:rsidR="00081C4C" w:rsidRPr="007D162C" w:rsidRDefault="00081C4C" w:rsidP="00081C4C">
      <w:pPr>
        <w:pStyle w:val="Listparagraphbullets"/>
        <w:numPr>
          <w:ilvl w:val="0"/>
          <w:numId w:val="0"/>
        </w:numPr>
        <w:autoSpaceDE w:val="0"/>
        <w:autoSpaceDN w:val="0"/>
        <w:spacing w:after="0"/>
        <w:ind w:left="360"/>
      </w:pPr>
    </w:p>
    <w:p w14:paraId="72D1D25A" w14:textId="77777777" w:rsidR="00E1199F" w:rsidRPr="007D162C" w:rsidRDefault="00E1199F" w:rsidP="00081C4C">
      <w:pPr>
        <w:pStyle w:val="Heading8"/>
      </w:pPr>
      <w:r w:rsidRPr="007D162C">
        <w:t>Regulatory option:</w:t>
      </w:r>
    </w:p>
    <w:p w14:paraId="767FCE9D" w14:textId="08D7B5E3" w:rsidR="00E1199F" w:rsidRPr="007D162C" w:rsidRDefault="00E1199F" w:rsidP="00F302D5">
      <w:pPr>
        <w:pStyle w:val="Listparagraphbullets"/>
        <w:numPr>
          <w:ilvl w:val="0"/>
          <w:numId w:val="0"/>
        </w:numPr>
        <w:autoSpaceDE w:val="0"/>
        <w:autoSpaceDN w:val="0"/>
        <w:spacing w:after="0"/>
      </w:pPr>
      <w:r w:rsidRPr="007D162C">
        <w:t>The benefits and costs of this reform were estimated through limited data provided through the survey and costs developed by RLB proxied to understand compliance at a national level. This implies the benefits and costs may not reflect the full extent of existing compliance, and costs are not reflective of variation in construction or delivery costs that could be incurred at different sites.</w:t>
      </w:r>
    </w:p>
    <w:p w14:paraId="5669847A" w14:textId="77777777" w:rsidR="00F302D5" w:rsidRPr="007D162C" w:rsidRDefault="00F302D5" w:rsidP="00F302D5">
      <w:pPr>
        <w:pStyle w:val="Listparagraphbullets"/>
        <w:numPr>
          <w:ilvl w:val="0"/>
          <w:numId w:val="0"/>
        </w:numPr>
        <w:autoSpaceDE w:val="0"/>
        <w:autoSpaceDN w:val="0"/>
        <w:spacing w:after="0"/>
      </w:pPr>
    </w:p>
    <w:p w14:paraId="689A5102" w14:textId="74D7BA13" w:rsidR="00F302D5" w:rsidRPr="007D162C" w:rsidRDefault="00E1199F" w:rsidP="0043456A">
      <w:pPr>
        <w:pStyle w:val="Normaldisclaimerpage"/>
      </w:pPr>
      <w:r w:rsidRPr="007D162C">
        <w:t>This reform impacts a small cohort of beneficiaries relative to a potentially large number of upgrades required.</w:t>
      </w:r>
    </w:p>
    <w:p w14:paraId="56EC24D9" w14:textId="5CE712C3" w:rsidR="00081C4C" w:rsidRPr="007D162C" w:rsidRDefault="00E1199F" w:rsidP="0043456A">
      <w:pPr>
        <w:pStyle w:val="Normaldisclaimerpage"/>
      </w:pPr>
      <w:r w:rsidRPr="007D162C">
        <w:t>Quantified benefits associated with this reform does not capture the full extent of benefits including improving ease of access and confidence to access public transport services when travelling by car for users with disability.</w:t>
      </w:r>
    </w:p>
    <w:p w14:paraId="61E5C6A1" w14:textId="77777777" w:rsidR="00E1199F" w:rsidRPr="007D162C" w:rsidRDefault="00E1199F" w:rsidP="00081C4C">
      <w:pPr>
        <w:pStyle w:val="Heading8"/>
      </w:pPr>
      <w:r w:rsidRPr="007D162C">
        <w:lastRenderedPageBreak/>
        <w:t xml:space="preserve">Interdependencies: </w:t>
      </w:r>
    </w:p>
    <w:p w14:paraId="4701EBEC" w14:textId="77777777" w:rsidR="00E1199F" w:rsidRPr="007D162C" w:rsidRDefault="00E1199F" w:rsidP="00F302D5">
      <w:pPr>
        <w:pStyle w:val="Listparagraphbullets"/>
        <w:numPr>
          <w:ilvl w:val="0"/>
          <w:numId w:val="0"/>
        </w:numPr>
        <w:autoSpaceDE w:val="0"/>
        <w:autoSpaceDN w:val="0"/>
        <w:spacing w:after="0"/>
      </w:pPr>
      <w:r w:rsidRPr="007D162C">
        <w:t>The accessibility benefits of this reform will only be realised if there was equitable access across the whole public transport journey, with benefits reliant on implementation of other reforms such as boarding points on infrastructure, passive and active restraints, and others.</w:t>
      </w:r>
    </w:p>
    <w:p w14:paraId="2FC4A9FB"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26B9D595" w14:textId="77777777" w:rsidR="00E1199F" w:rsidRPr="007D162C" w:rsidRDefault="00E1199F" w:rsidP="00E1199F">
      <w:r w:rsidRPr="007D162C">
        <w:t>The following categories of qualitative benefits were identified in the CBA as pertaining to the reform options.</w:t>
      </w:r>
    </w:p>
    <w:p w14:paraId="42436EF9" w14:textId="6918AF97" w:rsidR="00E1199F" w:rsidRPr="007D162C" w:rsidRDefault="00E1199F" w:rsidP="00E1199F">
      <w:pPr>
        <w:pStyle w:val="Caption"/>
        <w:keepNext/>
      </w:pPr>
      <w:bookmarkStart w:id="617" w:name="_Toc122446462"/>
      <w:bookmarkStart w:id="618" w:name="_Toc139969300"/>
      <w:r w:rsidRPr="007D162C">
        <w:t xml:space="preserve">Table </w:t>
      </w:r>
      <w:fldSimple w:instr=" SEQ Table \* ARABIC ">
        <w:r w:rsidR="00DC26AC">
          <w:rPr>
            <w:noProof/>
          </w:rPr>
          <w:t>142</w:t>
        </w:r>
      </w:fldSimple>
      <w:r w:rsidRPr="007D162C">
        <w:rPr>
          <w:noProof/>
        </w:rPr>
        <w:t xml:space="preserve">: </w:t>
      </w:r>
      <w:r w:rsidRPr="007D162C">
        <w:t xml:space="preserve">Qualitative benefits </w:t>
      </w:r>
      <w:r w:rsidRPr="007D162C">
        <w:rPr>
          <w:noProof/>
        </w:rPr>
        <w:t>for</w:t>
      </w:r>
      <w:r w:rsidRPr="007D162C">
        <w:t xml:space="preserve"> </w:t>
      </w:r>
      <w:r w:rsidRPr="007D162C">
        <w:rPr>
          <w:noProof/>
        </w:rPr>
        <w:t>accessible parking spaces in infrastructure off-street carparks</w:t>
      </w:r>
      <w:bookmarkEnd w:id="617"/>
      <w:bookmarkEnd w:id="618"/>
    </w:p>
    <w:tbl>
      <w:tblPr>
        <w:tblStyle w:val="DefaultTable1"/>
        <w:tblW w:w="9864" w:type="dxa"/>
        <w:tblLook w:val="04A0" w:firstRow="1" w:lastRow="0" w:firstColumn="1" w:lastColumn="0" w:noHBand="0" w:noVBand="1"/>
        <w:tblCaption w:val="Qualitative benefits for accessible parking spaces in infrastructure off-street carparks"/>
      </w:tblPr>
      <w:tblGrid>
        <w:gridCol w:w="1213"/>
        <w:gridCol w:w="1343"/>
        <w:gridCol w:w="1626"/>
        <w:gridCol w:w="1300"/>
        <w:gridCol w:w="1278"/>
        <w:gridCol w:w="1641"/>
        <w:gridCol w:w="1463"/>
      </w:tblGrid>
      <w:tr w:rsidR="00E1199F" w:rsidRPr="007D162C" w14:paraId="22B40C9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00528FD" w14:textId="77777777" w:rsidR="00E1199F" w:rsidRPr="007D162C" w:rsidRDefault="08D050C4" w:rsidP="00E1199F">
            <w:r w:rsidRPr="007D162C">
              <w:t>Reform Option</w:t>
            </w:r>
          </w:p>
        </w:tc>
        <w:tc>
          <w:tcPr>
            <w:tcW w:w="1343" w:type="dxa"/>
          </w:tcPr>
          <w:p w14:paraId="5102464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F4EFFD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74BA949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34E3D78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23D0FC9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2376E17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50F7BBC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054A4F8" w14:textId="77777777" w:rsidR="00E1199F" w:rsidRPr="007D162C" w:rsidRDefault="00E1199F" w:rsidP="00E1199F">
            <w:r w:rsidRPr="007D162C">
              <w:t>Status Quo</w:t>
            </w:r>
          </w:p>
        </w:tc>
        <w:tc>
          <w:tcPr>
            <w:tcW w:w="1343" w:type="dxa"/>
          </w:tcPr>
          <w:p w14:paraId="7A49B84C"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793045B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4BEEDB3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255D8CB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10EB8B3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37479A5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530FD7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AEC0E39" w14:textId="77777777" w:rsidR="00E1199F" w:rsidRPr="007D162C" w:rsidRDefault="00E1199F" w:rsidP="00E1199F">
            <w:r w:rsidRPr="007D162C">
              <w:t xml:space="preserve">Non-regulatory </w:t>
            </w:r>
          </w:p>
        </w:tc>
        <w:tc>
          <w:tcPr>
            <w:tcW w:w="1343" w:type="dxa"/>
          </w:tcPr>
          <w:p w14:paraId="5CEA726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2932CCA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1CE10AB7"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0064DA3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814FBC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80BBBD1"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04C8BE7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378B572" w14:textId="77777777" w:rsidR="00E1199F" w:rsidRPr="007D162C" w:rsidRDefault="00E1199F" w:rsidP="00E1199F">
            <w:r w:rsidRPr="007D162C">
              <w:t>Regulatory</w:t>
            </w:r>
          </w:p>
        </w:tc>
        <w:tc>
          <w:tcPr>
            <w:tcW w:w="1343" w:type="dxa"/>
          </w:tcPr>
          <w:p w14:paraId="18D5898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53096225"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2A07137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C817C0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E8068F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F48BEB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2449581F" w14:textId="77777777" w:rsidR="00F302D5" w:rsidRPr="007D162C" w:rsidRDefault="00F302D5" w:rsidP="00F302D5">
      <w:pPr>
        <w:pStyle w:val="BodyText"/>
      </w:pPr>
    </w:p>
    <w:p w14:paraId="24404C47" w14:textId="17E76CE5" w:rsidR="00E1199F" w:rsidRPr="007D162C" w:rsidRDefault="00E1199F" w:rsidP="00E1199F">
      <w:pPr>
        <w:pStyle w:val="Heading4"/>
        <w:tabs>
          <w:tab w:val="left" w:pos="284"/>
        </w:tabs>
      </w:pPr>
      <w:r w:rsidRPr="007D162C">
        <w:t xml:space="preserve">Analysis of submissions </w:t>
      </w:r>
    </w:p>
    <w:p w14:paraId="51BB003B" w14:textId="77777777" w:rsidR="00E1199F" w:rsidRPr="007D162C" w:rsidRDefault="00E1199F" w:rsidP="00E1199F">
      <w:pPr>
        <w:pStyle w:val="Heading5"/>
      </w:pPr>
      <w:r w:rsidRPr="007D162C">
        <w:t>Status quo</w:t>
      </w:r>
    </w:p>
    <w:p w14:paraId="0E04B95E" w14:textId="77777777" w:rsidR="00E1199F" w:rsidRPr="007D162C" w:rsidRDefault="00E1199F" w:rsidP="00E1199F">
      <w:r w:rsidRPr="007D162C">
        <w:t>Currently, the Transport Standards do not include requirements for off-street parking areas associated with public transport infrastructure and have no requirements or specifications for accessible parking spaces.</w:t>
      </w:r>
    </w:p>
    <w:p w14:paraId="66480E22" w14:textId="6BC541B8" w:rsidR="00E1199F" w:rsidRPr="007D162C" w:rsidRDefault="00E1199F" w:rsidP="00E1199F">
      <w:r w:rsidRPr="007D162C">
        <w:t>One submission from government supported the status quo option. This submission outlined their internal practices, which used the require</w:t>
      </w:r>
      <w:r w:rsidR="00DE4EB2">
        <w:t>ments</w:t>
      </w:r>
      <w:r w:rsidRPr="007D162C">
        <w:t xml:space="preserve"> for car parks included in the Premises Standards to determine the design of car parks in off-street facilities associated with public transport infrastructure. This submission advocated for the continuation of the status quo and suggested to avoid regulatory confusion, the Transport Standards should not apply to general public car parking.</w:t>
      </w:r>
    </w:p>
    <w:p w14:paraId="75531706" w14:textId="77777777" w:rsidR="00E1199F" w:rsidRPr="007D162C" w:rsidRDefault="00E1199F" w:rsidP="00E1199F">
      <w:r w:rsidRPr="007D162C">
        <w:t>Maintaining the status quo would not enhance or increase equality and independence, or reduce discrimination for people with disability in relation to public transport. The status quo presents no additional costs for public transports operators and providers.</w:t>
      </w:r>
    </w:p>
    <w:p w14:paraId="0FA737DF" w14:textId="77777777" w:rsidR="00E1199F" w:rsidRPr="007D162C" w:rsidRDefault="00E1199F" w:rsidP="00E1199F">
      <w:pPr>
        <w:pStyle w:val="Heading5"/>
      </w:pPr>
      <w:r w:rsidRPr="007D162C">
        <w:t>Non-regulatory</w:t>
      </w:r>
    </w:p>
    <w:p w14:paraId="1D170EB3" w14:textId="77777777" w:rsidR="00E1199F" w:rsidRPr="007D162C" w:rsidRDefault="00E1199F" w:rsidP="00E1199F">
      <w:r w:rsidRPr="007D162C">
        <w:t xml:space="preserve">Two submissions from government supported the non-regulatory option. These submissions agreed on the importance of providing accessibility parking facilities to remove discrimination for people with disability, and supported car park design that supports continuous accessibility from the parking space to the public transport facility. </w:t>
      </w:r>
    </w:p>
    <w:p w14:paraId="189BB4B5" w14:textId="77777777" w:rsidR="00E1199F" w:rsidRPr="007D162C" w:rsidRDefault="00E1199F" w:rsidP="00E1199F">
      <w:r w:rsidRPr="007D162C">
        <w:t>One submission noted that in their jurisdiction, where a carpark is associated with a public transport facility, the facility is designed in compliance with the requirements included in the Premises Standards. The submission highlighted that whilst additional guidance would be beneficial, regulatory reform is not required. Similarly, the other submission noted the importance of incorporating flexibility into the requirements for car park design – for example in locations where parking may not always be feasible to be provided.</w:t>
      </w:r>
    </w:p>
    <w:p w14:paraId="287048C4" w14:textId="77777777" w:rsidR="00E1199F" w:rsidRPr="007D162C" w:rsidRDefault="00E1199F" w:rsidP="00E1199F">
      <w:r w:rsidRPr="007D162C">
        <w:lastRenderedPageBreak/>
        <w:t xml:space="preserve">Benefits will be achieved to the extent that operators and providers implement the updated guidance. Improving the accessibility of parking spaces in off-street carparks will benefit people with disability, through improved safety and confidence to travel. </w:t>
      </w:r>
    </w:p>
    <w:p w14:paraId="76A445D7" w14:textId="77777777" w:rsidR="00E1199F" w:rsidRPr="007D162C" w:rsidRDefault="00E1199F" w:rsidP="00E1199F">
      <w:pPr>
        <w:pStyle w:val="Heading5"/>
      </w:pPr>
      <w:r w:rsidRPr="007D162C">
        <w:t>Regulatory</w:t>
      </w:r>
    </w:p>
    <w:p w14:paraId="1718439E" w14:textId="77777777" w:rsidR="00E1199F" w:rsidRPr="007D162C" w:rsidRDefault="08D050C4" w:rsidP="00E1199F">
      <w:r w:rsidRPr="007D162C">
        <w:t>All submissions from individuals, people with disability and disability organisations supported the regulatory option. These submissions raised concerns that due to the absence of specifications in the Transport Standards, off-street car parks may be designed inconsistently and result in reduced confidence to travel. For this reason, submissions supported the regulatory option, noting the reliability of availability and design will result in a greater level of accessibility for people with disability across all jurisdictions.</w:t>
      </w:r>
      <w:bookmarkStart w:id="619" w:name="_Hlk119488721"/>
      <w:bookmarkStart w:id="620" w:name="_Hlk119488803"/>
      <w:bookmarkEnd w:id="619"/>
      <w:bookmarkEnd w:id="620"/>
    </w:p>
    <w:p w14:paraId="18E6B747" w14:textId="77777777" w:rsidR="00E1199F" w:rsidRPr="007D162C" w:rsidRDefault="00E1199F" w:rsidP="00E1199F">
      <w:pPr>
        <w:pStyle w:val="Quote"/>
        <w:rPr>
          <w:lang w:eastAsia="en-AU"/>
        </w:rPr>
      </w:pPr>
      <w:r w:rsidRPr="007D162C">
        <w:rPr>
          <w:lang w:eastAsia="en-AU"/>
        </w:rPr>
        <w:t>There needs to be reliability - both that accessible parking spaces will be available and that these parking spaces will have reliable specifications. We agree that Accessible parking spaces should be located as close as practicable to the accessible entrance to improve amenity for people with disability.</w:t>
      </w:r>
    </w:p>
    <w:p w14:paraId="6611DF14" w14:textId="77777777" w:rsidR="00E1199F" w:rsidRPr="007D162C" w:rsidRDefault="00E1199F" w:rsidP="00E1199F">
      <w:pPr>
        <w:pStyle w:val="Quote"/>
        <w:rPr>
          <w:lang w:eastAsia="en-AU"/>
        </w:rPr>
      </w:pPr>
      <w:r w:rsidRPr="007D162C">
        <w:rPr>
          <w:lang w:eastAsia="en-AU"/>
        </w:rPr>
        <w:t>Physical Disability Council of NSW</w:t>
      </w:r>
    </w:p>
    <w:p w14:paraId="56A7FC9F" w14:textId="77777777" w:rsidR="00E1199F" w:rsidRPr="007D162C" w:rsidRDefault="08D050C4" w:rsidP="00E1199F">
      <w:r w:rsidRPr="007D162C">
        <w:t xml:space="preserve">The majority of submissions from industry and government supported the regulatory option. Submissions echoed the importance of accessible design and the value of harmonising requirements between the Premises Standards and the Transport Standards. Three submissions noted that it is already internal policy and best practice to provide accessible parking spaces in off-street carparks, and that the proposed requirements would be feasible to implement. </w:t>
      </w:r>
    </w:p>
    <w:p w14:paraId="0593515B" w14:textId="77777777" w:rsidR="00E1199F" w:rsidRPr="007D162C" w:rsidRDefault="08D050C4" w:rsidP="00E1199F">
      <w:r w:rsidRPr="007D162C">
        <w:t>Similarly, submissions also acknowledged the value of aligning requirements in the Transport Standards and Premises Standards – although, one submission noted that the number of facilities covered by the Transport Standards is likely to be minimal. Multiple submissions from government suggested amendments to the proposed regulatory option. One submission suggested an amendment to explicitly state that attached kerb ramps are not permitted to be placed inside of the shared area adjacent to accessible parking spaces. One submission also suggested greater clarity be provided to differentiate whether non-public parking spaces, such as those reserved for maintenance vehicles, should be counted in the total number of spaces. One submission from government noted that at some locations, constraints relating to site topography and other built infrastructure may impact the installation of accessible car park spaces. In these circumstances, the submission noted the important role of consultation with both land owners and people with disability to develop an alternative solution.</w:t>
      </w:r>
    </w:p>
    <w:p w14:paraId="7FA4D19E" w14:textId="77777777" w:rsidR="00E1199F" w:rsidRPr="007D162C" w:rsidRDefault="08D050C4" w:rsidP="00E1199F">
      <w:r w:rsidRPr="007D162C">
        <w:t xml:space="preserve">There was mixed support for the proposed sub-options. The majority of submissions from industry and government and one submission from an individual supported sub-option 1, noting that the proposal would harmonise requirements with the Premises Standards. A number of amendments were suggested to provide greater clarity regarding the intent of the sub-option. Two submissions raised concerns regarding the potential outcome that would result under sub-option 2, where if a carpark contained five spaces, all spaces would need to be designated as accessible. These submissions highlighted that while this would produce a positive outcome for people with a disability, it may extend beyond the purpose of the Transport Standards and privilege disability parking permit holders rather than provide equality with other passengers. This was also noted to be in conflict with requirements included in the Premises Standards, potentially creating confusion for all stakeholders. Similarly, four submissions suggested amendments to sub-option 1 to ensure that at least one accessible space would be provided, regardless of the total number of spaces available, to enable greater accessibility for passengers. In this case, the sub-options would become redundant. </w:t>
      </w:r>
    </w:p>
    <w:p w14:paraId="710A9820" w14:textId="77777777" w:rsidR="00E1199F" w:rsidRPr="007D162C" w:rsidRDefault="00E1199F" w:rsidP="00E1199F">
      <w:r w:rsidRPr="007D162C">
        <w:lastRenderedPageBreak/>
        <w:t>The majority of submissions from the disability community supported sub-option 2. These submissions highlighted the value of consistency and predictability, which would result in a greater level of confidence for passengers. Submissions that supported sub-option 2 also noted the relative strength compared to sub-option 1, resulted in a greater net benefit to people with disability.</w:t>
      </w:r>
    </w:p>
    <w:p w14:paraId="3E7AFC09" w14:textId="77777777" w:rsidR="00E1199F" w:rsidRPr="007D162C" w:rsidRDefault="00E1199F" w:rsidP="00E1199F">
      <w:pPr>
        <w:pStyle w:val="Heading4"/>
      </w:pPr>
      <w:r w:rsidRPr="007D162C">
        <w:t>Preferred option</w:t>
      </w:r>
    </w:p>
    <w:p w14:paraId="0F23BB37" w14:textId="0BDA930E" w:rsidR="00E1199F" w:rsidRPr="007D162C" w:rsidRDefault="00E1199F" w:rsidP="00E1199F">
      <w:r w:rsidRPr="007D162C">
        <w:t xml:space="preserve">Informed by the outcomes of consultation, impacts, cost and outcomes analysis above, the preferred option is the </w:t>
      </w:r>
      <w:r w:rsidRPr="007D162C">
        <w:rPr>
          <w:b/>
        </w:rPr>
        <w:t>regulatory option, sub-option 1</w:t>
      </w:r>
      <w:r w:rsidR="000F79C9" w:rsidRPr="007D162C">
        <w:rPr>
          <w:b/>
        </w:rPr>
        <w:t xml:space="preserve"> with additional guidance</w:t>
      </w:r>
      <w:r w:rsidRPr="007D162C">
        <w:t xml:space="preserve">. </w:t>
      </w:r>
    </w:p>
    <w:p w14:paraId="68D1ED91" w14:textId="77777777" w:rsidR="00E1199F" w:rsidRPr="007D162C" w:rsidRDefault="00E1199F" w:rsidP="00E1199F">
      <w:r w:rsidRPr="007D162C">
        <w:t>During consultation, there was agreement across all stakeholder groups that the Transport Standards should be reformed to include requirements for the inclusion of accessible car parking spaces in of off-street car parks, to which the Premises Standards do not apply. The majority of submissions from all stakeholders supported the regulatory option.</w:t>
      </w:r>
    </w:p>
    <w:p w14:paraId="5893C38B" w14:textId="77777777" w:rsidR="00E1199F" w:rsidRPr="007D162C" w:rsidRDefault="08D050C4" w:rsidP="00E1199F">
      <w:r w:rsidRPr="007D162C">
        <w:t xml:space="preserve">The regulatory option will improve the consistency in design and availability of accessible off-street parking areas, and will result in a greater level of accessibility for people with disability across all jurisdictions. The regulatory option will also support harmonisation with the Premises Standards. Ongoing collaboration between operators and providers and infrastructure owners must continue to manage implementation challenges, and will be supported by additional guidance material. </w:t>
      </w:r>
    </w:p>
    <w:p w14:paraId="37C18C9B" w14:textId="77777777" w:rsidR="00E1199F" w:rsidRPr="007D162C" w:rsidRDefault="08D050C4" w:rsidP="00E1199F">
      <w:r w:rsidRPr="007D162C">
        <w:t>There was mixed support for the three proposed sub-options. The provisions included in sub-option 1 provide a balanced approach to meet the needs of all passengers in circumstances where less than five total spaces are available, and align with requirements in the Premises Standards. To support additional passenger benefit in circumstances where less than five spaces are provided, additional guidance will be provided in The Whole Journey Guide to note that in all circumstances, one non-designated off-street accessible parking space should be provided as close as practicable to accessible entrances of the premises or infrastructure, and should conform to the requirements of AS/NZS 2890.6 (2009). Similarly, additional guidance will be provided to address stakeholder concerns regarding the placement of kerb ramps, scope of the requirements and interaction with the surrounding environment.</w:t>
      </w:r>
    </w:p>
    <w:p w14:paraId="173BD95F" w14:textId="77777777" w:rsidR="00E1199F" w:rsidRPr="007D162C" w:rsidRDefault="00E1199F" w:rsidP="00E1199F">
      <w:pPr>
        <w:sectPr w:rsidR="00E1199F" w:rsidRPr="007D162C" w:rsidSect="00E1199F">
          <w:endnotePr>
            <w:numFmt w:val="decimal"/>
          </w:endnotePr>
          <w:pgSz w:w="11906" w:h="16838"/>
          <w:pgMar w:top="1440" w:right="1440" w:bottom="1440" w:left="1560" w:header="708" w:footer="0" w:gutter="0"/>
          <w:cols w:space="708"/>
          <w:docGrid w:linePitch="360"/>
        </w:sectPr>
      </w:pPr>
      <w:r w:rsidRPr="007D162C">
        <w:t>The preferred option will be implemented through amendments to the Transport Standards and Guidelines. Operators and providers will be required to meet the new Transport Standards requirements retrospectively with a compliance schedule timing of 10 years.</w:t>
      </w:r>
    </w:p>
    <w:p w14:paraId="6E0EDACA" w14:textId="21F06FAF" w:rsidR="00E1199F" w:rsidRPr="007D162C" w:rsidRDefault="00E1199F" w:rsidP="001E08EB">
      <w:pPr>
        <w:pStyle w:val="Heading2"/>
        <w:ind w:left="-567"/>
      </w:pPr>
      <w:bookmarkStart w:id="621" w:name="_Toc106630033"/>
      <w:bookmarkStart w:id="622" w:name="_Toc127351802"/>
      <w:bookmarkStart w:id="623" w:name="_Toc140239760"/>
      <w:r w:rsidRPr="007D162C">
        <w:lastRenderedPageBreak/>
        <w:t>Part 5: Accessibility in conveyance</w:t>
      </w:r>
      <w:bookmarkEnd w:id="621"/>
      <w:bookmarkEnd w:id="622"/>
      <w:r w:rsidR="001E08EB">
        <w:t>s</w:t>
      </w:r>
      <w:bookmarkEnd w:id="623"/>
    </w:p>
    <w:p w14:paraId="4AEC69F3" w14:textId="77777777" w:rsidR="00E1199F" w:rsidRPr="007D162C" w:rsidRDefault="00E1199F" w:rsidP="00E1199F">
      <w:pPr>
        <w:ind w:left="-567"/>
        <w:rPr>
          <w:rStyle w:val="Emphasis"/>
        </w:rPr>
      </w:pPr>
      <w:r w:rsidRPr="007D162C">
        <w:rPr>
          <w:rStyle w:val="Emphasis"/>
        </w:rPr>
        <w:t>This Part includes the following reform areas:</w:t>
      </w:r>
    </w:p>
    <w:p w14:paraId="6AA95EC6"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Grabrails on access paths</w:t>
      </w:r>
    </w:p>
    <w:p w14:paraId="7EA5C76A"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Grabrails in allocated spaces</w:t>
      </w:r>
    </w:p>
    <w:p w14:paraId="38E02685"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Mobility aid movement in allocated spaces – passive restraints</w:t>
      </w:r>
    </w:p>
    <w:p w14:paraId="0A327D48"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Mobility aid movement in allocated spaces – active restraints</w:t>
      </w:r>
    </w:p>
    <w:p w14:paraId="4DFCF924"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Appropriate seats on booked services</w:t>
      </w:r>
    </w:p>
    <w:p w14:paraId="7CEEA694"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Conveyance dwell times at stops</w:t>
      </w:r>
    </w:p>
    <w:p w14:paraId="6A796710"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trains</w:t>
      </w:r>
    </w:p>
    <w:p w14:paraId="4E73AED9"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ferries</w:t>
      </w:r>
    </w:p>
    <w:p w14:paraId="47079319"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Stairs on buses</w:t>
      </w:r>
    </w:p>
    <w:p w14:paraId="08A2FEE0" w14:textId="77777777" w:rsidR="00E1199F" w:rsidRPr="007D162C" w:rsidRDefault="00E1199F" w:rsidP="006F65FB">
      <w:pPr>
        <w:pStyle w:val="ListParagraph"/>
        <w:numPr>
          <w:ilvl w:val="0"/>
          <w:numId w:val="28"/>
        </w:numPr>
        <w:autoSpaceDE w:val="0"/>
        <w:autoSpaceDN w:val="0"/>
        <w:spacing w:before="40" w:after="40"/>
        <w:rPr>
          <w:rStyle w:val="Emphasis"/>
          <w:lang w:val="en-AU"/>
        </w:rPr>
      </w:pPr>
      <w:r w:rsidRPr="007D162C">
        <w:rPr>
          <w:rStyle w:val="Emphasis"/>
          <w:lang w:val="en-AU"/>
        </w:rPr>
        <w:t>Doorway contrast and height</w:t>
      </w:r>
    </w:p>
    <w:p w14:paraId="70189437" w14:textId="77777777" w:rsidR="00E1199F" w:rsidRPr="007D162C" w:rsidRDefault="00E1199F">
      <w:pPr>
        <w:spacing w:line="259" w:lineRule="auto"/>
        <w:rPr>
          <w:rStyle w:val="Emphasis"/>
          <w:lang w:val="en-AU"/>
        </w:rPr>
      </w:pPr>
      <w:r w:rsidRPr="007D162C">
        <w:rPr>
          <w:rStyle w:val="Emphasis"/>
          <w:lang w:val="en-AU"/>
        </w:rPr>
        <w:br w:type="page"/>
      </w:r>
    </w:p>
    <w:p w14:paraId="79FAEEB3" w14:textId="5C600499" w:rsidR="00E1199F" w:rsidRPr="007D162C" w:rsidRDefault="00E1199F" w:rsidP="001E08EB">
      <w:pPr>
        <w:pStyle w:val="Heading2"/>
        <w:numPr>
          <w:ilvl w:val="0"/>
          <w:numId w:val="30"/>
        </w:numPr>
        <w:ind w:hanging="720"/>
      </w:pPr>
      <w:bookmarkStart w:id="624" w:name="_Toc127351803"/>
      <w:bookmarkStart w:id="625" w:name="_Toc140239761"/>
      <w:r w:rsidRPr="007D162C">
        <w:lastRenderedPageBreak/>
        <w:t>Grabrails on access paths</w:t>
      </w:r>
      <w:bookmarkEnd w:id="624"/>
      <w:bookmarkEnd w:id="625"/>
    </w:p>
    <w:p w14:paraId="2AA43873" w14:textId="77777777" w:rsidR="00E1199F" w:rsidRPr="007D162C" w:rsidRDefault="00E1199F" w:rsidP="00E1199F">
      <w:pPr>
        <w:pStyle w:val="Heading4"/>
        <w:tabs>
          <w:tab w:val="left" w:pos="284"/>
        </w:tabs>
      </w:pPr>
      <w:r w:rsidRPr="007D162C">
        <w:t>Issue</w:t>
      </w:r>
    </w:p>
    <w:p w14:paraId="79164B25" w14:textId="77777777" w:rsidR="00E1199F" w:rsidRPr="007D162C" w:rsidRDefault="00E1199F" w:rsidP="00E1199F">
      <w:pPr>
        <w:tabs>
          <w:tab w:val="left" w:pos="284"/>
        </w:tabs>
      </w:pPr>
      <w:r w:rsidRPr="007D162C">
        <w:t xml:space="preserve">The Transport Standards have no requirements or guidance to provide grabrails along access paths on board conveyances. As a result, grabrails are not consistently provided along conveyance access paths, posing a risk to the safety of people with ambulant disabilities using public transport. </w:t>
      </w:r>
    </w:p>
    <w:p w14:paraId="674DD38F" w14:textId="36993617" w:rsidR="00E1199F" w:rsidRPr="007D162C" w:rsidRDefault="00E1199F" w:rsidP="00E1199F">
      <w:pPr>
        <w:tabs>
          <w:tab w:val="left" w:pos="284"/>
        </w:tabs>
      </w:pPr>
      <w:r w:rsidRPr="007D162C">
        <w:t>Collective government action would ensure passengers traverse access paths on board conveyances safely and address key stakeholder issues raised through the Transport Standards review process.</w:t>
      </w:r>
    </w:p>
    <w:p w14:paraId="2FB9FE60" w14:textId="77777777" w:rsidR="00E1199F" w:rsidRPr="007D162C" w:rsidRDefault="00E1199F" w:rsidP="00E1199F">
      <w:pPr>
        <w:pStyle w:val="Heading4"/>
        <w:tabs>
          <w:tab w:val="left" w:pos="284"/>
        </w:tabs>
      </w:pPr>
      <w:r w:rsidRPr="007D162C">
        <w:t>Reform options</w:t>
      </w:r>
    </w:p>
    <w:p w14:paraId="0D607229"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480834BC" w14:textId="1F629541" w:rsidR="00E1199F" w:rsidRPr="007D162C" w:rsidRDefault="00E1199F" w:rsidP="00E1199F">
      <w:pPr>
        <w:pStyle w:val="Caption"/>
        <w:keepNext/>
      </w:pPr>
      <w:bookmarkStart w:id="626" w:name="_Toc122446463"/>
      <w:bookmarkStart w:id="627" w:name="_Toc139969301"/>
      <w:r w:rsidRPr="007D162C">
        <w:t xml:space="preserve">Table </w:t>
      </w:r>
      <w:fldSimple w:instr=" SEQ Table \* ARABIC ">
        <w:r w:rsidR="00DC26AC">
          <w:rPr>
            <w:noProof/>
          </w:rPr>
          <w:t>143</w:t>
        </w:r>
      </w:fldSimple>
      <w:r w:rsidRPr="007D162C">
        <w:rPr>
          <w:noProof/>
        </w:rPr>
        <w:t xml:space="preserve">: Reform options for </w:t>
      </w:r>
      <w:r w:rsidRPr="007D162C">
        <w:t>g</w:t>
      </w:r>
      <w:r w:rsidRPr="007D162C">
        <w:rPr>
          <w:noProof/>
        </w:rPr>
        <w:t>rabrails on access paths</w:t>
      </w:r>
      <w:bookmarkEnd w:id="626"/>
      <w:bookmarkEnd w:id="627"/>
    </w:p>
    <w:tbl>
      <w:tblPr>
        <w:tblStyle w:val="DefaultTable1"/>
        <w:tblW w:w="9072" w:type="dxa"/>
        <w:tblLook w:val="04A0" w:firstRow="1" w:lastRow="0" w:firstColumn="1" w:lastColumn="0" w:noHBand="0" w:noVBand="1"/>
        <w:tblCaption w:val="Reform options for grabrails on access paths"/>
        <w:tblDescription w:val="This table provides a description of each of the options for this reform area. Status quo, non-regulatory and regulatory."/>
      </w:tblPr>
      <w:tblGrid>
        <w:gridCol w:w="2232"/>
        <w:gridCol w:w="6840"/>
      </w:tblGrid>
      <w:tr w:rsidR="00E1199F" w:rsidRPr="007D162C" w14:paraId="023CBAA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DDBDFB8"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7722845C"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5D67FE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ED07A0B"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4EE6E3B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does not include provision for grabrails along conveyance access paths, except that they must have a luminance contrast with a background by at least 30 per cent.</w:t>
            </w:r>
          </w:p>
          <w:p w14:paraId="0ABBE89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43C6E216"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70F6CB9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46EC480D"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The Transport Standards Guidelines and /or The Whole Journey Guide would be updated to include advice on luminance contrasting grabrails on conveyances. Specific guidance may include the following:</w:t>
            </w:r>
          </w:p>
          <w:p w14:paraId="7194F48F"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location and design</w:t>
            </w:r>
          </w:p>
          <w:p w14:paraId="7A7709FB"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Compliance with other Australian Design Rules, including not encroaching on the head impact zone.</w:t>
            </w:r>
          </w:p>
        </w:tc>
      </w:tr>
      <w:tr w:rsidR="00E1199F" w:rsidRPr="007D162C" w14:paraId="2DF840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FDC423B"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7FE59BE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new technical specifications for grabrails beside access paths on conveyances with accessibility for buses, coaches, ferries, trains, trams and light rail, including:</w:t>
            </w:r>
          </w:p>
          <w:p w14:paraId="269B289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Grabrails that conform to the requirements of AS1428.1 (2009) must be provided at all locations where passengers require support or stability during boarding, alighting or transit.</w:t>
            </w:r>
          </w:p>
          <w:p w14:paraId="2971E953"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Grabrails may have a combination of horizontal, vertical or angled alignment but apart from attachment points may not be closer than 50 millimetres to an adjacent surface or obstruction. Grabrails must have a luminance contrast with surfaces by at least 30 per cent.</w:t>
            </w:r>
          </w:p>
          <w:p w14:paraId="1210EA46"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27BFA932" w14:textId="77777777" w:rsidR="00E1199F" w:rsidRPr="007D162C" w:rsidRDefault="00E1199F" w:rsidP="00E1199F">
      <w:pPr>
        <w:pStyle w:val="Heading4"/>
        <w:tabs>
          <w:tab w:val="left" w:pos="284"/>
        </w:tabs>
      </w:pPr>
      <w:r w:rsidRPr="007D162C">
        <w:lastRenderedPageBreak/>
        <w:t>Cost benefit analysis</w:t>
      </w:r>
    </w:p>
    <w:p w14:paraId="7ECA99C9"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3D7A9DD2" w14:textId="77777777" w:rsidR="00E1199F" w:rsidRPr="007D162C" w:rsidRDefault="00E1199F" w:rsidP="00E1199F">
      <w:r w:rsidRPr="007D162C">
        <w:t xml:space="preserve">The following categories of quantitative costs and benefits were identified in the CBA as pertaining to the reform options. </w:t>
      </w:r>
    </w:p>
    <w:p w14:paraId="2405470D" w14:textId="7E035B92" w:rsidR="00E1199F" w:rsidRPr="007D162C" w:rsidRDefault="00E1199F" w:rsidP="00E1199F">
      <w:pPr>
        <w:pStyle w:val="Caption"/>
        <w:keepNext/>
      </w:pPr>
      <w:bookmarkStart w:id="628" w:name="_Toc122446464"/>
      <w:bookmarkStart w:id="629" w:name="_Toc139969302"/>
      <w:r w:rsidRPr="007D162C">
        <w:t xml:space="preserve">Table </w:t>
      </w:r>
      <w:fldSimple w:instr=" SEQ Table \* ARABIC ">
        <w:r w:rsidR="00DC26AC">
          <w:rPr>
            <w:noProof/>
          </w:rPr>
          <w:t>144</w:t>
        </w:r>
      </w:fldSimple>
      <w:r w:rsidRPr="007D162C">
        <w:t xml:space="preserve">: Benefit-cost ratios </w:t>
      </w:r>
      <w:r w:rsidRPr="007D162C">
        <w:rPr>
          <w:noProof/>
        </w:rPr>
        <w:t xml:space="preserve">for </w:t>
      </w:r>
      <w:r w:rsidRPr="007D162C">
        <w:t>g</w:t>
      </w:r>
      <w:r w:rsidRPr="007D162C">
        <w:rPr>
          <w:noProof/>
        </w:rPr>
        <w:t>rabrails on access paths</w:t>
      </w:r>
      <w:bookmarkEnd w:id="628"/>
      <w:bookmarkEnd w:id="629"/>
    </w:p>
    <w:tbl>
      <w:tblPr>
        <w:tblStyle w:val="DefaultTable1"/>
        <w:tblW w:w="9864" w:type="dxa"/>
        <w:tblLook w:val="04A0" w:firstRow="1" w:lastRow="0" w:firstColumn="1" w:lastColumn="0" w:noHBand="0" w:noVBand="1"/>
        <w:tblCaption w:val="Benefit-cost ratios for grabrails on access path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4137A617"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9837551" w14:textId="77777777" w:rsidR="00E1199F" w:rsidRPr="007D162C" w:rsidRDefault="08D050C4" w:rsidP="00E1199F">
            <w:r w:rsidRPr="007D162C">
              <w:t>Reform Option</w:t>
            </w:r>
          </w:p>
        </w:tc>
        <w:tc>
          <w:tcPr>
            <w:tcW w:w="1531" w:type="dxa"/>
          </w:tcPr>
          <w:p w14:paraId="43389C1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6DC8D4F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4C9F649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19E3ED8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581BE54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3F031DD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EEB9D45" w14:textId="77777777" w:rsidR="00E1199F" w:rsidRPr="007D162C" w:rsidRDefault="00E1199F" w:rsidP="00E1199F">
            <w:r w:rsidRPr="007D162C">
              <w:t>Status Quo</w:t>
            </w:r>
          </w:p>
        </w:tc>
        <w:tc>
          <w:tcPr>
            <w:tcW w:w="1531" w:type="dxa"/>
          </w:tcPr>
          <w:p w14:paraId="7FFD1C8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2C3C7DA6"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27AD270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38BF8D64"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279FF83E"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2C376B0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59DA217" w14:textId="77777777" w:rsidR="00E1199F" w:rsidRPr="007D162C" w:rsidRDefault="00E1199F" w:rsidP="00E1199F">
            <w:r w:rsidRPr="007D162C">
              <w:t xml:space="preserve">Non-regulatory </w:t>
            </w:r>
          </w:p>
        </w:tc>
        <w:tc>
          <w:tcPr>
            <w:tcW w:w="1531" w:type="dxa"/>
            <w:vAlign w:val="center"/>
          </w:tcPr>
          <w:p w14:paraId="3B604165"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0.1</w:t>
            </w:r>
          </w:p>
        </w:tc>
        <w:tc>
          <w:tcPr>
            <w:tcW w:w="1791" w:type="dxa"/>
          </w:tcPr>
          <w:p w14:paraId="76B98F0A"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47B15A2F"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0.9</w:t>
            </w:r>
          </w:p>
        </w:tc>
        <w:tc>
          <w:tcPr>
            <w:tcW w:w="1539" w:type="dxa"/>
            <w:vAlign w:val="center"/>
          </w:tcPr>
          <w:p w14:paraId="79DD981C" w14:textId="2E36FB5A"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rPr>
                <w:vertAlign w:val="superscript"/>
              </w:rPr>
            </w:pPr>
            <w:r w:rsidRPr="007D162C">
              <w:rPr>
                <w:sz w:val="18"/>
                <w:szCs w:val="18"/>
              </w:rPr>
              <w:t>0.9</w:t>
            </w:r>
            <w:r w:rsidR="000A4CD3" w:rsidRPr="007D162C">
              <w:rPr>
                <w:sz w:val="18"/>
                <w:szCs w:val="18"/>
                <w:vertAlign w:val="superscript"/>
              </w:rPr>
              <w:t>i</w:t>
            </w:r>
          </w:p>
        </w:tc>
        <w:tc>
          <w:tcPr>
            <w:tcW w:w="2216" w:type="dxa"/>
            <w:vAlign w:val="center"/>
          </w:tcPr>
          <w:p w14:paraId="45215E9C"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0.15</w:t>
            </w:r>
          </w:p>
        </w:tc>
      </w:tr>
      <w:tr w:rsidR="00E1199F" w:rsidRPr="007D162C" w14:paraId="489C806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510C127" w14:textId="77777777" w:rsidR="00E1199F" w:rsidRPr="007D162C" w:rsidRDefault="00E1199F" w:rsidP="00E1199F">
            <w:r w:rsidRPr="007D162C">
              <w:t>Regulatory</w:t>
            </w:r>
          </w:p>
        </w:tc>
        <w:tc>
          <w:tcPr>
            <w:tcW w:w="1531" w:type="dxa"/>
            <w:vAlign w:val="center"/>
          </w:tcPr>
          <w:p w14:paraId="4ECEF36C"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11.2</w:t>
            </w:r>
          </w:p>
        </w:tc>
        <w:tc>
          <w:tcPr>
            <w:tcW w:w="1791" w:type="dxa"/>
          </w:tcPr>
          <w:p w14:paraId="745D528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3B34964F"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5.0</w:t>
            </w:r>
          </w:p>
        </w:tc>
        <w:tc>
          <w:tcPr>
            <w:tcW w:w="1539" w:type="dxa"/>
            <w:vAlign w:val="center"/>
          </w:tcPr>
          <w:p w14:paraId="6B771942"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5.0</w:t>
            </w:r>
          </w:p>
        </w:tc>
        <w:tc>
          <w:tcPr>
            <w:tcW w:w="2216" w:type="dxa"/>
            <w:vAlign w:val="center"/>
          </w:tcPr>
          <w:p w14:paraId="5310DA88"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2.22</w:t>
            </w:r>
          </w:p>
        </w:tc>
      </w:tr>
    </w:tbl>
    <w:p w14:paraId="36F7BA74"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58B8BA59" w14:textId="07FFCB03"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7B1BE051" w14:textId="77777777" w:rsidR="000A4CD3" w:rsidRPr="007D162C" w:rsidRDefault="000A4CD3" w:rsidP="00E1199F">
      <w:pPr>
        <w:spacing w:before="120" w:after="0"/>
        <w:rPr>
          <w:sz w:val="20"/>
          <w:szCs w:val="20"/>
        </w:rPr>
      </w:pPr>
    </w:p>
    <w:p w14:paraId="28353699" w14:textId="77777777" w:rsidR="00E1199F" w:rsidRPr="007D162C" w:rsidRDefault="00E1199F" w:rsidP="00E1199F">
      <w:pPr>
        <w:pStyle w:val="Heading6"/>
      </w:pPr>
      <w:r w:rsidRPr="007D162C">
        <w:t>Considerations to note in interpreting analysis</w:t>
      </w:r>
    </w:p>
    <w:p w14:paraId="1C7C4461" w14:textId="77777777" w:rsidR="00E1199F" w:rsidRPr="007D162C" w:rsidRDefault="00E1199F" w:rsidP="00F302D5">
      <w:pPr>
        <w:pStyle w:val="Heading7"/>
      </w:pPr>
      <w:r w:rsidRPr="007D162C">
        <w:t>Limitations:</w:t>
      </w:r>
    </w:p>
    <w:p w14:paraId="66580AF0" w14:textId="77777777" w:rsidR="00E1199F" w:rsidRPr="007D162C" w:rsidRDefault="00E1199F" w:rsidP="00F302D5">
      <w:pPr>
        <w:pStyle w:val="Heading8"/>
      </w:pPr>
      <w:r w:rsidRPr="007D162C">
        <w:t>Non-regulatory option:</w:t>
      </w:r>
    </w:p>
    <w:p w14:paraId="5AA880E3" w14:textId="1E8A48B0"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B140F4">
        <w:t xml:space="preserve"> per cent</w:t>
      </w:r>
      <w:r w:rsidRPr="007D162C">
        <w:t xml:space="preserve"> of new assets was applied to the non-regulatory option based on the moderate cost and complexity of designing and implementing new grabrail layouts along conveyance access paths. It was not expected that existing conveyances would be upgraded to implement the guidance. This implies that the benefits and costs quantified for this non-regulatory reform may not reflect future take-up of the reform.</w:t>
      </w:r>
    </w:p>
    <w:p w14:paraId="475202F7" w14:textId="77777777" w:rsidR="00F302D5" w:rsidRPr="007D162C" w:rsidRDefault="00F302D5" w:rsidP="00F302D5">
      <w:pPr>
        <w:pStyle w:val="Listparagraphbullets"/>
        <w:numPr>
          <w:ilvl w:val="0"/>
          <w:numId w:val="0"/>
        </w:numPr>
        <w:autoSpaceDE w:val="0"/>
        <w:autoSpaceDN w:val="0"/>
        <w:spacing w:after="0"/>
      </w:pPr>
    </w:p>
    <w:p w14:paraId="0D656D4B" w14:textId="77777777" w:rsidR="00E1199F" w:rsidRPr="007D162C" w:rsidRDefault="00E1199F" w:rsidP="00F302D5">
      <w:pPr>
        <w:pStyle w:val="Heading8"/>
      </w:pPr>
      <w:r w:rsidRPr="007D162C">
        <w:t>Regulatory option:</w:t>
      </w:r>
    </w:p>
    <w:p w14:paraId="071E8E25" w14:textId="77777777" w:rsidR="00E1199F" w:rsidRPr="007D162C" w:rsidRDefault="00E1199F" w:rsidP="00F302D5">
      <w:pPr>
        <w:pStyle w:val="Listparagraphbullets"/>
        <w:numPr>
          <w:ilvl w:val="0"/>
          <w:numId w:val="0"/>
        </w:numPr>
        <w:autoSpaceDE w:val="0"/>
        <w:autoSpaceDN w:val="0"/>
        <w:spacing w:after="0"/>
      </w:pPr>
      <w:r w:rsidRPr="007D162C">
        <w:t>The benefits and costs for this reform were estimated based on publicly available data and survey responses, proxied to estimate compliance at a national level. This implies the benefits and costs may not be fully reflective of existing compliance rates.</w:t>
      </w:r>
    </w:p>
    <w:p w14:paraId="3A3FE840"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40BDABAD" w14:textId="77777777" w:rsidR="00E1199F" w:rsidRPr="007D162C" w:rsidRDefault="00E1199F" w:rsidP="00E1199F">
      <w:r w:rsidRPr="007D162C">
        <w:t>The following categories of qualitative benefits were identified in the CBA as pertaining to the reform options.</w:t>
      </w:r>
    </w:p>
    <w:p w14:paraId="476FF02D" w14:textId="2CF10C57" w:rsidR="00E1199F" w:rsidRPr="007D162C" w:rsidRDefault="00E1199F" w:rsidP="00E1199F">
      <w:pPr>
        <w:pStyle w:val="Caption"/>
        <w:keepNext/>
      </w:pPr>
      <w:bookmarkStart w:id="630" w:name="_Toc122446465"/>
      <w:bookmarkStart w:id="631" w:name="_Toc139969303"/>
      <w:r w:rsidRPr="007D162C">
        <w:lastRenderedPageBreak/>
        <w:t xml:space="preserve">Table </w:t>
      </w:r>
      <w:fldSimple w:instr=" SEQ Table \* ARABIC ">
        <w:r w:rsidR="00DC26AC">
          <w:rPr>
            <w:noProof/>
          </w:rPr>
          <w:t>145</w:t>
        </w:r>
      </w:fldSimple>
      <w:r w:rsidRPr="007D162C">
        <w:rPr>
          <w:noProof/>
        </w:rPr>
        <w:t xml:space="preserve">: </w:t>
      </w:r>
      <w:r w:rsidRPr="007D162C">
        <w:t xml:space="preserve">Qualitative benefits </w:t>
      </w:r>
      <w:r w:rsidRPr="007D162C">
        <w:rPr>
          <w:noProof/>
        </w:rPr>
        <w:t xml:space="preserve">for </w:t>
      </w:r>
      <w:r w:rsidRPr="007D162C">
        <w:t>g</w:t>
      </w:r>
      <w:r w:rsidRPr="007D162C">
        <w:rPr>
          <w:noProof/>
        </w:rPr>
        <w:t>rabrails on access paths</w:t>
      </w:r>
      <w:bookmarkEnd w:id="630"/>
      <w:bookmarkEnd w:id="631"/>
    </w:p>
    <w:tbl>
      <w:tblPr>
        <w:tblStyle w:val="DefaultTable1"/>
        <w:tblW w:w="9864" w:type="dxa"/>
        <w:tblLook w:val="04A0" w:firstRow="1" w:lastRow="0" w:firstColumn="1" w:lastColumn="0" w:noHBand="0" w:noVBand="1"/>
        <w:tblCaption w:val="Qualitative benefits for grabrails on access paths"/>
      </w:tblPr>
      <w:tblGrid>
        <w:gridCol w:w="1213"/>
        <w:gridCol w:w="1343"/>
        <w:gridCol w:w="1626"/>
        <w:gridCol w:w="1300"/>
        <w:gridCol w:w="1278"/>
        <w:gridCol w:w="1641"/>
        <w:gridCol w:w="1463"/>
      </w:tblGrid>
      <w:tr w:rsidR="00E1199F" w:rsidRPr="007D162C" w14:paraId="423463CF"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C5DD081" w14:textId="77777777" w:rsidR="00E1199F" w:rsidRPr="007D162C" w:rsidRDefault="08D050C4" w:rsidP="00E1199F">
            <w:r w:rsidRPr="007D162C">
              <w:t>Reform Option</w:t>
            </w:r>
          </w:p>
        </w:tc>
        <w:tc>
          <w:tcPr>
            <w:tcW w:w="1343" w:type="dxa"/>
          </w:tcPr>
          <w:p w14:paraId="2614BCC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049A146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260E6B0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122D6FD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74288C0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5291E61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766C17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EE5CE2B" w14:textId="77777777" w:rsidR="00E1199F" w:rsidRPr="007D162C" w:rsidRDefault="00E1199F" w:rsidP="00E1199F">
            <w:r w:rsidRPr="007D162C">
              <w:t>Status Quo</w:t>
            </w:r>
          </w:p>
        </w:tc>
        <w:tc>
          <w:tcPr>
            <w:tcW w:w="1343" w:type="dxa"/>
          </w:tcPr>
          <w:p w14:paraId="01233C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3FE38E4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7D6346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0FA4327A"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29311F81"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5C925FA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50F33AF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BC4078E" w14:textId="77777777" w:rsidR="00E1199F" w:rsidRPr="007D162C" w:rsidRDefault="00E1199F" w:rsidP="00E1199F">
            <w:r w:rsidRPr="007D162C">
              <w:t xml:space="preserve">Non-regulatory </w:t>
            </w:r>
          </w:p>
        </w:tc>
        <w:tc>
          <w:tcPr>
            <w:tcW w:w="1343" w:type="dxa"/>
          </w:tcPr>
          <w:p w14:paraId="1A62934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52B7CEB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0826C31"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567D7D99"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274842B5"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A33D15A"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5D882F5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E2AFF30" w14:textId="77777777" w:rsidR="00E1199F" w:rsidRPr="007D162C" w:rsidRDefault="00E1199F" w:rsidP="00E1199F">
            <w:r w:rsidRPr="007D162C">
              <w:t>Regulatory</w:t>
            </w:r>
          </w:p>
        </w:tc>
        <w:tc>
          <w:tcPr>
            <w:tcW w:w="1343" w:type="dxa"/>
          </w:tcPr>
          <w:p w14:paraId="728C90E7"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159FDE2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311AA8A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6C40B3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09F032C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ED99DD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484B1603" w14:textId="77777777" w:rsidR="000A4CD3" w:rsidRPr="007D162C" w:rsidRDefault="000A4CD3" w:rsidP="000A4CD3">
      <w:pPr>
        <w:pStyle w:val="BodyText"/>
      </w:pPr>
    </w:p>
    <w:p w14:paraId="4C8E1E30" w14:textId="59EBDB5B" w:rsidR="00E1199F" w:rsidRPr="007D162C" w:rsidRDefault="00E1199F" w:rsidP="00E1199F">
      <w:pPr>
        <w:pStyle w:val="Heading4"/>
        <w:tabs>
          <w:tab w:val="left" w:pos="284"/>
        </w:tabs>
      </w:pPr>
      <w:r w:rsidRPr="007D162C">
        <w:t xml:space="preserve">Analysis of submissions </w:t>
      </w:r>
    </w:p>
    <w:p w14:paraId="0328E6A4" w14:textId="77777777" w:rsidR="00E1199F" w:rsidRPr="007D162C" w:rsidRDefault="00E1199F" w:rsidP="00F302D5">
      <w:pPr>
        <w:pStyle w:val="Heading5"/>
      </w:pPr>
      <w:r w:rsidRPr="007D162C">
        <w:t>Status quo</w:t>
      </w:r>
    </w:p>
    <w:p w14:paraId="5324D4D4" w14:textId="77777777" w:rsidR="00E1199F" w:rsidRPr="007D162C" w:rsidRDefault="08D050C4" w:rsidP="00E1199F">
      <w:r w:rsidRPr="007D162C">
        <w:t xml:space="preserve">Grabrails provide enhanced safety and amenity for people with disability, minimising the risk of injury and improving confidence to use certain types of conveyances. The status quo stipulates luminance contrast requirements for grabrails, but does not require that grabrails be provided along conveyance access paths. </w:t>
      </w:r>
    </w:p>
    <w:p w14:paraId="4705AC26" w14:textId="77777777"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 xml:space="preserve">One submission from government supported the status quo on the grounds that further guidance is not considered necessary, as grabrails and handles were already installed along access paths within conveyances. However, other submissions contradicted this, noting that further guidance or a regulatory approach would </w:t>
      </w:r>
      <w:r w:rsidRPr="007D162C">
        <w:rPr>
          <w:rFonts w:ascii="Calibri" w:eastAsia="Times New Roman" w:hAnsi="Calibri" w:cs="Calibri"/>
          <w:color w:val="000000" w:themeColor="text1"/>
          <w:lang w:eastAsia="en-AU"/>
        </w:rPr>
        <w:t xml:space="preserve">assist with ensuring consistency across networks of multiple jurisdictions, and provide clear guidance for manufacturers and operators and a more predictable experience for users. </w:t>
      </w:r>
    </w:p>
    <w:p w14:paraId="3FAA0433" w14:textId="77777777" w:rsidR="00E1199F" w:rsidRPr="007D162C" w:rsidRDefault="08D050C4" w:rsidP="00E1199F">
      <w:r w:rsidRPr="007D162C">
        <w:t xml:space="preserve">Submissions from individuals, people with disability and disability organisations highlighted that grabrails along conveyance access paths provide vital support for people with reduced mobility or stability, as well as people who are blind or vision impaired who use grabrails for wayfinding. Submissions noted they are more than just an accessibility issue, but also a safety issue for people with disability. Grabrails also provide general support to passengers standing while conveyances are in motion. </w:t>
      </w:r>
    </w:p>
    <w:p w14:paraId="786FDC8F" w14:textId="77777777" w:rsidR="00E1199F" w:rsidRPr="007D162C" w:rsidRDefault="00E1199F" w:rsidP="00E1199F">
      <w:r w:rsidRPr="007D162C">
        <w:t xml:space="preserve">Maintaining the status quo would result in the safety and amenity of people with disability continuing to be negatively impacted by the lack of guidance or requirements encouraging the use of grabrails along conveyance access paths. Passengers will not have confidence knowing where support can be found when standing in or moving along an access path. This will reduce their confidence to use public transport and maintain a level of accessibility that will continue to inhibit independence and safety of people with disability when using public transport services. </w:t>
      </w:r>
    </w:p>
    <w:p w14:paraId="766D5773" w14:textId="4980DDBB" w:rsidR="00874437" w:rsidRPr="007D162C" w:rsidRDefault="00E1199F" w:rsidP="00E1199F">
      <w:r w:rsidRPr="007D162C">
        <w:t>The status quo has no ongoing costs for public transport operators and providers</w:t>
      </w:r>
      <w:r w:rsidR="00DE4EB2">
        <w:t>;</w:t>
      </w:r>
      <w:r w:rsidRPr="007D162C">
        <w:t xml:space="preserve"> however</w:t>
      </w:r>
      <w:r w:rsidR="00DE4EB2">
        <w:t>,</w:t>
      </w:r>
      <w:r w:rsidRPr="007D162C">
        <w:t xml:space="preserve"> inconsistencies will remain and negative impacts on community amenity, accessibility, and safety will remain. The lack of clarity for manufacturers, operators and providers will also remain.</w:t>
      </w:r>
    </w:p>
    <w:p w14:paraId="53DF2698" w14:textId="77777777" w:rsidR="00874437" w:rsidRPr="007D162C" w:rsidRDefault="00874437">
      <w:pPr>
        <w:spacing w:line="259" w:lineRule="auto"/>
      </w:pPr>
      <w:r w:rsidRPr="007D162C">
        <w:br w:type="page"/>
      </w:r>
    </w:p>
    <w:p w14:paraId="5BC0E092" w14:textId="77777777" w:rsidR="00E1199F" w:rsidRPr="007D162C" w:rsidRDefault="00E1199F" w:rsidP="00F302D5">
      <w:pPr>
        <w:pStyle w:val="Heading5"/>
      </w:pPr>
      <w:r w:rsidRPr="007D162C">
        <w:lastRenderedPageBreak/>
        <w:t>Non-regulatory</w:t>
      </w:r>
    </w:p>
    <w:p w14:paraId="11741C61" w14:textId="77777777" w:rsidR="00E1199F" w:rsidRPr="007D162C" w:rsidRDefault="00E1199F" w:rsidP="00E1199F">
      <w:r w:rsidRPr="007D162C">
        <w:t>Under the non-regulatory option, the Transport Standards Guidelines and /or The Whole Journey Guide would be updated to include advice on luminance contrasting grabrails on conveyances and guidance on the importance of grabrails, their location and design, and compliance with state requirements, such as not encroaching on the head impact zone.</w:t>
      </w:r>
    </w:p>
    <w:p w14:paraId="2E7178D3" w14:textId="77777777" w:rsidR="00E1199F" w:rsidRPr="007D162C" w:rsidRDefault="08D050C4" w:rsidP="08D050C4">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Industry and government stakeholders who preferred the non-regulatory option considered that adequate support was already being provided without the need for a regulatory approach, or cited concerns regarding cost and internal conveyance design limitations if the regulatory approach was adopted and applied retrospectively. Some viewed the regulatory option as too broad and without the specificity required for operators to feel assured of their compliance in determining all locations where grabrails would be required. One submission expressed concern that the breadth of the regulatory option presented the potential for unintended consequences, such as the requirements conflicting with ADR 58. Some jurisdictions noted that they already maximise grabrails and handrails in conveyances as part of their procurement processes</w:t>
      </w:r>
      <w:r w:rsidRPr="007D162C">
        <w:t xml:space="preserve"> and</w:t>
      </w:r>
      <w:r w:rsidRPr="007D162C">
        <w:rPr>
          <w:i/>
          <w:iCs/>
        </w:rPr>
        <w:t xml:space="preserve"> </w:t>
      </w:r>
      <w:r w:rsidRPr="007D162C">
        <w:t>that</w:t>
      </w:r>
      <w:r w:rsidRPr="007D162C">
        <w:rPr>
          <w:rFonts w:ascii="Calibri" w:eastAsia="Times New Roman" w:hAnsi="Calibri" w:cs="Calibri"/>
          <w:color w:val="000000" w:themeColor="text1"/>
          <w:lang w:eastAsia="en-AU"/>
        </w:rPr>
        <w:t xml:space="preserve"> further guidance in the Whole of Journey Guide and Transport Standards Guidelines would suffice.</w:t>
      </w:r>
    </w:p>
    <w:p w14:paraId="52350A59" w14:textId="77777777" w:rsidR="00E1199F" w:rsidRPr="007D162C" w:rsidRDefault="00E1199F" w:rsidP="00E1199F">
      <w:pPr>
        <w:rPr>
          <w:rFonts w:ascii="Calibri" w:eastAsia="Times New Roman" w:hAnsi="Calibri" w:cs="Calibri"/>
          <w:color w:val="000000" w:themeColor="text1"/>
          <w:lang w:eastAsia="en-AU"/>
        </w:rPr>
      </w:pPr>
      <w:r w:rsidRPr="007D162C">
        <w:t>To the extent that guidance is followed, costs would be incurred by operators and providers to provide grabrails along access paths where they are not already provided. Costs would also be incurred to ensure grabrails meet luminance contrast requirements. A non-regulatory option would allow operators and providers to manage the implementation (and related costs) to suit their operational requirements, including through staging the implementation. For operators and providers who already provide adequate grabrails, there will be no impact or material change.</w:t>
      </w:r>
    </w:p>
    <w:p w14:paraId="57DACE0D" w14:textId="19F891C2" w:rsidR="00E1199F" w:rsidRPr="007D162C" w:rsidRDefault="00E1199F" w:rsidP="00E1199F">
      <w:r w:rsidRPr="007D162C">
        <w:t>Given this option is discretionary, it does not provide certainty that guidance will be implemented which may reduce confidence of passengers to travel if they are unable to safely use and locate grabrails. To the extent that guidance is followed, people will benefit from well positioned grabrails, and people with low vision will benefit from the adoption of luminance contrast requirements which will assist with locating grabrails. Both of these outcomes promote the safe travel of people on public transport.</w:t>
      </w:r>
    </w:p>
    <w:p w14:paraId="001F9AC6" w14:textId="77777777" w:rsidR="00E1199F" w:rsidRPr="007D162C" w:rsidRDefault="00E1199F" w:rsidP="00F302D5">
      <w:pPr>
        <w:pStyle w:val="Heading5"/>
      </w:pPr>
      <w:r w:rsidRPr="007D162C">
        <w:t>Regulatory</w:t>
      </w:r>
    </w:p>
    <w:p w14:paraId="57814D6F" w14:textId="77777777" w:rsidR="00E1199F" w:rsidRPr="007D162C" w:rsidRDefault="00E1199F" w:rsidP="00E1199F">
      <w:r w:rsidRPr="007D162C">
        <w:t>The regulatory option would amend the Transport Standards to include new technical specifications for grabrails on conveyance access paths to ensure they meet the needs of people with disability. The Transport Standards Guidelines and /or The Whole Journey Guide would also be updated to reflect the new requirements.</w:t>
      </w:r>
    </w:p>
    <w:p w14:paraId="16847B50" w14:textId="05FEBECB" w:rsidR="00E1199F" w:rsidRPr="007D162C" w:rsidRDefault="08D050C4" w:rsidP="08D050C4">
      <w:pPr>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w:t>
      </w:r>
      <w:r w:rsidRPr="007D162C">
        <w:rPr>
          <w:rFonts w:ascii="Calibri" w:eastAsia="Times New Roman" w:hAnsi="Calibri" w:cs="Calibri"/>
          <w:color w:val="000000" w:themeColor="text1"/>
          <w:lang w:eastAsia="en-AU"/>
        </w:rPr>
        <w:t xml:space="preserve">Grabrails along conveyance access paths provide vital support for passengers who have balance issues as well as general support to passengers who are standing while the conveyance is in motion. It was also noted that access paths in conveyances are often narrow so people who use walking sticks, crutches or other assistance must seek other support in these constrained circumstances. Similarly, people with vision impairments who use canes, use grabrails for both support and guidance. </w:t>
      </w:r>
    </w:p>
    <w:p w14:paraId="737B61B5" w14:textId="23762BB3"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 xml:space="preserve">Colour and luminance requirements for grabrails were also noted as important to </w:t>
      </w:r>
      <w:r w:rsidRPr="007D162C">
        <w:rPr>
          <w:rFonts w:ascii="Calibri" w:eastAsia="Times New Roman" w:hAnsi="Calibri" w:cs="Calibri"/>
          <w:color w:val="000000"/>
          <w:lang w:eastAsia="en-AU"/>
        </w:rPr>
        <w:t xml:space="preserve">people with vision impairments, </w:t>
      </w:r>
      <w:r w:rsidRPr="007D162C">
        <w:rPr>
          <w:rFonts w:ascii="Calibri" w:hAnsi="Calibri" w:cs="Calibri"/>
          <w:color w:val="000000"/>
          <w:shd w:val="clear" w:color="auto" w:fill="FFFFFF"/>
        </w:rPr>
        <w:t>to provide high visibility and contrast. One submission noted</w:t>
      </w:r>
      <w:r w:rsidR="00DE4EB2">
        <w:rPr>
          <w:rFonts w:ascii="Calibri" w:hAnsi="Calibri" w:cs="Calibri"/>
          <w:color w:val="000000"/>
          <w:shd w:val="clear" w:color="auto" w:fill="FFFFFF"/>
        </w:rPr>
        <w:t>,</w:t>
      </w:r>
      <w:r w:rsidRPr="007D162C">
        <w:rPr>
          <w:rFonts w:ascii="Calibri" w:hAnsi="Calibri" w:cs="Calibri"/>
          <w:color w:val="000000"/>
          <w:shd w:val="clear" w:color="auto" w:fill="FFFFFF"/>
        </w:rPr>
        <w:t xml:space="preserve"> however</w:t>
      </w:r>
      <w:r w:rsidR="00DE4EB2">
        <w:rPr>
          <w:rFonts w:ascii="Calibri" w:hAnsi="Calibri" w:cs="Calibri"/>
          <w:color w:val="000000"/>
          <w:shd w:val="clear" w:color="auto" w:fill="FFFFFF"/>
        </w:rPr>
        <w:t>,</w:t>
      </w:r>
      <w:r w:rsidRPr="007D162C">
        <w:rPr>
          <w:rFonts w:ascii="Calibri" w:hAnsi="Calibri" w:cs="Calibri"/>
          <w:color w:val="000000"/>
          <w:shd w:val="clear" w:color="auto" w:fill="FFFFFF"/>
        </w:rPr>
        <w:t xml:space="preserve"> that references to luminance contrast stipulating a measure of "at least 30 per</w:t>
      </w:r>
      <w:r w:rsidR="00B140F4">
        <w:rPr>
          <w:rFonts w:ascii="Calibri" w:hAnsi="Calibri" w:cs="Calibri"/>
          <w:color w:val="000000"/>
          <w:shd w:val="clear" w:color="auto" w:fill="FFFFFF"/>
        </w:rPr>
        <w:t xml:space="preserve"> </w:t>
      </w:r>
      <w:r w:rsidRPr="007D162C">
        <w:rPr>
          <w:rFonts w:ascii="Calibri" w:hAnsi="Calibri" w:cs="Calibri"/>
          <w:color w:val="000000"/>
          <w:shd w:val="clear" w:color="auto" w:fill="FFFFFF"/>
        </w:rPr>
        <w:t>cent" should be regarded as a minimum standard. This submission noted that anecdotally, 30 per</w:t>
      </w:r>
      <w:r w:rsidR="00B140F4">
        <w:rPr>
          <w:rFonts w:ascii="Calibri" w:hAnsi="Calibri" w:cs="Calibri"/>
          <w:color w:val="000000"/>
          <w:shd w:val="clear" w:color="auto" w:fill="FFFFFF"/>
        </w:rPr>
        <w:t xml:space="preserve"> </w:t>
      </w:r>
      <w:r w:rsidRPr="007D162C">
        <w:rPr>
          <w:rFonts w:ascii="Calibri" w:hAnsi="Calibri" w:cs="Calibri"/>
          <w:color w:val="000000"/>
          <w:shd w:val="clear" w:color="auto" w:fill="FFFFFF"/>
        </w:rPr>
        <w:t xml:space="preserve">cent luminance contrast is </w:t>
      </w:r>
      <w:r w:rsidRPr="007D162C">
        <w:rPr>
          <w:rFonts w:ascii="Calibri" w:hAnsi="Calibri" w:cs="Calibri"/>
          <w:color w:val="000000"/>
          <w:shd w:val="clear" w:color="auto" w:fill="FFFFFF"/>
        </w:rPr>
        <w:lastRenderedPageBreak/>
        <w:t xml:space="preserve">considered insufficient for people who are vision impaired. </w:t>
      </w:r>
      <w:r w:rsidRPr="007D162C">
        <w:t>This is a recurring concern where luminance contrast is an element of a reform area.</w:t>
      </w:r>
    </w:p>
    <w:p w14:paraId="5F605F0D" w14:textId="204CC4EB"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 xml:space="preserve">It was noted that the adoption of the regulatory option will ensure that the </w:t>
      </w:r>
      <w:r w:rsidR="00DE4EB2">
        <w:rPr>
          <w:rFonts w:ascii="Calibri" w:hAnsi="Calibri" w:cs="Calibri"/>
          <w:color w:val="000000"/>
          <w:shd w:val="clear" w:color="auto" w:fill="FFFFFF"/>
        </w:rPr>
        <w:t>benefit</w:t>
      </w:r>
      <w:r w:rsidRPr="007D162C">
        <w:rPr>
          <w:rFonts w:ascii="Calibri" w:hAnsi="Calibri" w:cs="Calibri"/>
          <w:color w:val="000000"/>
          <w:shd w:val="clear" w:color="auto" w:fill="FFFFFF"/>
        </w:rPr>
        <w:t xml:space="preserve"> to the amenity and safety of passengers who are blind or have low vision is maximised.</w:t>
      </w:r>
    </w:p>
    <w:p w14:paraId="0F2B7122" w14:textId="77777777" w:rsidR="00E1199F" w:rsidRPr="007D162C" w:rsidRDefault="00E1199F" w:rsidP="00E1199F">
      <w:pPr>
        <w:pStyle w:val="Quote"/>
      </w:pPr>
      <w:r w:rsidRPr="007D162C">
        <w:t xml:space="preserve">To provide people with disability equal access to public transport it is integral that access paths are truly accessible. The implementation of grabrails on access paths is more than just an accessibility issue, it is also a safety issue for people with disability. As Transport Standards currently stand, there is no requirements for support grabrails along conveyance access paths apart from luminance requirements. This is an issue that needs amending for the safety of people with disability at risk of falls and injury due to instability and transport infrastructure that does not suit their needs. </w:t>
      </w:r>
    </w:p>
    <w:p w14:paraId="109FDF0D" w14:textId="77777777" w:rsidR="00E1199F" w:rsidRPr="007D162C" w:rsidRDefault="00E1199F" w:rsidP="00E1199F">
      <w:pPr>
        <w:pStyle w:val="Quote"/>
      </w:pPr>
      <w:r w:rsidRPr="007D162C">
        <w:t>Physical Disability Council of NSW</w:t>
      </w:r>
    </w:p>
    <w:p w14:paraId="603CA3F4" w14:textId="77777777" w:rsidR="00E1199F" w:rsidRPr="007D162C" w:rsidRDefault="00E1199F" w:rsidP="00E1199F">
      <w:r w:rsidRPr="007D162C">
        <w:rPr>
          <w:rFonts w:ascii="Calibri" w:hAnsi="Calibri" w:cs="Calibri"/>
          <w:color w:val="000000"/>
          <w:shd w:val="clear" w:color="auto" w:fill="FFFFFF"/>
        </w:rPr>
        <w:t xml:space="preserve">Industry and government stakeholders who preferred the regulatory option noted it would help ensure consistent accessibility across networks and provide clear guidance for manufacturers and operators. Some limitations were noted where grabrails impact the useable space for access paths or manoeuvrability, and suggestions were made for guidance or clarification to address these concerns. </w:t>
      </w:r>
      <w:r w:rsidRPr="007D162C">
        <w:t xml:space="preserve">One submission noted that while a grabrail in a certain location may provide support and stability, it may also be in a head impact zone creating a safety concern for passengers. Another submission noted that there are often limitations in internal conveyance design which may impact retrofitting grabrails to meet the requirements. It was noted that the requirement for grabrails “at all locations where passengers require support or stability” failed to acknowledge other </w:t>
      </w:r>
      <w:r w:rsidRPr="007D162C">
        <w:rPr>
          <w:rFonts w:ascii="Calibri" w:hAnsi="Calibri" w:cs="Calibri"/>
          <w:color w:val="000000"/>
          <w:shd w:val="clear" w:color="auto" w:fill="FFFFFF"/>
        </w:rPr>
        <w:t>considerations such as appropriate loadings and forces, variance of internal designs, circulation space or manoeuvrability and ensuring access paths are not compromised.</w:t>
      </w:r>
    </w:p>
    <w:p w14:paraId="116AA441"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 xml:space="preserve">A number of submissions from industry and government stakeholders indicated that, where possible, grabrails are already installed along conveyance access paths. Where they are not, costs would be incurred by operators and providers to procure compliant grabrails for their new conveyance or to provide them along access paths where they are not already provided. There would also be maintenance costs associated with ensuring grabrails meet luminance contrast requirements. </w:t>
      </w:r>
    </w:p>
    <w:p w14:paraId="432C1892" w14:textId="77777777" w:rsidR="00E1199F" w:rsidRPr="007D162C" w:rsidRDefault="00E1199F" w:rsidP="00E1199F">
      <w:pPr>
        <w:rPr>
          <w:rFonts w:ascii="Calibri" w:hAnsi="Calibri" w:cs="Calibri"/>
          <w:color w:val="000000" w:themeColor="text1"/>
        </w:rPr>
      </w:pPr>
      <w:r w:rsidRPr="007D162C">
        <w:rPr>
          <w:rFonts w:ascii="Calibri" w:hAnsi="Calibri" w:cs="Calibri"/>
          <w:color w:val="000000"/>
          <w:shd w:val="clear" w:color="auto" w:fill="FFFFFF"/>
        </w:rPr>
        <w:t>Passengers who require support while passing along access paths will benefit from enhanced safety and confidence, and consistency across providers if the regulatory option is adopted. The benefits would also extend to other passengers will also be able to find support while standing during peak times and while conveyances are in motion.</w:t>
      </w:r>
    </w:p>
    <w:p w14:paraId="0DB77368" w14:textId="77777777" w:rsidR="00E1199F" w:rsidRPr="007D162C" w:rsidRDefault="00E1199F" w:rsidP="00E1199F">
      <w:pPr>
        <w:pStyle w:val="Heading4"/>
      </w:pPr>
      <w:r w:rsidRPr="007D162C">
        <w:t>Preferred option</w:t>
      </w:r>
    </w:p>
    <w:p w14:paraId="51D31281" w14:textId="58678208" w:rsidR="00E1199F" w:rsidRPr="007D162C" w:rsidRDefault="00E1199F" w:rsidP="00E1199F">
      <w:r w:rsidRPr="007D162C">
        <w:t xml:space="preserve">Informed by the outcomes of consultation, stakeholder impacts, cost and outcomes analysis, the preferred option is the </w:t>
      </w:r>
      <w:r w:rsidRPr="007D162C">
        <w:rPr>
          <w:b/>
        </w:rPr>
        <w:t>regulatory option</w:t>
      </w:r>
      <w:r w:rsidR="00E373EB" w:rsidRPr="007D162C">
        <w:rPr>
          <w:b/>
          <w:bCs/>
        </w:rPr>
        <w:t xml:space="preserve"> with revisions</w:t>
      </w:r>
      <w:r w:rsidRPr="007D162C">
        <w:t xml:space="preserve">. </w:t>
      </w:r>
    </w:p>
    <w:p w14:paraId="2979C1C5" w14:textId="77777777" w:rsidR="00E1199F" w:rsidRPr="007D162C" w:rsidRDefault="08D050C4" w:rsidP="00E1199F">
      <w:r w:rsidRPr="007D162C">
        <w:t xml:space="preserve">Industry and government </w:t>
      </w:r>
      <w:r w:rsidRPr="007D162C">
        <w:rPr>
          <w:rFonts w:ascii="Calibri" w:eastAsia="Times New Roman" w:hAnsi="Calibri" w:cs="Calibri"/>
          <w:color w:val="000000" w:themeColor="text1"/>
          <w:lang w:eastAsia="en-AU"/>
        </w:rPr>
        <w:t>were divided on whether the regulatory or non-regulatory option was preferred. The</w:t>
      </w:r>
      <w:r w:rsidRPr="007D162C">
        <w:t xml:space="preserve"> regulatory option is the preferred option for individuals, people with disability and disability organisations. Overall, the regulatory option was the preferred option amongst stakeholders who expressed a preference on options put forward during consultation.</w:t>
      </w:r>
    </w:p>
    <w:p w14:paraId="79485FA6" w14:textId="0A8A76C9" w:rsidR="00E1199F" w:rsidRPr="007D162C" w:rsidRDefault="00E1199F" w:rsidP="009B58C3">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bookmarkStart w:id="632" w:name="_Hlk121313076"/>
      <w:r w:rsidRPr="007D162C">
        <w:lastRenderedPageBreak/>
        <w:t>In response to consultation feedback, reference to “at all locations where passengers require support or stability” and relevant Australian Standards in the preferred regulatory option will be refined with an intention to increase alignment with existing regulation (i.e. Australian Design Rules). Refinements will ensure industry and government stakeholders’ concerns are adequately addressed, such as feasibility concerns regarding the breadth and lack of clarity this phrase entails, design and space constraints, and potential conflicts with existing safety or other requirements (such as ADR 58)</w:t>
      </w:r>
      <w:bookmarkEnd w:id="632"/>
      <w:r w:rsidRPr="007D162C">
        <w:t xml:space="preserve">. </w:t>
      </w:r>
      <w:r w:rsidR="00F77FA4" w:rsidRPr="00F55FEE">
        <w:t>N</w:t>
      </w:r>
      <w:r w:rsidR="00F77FA4" w:rsidRPr="00F55FEE">
        <w:rPr>
          <w:shd w:val="clear" w:color="auto" w:fill="FFFFFF"/>
        </w:rPr>
        <w:t xml:space="preserve">oting </w:t>
      </w:r>
      <w:r w:rsidR="00F77FA4" w:rsidRPr="00F55FEE">
        <w:t xml:space="preserve">AS1428.1 (2009) </w:t>
      </w:r>
      <w:r w:rsidR="00F77FA4" w:rsidRPr="00F55FEE">
        <w:rPr>
          <w:shd w:val="clear" w:color="auto" w:fill="FFFFFF"/>
        </w:rPr>
        <w:t xml:space="preserve">has now been superseded by </w:t>
      </w:r>
      <w:r w:rsidR="00F77FA4" w:rsidRPr="00F55FEE">
        <w:t>AS1428.1 (2021), reference to AS1428.1 (</w:t>
      </w:r>
      <w:r w:rsidR="00F77FA4" w:rsidRPr="00F77FA4">
        <w:t xml:space="preserve">2009) clauses 17 and Appendix B </w:t>
      </w:r>
      <w:r w:rsidR="00F77FA4" w:rsidRPr="00F77FA4">
        <w:rPr>
          <w:shd w:val="clear" w:color="auto" w:fill="FFFFFF"/>
        </w:rPr>
        <w:t xml:space="preserve">will be updated with equivalent references in </w:t>
      </w:r>
      <w:r w:rsidR="00F77FA4" w:rsidRPr="00F77FA4">
        <w:t>AS1428.1 (2021)</w:t>
      </w:r>
      <w:r w:rsidR="00F77FA4" w:rsidRPr="00F55FEE">
        <w:t xml:space="preserve">. There is no material change to the content of these updated Australian Standards clauses. </w:t>
      </w:r>
    </w:p>
    <w:p w14:paraId="1DF7B3ED" w14:textId="39A11AC7" w:rsidR="009B58C3" w:rsidRPr="007D162C" w:rsidRDefault="00E373EB" w:rsidP="009B58C3">
      <w:r w:rsidRPr="007D162C">
        <w:rPr>
          <w:rFonts w:ascii="Calibri" w:eastAsia="Calibri" w:hAnsi="Calibri" w:cs="Times New Roman"/>
          <w:color w:val="000000" w:themeColor="text1"/>
        </w:rPr>
        <w:br/>
      </w:r>
      <w:r w:rsidR="009B58C3" w:rsidRPr="007D162C">
        <w:t xml:space="preserve">While acknowledging concerns from organisations representing the blind community and those with low vision regarding the proposed luminance contrasting requirements, these requirements have been developed by Standards Australia technical committee to ensure products, services, and systems are safe, consistent, and reliable. The objective of the referenced </w:t>
      </w:r>
      <w:r w:rsidR="009B58C3">
        <w:t xml:space="preserve">Australian </w:t>
      </w:r>
      <w:r w:rsidR="009B58C3" w:rsidRPr="007D162C">
        <w:t xml:space="preserve">Standards is to provide design requirements to enable access for people with disabilities. The </w:t>
      </w:r>
      <w:r w:rsidR="009B58C3">
        <w:t>Australian</w:t>
      </w:r>
      <w:r w:rsidR="009B58C3" w:rsidRPr="007D162C">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688A514C" w14:textId="1387826E" w:rsidR="00E1199F" w:rsidRPr="007D162C" w:rsidRDefault="00E1199F" w:rsidP="00E1199F">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new Transport Standards requirements would apply to new conveyances and would not be retrospective. Consultation findings indicate that most access paths should already be compliant and those that are not, are difficult or not feasible to retrofit into existing conveyances due to conveyance space and design constraints, or conflicting safety concerns. This would address the primary concerns of stakeholders. </w:t>
      </w:r>
    </w:p>
    <w:p w14:paraId="68EC74AF"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1D5DC354" w14:textId="77777777" w:rsidR="00E1199F" w:rsidRPr="007D162C" w:rsidRDefault="00E1199F" w:rsidP="00E1199F">
      <w:pPr>
        <w:rPr>
          <w:rFonts w:ascii="Calibri" w:eastAsia="Calibri" w:hAnsi="Calibri" w:cs="Calibri"/>
          <w:color w:val="081E3E"/>
          <w:kern w:val="12"/>
          <w:sz w:val="36"/>
          <w:szCs w:val="36"/>
        </w:rPr>
      </w:pPr>
      <w:r w:rsidRPr="007D162C">
        <w:br w:type="page"/>
      </w:r>
    </w:p>
    <w:p w14:paraId="311B2484" w14:textId="39933ABE" w:rsidR="00E1199F" w:rsidRPr="007D162C" w:rsidRDefault="00E1199F" w:rsidP="00524B3D">
      <w:pPr>
        <w:pStyle w:val="Heading2"/>
        <w:numPr>
          <w:ilvl w:val="0"/>
          <w:numId w:val="30"/>
        </w:numPr>
        <w:ind w:hanging="720"/>
      </w:pPr>
      <w:bookmarkStart w:id="633" w:name="_Toc127351804"/>
      <w:bookmarkStart w:id="634" w:name="_Toc140239762"/>
      <w:r w:rsidRPr="007D162C">
        <w:lastRenderedPageBreak/>
        <w:t>Grabrails in allocated spaces</w:t>
      </w:r>
      <w:bookmarkEnd w:id="633"/>
      <w:bookmarkEnd w:id="634"/>
    </w:p>
    <w:p w14:paraId="79549BDD" w14:textId="77777777" w:rsidR="00E1199F" w:rsidRPr="007D162C" w:rsidRDefault="00E1199F" w:rsidP="00E1199F">
      <w:pPr>
        <w:pStyle w:val="Heading4"/>
        <w:tabs>
          <w:tab w:val="left" w:pos="284"/>
        </w:tabs>
      </w:pPr>
      <w:r w:rsidRPr="007D162C">
        <w:t>Issue</w:t>
      </w:r>
    </w:p>
    <w:p w14:paraId="3DEC6B2A" w14:textId="77777777" w:rsidR="00E1199F" w:rsidRPr="007D162C" w:rsidRDefault="08D050C4" w:rsidP="00E1199F">
      <w:pPr>
        <w:tabs>
          <w:tab w:val="left" w:pos="284"/>
        </w:tabs>
      </w:pPr>
      <w:r w:rsidRPr="007D162C">
        <w:t>Grabrails are useful for people with disability to support their balance, reduce fatigue, hold their weight while manoeuvring, and can enable people to stop themselves from falling. The Transport Standards do not provide sufficient guidance or clarity on the layout of grabrails in allocated spaces, and have no requirements for grab-rails to have sufficient luminance contrast. If grabrails are not adequately luminance contrasted, people who have low vision may have difficulties identifying and locating grabrails, creating a safety risk for these passengers when in transit.</w:t>
      </w:r>
    </w:p>
    <w:p w14:paraId="31D80A18" w14:textId="77777777" w:rsidR="00E1199F" w:rsidRPr="007D162C" w:rsidRDefault="00E1199F" w:rsidP="00E1199F">
      <w:pPr>
        <w:tabs>
          <w:tab w:val="left" w:pos="284"/>
        </w:tabs>
      </w:pPr>
      <w:r w:rsidRPr="007D162C">
        <w:t>Collective government action would ensure mobility aid users remain safe onboard conveyances and address key stakeholder issues raised through the Transport Standards review process.</w:t>
      </w:r>
    </w:p>
    <w:p w14:paraId="4807FA68" w14:textId="77777777" w:rsidR="00E1199F" w:rsidRPr="007D162C" w:rsidRDefault="00E1199F" w:rsidP="00E1199F">
      <w:pPr>
        <w:pStyle w:val="Heading4"/>
        <w:tabs>
          <w:tab w:val="left" w:pos="284"/>
        </w:tabs>
      </w:pPr>
      <w:r w:rsidRPr="007D162C">
        <w:t>Reform options</w:t>
      </w:r>
    </w:p>
    <w:p w14:paraId="751E50C1"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270CE850" w14:textId="713F20C9" w:rsidR="00E1199F" w:rsidRPr="007D162C" w:rsidRDefault="00E1199F" w:rsidP="00E1199F">
      <w:pPr>
        <w:pStyle w:val="Caption"/>
        <w:keepNext/>
      </w:pPr>
      <w:bookmarkStart w:id="635" w:name="_Toc122446466"/>
      <w:bookmarkStart w:id="636" w:name="_Toc139969304"/>
      <w:r w:rsidRPr="007D162C">
        <w:t xml:space="preserve">Table </w:t>
      </w:r>
      <w:fldSimple w:instr=" SEQ Table \* ARABIC ">
        <w:r w:rsidR="00DC26AC">
          <w:rPr>
            <w:noProof/>
          </w:rPr>
          <w:t>146</w:t>
        </w:r>
      </w:fldSimple>
      <w:r w:rsidRPr="007D162C">
        <w:rPr>
          <w:noProof/>
        </w:rPr>
        <w:t>: Reform options for</w:t>
      </w:r>
      <w:r w:rsidRPr="007D162C">
        <w:t xml:space="preserve"> </w:t>
      </w:r>
      <w:r w:rsidRPr="007D162C">
        <w:rPr>
          <w:noProof/>
        </w:rPr>
        <w:t>grabrails in allocated spaces</w:t>
      </w:r>
      <w:bookmarkEnd w:id="635"/>
      <w:bookmarkEnd w:id="636"/>
    </w:p>
    <w:tbl>
      <w:tblPr>
        <w:tblStyle w:val="DefaultTable1"/>
        <w:tblW w:w="9072" w:type="dxa"/>
        <w:tblLook w:val="04A0" w:firstRow="1" w:lastRow="0" w:firstColumn="1" w:lastColumn="0" w:noHBand="0" w:noVBand="1"/>
        <w:tblCaption w:val="Reform options for grabrails in allocated spaces"/>
        <w:tblDescription w:val="This table provides a description of each of the options for this reform area. Status quo, non-regulatory and regulatory."/>
      </w:tblPr>
      <w:tblGrid>
        <w:gridCol w:w="2232"/>
        <w:gridCol w:w="6840"/>
      </w:tblGrid>
      <w:tr w:rsidR="00E1199F" w:rsidRPr="007D162C" w14:paraId="10B8CB0C"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53903A1"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674D04AA"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6804849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C52444F"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1B133FFA" w14:textId="20577FA0"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requires grabrails in all allocated spaces to comply with AS1428.2 (1992) Clause 10.2, Grabrails. </w:t>
            </w:r>
          </w:p>
          <w:p w14:paraId="4C8A12EA"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0AF561E0"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05F1F59"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2C425D4B"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encourage operators and providers to include a variety of grabrails with various orientations in allocated spaces and that they should be luminance contrasted, including:</w:t>
            </w:r>
          </w:p>
          <w:p w14:paraId="0901D66C"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location and installation, including alignment.</w:t>
            </w:r>
          </w:p>
          <w:p w14:paraId="268BAE59"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distance from adjacent surface or obstruction, such as a wall or pole</w:t>
            </w:r>
          </w:p>
          <w:p w14:paraId="57AC6040" w14:textId="77777777" w:rsidR="00E1199F" w:rsidRPr="007D162C"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rsidRPr="007D162C">
              <w:t>Grabrail luminance and contrast.</w:t>
            </w:r>
          </w:p>
        </w:tc>
      </w:tr>
      <w:tr w:rsidR="00E1199F" w:rsidRPr="007D162C" w14:paraId="55D586E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2B8941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7E14DA7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the following requirements for buses, coaches, ferries, trains, trams and light rail, including:</w:t>
            </w:r>
          </w:p>
          <w:p w14:paraId="010CF67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in allocated spaces must comply with AS1428.1 (2009).</w:t>
            </w:r>
          </w:p>
          <w:p w14:paraId="69584D35"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may have a combination of horizontal, vertical or angled alignment as the use of the space dictates but apart from attachment points may not be closer than 50 millimetres to an adjacent surface or obstruction.</w:t>
            </w:r>
          </w:p>
          <w:p w14:paraId="7B96CE81"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Grabrails must have a luminance contrast of at least 30 per cent.</w:t>
            </w:r>
          </w:p>
          <w:p w14:paraId="637D37E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7BA46543" w14:textId="77777777" w:rsidR="00E1199F" w:rsidRPr="007D162C" w:rsidRDefault="00E1199F" w:rsidP="00E1199F">
      <w:pPr>
        <w:pStyle w:val="Heading4"/>
        <w:tabs>
          <w:tab w:val="left" w:pos="284"/>
        </w:tabs>
      </w:pPr>
      <w:r w:rsidRPr="007D162C">
        <w:t>Cost benefit analysis</w:t>
      </w:r>
    </w:p>
    <w:p w14:paraId="6CCDC16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2C80CB28" w14:textId="77777777" w:rsidR="00E1199F" w:rsidRPr="007D162C" w:rsidRDefault="00E1199F" w:rsidP="00E1199F">
      <w:r w:rsidRPr="007D162C">
        <w:t xml:space="preserve">The following categories of quantitative costs and benefits were identified in the CBA as pertaining to the reform options. </w:t>
      </w:r>
    </w:p>
    <w:p w14:paraId="63FE8F6D" w14:textId="26C580E5" w:rsidR="00E1199F" w:rsidRPr="007D162C" w:rsidRDefault="00E1199F" w:rsidP="00E1199F">
      <w:pPr>
        <w:pStyle w:val="Caption"/>
        <w:keepNext/>
      </w:pPr>
      <w:bookmarkStart w:id="637" w:name="_Toc122446467"/>
      <w:bookmarkStart w:id="638" w:name="_Toc139969305"/>
      <w:r w:rsidRPr="007D162C">
        <w:lastRenderedPageBreak/>
        <w:t xml:space="preserve">Table </w:t>
      </w:r>
      <w:fldSimple w:instr=" SEQ Table \* ARABIC ">
        <w:r w:rsidR="00DC26AC">
          <w:rPr>
            <w:noProof/>
          </w:rPr>
          <w:t>147</w:t>
        </w:r>
      </w:fldSimple>
      <w:r w:rsidRPr="007D162C">
        <w:t xml:space="preserve">: Benefit-cost ratios </w:t>
      </w:r>
      <w:r w:rsidRPr="007D162C">
        <w:rPr>
          <w:noProof/>
        </w:rPr>
        <w:t>for</w:t>
      </w:r>
      <w:r w:rsidRPr="007D162C">
        <w:t xml:space="preserve"> </w:t>
      </w:r>
      <w:r w:rsidRPr="007D162C">
        <w:rPr>
          <w:noProof/>
        </w:rPr>
        <w:t>grabrails in allocated spaces</w:t>
      </w:r>
      <w:bookmarkEnd w:id="637"/>
      <w:bookmarkEnd w:id="638"/>
    </w:p>
    <w:tbl>
      <w:tblPr>
        <w:tblStyle w:val="DefaultTable1"/>
        <w:tblW w:w="9864" w:type="dxa"/>
        <w:tblLook w:val="04A0" w:firstRow="1" w:lastRow="0" w:firstColumn="1" w:lastColumn="0" w:noHBand="0" w:noVBand="1"/>
        <w:tblCaption w:val="Benefit-cost ratios for grabrails in allocated space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7729AF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37D136E5" w14:textId="77777777" w:rsidR="00E1199F" w:rsidRPr="007D162C" w:rsidRDefault="08D050C4" w:rsidP="00E1199F">
            <w:r w:rsidRPr="007D162C">
              <w:t>Reform Option</w:t>
            </w:r>
          </w:p>
        </w:tc>
        <w:tc>
          <w:tcPr>
            <w:tcW w:w="1531" w:type="dxa"/>
          </w:tcPr>
          <w:p w14:paraId="7033B10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0A1C32F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76DBEF4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6E77E79C"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08FD4416"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445B541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5415AFE" w14:textId="77777777" w:rsidR="00E1199F" w:rsidRPr="007D162C" w:rsidRDefault="00E1199F" w:rsidP="00E1199F">
            <w:r w:rsidRPr="007D162C">
              <w:t>Status Quo</w:t>
            </w:r>
          </w:p>
        </w:tc>
        <w:tc>
          <w:tcPr>
            <w:tcW w:w="1531" w:type="dxa"/>
          </w:tcPr>
          <w:p w14:paraId="074C8BE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1EA0F22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1F76304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1426445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1B19B5AC"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3A6D871A"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7EB4B5B6" w14:textId="77777777" w:rsidR="00E1199F" w:rsidRPr="007D162C" w:rsidRDefault="00E1199F" w:rsidP="00E1199F">
            <w:r w:rsidRPr="007D162C">
              <w:t xml:space="preserve">Non-regulatory </w:t>
            </w:r>
          </w:p>
        </w:tc>
        <w:tc>
          <w:tcPr>
            <w:tcW w:w="1531" w:type="dxa"/>
            <w:vAlign w:val="center"/>
          </w:tcPr>
          <w:p w14:paraId="75AC0764"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63A48654"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39C24039"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539" w:type="dxa"/>
            <w:vAlign w:val="center"/>
          </w:tcPr>
          <w:p w14:paraId="6C26A046" w14:textId="2EEC3BB0"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r w:rsidRPr="007D162C">
              <w:rPr>
                <w:sz w:val="18"/>
                <w:szCs w:val="18"/>
                <w:vertAlign w:val="superscript"/>
              </w:rPr>
              <w:t xml:space="preserve"> i</w:t>
            </w:r>
          </w:p>
        </w:tc>
        <w:tc>
          <w:tcPr>
            <w:tcW w:w="2216" w:type="dxa"/>
            <w:vAlign w:val="center"/>
          </w:tcPr>
          <w:p w14:paraId="20DF87E8"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0.02</w:t>
            </w:r>
          </w:p>
        </w:tc>
      </w:tr>
      <w:tr w:rsidR="00E1199F" w:rsidRPr="007D162C" w14:paraId="64D2F2D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6E4D6A6" w14:textId="77777777" w:rsidR="00E1199F" w:rsidRPr="007D162C" w:rsidRDefault="00E1199F" w:rsidP="00E1199F">
            <w:r w:rsidRPr="007D162C">
              <w:t>Regulatory</w:t>
            </w:r>
          </w:p>
        </w:tc>
        <w:tc>
          <w:tcPr>
            <w:tcW w:w="1531" w:type="dxa"/>
            <w:vAlign w:val="center"/>
          </w:tcPr>
          <w:p w14:paraId="640B6EDA"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0.7</w:t>
            </w:r>
          </w:p>
        </w:tc>
        <w:tc>
          <w:tcPr>
            <w:tcW w:w="1791" w:type="dxa"/>
          </w:tcPr>
          <w:p w14:paraId="25A88527"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4D08E87B"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w:t>
            </w:r>
          </w:p>
        </w:tc>
        <w:tc>
          <w:tcPr>
            <w:tcW w:w="1539" w:type="dxa"/>
            <w:vAlign w:val="center"/>
          </w:tcPr>
          <w:p w14:paraId="69CBA32D"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1.1</w:t>
            </w:r>
          </w:p>
        </w:tc>
        <w:tc>
          <w:tcPr>
            <w:tcW w:w="2216" w:type="dxa"/>
            <w:vAlign w:val="center"/>
          </w:tcPr>
          <w:p w14:paraId="443FF626"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0.65</w:t>
            </w:r>
          </w:p>
        </w:tc>
      </w:tr>
    </w:tbl>
    <w:p w14:paraId="0BBBC0B6"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3CDCB0FA" w14:textId="58EF2FAC"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6B04D111" w14:textId="77777777" w:rsidR="000A4CD3" w:rsidRPr="007D162C" w:rsidRDefault="000A4CD3" w:rsidP="00E1199F">
      <w:pPr>
        <w:spacing w:before="120" w:after="0"/>
        <w:rPr>
          <w:sz w:val="20"/>
          <w:szCs w:val="20"/>
        </w:rPr>
      </w:pPr>
    </w:p>
    <w:p w14:paraId="7AEDEBCA" w14:textId="77777777" w:rsidR="00E1199F" w:rsidRPr="007D162C" w:rsidRDefault="00E1199F" w:rsidP="00E1199F">
      <w:pPr>
        <w:pStyle w:val="Heading6"/>
      </w:pPr>
      <w:r w:rsidRPr="007D162C">
        <w:t>Considerations to note in interpreting analysis</w:t>
      </w:r>
    </w:p>
    <w:p w14:paraId="147B9467" w14:textId="77777777" w:rsidR="00E1199F" w:rsidRPr="007D162C" w:rsidRDefault="00E1199F" w:rsidP="00F302D5">
      <w:pPr>
        <w:pStyle w:val="Heading7"/>
      </w:pPr>
      <w:r w:rsidRPr="007D162C">
        <w:t>Limitations:</w:t>
      </w:r>
    </w:p>
    <w:p w14:paraId="63F8FC2C" w14:textId="77777777" w:rsidR="00E1199F" w:rsidRPr="007D162C" w:rsidRDefault="00E1199F" w:rsidP="00F302D5">
      <w:pPr>
        <w:pStyle w:val="Heading8"/>
      </w:pPr>
      <w:r w:rsidRPr="007D162C">
        <w:t>Non-regulatory option:</w:t>
      </w:r>
    </w:p>
    <w:p w14:paraId="61EF0C22" w14:textId="7F14FAB1"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50</w:t>
      </w:r>
      <w:r w:rsidR="00B140F4">
        <w:t xml:space="preserve"> per cent</w:t>
      </w:r>
      <w:r w:rsidRPr="007D162C">
        <w:t xml:space="preserve"> of new assets was applied to the non-regulatory option based on the moderate cost and complexity of designing and implementing new grabrail layouts with luminance contrast in allocated spaces. It was not expected that existing conveyances would be upgraded to implement the guidance. This implies that the benefits and costs quantified for this non-regulatory reform may not reflect future take-up of the reform.</w:t>
      </w:r>
    </w:p>
    <w:p w14:paraId="5B13FFBE" w14:textId="77777777" w:rsidR="00F302D5" w:rsidRPr="007D162C" w:rsidRDefault="00F302D5" w:rsidP="00F302D5">
      <w:pPr>
        <w:pStyle w:val="Listparagraphbullets"/>
        <w:numPr>
          <w:ilvl w:val="0"/>
          <w:numId w:val="0"/>
        </w:numPr>
        <w:autoSpaceDE w:val="0"/>
        <w:autoSpaceDN w:val="0"/>
        <w:spacing w:after="0"/>
      </w:pPr>
    </w:p>
    <w:p w14:paraId="2AB160A0" w14:textId="77777777" w:rsidR="00E1199F" w:rsidRPr="007D162C" w:rsidRDefault="00E1199F" w:rsidP="00F302D5">
      <w:pPr>
        <w:pStyle w:val="Heading8"/>
      </w:pPr>
      <w:r w:rsidRPr="007D162C">
        <w:t>Regulatory option:</w:t>
      </w:r>
    </w:p>
    <w:p w14:paraId="71D49FA8" w14:textId="77777777" w:rsidR="00E1199F" w:rsidRPr="007D162C" w:rsidRDefault="00E1199F" w:rsidP="00F302D5">
      <w:pPr>
        <w:pStyle w:val="Listparagraphbullets"/>
        <w:numPr>
          <w:ilvl w:val="0"/>
          <w:numId w:val="0"/>
        </w:numPr>
        <w:autoSpaceDE w:val="0"/>
        <w:autoSpaceDN w:val="0"/>
        <w:spacing w:after="0"/>
      </w:pPr>
      <w:r w:rsidRPr="007D162C">
        <w:t xml:space="preserve">The benefits and costs for this reform were estimated using publicly available data and survey responses to proxy the level of compliance at a national level. This implies the benefits and costs may not be fully reflective of differences by state and jurisdiction. </w:t>
      </w:r>
    </w:p>
    <w:p w14:paraId="04FDDF74"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Qualitative assessment </w:t>
      </w:r>
    </w:p>
    <w:p w14:paraId="1A721C84" w14:textId="79570BCD" w:rsidR="00800BEF" w:rsidRDefault="00E1199F" w:rsidP="00E1199F">
      <w:r w:rsidRPr="007D162C">
        <w:t>The following categories of qualitative benefits were identified in the CBA as pertaining to the reform options.</w:t>
      </w:r>
    </w:p>
    <w:p w14:paraId="1B6CB4AE" w14:textId="0B6BD97E" w:rsidR="00800BEF" w:rsidRDefault="00800BEF">
      <w:pPr>
        <w:spacing w:line="259" w:lineRule="auto"/>
      </w:pPr>
      <w:r>
        <w:br w:type="page"/>
      </w:r>
    </w:p>
    <w:p w14:paraId="26BCB059" w14:textId="6C979055" w:rsidR="00E1199F" w:rsidRPr="007D162C" w:rsidRDefault="00E1199F" w:rsidP="00E1199F">
      <w:pPr>
        <w:pStyle w:val="Caption"/>
        <w:keepNext/>
      </w:pPr>
      <w:bookmarkStart w:id="639" w:name="_Toc122446468"/>
      <w:bookmarkStart w:id="640" w:name="_Toc139969306"/>
      <w:r w:rsidRPr="007D162C">
        <w:lastRenderedPageBreak/>
        <w:t xml:space="preserve">Table </w:t>
      </w:r>
      <w:fldSimple w:instr=" SEQ Table \* ARABIC ">
        <w:r w:rsidR="00DC26AC">
          <w:rPr>
            <w:noProof/>
          </w:rPr>
          <w:t>148</w:t>
        </w:r>
      </w:fldSimple>
      <w:r w:rsidRPr="007D162C">
        <w:rPr>
          <w:noProof/>
        </w:rPr>
        <w:t xml:space="preserve">: </w:t>
      </w:r>
      <w:r w:rsidRPr="007D162C">
        <w:t xml:space="preserve">Qualitative benefits </w:t>
      </w:r>
      <w:r w:rsidRPr="007D162C">
        <w:rPr>
          <w:noProof/>
        </w:rPr>
        <w:t>for</w:t>
      </w:r>
      <w:r w:rsidRPr="007D162C">
        <w:t xml:space="preserve"> </w:t>
      </w:r>
      <w:r w:rsidRPr="007D162C">
        <w:rPr>
          <w:noProof/>
        </w:rPr>
        <w:t>grabrails in allocated spaces</w:t>
      </w:r>
      <w:bookmarkEnd w:id="639"/>
      <w:bookmarkEnd w:id="640"/>
    </w:p>
    <w:tbl>
      <w:tblPr>
        <w:tblStyle w:val="DefaultTable1"/>
        <w:tblW w:w="9864" w:type="dxa"/>
        <w:tblLook w:val="04A0" w:firstRow="1" w:lastRow="0" w:firstColumn="1" w:lastColumn="0" w:noHBand="0" w:noVBand="1"/>
        <w:tblCaption w:val="Qualitative benefits for grabrails in allocated spaces"/>
      </w:tblPr>
      <w:tblGrid>
        <w:gridCol w:w="1213"/>
        <w:gridCol w:w="1343"/>
        <w:gridCol w:w="1626"/>
        <w:gridCol w:w="1300"/>
        <w:gridCol w:w="1278"/>
        <w:gridCol w:w="1641"/>
        <w:gridCol w:w="1463"/>
      </w:tblGrid>
      <w:tr w:rsidR="00E1199F" w:rsidRPr="007D162C" w14:paraId="5261B28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FC6093F" w14:textId="77777777" w:rsidR="00E1199F" w:rsidRPr="007D162C" w:rsidRDefault="08D050C4" w:rsidP="00E1199F">
            <w:r w:rsidRPr="007D162C">
              <w:t>Reform Option</w:t>
            </w:r>
          </w:p>
        </w:tc>
        <w:tc>
          <w:tcPr>
            <w:tcW w:w="1343" w:type="dxa"/>
          </w:tcPr>
          <w:p w14:paraId="5B5D713B"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2ACDB8E1"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313A5E6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2744D7B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1714145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85E3D47"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6631540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90B721D" w14:textId="77777777" w:rsidR="00E1199F" w:rsidRPr="007D162C" w:rsidRDefault="00E1199F" w:rsidP="00E1199F">
            <w:r w:rsidRPr="007D162C">
              <w:t>Status Quo</w:t>
            </w:r>
          </w:p>
        </w:tc>
        <w:tc>
          <w:tcPr>
            <w:tcW w:w="1343" w:type="dxa"/>
          </w:tcPr>
          <w:p w14:paraId="1725806E"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14BCB0CA"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25D6EB09"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41036DD8"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B99CC70"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1644BDC8"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1C4C4795"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D70ACF7" w14:textId="77777777" w:rsidR="00E1199F" w:rsidRPr="007D162C" w:rsidRDefault="00E1199F" w:rsidP="00E1199F">
            <w:r w:rsidRPr="007D162C">
              <w:t xml:space="preserve">Non-regulatory </w:t>
            </w:r>
          </w:p>
        </w:tc>
        <w:tc>
          <w:tcPr>
            <w:tcW w:w="1343" w:type="dxa"/>
          </w:tcPr>
          <w:p w14:paraId="36A84A3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133C238"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69AEDEEB" w14:textId="77777777" w:rsidR="00E1199F" w:rsidRPr="007D162C" w:rsidRDefault="08D050C4" w:rsidP="00E1199F">
            <w:pPr>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74AAD1E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5842B63F"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1256858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2FAE9E0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562EEEE" w14:textId="77777777" w:rsidR="00E1199F" w:rsidRPr="007D162C" w:rsidRDefault="00E1199F" w:rsidP="00E1199F">
            <w:r w:rsidRPr="007D162C">
              <w:t>Regulatory</w:t>
            </w:r>
          </w:p>
        </w:tc>
        <w:tc>
          <w:tcPr>
            <w:tcW w:w="1343" w:type="dxa"/>
          </w:tcPr>
          <w:p w14:paraId="2F74E51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3285B23F"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E13DD46" w14:textId="77777777" w:rsidR="00E1199F" w:rsidRPr="007D162C" w:rsidRDefault="08D050C4" w:rsidP="00E1199F">
            <w:pPr>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6B1C9DB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43DB8D23"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58C243C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2F9F2611" w14:textId="77777777" w:rsidR="000A4CD3" w:rsidRPr="007D162C" w:rsidRDefault="000A4CD3" w:rsidP="000A4CD3">
      <w:pPr>
        <w:pStyle w:val="BodyText"/>
      </w:pPr>
    </w:p>
    <w:p w14:paraId="58F24F7C" w14:textId="3C6952ED" w:rsidR="00E1199F" w:rsidRPr="007D162C" w:rsidRDefault="00E1199F" w:rsidP="00E1199F">
      <w:pPr>
        <w:pStyle w:val="Heading4"/>
        <w:tabs>
          <w:tab w:val="left" w:pos="284"/>
        </w:tabs>
      </w:pPr>
      <w:r w:rsidRPr="007D162C">
        <w:t xml:space="preserve">Analysis of submissions </w:t>
      </w:r>
    </w:p>
    <w:p w14:paraId="62E01E10" w14:textId="77777777" w:rsidR="00E1199F" w:rsidRPr="007D162C" w:rsidRDefault="00E1199F" w:rsidP="00F302D5">
      <w:pPr>
        <w:pStyle w:val="Heading5"/>
      </w:pPr>
      <w:r w:rsidRPr="007D162C">
        <w:t>Status quo</w:t>
      </w:r>
    </w:p>
    <w:p w14:paraId="4AEE39BB" w14:textId="57C7DE3D" w:rsidR="00E1199F" w:rsidRPr="007D162C" w:rsidRDefault="08D050C4" w:rsidP="00E1199F">
      <w:r w:rsidRPr="007D162C">
        <w:t>Grabrails provide enhanced safety and amenity for people with disability, minimising the risk of injury and improving confidence to use public transport. However, the Transport Standards do not provide guidance or clarity on the layout of grabrails in allocated spaces nor that grabrails must be luminance contrasted. Additionally, the technical specifications of AS1428.2 cited in the Transport Standards are not fit-for-purpose as they do not allow for differences in position and layout of allocated spaces across different modes of transport.</w:t>
      </w:r>
    </w:p>
    <w:p w14:paraId="3029A6AF" w14:textId="77777777" w:rsidR="00E1199F" w:rsidRPr="007D162C" w:rsidRDefault="08D050C4" w:rsidP="08D050C4">
      <w:pPr>
        <w:shd w:val="clear" w:color="auto" w:fill="FFFFFF" w:themeFill="background1"/>
      </w:pPr>
      <w:r w:rsidRPr="007D162C">
        <w:t>One submission from government supported the status quo on the grounds that further guidance is not considered necessary, as grabrails were already installed in allocated spaces within conveyances. However, other submissions noted that the layout and design of many grabrails are not appropriate.</w:t>
      </w:r>
    </w:p>
    <w:p w14:paraId="48EC42B1" w14:textId="77777777" w:rsidR="00E1199F" w:rsidRPr="007D162C" w:rsidRDefault="08D050C4" w:rsidP="08D050C4">
      <w:pPr>
        <w:shd w:val="clear" w:color="auto" w:fill="FFFFFF" w:themeFill="background1"/>
      </w:pPr>
      <w:r w:rsidRPr="007D162C">
        <w:t xml:space="preserve">Submissions noted that further guidance or a regulatory approach would </w:t>
      </w:r>
      <w:r w:rsidRPr="007D162C">
        <w:rPr>
          <w:rFonts w:ascii="Calibri" w:eastAsia="Times New Roman" w:hAnsi="Calibri" w:cs="Calibri"/>
          <w:color w:val="000000" w:themeColor="text1"/>
          <w:lang w:eastAsia="en-AU"/>
        </w:rPr>
        <w:t>assist with ensuring consistency across networks of multiple jurisdictions, provide clear guidance for manufacturers and operators, and a more predictable experience for users with the installation of suitable grabrails, including a greater diversity of height and angles.</w:t>
      </w:r>
    </w:p>
    <w:p w14:paraId="2AC76634" w14:textId="2254F6AB" w:rsidR="00E1199F" w:rsidRPr="007D162C" w:rsidRDefault="00E1199F" w:rsidP="00E1199F">
      <w:r w:rsidRPr="007D162C">
        <w:t>The status quo has no ongoing costs for public transports operators and providers</w:t>
      </w:r>
      <w:r w:rsidR="00ED6F7C">
        <w:t>;</w:t>
      </w:r>
      <w:r w:rsidRPr="007D162C">
        <w:t xml:space="preserve"> however</w:t>
      </w:r>
      <w:r w:rsidR="00ED6F7C">
        <w:t>,</w:t>
      </w:r>
      <w:r w:rsidRPr="007D162C">
        <w:t xml:space="preserve"> negative impacts on community amenity, accessibility, and safety are high. Under the status quo option, the arrangement of grabrails in allocated spaces will not be fit-for-purpose and </w:t>
      </w:r>
      <w:r w:rsidR="00ED6F7C">
        <w:t xml:space="preserve">not </w:t>
      </w:r>
      <w:r w:rsidRPr="007D162C">
        <w:t xml:space="preserve">accommodate the different layouts </w:t>
      </w:r>
      <w:r w:rsidR="00ED6F7C">
        <w:t xml:space="preserve">across </w:t>
      </w:r>
      <w:r w:rsidRPr="007D162C">
        <w:t xml:space="preserve">public transport </w:t>
      </w:r>
      <w:r w:rsidR="00ED6F7C">
        <w:t>m</w:t>
      </w:r>
      <w:r w:rsidRPr="007D162C">
        <w:t>odes. This will continue to reduce the support people with disability are able to access while travelling in allocated spaces and maintains a level of safety, amenity and accessibility that will continue to inhibit independence and safety of people with disability when using public transport services.</w:t>
      </w:r>
    </w:p>
    <w:p w14:paraId="3EA8B3EE" w14:textId="77777777" w:rsidR="00E1199F" w:rsidRPr="007D162C" w:rsidRDefault="00E1199F" w:rsidP="00F302D5">
      <w:pPr>
        <w:pStyle w:val="Heading5"/>
      </w:pPr>
      <w:r w:rsidRPr="007D162C">
        <w:t>Non-regulatory</w:t>
      </w:r>
    </w:p>
    <w:p w14:paraId="690B7F89" w14:textId="3ACD214E" w:rsidR="00E1199F" w:rsidRPr="007D162C" w:rsidRDefault="00E1199F" w:rsidP="00E1199F">
      <w:r w:rsidRPr="007D162C">
        <w:t xml:space="preserve">Under the non-regulatory option, guidance would be updated to encourage operators and providers to include a variety of grabrails, </w:t>
      </w:r>
      <w:r w:rsidR="00ED6F7C">
        <w:t xml:space="preserve">include </w:t>
      </w:r>
      <w:r w:rsidRPr="007D162C">
        <w:t>advice on appropriate orientation and layout of grabrails in allocated spaces and advice on grabrail luminance contrast. The guidance would pertain to buses, coaches, ferries, trains, trams and light rail.</w:t>
      </w:r>
    </w:p>
    <w:p w14:paraId="79288EF2" w14:textId="77777777" w:rsidR="00E1199F" w:rsidRPr="007D162C" w:rsidRDefault="00E1199F" w:rsidP="00E1199F">
      <w:pPr>
        <w:rPr>
          <w:rFonts w:ascii="Calibri" w:eastAsia="Times New Roman" w:hAnsi="Calibri" w:cs="Calibri"/>
          <w:color w:val="000000" w:themeColor="text1"/>
          <w:lang w:eastAsia="en-AU"/>
        </w:rPr>
      </w:pPr>
      <w:r w:rsidRPr="007D162C">
        <w:lastRenderedPageBreak/>
        <w:t>While most</w:t>
      </w:r>
      <w:r w:rsidRPr="007D162C">
        <w:rPr>
          <w:rFonts w:ascii="Calibri" w:eastAsia="Times New Roman" w:hAnsi="Calibri" w:cs="Calibri"/>
          <w:color w:val="000000" w:themeColor="text1"/>
          <w:lang w:eastAsia="en-AU"/>
        </w:rPr>
        <w:t xml:space="preserve"> industry and government stakeholders preferred the regulatory option, those who preferred the non-regulatory option</w:t>
      </w:r>
      <w:r w:rsidRPr="007D162C">
        <w:t xml:space="preserve"> </w:t>
      </w:r>
      <w:r w:rsidRPr="007D162C">
        <w:rPr>
          <w:rFonts w:ascii="Calibri" w:eastAsia="Times New Roman" w:hAnsi="Calibri" w:cs="Calibri"/>
          <w:color w:val="000000" w:themeColor="text1"/>
          <w:lang w:eastAsia="en-AU"/>
        </w:rPr>
        <w:t>cited concerns regarding cost and internal conveyance design limitations if the regulatory approach was adopted. It was noted that the non-regulatory option provided greater flexibility where requirements can’t be applied retrospectively. Another submission noted that grabrails are already installed in allocated spaces as a safety feature which provides support to all passengers including those with disability, but stated that further guidance in the Whole of Journey Guide and Transport Standards Guidelines would be welcome.</w:t>
      </w:r>
    </w:p>
    <w:p w14:paraId="2400D480" w14:textId="77777777" w:rsidR="00E1199F" w:rsidRPr="007D162C" w:rsidRDefault="00E1199F" w:rsidP="00E1199F">
      <w:r w:rsidRPr="007D162C">
        <w:t xml:space="preserve">To the extent that guidance is followed, costs would be incurred to reconfigure grabrails in allocated spaces to meet the suggested requirements. Costs would also be incurred to make grabrails adequately luminance contrasted with background surfaces. A non-regulatory option should allow operators and providers to manage the implementation (and related costs) to suit their operational requirements, including through staging the implementation. </w:t>
      </w:r>
    </w:p>
    <w:p w14:paraId="4EE4EC45" w14:textId="2871E207" w:rsidR="00E1199F" w:rsidRPr="007D162C" w:rsidRDefault="08D050C4" w:rsidP="00E1199F">
      <w:pPr>
        <w:rPr>
          <w:rFonts w:ascii="Calibri" w:hAnsi="Calibri" w:cs="Calibri"/>
          <w:color w:val="000000" w:themeColor="text1"/>
        </w:rPr>
      </w:pPr>
      <w:r w:rsidRPr="007D162C">
        <w:t xml:space="preserve">Given this option is discretionary, it does not provide certainty that guidance will be implemented which may reduce confidence of passengers to travel if they are unable to safely use and locate grabrails while in transit. To the extent that guidance is followed, people using mobility aids and allocated spaces will benefit from well positioned grabrails that are fit-for-purpose for bespoke modes of public transport, and people with low vision will benefit from the adoption of luminance contrast requirements which will assist with locating grabrails. Both of these outcomes promote the safe travel of people </w:t>
      </w:r>
      <w:r w:rsidR="00ED6F7C">
        <w:t xml:space="preserve">with disability </w:t>
      </w:r>
      <w:r w:rsidRPr="007D162C">
        <w:t xml:space="preserve">on public transport. </w:t>
      </w:r>
    </w:p>
    <w:p w14:paraId="3F48EEA1" w14:textId="77777777" w:rsidR="00E1199F" w:rsidRPr="007D162C" w:rsidRDefault="00E1199F" w:rsidP="00F302D5">
      <w:pPr>
        <w:pStyle w:val="Heading5"/>
      </w:pPr>
      <w:r w:rsidRPr="007D162C">
        <w:t>Regulatory</w:t>
      </w:r>
    </w:p>
    <w:p w14:paraId="6BF76EFA" w14:textId="4B582E6F" w:rsidR="00E1199F" w:rsidRPr="007D162C" w:rsidRDefault="00E1199F" w:rsidP="00E1199F">
      <w:pPr>
        <w:rPr>
          <w:b/>
        </w:rPr>
      </w:pPr>
      <w:r w:rsidRPr="007D162C">
        <w:t xml:space="preserve">Under the regulatory option, the Transport Standards would be amended to include further detail regarding the required luminance contrast and the location and orientation of grabrails in </w:t>
      </w:r>
      <w:r w:rsidR="00ED6F7C">
        <w:t>allocated spaces</w:t>
      </w:r>
      <w:r w:rsidRPr="007D162C">
        <w:t>. The requirements would pertain to buses, coaches, ferries, trains, trams and light rail. The Transport Standards Guidelines and /or The Whole Journey Guide would be updated to reflect the new or amended requirements.</w:t>
      </w:r>
    </w:p>
    <w:p w14:paraId="0E695A85" w14:textId="77777777" w:rsidR="00E1199F" w:rsidRPr="007D162C" w:rsidRDefault="08D050C4" w:rsidP="08D050C4">
      <w:pPr>
        <w:shd w:val="clear" w:color="auto" w:fill="FFFFFF" w:themeFill="background1"/>
        <w:spacing w:after="0"/>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to ensure that the Transport Standards remain fit-for-purpose and to avoid confusion and promote consistency. </w:t>
      </w:r>
    </w:p>
    <w:p w14:paraId="7AC250CB" w14:textId="77777777" w:rsidR="00E1199F" w:rsidRPr="007D162C" w:rsidRDefault="00E1199F" w:rsidP="00E1199F">
      <w:pPr>
        <w:pStyle w:val="Quote"/>
      </w:pPr>
      <w:r w:rsidRPr="007D162C">
        <w:t xml:space="preserve">Current transport standards are outdated in their guidance in the layout of grabrails in allocated spaces and their luminance contrast in these areas. There is a need for amendments to the standards in this area and regulations to be implemented to avoid confusion and promote consistency among transport services and accessibility requirements. </w:t>
      </w:r>
    </w:p>
    <w:p w14:paraId="0BA26998" w14:textId="77777777" w:rsidR="00E1199F" w:rsidRPr="007D162C" w:rsidRDefault="00E1199F" w:rsidP="00E1199F">
      <w:pPr>
        <w:pStyle w:val="Quote"/>
      </w:pPr>
      <w:r w:rsidRPr="007D162C">
        <w:t>Physical Disability Council of NSW</w:t>
      </w:r>
    </w:p>
    <w:p w14:paraId="70B9AAC8" w14:textId="501950E8" w:rsidR="00E1199F" w:rsidRPr="007D162C" w:rsidRDefault="00E1199F" w:rsidP="08D050C4">
      <w:pPr>
        <w:rPr>
          <w:rFonts w:ascii="Calibri" w:hAnsi="Calibri" w:cs="Calibri"/>
          <w:color w:val="000000" w:themeColor="text1"/>
        </w:rPr>
      </w:pPr>
      <w:r w:rsidRPr="007D162C">
        <w:rPr>
          <w:rFonts w:ascii="Calibri" w:hAnsi="Calibri" w:cs="Calibri"/>
          <w:color w:val="000000"/>
          <w:shd w:val="clear" w:color="auto" w:fill="FFFFFF"/>
        </w:rPr>
        <w:t>However, submissions received from organisations representing the blind community and those with low vision highlighted concerns with the luminance contrast requirements proposed under the regulatory option. The requirement for the luminance contrast to be "at least 30 per cent" was considered insufficient for people who are vision impaired. It was recommended that this be increased,</w:t>
      </w:r>
      <w:r w:rsidRPr="007D162C">
        <w:rPr>
          <w:rFonts w:ascii="Calibri" w:eastAsia="Times New Roman" w:hAnsi="Calibri" w:cs="Calibri"/>
          <w:color w:val="000000"/>
          <w:lang w:eastAsia="en-AU"/>
        </w:rPr>
        <w:t xml:space="preserve"> or at the very least, guidance provided about the insufficiency of 30</w:t>
      </w:r>
      <w:r w:rsidR="00B140F4">
        <w:rPr>
          <w:rFonts w:ascii="Calibri" w:eastAsia="Times New Roman" w:hAnsi="Calibri" w:cs="Calibri"/>
          <w:color w:val="000000"/>
          <w:lang w:eastAsia="en-AU"/>
        </w:rPr>
        <w:t xml:space="preserve"> per cent</w:t>
      </w:r>
      <w:r w:rsidRPr="007D162C">
        <w:rPr>
          <w:rFonts w:ascii="Calibri" w:eastAsia="Times New Roman" w:hAnsi="Calibri" w:cs="Calibri"/>
          <w:color w:val="000000"/>
          <w:lang w:eastAsia="en-AU"/>
        </w:rPr>
        <w:t xml:space="preserve"> as a minimum figure. It was recommended that a co-design process be conducted to establish an appropriate baseline measurement for </w:t>
      </w:r>
      <w:r w:rsidRPr="007D162C">
        <w:rPr>
          <w:rFonts w:ascii="Calibri" w:hAnsi="Calibri" w:cs="Calibri"/>
          <w:color w:val="000000"/>
          <w:shd w:val="clear" w:color="auto" w:fill="FFFFFF"/>
        </w:rPr>
        <w:t>people who are vision impaired.</w:t>
      </w:r>
    </w:p>
    <w:p w14:paraId="1DD9AE33" w14:textId="77777777" w:rsidR="00E1199F" w:rsidRPr="007D162C" w:rsidRDefault="00E1199F" w:rsidP="00E1199F">
      <w:pPr>
        <w:pStyle w:val="Quote"/>
      </w:pPr>
      <w:r w:rsidRPr="007D162C">
        <w:lastRenderedPageBreak/>
        <w:t xml:space="preserve">If a person with low vision is unable to detect a grabrail because of inadequate luminance contrast it could put them at significant risk of falling and thus have a negative, and possibly catastrophic, impact on their safety while travelling. </w:t>
      </w:r>
    </w:p>
    <w:p w14:paraId="42FC919A" w14:textId="77777777" w:rsidR="00E1199F" w:rsidRPr="007D162C" w:rsidRDefault="00E1199F" w:rsidP="00E1199F">
      <w:pPr>
        <w:pStyle w:val="Quote"/>
      </w:pPr>
      <w:r w:rsidRPr="007D162C">
        <w:t>Vision Australia</w:t>
      </w:r>
    </w:p>
    <w:p w14:paraId="6E6A87D3" w14:textId="77777777" w:rsidR="00E1199F" w:rsidRPr="007D162C" w:rsidRDefault="00E1199F" w:rsidP="00E1199F">
      <w:pPr>
        <w:rPr>
          <w:rFonts w:ascii="Calibri" w:eastAsia="Times New Roman" w:hAnsi="Calibri" w:cs="Calibri"/>
          <w:color w:val="000000" w:themeColor="text1"/>
          <w:lang w:eastAsia="en-AU"/>
        </w:rPr>
      </w:pPr>
      <w:r w:rsidRPr="007D162C">
        <w:rPr>
          <w:rFonts w:ascii="Calibri" w:hAnsi="Calibri" w:cs="Calibri"/>
          <w:color w:val="000000"/>
          <w:shd w:val="clear" w:color="auto" w:fill="FFFFFF"/>
        </w:rPr>
        <w:t xml:space="preserve">Most submissions received from </w:t>
      </w:r>
      <w:r w:rsidRPr="007D162C">
        <w:rPr>
          <w:rFonts w:ascii="Calibri" w:eastAsia="Times New Roman" w:hAnsi="Calibri" w:cs="Calibri"/>
          <w:color w:val="000000"/>
          <w:lang w:eastAsia="en-AU"/>
        </w:rPr>
        <w:t xml:space="preserve">industry and government stakeholders also preferred the regulatory option, noting it clarifies obligations and requirements for manufacturers and operators, and would provide a consistent level of accessibility to those who benefit from grabrails in allocated spaces on conveyances. Some submissions cited concerns regarding cost, operational impacts and internal conveyance design limitations. </w:t>
      </w:r>
    </w:p>
    <w:p w14:paraId="07E9A36A" w14:textId="77777777" w:rsidR="00E1199F" w:rsidRPr="007D162C" w:rsidRDefault="00E1199F" w:rsidP="00E1199F">
      <w:pPr>
        <w:rPr>
          <w:rFonts w:ascii="Calibri" w:eastAsia="Times New Roman" w:hAnsi="Calibri" w:cs="Calibri"/>
          <w:color w:val="000000" w:themeColor="text1"/>
          <w:lang w:eastAsia="en-AU"/>
        </w:rPr>
      </w:pPr>
      <w:r w:rsidRPr="007D162C">
        <w:t>Particular challenges were raised by the coach and bus industry in relation to meeting the proposed requirements</w:t>
      </w:r>
      <w:r w:rsidRPr="007D162C">
        <w:rPr>
          <w:rFonts w:ascii="Calibri" w:eastAsia="Times New Roman" w:hAnsi="Calibri" w:cs="Calibri"/>
          <w:color w:val="000000"/>
          <w:lang w:eastAsia="en-AU"/>
        </w:rPr>
        <w:t xml:space="preserve"> and providing appropriate features for all users</w:t>
      </w:r>
      <w:r w:rsidRPr="007D162C">
        <w:t>. It was noted that</w:t>
      </w:r>
      <w:r w:rsidRPr="007D162C">
        <w:rPr>
          <w:rFonts w:ascii="Calibri" w:eastAsia="Times New Roman" w:hAnsi="Calibri" w:cs="Calibri"/>
          <w:color w:val="000000"/>
          <w:lang w:eastAsia="en-AU"/>
        </w:rPr>
        <w:t xml:space="preserve"> the grab-rail design needs to be functional and safe for all configurations where seats are adjustable and that </w:t>
      </w:r>
      <w:r w:rsidRPr="007D162C">
        <w:rPr>
          <w:rFonts w:ascii="Calibri" w:hAnsi="Calibri" w:cs="Calibri"/>
          <w:color w:val="000000"/>
          <w:shd w:val="clear" w:color="auto" w:fill="FFFFFF"/>
        </w:rPr>
        <w:t>horizontal and vertical oriented grabrails are important for people who have limited dexterity</w:t>
      </w:r>
      <w:r w:rsidRPr="007D162C">
        <w:rPr>
          <w:rFonts w:ascii="Calibri" w:eastAsia="Times New Roman" w:hAnsi="Calibri" w:cs="Calibri"/>
          <w:color w:val="000000"/>
          <w:lang w:eastAsia="en-AU"/>
        </w:rPr>
        <w:t xml:space="preserve"> or usage in hands or arms. One submission suggested that an extract from the proposed guidelines referenced in the Consultation RIS regarding padded grabrails should be incorporated as a clause in the amended Transport Standards to address concerns about encroachment into head impact zones.</w:t>
      </w:r>
    </w:p>
    <w:p w14:paraId="292ED36E" w14:textId="47222B9C" w:rsidR="00E1199F" w:rsidRPr="007D162C" w:rsidRDefault="00E1199F" w:rsidP="00E1199F">
      <w:pPr>
        <w:rPr>
          <w:rFonts w:ascii="Calibri" w:eastAsia="Times New Roman" w:hAnsi="Calibri" w:cs="Calibri"/>
          <w:color w:val="000000" w:themeColor="text1"/>
          <w:lang w:eastAsia="en-AU"/>
        </w:rPr>
      </w:pPr>
      <w:r w:rsidRPr="007D162C">
        <w:t>As grabrails are already required under the Transport Standards, additional costs will be incurred to the extent that the layout of grabrails do</w:t>
      </w:r>
      <w:r w:rsidR="00ED6F7C">
        <w:t>es</w:t>
      </w:r>
      <w:r w:rsidRPr="007D162C">
        <w:t xml:space="preserve"> not comply with the new configuration requirements or luminance contrast requirements. Costs to modify one or both design elements to comply with the new requirements would vary depending on the nature of the work required and the size of the fleet.</w:t>
      </w:r>
    </w:p>
    <w:p w14:paraId="0471E61A" w14:textId="5D162E76" w:rsidR="00E1199F" w:rsidRDefault="08D050C4" w:rsidP="08D050C4">
      <w:pPr>
        <w:shd w:val="clear" w:color="auto" w:fill="FFFFFF" w:themeFill="background1"/>
        <w:spacing w:after="0"/>
      </w:pPr>
      <w:r w:rsidRPr="007D162C">
        <w:t xml:space="preserve">Clear requirements will provide consistency and increase confidence of passengers while updated technical specifications will provide flexibility for operators and providers and encourage compliance with the Transport Standards. The new requirements will be more appropriate and fit-for-purpose, accounting for differences in position and layout of allocated spaces across different modes of transport. People using allocated spaces will benefit from well positioned grabrails that are fit-for-purpose for modes of public transport, and people with low vision will benefit from the adoption of luminance contrast requirements </w:t>
      </w:r>
      <w:r w:rsidR="00ED6F7C">
        <w:t>to</w:t>
      </w:r>
      <w:r w:rsidRPr="007D162C">
        <w:t xml:space="preserve"> assist with locating grabrails. Both of these outcomes promote the safe travel of people on public transport. </w:t>
      </w:r>
    </w:p>
    <w:p w14:paraId="6DB21C64" w14:textId="77777777" w:rsidR="00ED6F7C" w:rsidRPr="007D162C" w:rsidRDefault="00ED6F7C" w:rsidP="08D050C4">
      <w:pPr>
        <w:shd w:val="clear" w:color="auto" w:fill="FFFFFF" w:themeFill="background1"/>
        <w:spacing w:after="0"/>
        <w:rPr>
          <w:rFonts w:ascii="Calibri" w:hAnsi="Calibri" w:cs="Calibri"/>
          <w:color w:val="000000" w:themeColor="text1"/>
        </w:rPr>
      </w:pPr>
    </w:p>
    <w:p w14:paraId="20951D55" w14:textId="586352A7" w:rsidR="00E1199F" w:rsidRPr="007D162C" w:rsidRDefault="00E1199F" w:rsidP="00E1199F">
      <w:pPr>
        <w:pStyle w:val="Heading4"/>
      </w:pPr>
      <w:r w:rsidRPr="007D162C">
        <w:t>Preferred option</w:t>
      </w:r>
    </w:p>
    <w:p w14:paraId="13930DF7" w14:textId="406C9BFA" w:rsidR="00E1199F" w:rsidRPr="007D162C" w:rsidRDefault="00E1199F" w:rsidP="00E1199F">
      <w:r w:rsidRPr="007D162C">
        <w:t xml:space="preserve">Informed by the outcomes of consultation, stakeholder impacts, cost and outcomes analysis, the preferred option is the </w:t>
      </w:r>
      <w:r w:rsidRPr="007D162C">
        <w:rPr>
          <w:b/>
        </w:rPr>
        <w:t>regulatory option</w:t>
      </w:r>
      <w:r w:rsidR="00E373EB" w:rsidRPr="007D162C">
        <w:rPr>
          <w:b/>
          <w:bCs/>
        </w:rPr>
        <w:t xml:space="preserve"> with revisions</w:t>
      </w:r>
      <w:r w:rsidRPr="007D162C">
        <w:t xml:space="preserve">. </w:t>
      </w:r>
    </w:p>
    <w:p w14:paraId="7DDB4441" w14:textId="1EC59E85" w:rsidR="00E1199F" w:rsidRPr="007D162C" w:rsidRDefault="00E1199F" w:rsidP="08D050C4">
      <w:pPr>
        <w:rPr>
          <w:rFonts w:ascii="Calibri" w:eastAsia="Times New Roman" w:hAnsi="Calibri" w:cs="Calibri"/>
          <w:color w:val="000000" w:themeColor="text1"/>
          <w:lang w:eastAsia="en-AU"/>
        </w:rPr>
      </w:pPr>
      <w:r w:rsidRPr="007D162C">
        <w:t xml:space="preserve">The regulatory option was the preferred option for individuals, people with disability and disability organisations. </w:t>
      </w:r>
      <w:r w:rsidRPr="007D162C">
        <w:rPr>
          <w:rFonts w:ascii="Calibri" w:hAnsi="Calibri" w:cs="Calibri"/>
          <w:color w:val="000000"/>
          <w:shd w:val="clear" w:color="auto" w:fill="FFFFFF"/>
        </w:rPr>
        <w:t xml:space="preserve">Most submissions received from </w:t>
      </w:r>
      <w:r w:rsidRPr="007D162C">
        <w:rPr>
          <w:rFonts w:ascii="Calibri" w:eastAsia="Times New Roman" w:hAnsi="Calibri" w:cs="Calibri"/>
          <w:color w:val="000000"/>
          <w:lang w:eastAsia="en-AU"/>
        </w:rPr>
        <w:t xml:space="preserve">industry and government stakeholders also preferred the regulatory option, with those who supported both the regulatory and non-regulatory options both citing concerns regarding cost and internal conveyance design limitations in adopting the regulatory approach. </w:t>
      </w:r>
    </w:p>
    <w:p w14:paraId="7FDD7FD2" w14:textId="3769E189" w:rsidR="009B58C3" w:rsidRPr="007D162C" w:rsidRDefault="00E1199F" w:rsidP="00CF7427">
      <w:pPr>
        <w:pStyle w:val="Style5"/>
        <w:framePr w:wrap="around"/>
        <w:rPr>
          <w:rFonts w:ascii="Calibri" w:hAnsi="Calibri" w:cs="Calibri"/>
          <w:color w:val="000000" w:themeColor="text1"/>
        </w:rPr>
      </w:pPr>
      <w:r w:rsidRPr="007D162C">
        <w:rPr>
          <w:rFonts w:ascii="Calibri" w:hAnsi="Calibri" w:cs="Calibri"/>
          <w:color w:val="000000" w:themeColor="text1"/>
        </w:rPr>
        <w:lastRenderedPageBreak/>
        <w:t>In relation to concerns regarding internal conveyance design constraints, u</w:t>
      </w:r>
      <w:r w:rsidRPr="007D162C">
        <w:t xml:space="preserve">pdated technical specifications will provide certainty for industry and government regarding their obligations, but </w:t>
      </w:r>
      <w:r w:rsidRPr="007D162C">
        <w:rPr>
          <w:rFonts w:ascii="Calibri" w:hAnsi="Calibri" w:cs="Calibri"/>
          <w:color w:val="000000" w:themeColor="text1"/>
        </w:rPr>
        <w:t xml:space="preserve">allows </w:t>
      </w:r>
      <w:r w:rsidRPr="007D162C">
        <w:t xml:space="preserve">sufficient flexibility to address design and space constraints within different modes of transport by providing that </w:t>
      </w:r>
      <w:r w:rsidRPr="007D162C">
        <w:rPr>
          <w:rFonts w:ascii="Calibri" w:hAnsi="Calibri" w:cs="Calibri"/>
          <w:color w:val="000000" w:themeColor="text1"/>
        </w:rPr>
        <w:t>grabrails can be positioned as the use of space dictates</w:t>
      </w:r>
      <w:r w:rsidRPr="007D162C">
        <w:t>.</w:t>
      </w:r>
      <w:r w:rsidRPr="007D162C">
        <w:rPr>
          <w:rFonts w:ascii="Calibri" w:hAnsi="Calibri" w:cs="Calibri"/>
          <w:color w:val="000000" w:themeColor="text1"/>
        </w:rPr>
        <w:t xml:space="preserve"> This is reiterated in the updated guidance proposed under the regulatory option which highlights that t</w:t>
      </w:r>
      <w:r w:rsidRPr="007D162C">
        <w:t xml:space="preserve">he most functional outcome can be achieved through a process of consultation and co-design. </w:t>
      </w:r>
      <w:r w:rsidR="009B58C3" w:rsidRPr="007D162C">
        <w:t>N</w:t>
      </w:r>
      <w:r w:rsidR="009B58C3" w:rsidRPr="007D162C">
        <w:rPr>
          <w:rFonts w:ascii="Calibri" w:hAnsi="Calibri" w:cs="Calibri"/>
          <w:color w:val="000000"/>
          <w:shd w:val="clear" w:color="auto" w:fill="FFFFFF"/>
        </w:rPr>
        <w:t xml:space="preserve">oting </w:t>
      </w:r>
      <w:r w:rsidR="00F77FA4" w:rsidRPr="00F55FEE">
        <w:t>N</w:t>
      </w:r>
      <w:r w:rsidR="00F77FA4" w:rsidRPr="00F55FEE">
        <w:rPr>
          <w:shd w:val="clear" w:color="auto" w:fill="FFFFFF"/>
        </w:rPr>
        <w:t xml:space="preserve">oting </w:t>
      </w:r>
      <w:r w:rsidR="00F77FA4" w:rsidRPr="00F55FEE">
        <w:t>AS1428.1 (2009</w:t>
      </w:r>
      <w:r w:rsidR="00F77FA4" w:rsidRPr="00F77FA4">
        <w:t xml:space="preserve">) </w:t>
      </w:r>
      <w:r w:rsidR="00F77FA4" w:rsidRPr="00F77FA4">
        <w:rPr>
          <w:shd w:val="clear" w:color="auto" w:fill="FFFFFF"/>
        </w:rPr>
        <w:t xml:space="preserve">has now been superseded by </w:t>
      </w:r>
      <w:r w:rsidR="00F77FA4" w:rsidRPr="00F77FA4">
        <w:t xml:space="preserve">AS1428.1 (2021), reference to AS1428.1 (2009) clause 17 </w:t>
      </w:r>
      <w:r w:rsidR="00F77FA4" w:rsidRPr="00F77FA4">
        <w:rPr>
          <w:shd w:val="clear" w:color="auto" w:fill="FFFFFF"/>
        </w:rPr>
        <w:t xml:space="preserve">will be updated with equivalent </w:t>
      </w:r>
      <w:r w:rsidR="00F77FA4">
        <w:rPr>
          <w:shd w:val="clear" w:color="auto" w:fill="FFFFFF"/>
        </w:rPr>
        <w:t xml:space="preserve">clause </w:t>
      </w:r>
      <w:r w:rsidR="00F77FA4" w:rsidRPr="00F77FA4">
        <w:rPr>
          <w:shd w:val="clear" w:color="auto" w:fill="FFFFFF"/>
        </w:rPr>
        <w:t xml:space="preserve">reference in </w:t>
      </w:r>
      <w:r w:rsidR="00F77FA4" w:rsidRPr="00F77FA4">
        <w:t>AS1428.1 (2021)</w:t>
      </w:r>
      <w:r w:rsidR="00F77FA4" w:rsidRPr="00F55FEE">
        <w:t>. There is no material change to the content of these updated Australian Standards clauses.</w:t>
      </w:r>
    </w:p>
    <w:p w14:paraId="48426164" w14:textId="160D112F" w:rsidR="00E1199F" w:rsidRPr="007D162C" w:rsidRDefault="00E373EB" w:rsidP="00E1199F">
      <w:pPr>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br/>
      </w:r>
      <w:r w:rsidR="00E1199F" w:rsidRPr="007D162C">
        <w:rPr>
          <w:rFonts w:ascii="Calibri" w:eastAsia="Times New Roman" w:hAnsi="Calibri" w:cs="Calibri"/>
          <w:color w:val="000000" w:themeColor="text1"/>
          <w:lang w:eastAsia="en-AU"/>
        </w:rPr>
        <w:t>While acknowledging concerns regarding the cost of implementation</w:t>
      </w:r>
      <w:r w:rsidR="00E1199F" w:rsidRPr="007D162C">
        <w:t>, many submissions outlined that grabrails are already provided for in conveyance design. As grabrails are already required under the Transport Standards, any additional costs will be incurred to the extent that the layout of grabrails do</w:t>
      </w:r>
      <w:r w:rsidR="00ED6F7C">
        <w:t>es</w:t>
      </w:r>
      <w:r w:rsidR="00E1199F" w:rsidRPr="007D162C">
        <w:t xml:space="preserve"> not comply with new configuration or luminance contrast requirements. Costs to modify one or both design elements to comply with the new requirements would vary depending on the nature of the work required and the size of the fleet</w:t>
      </w:r>
      <w:r w:rsidR="00ED6F7C">
        <w:t>;</w:t>
      </w:r>
      <w:r w:rsidR="00E1199F" w:rsidRPr="007D162C">
        <w:t xml:space="preserve"> however</w:t>
      </w:r>
      <w:r w:rsidR="00ED6F7C">
        <w:t>,</w:t>
      </w:r>
      <w:r w:rsidR="00E1199F" w:rsidRPr="007D162C">
        <w:t xml:space="preserve"> the important safety feature provided by grabrails in moving conveyances cannot be overlooked.</w:t>
      </w:r>
      <w:r w:rsidR="00E1199F" w:rsidRPr="007D162C">
        <w:rPr>
          <w:rFonts w:ascii="Calibri" w:eastAsia="Times New Roman" w:hAnsi="Calibri" w:cs="Calibri"/>
          <w:color w:val="000000" w:themeColor="text1"/>
          <w:lang w:eastAsia="en-AU"/>
        </w:rPr>
        <w:t xml:space="preserve"> </w:t>
      </w:r>
    </w:p>
    <w:p w14:paraId="359F2680" w14:textId="3A29004C" w:rsidR="00E1199F" w:rsidRPr="007D162C" w:rsidRDefault="08D050C4" w:rsidP="00E1199F">
      <w:r w:rsidRPr="007D162C">
        <w:t xml:space="preserve">While acknowledging concerns from organisations representing the blind community and those with low vision regarding the proposed luminance contrasting requirements, these requirements have been developed by </w:t>
      </w:r>
      <w:r w:rsidR="00ED6F7C">
        <w:t xml:space="preserve">a </w:t>
      </w:r>
      <w:r w:rsidRPr="007D162C">
        <w:t xml:space="preserve">Standards Australia technical committee to ensure products, services, and systems are safe, consistent, and reliable. The objective of the referenced </w:t>
      </w:r>
      <w:r w:rsidR="00ED6F7C">
        <w:t xml:space="preserve">Australian </w:t>
      </w:r>
      <w:r w:rsidRPr="007D162C">
        <w:t xml:space="preserve">Standards is to provide design requirements to enable access for people with disabilities. The </w:t>
      </w:r>
      <w:r w:rsidR="00ED6F7C">
        <w:t>Australian</w:t>
      </w:r>
      <w:r w:rsidRPr="007D162C">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3594C8EE" w14:textId="7A5198E5" w:rsidR="00E1199F" w:rsidRPr="007D162C" w:rsidRDefault="08D050C4" w:rsidP="08D050C4">
      <w:pPr>
        <w:shd w:val="clear" w:color="auto" w:fill="FFFFFF" w:themeFill="background1"/>
        <w:spacing w:after="0"/>
      </w:pPr>
      <w:r w:rsidRPr="007D162C">
        <w:t xml:space="preserve">Clear requirements will provide consistency and increase the safety and confidence of passengers who will benefit from being able to locate well positioned grabrails that are fit-for-purpose for bespoke modes of public transport. </w:t>
      </w:r>
    </w:p>
    <w:p w14:paraId="27638D71" w14:textId="77777777" w:rsidR="00B25F10" w:rsidRPr="007D162C" w:rsidRDefault="00B25F10" w:rsidP="08D050C4">
      <w:pPr>
        <w:shd w:val="clear" w:color="auto" w:fill="FFFFFF" w:themeFill="background1"/>
        <w:spacing w:after="0"/>
        <w:rPr>
          <w:rFonts w:ascii="Calibri" w:hAnsi="Calibri" w:cs="Calibri"/>
          <w:color w:val="000000" w:themeColor="text1"/>
        </w:rPr>
      </w:pPr>
    </w:p>
    <w:p w14:paraId="27ED106E" w14:textId="77777777" w:rsidR="00E1199F" w:rsidRPr="007D162C" w:rsidRDefault="00E1199F" w:rsidP="00E1199F">
      <w:pPr>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 new Transport Standards requirements would apply to new conveyances and would not be retrospective. Consultation findings indicate that most conveyances should already be compliant and those that are not are difficult or not feasible to retrofit due to conveyance space and design constraints. This would address the primary concerns of stakeholders. </w:t>
      </w:r>
    </w:p>
    <w:p w14:paraId="06B80316" w14:textId="77777777" w:rsidR="000F79C9" w:rsidRPr="007D162C" w:rsidRDefault="000F79C9" w:rsidP="000F79C9">
      <w:r w:rsidRPr="007D162C">
        <w:t>The preferred option will be implemented through amendments to the Transport Standards and Guidelines. Operators and providers will be required to meet the new Transport Standards requirements prospectively with a trigger mechanism.</w:t>
      </w:r>
    </w:p>
    <w:p w14:paraId="4C9C07C1" w14:textId="77777777" w:rsidR="00E1199F" w:rsidRPr="007D162C" w:rsidRDefault="00E1199F" w:rsidP="00E1199F"/>
    <w:p w14:paraId="18E24F02" w14:textId="77777777" w:rsidR="00E1199F" w:rsidRPr="007D162C" w:rsidRDefault="00E1199F" w:rsidP="00E1199F">
      <w:pPr>
        <w:rPr>
          <w:rFonts w:ascii="Calibri" w:eastAsia="Calibri" w:hAnsi="Calibri" w:cs="Calibri"/>
          <w:color w:val="081E3E"/>
          <w:kern w:val="12"/>
          <w:sz w:val="36"/>
          <w:szCs w:val="36"/>
        </w:rPr>
      </w:pPr>
      <w:r w:rsidRPr="007D162C">
        <w:br w:type="page"/>
      </w:r>
    </w:p>
    <w:p w14:paraId="3CFDB5AD" w14:textId="4C2A280C" w:rsidR="00E1199F" w:rsidRPr="007D162C" w:rsidRDefault="00E1199F" w:rsidP="00524B3D">
      <w:pPr>
        <w:pStyle w:val="Heading2"/>
        <w:numPr>
          <w:ilvl w:val="0"/>
          <w:numId w:val="30"/>
        </w:numPr>
        <w:ind w:hanging="720"/>
      </w:pPr>
      <w:bookmarkStart w:id="641" w:name="_Toc127351805"/>
      <w:bookmarkStart w:id="642" w:name="_Toc140239763"/>
      <w:r w:rsidRPr="007D162C">
        <w:lastRenderedPageBreak/>
        <w:t>Mobility aid movement in allocated spaces – passive restraints</w:t>
      </w:r>
      <w:bookmarkEnd w:id="641"/>
      <w:bookmarkEnd w:id="642"/>
    </w:p>
    <w:p w14:paraId="6C2F7F4B" w14:textId="77777777" w:rsidR="00E1199F" w:rsidRPr="007D162C" w:rsidRDefault="00E1199F" w:rsidP="00E1199F">
      <w:pPr>
        <w:pStyle w:val="Heading4"/>
        <w:tabs>
          <w:tab w:val="left" w:pos="284"/>
        </w:tabs>
      </w:pPr>
      <w:r w:rsidRPr="007D162C">
        <w:t>Issue</w:t>
      </w:r>
    </w:p>
    <w:p w14:paraId="75334B17" w14:textId="77777777" w:rsidR="00E1199F" w:rsidRPr="007D162C" w:rsidRDefault="08D050C4" w:rsidP="00E1199F">
      <w:pPr>
        <w:tabs>
          <w:tab w:val="left" w:pos="284"/>
        </w:tabs>
      </w:pPr>
      <w:r w:rsidRPr="007D162C">
        <w:t>Uncontained mobility devices in allocated spaces on conveyances can topple or slide, particularly if a bus executes a turn at speed or is displaced laterally due to kerb strike, or due to the lateral displacement forces caused by necessary acceleration or deceleration. This puts the occupant of the mobility aid at risk, as well as passengers who may be struck by the sliding or toppling wheelchair or scooter. The Transport Standards require an allocated space must contain movement of a mobility aid towards the front and sides of a conveyance, but do not provide information on how this can be done. This lack of information creates uncertainty for operators and inconsistency for people with disability.</w:t>
      </w:r>
    </w:p>
    <w:p w14:paraId="4BD4B275" w14:textId="77777777" w:rsidR="00E1199F" w:rsidRPr="007D162C" w:rsidRDefault="00E1199F" w:rsidP="00E1199F">
      <w:pPr>
        <w:tabs>
          <w:tab w:val="left" w:pos="284"/>
        </w:tabs>
      </w:pPr>
      <w:r w:rsidRPr="007D162C">
        <w:t>Collective government action would ensure allocated spaces on board conveyances are safe and address key stakeholder issues raised through the Transport Standards review process.</w:t>
      </w:r>
    </w:p>
    <w:p w14:paraId="39CF0B25" w14:textId="77777777" w:rsidR="00E1199F" w:rsidRPr="007D162C" w:rsidRDefault="00E1199F" w:rsidP="00E1199F">
      <w:pPr>
        <w:pStyle w:val="Heading4"/>
        <w:tabs>
          <w:tab w:val="left" w:pos="284"/>
        </w:tabs>
      </w:pPr>
      <w:r w:rsidRPr="007D162C">
        <w:t>Reform options</w:t>
      </w:r>
    </w:p>
    <w:p w14:paraId="56EB5FB5" w14:textId="77777777" w:rsidR="00E1199F" w:rsidRPr="007D162C" w:rsidRDefault="00E1199F" w:rsidP="00E1199F">
      <w:pPr>
        <w:tabs>
          <w:tab w:val="left" w:pos="284"/>
        </w:tabs>
      </w:pPr>
      <w:r w:rsidRPr="007D162C">
        <w:t>Following is a summary of the proposed options for this reform. Full details of each reform option is provided at Appendix A.</w:t>
      </w:r>
    </w:p>
    <w:p w14:paraId="1EC397B8" w14:textId="5F228BEA" w:rsidR="00E1199F" w:rsidRPr="007D162C" w:rsidRDefault="00E1199F" w:rsidP="00E1199F">
      <w:pPr>
        <w:pStyle w:val="Caption"/>
        <w:keepNext/>
      </w:pPr>
      <w:bookmarkStart w:id="643" w:name="_Toc122446469"/>
      <w:bookmarkStart w:id="644" w:name="_Toc139969307"/>
      <w:r w:rsidRPr="007D162C">
        <w:t xml:space="preserve">Table </w:t>
      </w:r>
      <w:fldSimple w:instr=" SEQ Table \* ARABIC ">
        <w:r w:rsidR="00DC26AC">
          <w:rPr>
            <w:noProof/>
          </w:rPr>
          <w:t>149</w:t>
        </w:r>
      </w:fldSimple>
      <w:r w:rsidRPr="007D162C">
        <w:rPr>
          <w:noProof/>
        </w:rPr>
        <w:t>: Reform options for</w:t>
      </w:r>
      <w:r w:rsidRPr="007D162C">
        <w:t xml:space="preserve"> </w:t>
      </w:r>
      <w:r w:rsidRPr="007D162C">
        <w:rPr>
          <w:noProof/>
        </w:rPr>
        <w:t>mobility aid movement in allocated spaces – passive restraints</w:t>
      </w:r>
      <w:bookmarkEnd w:id="643"/>
      <w:bookmarkEnd w:id="644"/>
    </w:p>
    <w:tbl>
      <w:tblPr>
        <w:tblStyle w:val="DefaultTable1"/>
        <w:tblW w:w="9072" w:type="dxa"/>
        <w:tblLook w:val="04A0" w:firstRow="1" w:lastRow="0" w:firstColumn="1" w:lastColumn="0" w:noHBand="0" w:noVBand="1"/>
        <w:tblCaption w:val="Reform options for mobility aid movement in allocated spaces – passive restraints"/>
        <w:tblDescription w:val="This table provides a description of each of the options for this reform area. Status quo, non-regulatory and regulatory."/>
      </w:tblPr>
      <w:tblGrid>
        <w:gridCol w:w="2232"/>
        <w:gridCol w:w="6840"/>
      </w:tblGrid>
      <w:tr w:rsidR="00E1199F" w:rsidRPr="007D162C" w14:paraId="2486D3F9"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A03613" w14:textId="77777777" w:rsidR="00E1199F" w:rsidRPr="007D162C" w:rsidRDefault="00E1199F" w:rsidP="00E1199F">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vAlign w:val="center"/>
          </w:tcPr>
          <w:p w14:paraId="2D4754A4" w14:textId="77777777" w:rsidR="00E1199F" w:rsidRPr="007D162C"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1199F" w:rsidRPr="007D162C" w14:paraId="7B96D40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7EBA5E" w14:textId="77777777" w:rsidR="00E1199F" w:rsidRPr="007D162C" w:rsidRDefault="00E1199F" w:rsidP="00E1199F">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vAlign w:val="center"/>
          </w:tcPr>
          <w:p w14:paraId="0FC089DC"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 xml:space="preserve">The Transport Standards require that an allocated space must contain movement of a mobility aid towards the front and sides of a conveyance only. </w:t>
            </w:r>
          </w:p>
          <w:p w14:paraId="68756B00"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1199F" w:rsidRPr="007D162C" w14:paraId="1AF46947"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645152D5"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Non-regulatory</w:t>
            </w:r>
          </w:p>
        </w:tc>
        <w:tc>
          <w:tcPr>
            <w:tcW w:w="6840" w:type="dxa"/>
            <w:vAlign w:val="center"/>
          </w:tcPr>
          <w:p w14:paraId="1EE38F12"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Guidance would be updated to include more refined advice for containment of mobility aids in allocated spaces for buses, ferries, trams and light rail.</w:t>
            </w:r>
          </w:p>
        </w:tc>
      </w:tr>
      <w:tr w:rsidR="00E1199F" w:rsidRPr="007D162C" w14:paraId="19ADDB2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D778410" w14:textId="77777777" w:rsidR="00E1199F" w:rsidRPr="007D162C" w:rsidRDefault="00E1199F" w:rsidP="00E1199F">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vAlign w:val="center"/>
          </w:tcPr>
          <w:p w14:paraId="5D122749"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would be amended to include more defined requirements for containment of mobility aids in allocated spaces and define passive restraint systems. The Transport Standards would also include new requirements for buses, trams and light rail for mobility aids in allocated spaces including:</w:t>
            </w:r>
          </w:p>
          <w:p w14:paraId="1C7A14AE"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Each allocated space to contain movement of a mobility aid towards the front, rear and sides of a bus.</w:t>
            </w:r>
          </w:p>
          <w:p w14:paraId="1278260A" w14:textId="77777777" w:rsidR="00E1199F" w:rsidRPr="007D162C" w:rsidRDefault="00E1199F" w:rsidP="006F65FB">
            <w:pPr>
              <w:pStyle w:val="Bullet1"/>
              <w:numPr>
                <w:ilvl w:val="0"/>
                <w:numId w:val="24"/>
              </w:numPr>
              <w:cnfStyle w:val="000000100000" w:firstRow="0" w:lastRow="0" w:firstColumn="0" w:lastColumn="0" w:oddVBand="0" w:evenVBand="0" w:oddHBand="1" w:evenHBand="0" w:firstRowFirstColumn="0" w:firstRowLastColumn="0" w:lastRowFirstColumn="0" w:lastRowLastColumn="0"/>
            </w:pPr>
            <w:r w:rsidRPr="007D162C">
              <w:t>Each allocated space must contain movement of a mobility aid towards the front, rear and wall side of a tram or light rail car.</w:t>
            </w:r>
          </w:p>
          <w:p w14:paraId="26580468"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The Transport Standards Guidelines and /or The Whole Journey Guide would be updated to reflect new requirements.</w:t>
            </w:r>
          </w:p>
        </w:tc>
      </w:tr>
    </w:tbl>
    <w:p w14:paraId="13031DB7" w14:textId="77777777" w:rsidR="00F47B58" w:rsidRPr="007D162C" w:rsidRDefault="00F47B58" w:rsidP="00F47B58">
      <w:pPr>
        <w:pStyle w:val="BodyText"/>
      </w:pPr>
    </w:p>
    <w:p w14:paraId="3DBD4B0C" w14:textId="28605755" w:rsidR="00E1199F" w:rsidRPr="007D162C" w:rsidRDefault="00E1199F" w:rsidP="00E1199F">
      <w:pPr>
        <w:pStyle w:val="Heading4"/>
        <w:tabs>
          <w:tab w:val="left" w:pos="284"/>
        </w:tabs>
      </w:pPr>
      <w:r w:rsidRPr="007D162C">
        <w:lastRenderedPageBreak/>
        <w:t>Cost benefit analysis</w:t>
      </w:r>
    </w:p>
    <w:p w14:paraId="21F4EA12"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 xml:space="preserve">Quantitative assessment </w:t>
      </w:r>
    </w:p>
    <w:p w14:paraId="4BC47ECB" w14:textId="77777777" w:rsidR="00E1199F" w:rsidRPr="007D162C" w:rsidRDefault="00E1199F" w:rsidP="00E1199F">
      <w:r w:rsidRPr="007D162C">
        <w:t xml:space="preserve">The following categories of quantitative costs and benefits were identified in the CBA as pertaining to the reform options. </w:t>
      </w:r>
    </w:p>
    <w:p w14:paraId="4C410BCF" w14:textId="74595BE5" w:rsidR="00E1199F" w:rsidRPr="007D162C" w:rsidRDefault="00E1199F" w:rsidP="00E1199F">
      <w:pPr>
        <w:pStyle w:val="Caption"/>
        <w:keepNext/>
      </w:pPr>
      <w:bookmarkStart w:id="645" w:name="_Toc122446470"/>
      <w:bookmarkStart w:id="646" w:name="_Toc139969308"/>
      <w:r w:rsidRPr="007D162C">
        <w:t xml:space="preserve">Table </w:t>
      </w:r>
      <w:fldSimple w:instr=" SEQ Table \* ARABIC ">
        <w:r w:rsidR="00DC26AC">
          <w:rPr>
            <w:noProof/>
          </w:rPr>
          <w:t>150</w:t>
        </w:r>
      </w:fldSimple>
      <w:r w:rsidRPr="007D162C">
        <w:t xml:space="preserve">: Benefit-cost ratios </w:t>
      </w:r>
      <w:r w:rsidRPr="007D162C">
        <w:rPr>
          <w:noProof/>
        </w:rPr>
        <w:t>for</w:t>
      </w:r>
      <w:r w:rsidRPr="007D162C">
        <w:t xml:space="preserve"> </w:t>
      </w:r>
      <w:r w:rsidRPr="007D162C">
        <w:rPr>
          <w:noProof/>
        </w:rPr>
        <w:t>mobility aid movement in allocated spaces – passive restraints</w:t>
      </w:r>
      <w:bookmarkEnd w:id="645"/>
      <w:bookmarkEnd w:id="646"/>
    </w:p>
    <w:tbl>
      <w:tblPr>
        <w:tblStyle w:val="DefaultTable1"/>
        <w:tblW w:w="9864" w:type="dxa"/>
        <w:tblLook w:val="04A0" w:firstRow="1" w:lastRow="0" w:firstColumn="1" w:lastColumn="0" w:noHBand="0" w:noVBand="1"/>
        <w:tblCaption w:val="Benefit-cost ratios for mobility aid movement in allocated spaces – passive restraints"/>
        <w:tblDescription w:val="This table provides the monetised benefits and costs for each of the options for this reform area."/>
      </w:tblPr>
      <w:tblGrid>
        <w:gridCol w:w="1214"/>
        <w:gridCol w:w="1531"/>
        <w:gridCol w:w="1791"/>
        <w:gridCol w:w="1573"/>
        <w:gridCol w:w="1539"/>
        <w:gridCol w:w="2216"/>
      </w:tblGrid>
      <w:tr w:rsidR="00E1199F" w:rsidRPr="007D162C" w14:paraId="600B515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66EEAC6" w14:textId="77777777" w:rsidR="00E1199F" w:rsidRPr="007D162C" w:rsidRDefault="08D050C4" w:rsidP="00E1199F">
            <w:r w:rsidRPr="007D162C">
              <w:t>Reform Option</w:t>
            </w:r>
          </w:p>
        </w:tc>
        <w:tc>
          <w:tcPr>
            <w:tcW w:w="1531" w:type="dxa"/>
          </w:tcPr>
          <w:p w14:paraId="1831A152"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benefits*</w:t>
            </w:r>
          </w:p>
        </w:tc>
        <w:tc>
          <w:tcPr>
            <w:tcW w:w="1791" w:type="dxa"/>
          </w:tcPr>
          <w:p w14:paraId="4306962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(administrative)*</w:t>
            </w:r>
          </w:p>
        </w:tc>
        <w:tc>
          <w:tcPr>
            <w:tcW w:w="1573" w:type="dxa"/>
          </w:tcPr>
          <w:p w14:paraId="6EBAA443"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compliance costs (substantive)*</w:t>
            </w:r>
          </w:p>
        </w:tc>
        <w:tc>
          <w:tcPr>
            <w:tcW w:w="1539" w:type="dxa"/>
          </w:tcPr>
          <w:p w14:paraId="093C9F98"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Monetised total compliance costs*</w:t>
            </w:r>
          </w:p>
        </w:tc>
        <w:tc>
          <w:tcPr>
            <w:tcW w:w="2216" w:type="dxa"/>
          </w:tcPr>
          <w:p w14:paraId="75C34A6E"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Benefit-cost ratio</w:t>
            </w:r>
          </w:p>
        </w:tc>
      </w:tr>
      <w:tr w:rsidR="00E1199F" w:rsidRPr="007D162C" w14:paraId="68783AF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D3CB90C" w14:textId="77777777" w:rsidR="00E1199F" w:rsidRPr="007D162C" w:rsidRDefault="00E1199F" w:rsidP="00E1199F">
            <w:r w:rsidRPr="007D162C">
              <w:t>Status Quo</w:t>
            </w:r>
          </w:p>
        </w:tc>
        <w:tc>
          <w:tcPr>
            <w:tcW w:w="1531" w:type="dxa"/>
          </w:tcPr>
          <w:p w14:paraId="0D93C28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791" w:type="dxa"/>
          </w:tcPr>
          <w:p w14:paraId="789B4FBF"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tcPr>
          <w:p w14:paraId="794F38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39" w:type="dxa"/>
          </w:tcPr>
          <w:p w14:paraId="6F4648E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2216" w:type="dxa"/>
          </w:tcPr>
          <w:p w14:paraId="76670002"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3CEEA88B"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677A373E" w14:textId="77777777" w:rsidR="00E1199F" w:rsidRPr="007D162C" w:rsidRDefault="00E1199F" w:rsidP="00E1199F">
            <w:r w:rsidRPr="007D162C">
              <w:t xml:space="preserve">Non-regulatory </w:t>
            </w:r>
          </w:p>
        </w:tc>
        <w:tc>
          <w:tcPr>
            <w:tcW w:w="1531" w:type="dxa"/>
            <w:vAlign w:val="center"/>
          </w:tcPr>
          <w:p w14:paraId="56A643DA"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w:t>
            </w:r>
          </w:p>
        </w:tc>
        <w:tc>
          <w:tcPr>
            <w:tcW w:w="1791" w:type="dxa"/>
          </w:tcPr>
          <w:p w14:paraId="4385E57A"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573" w:type="dxa"/>
            <w:vAlign w:val="center"/>
          </w:tcPr>
          <w:p w14:paraId="02C146A6"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6.3</w:t>
            </w:r>
          </w:p>
        </w:tc>
        <w:tc>
          <w:tcPr>
            <w:tcW w:w="1539" w:type="dxa"/>
            <w:vAlign w:val="center"/>
          </w:tcPr>
          <w:p w14:paraId="4BC0132A" w14:textId="0CCBF4F8"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6.3</w:t>
            </w:r>
            <w:r w:rsidRPr="007D162C">
              <w:rPr>
                <w:sz w:val="18"/>
                <w:szCs w:val="18"/>
                <w:vertAlign w:val="superscript"/>
              </w:rPr>
              <w:t xml:space="preserve"> i</w:t>
            </w:r>
          </w:p>
        </w:tc>
        <w:tc>
          <w:tcPr>
            <w:tcW w:w="2216" w:type="dxa"/>
            <w:vAlign w:val="center"/>
          </w:tcPr>
          <w:p w14:paraId="22AC0954" w14:textId="77777777" w:rsidR="00E1199F" w:rsidRPr="007D162C" w:rsidRDefault="08D050C4" w:rsidP="08D050C4">
            <w:pPr>
              <w:cnfStyle w:val="000000000000" w:firstRow="0" w:lastRow="0" w:firstColumn="0" w:lastColumn="0" w:oddVBand="0" w:evenVBand="0" w:oddHBand="0" w:evenHBand="0" w:firstRowFirstColumn="0" w:firstRowLastColumn="0" w:lastRowFirstColumn="0" w:lastRowLastColumn="0"/>
            </w:pPr>
            <w:r w:rsidRPr="007D162C">
              <w:rPr>
                <w:sz w:val="18"/>
                <w:szCs w:val="18"/>
              </w:rPr>
              <w:t>0.00</w:t>
            </w:r>
          </w:p>
        </w:tc>
      </w:tr>
      <w:tr w:rsidR="00E1199F" w:rsidRPr="007D162C" w14:paraId="2083A10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AC4ABD9" w14:textId="77777777" w:rsidR="00E1199F" w:rsidRPr="007D162C" w:rsidRDefault="00E1199F" w:rsidP="00E1199F">
            <w:r w:rsidRPr="007D162C">
              <w:t>Regulatory</w:t>
            </w:r>
          </w:p>
        </w:tc>
        <w:tc>
          <w:tcPr>
            <w:tcW w:w="1531" w:type="dxa"/>
            <w:vAlign w:val="center"/>
          </w:tcPr>
          <w:p w14:paraId="56016505"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2.7</w:t>
            </w:r>
          </w:p>
        </w:tc>
        <w:tc>
          <w:tcPr>
            <w:tcW w:w="1791" w:type="dxa"/>
          </w:tcPr>
          <w:p w14:paraId="0E8D4BB5"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573" w:type="dxa"/>
            <w:vAlign w:val="center"/>
          </w:tcPr>
          <w:p w14:paraId="5D9E1EE4"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43.7</w:t>
            </w:r>
          </w:p>
        </w:tc>
        <w:tc>
          <w:tcPr>
            <w:tcW w:w="1539" w:type="dxa"/>
            <w:vAlign w:val="center"/>
          </w:tcPr>
          <w:p w14:paraId="1613FD41"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43.7</w:t>
            </w:r>
          </w:p>
        </w:tc>
        <w:tc>
          <w:tcPr>
            <w:tcW w:w="2216" w:type="dxa"/>
            <w:vAlign w:val="center"/>
          </w:tcPr>
          <w:p w14:paraId="17E753B9" w14:textId="77777777" w:rsidR="00E1199F" w:rsidRPr="007D162C" w:rsidRDefault="08D050C4" w:rsidP="08D050C4">
            <w:pPr>
              <w:cnfStyle w:val="000000100000" w:firstRow="0" w:lastRow="0" w:firstColumn="0" w:lastColumn="0" w:oddVBand="0" w:evenVBand="0" w:oddHBand="1" w:evenHBand="0" w:firstRowFirstColumn="0" w:firstRowLastColumn="0" w:lastRowFirstColumn="0" w:lastRowLastColumn="0"/>
            </w:pPr>
            <w:r w:rsidRPr="007D162C">
              <w:rPr>
                <w:sz w:val="18"/>
                <w:szCs w:val="18"/>
              </w:rPr>
              <w:t>0.06</w:t>
            </w:r>
          </w:p>
        </w:tc>
      </w:tr>
    </w:tbl>
    <w:p w14:paraId="74C51B39" w14:textId="77777777" w:rsidR="00E1199F" w:rsidRPr="007D162C" w:rsidRDefault="00E1199F" w:rsidP="00E1199F">
      <w:pPr>
        <w:spacing w:before="120" w:after="0"/>
        <w:rPr>
          <w:sz w:val="20"/>
          <w:szCs w:val="20"/>
        </w:rPr>
      </w:pPr>
      <w:r w:rsidRPr="007D162C">
        <w:rPr>
          <w:sz w:val="20"/>
          <w:szCs w:val="20"/>
          <w:vertAlign w:val="superscript"/>
        </w:rPr>
        <w:t>*</w:t>
      </w:r>
      <w:r w:rsidRPr="007D162C">
        <w:rPr>
          <w:sz w:val="20"/>
          <w:szCs w:val="20"/>
        </w:rPr>
        <w:t>$M, 2022/23, real, discounted at 7% over a 15-year appraisal period after implementation of all reforms, assessed incrementally</w:t>
      </w:r>
    </w:p>
    <w:p w14:paraId="48B254D0" w14:textId="77777777" w:rsidR="00E1199F" w:rsidRPr="007D162C" w:rsidRDefault="08D050C4" w:rsidP="08D050C4">
      <w:pPr>
        <w:spacing w:before="120" w:after="0"/>
        <w:rPr>
          <w:sz w:val="20"/>
          <w:szCs w:val="20"/>
        </w:rPr>
      </w:pPr>
      <w:r w:rsidRPr="007D162C">
        <w:rPr>
          <w:sz w:val="20"/>
          <w:szCs w:val="20"/>
          <w:vertAlign w:val="superscript"/>
        </w:rPr>
        <w:t>(i)</w:t>
      </w:r>
      <w:r w:rsidRPr="007D162C">
        <w:rPr>
          <w:sz w:val="20"/>
          <w:szCs w:val="20"/>
        </w:rPr>
        <w:t>Non-regulatory compliance rates are calculated using assumptions about retrospective and prospective take-up rates, and are not a percentage of the regulatory costs.</w:t>
      </w:r>
    </w:p>
    <w:p w14:paraId="0CF2FF9F" w14:textId="77777777" w:rsidR="00F302D5" w:rsidRPr="007D162C" w:rsidRDefault="00F302D5" w:rsidP="00F302D5">
      <w:pPr>
        <w:pStyle w:val="BodyText"/>
      </w:pPr>
    </w:p>
    <w:p w14:paraId="6D63E91E" w14:textId="0781785B" w:rsidR="00E1199F" w:rsidRPr="007D162C" w:rsidRDefault="00E1199F" w:rsidP="00E1199F">
      <w:pPr>
        <w:pStyle w:val="Heading6"/>
      </w:pPr>
      <w:r w:rsidRPr="007D162C">
        <w:t>Considerations to note in interpreting analysis</w:t>
      </w:r>
    </w:p>
    <w:p w14:paraId="2CF32168" w14:textId="77777777" w:rsidR="00E1199F" w:rsidRPr="007D162C" w:rsidRDefault="00E1199F" w:rsidP="00F302D5">
      <w:pPr>
        <w:pStyle w:val="Heading7"/>
      </w:pPr>
      <w:r w:rsidRPr="007D162C">
        <w:t>Limitations:</w:t>
      </w:r>
    </w:p>
    <w:p w14:paraId="06554FDA" w14:textId="77777777" w:rsidR="00E1199F" w:rsidRPr="007D162C" w:rsidRDefault="00E1199F" w:rsidP="00F302D5">
      <w:pPr>
        <w:pStyle w:val="Heading8"/>
      </w:pPr>
      <w:r w:rsidRPr="007D162C">
        <w:t>Non-regulatory option:</w:t>
      </w:r>
    </w:p>
    <w:p w14:paraId="11E51319" w14:textId="3D086CDD" w:rsidR="00E1199F" w:rsidRPr="007D162C" w:rsidRDefault="00E1199F" w:rsidP="00F302D5">
      <w:pPr>
        <w:pStyle w:val="Listparagraphbullets"/>
        <w:numPr>
          <w:ilvl w:val="0"/>
          <w:numId w:val="0"/>
        </w:numPr>
        <w:autoSpaceDE w:val="0"/>
        <w:autoSpaceDN w:val="0"/>
        <w:spacing w:after="0"/>
      </w:pPr>
      <w:r w:rsidRPr="007D162C">
        <w:t>The costs and benefits associated with the non-regulatory reform are lower than its regulatory counterpart. reflecting an assumed lower rate of compliance with the reform. An estimated rate of uptake of 75</w:t>
      </w:r>
      <w:r w:rsidR="00B140F4">
        <w:t xml:space="preserve"> per cent</w:t>
      </w:r>
      <w:r w:rsidRPr="007D162C">
        <w:t xml:space="preserve"> of new assets was applied to the non-regulatory option based on submissions which have indicated guidance will be incorporated into operator and provider asset standards. Existing assets were not expected to be upgraded. This implies that the benefits and costs quantified for this non-regulatory reform may not reflect future take-up of the reform.</w:t>
      </w:r>
    </w:p>
    <w:p w14:paraId="0AE90303" w14:textId="77777777" w:rsidR="00F302D5" w:rsidRPr="007D162C" w:rsidRDefault="00F302D5" w:rsidP="00F302D5">
      <w:pPr>
        <w:pStyle w:val="Listparagraphbullets"/>
        <w:numPr>
          <w:ilvl w:val="0"/>
          <w:numId w:val="0"/>
        </w:numPr>
        <w:autoSpaceDE w:val="0"/>
        <w:autoSpaceDN w:val="0"/>
        <w:spacing w:after="0"/>
      </w:pPr>
    </w:p>
    <w:p w14:paraId="1C1A62B4" w14:textId="77777777" w:rsidR="00E1199F" w:rsidRPr="007D162C" w:rsidRDefault="00E1199F" w:rsidP="00F302D5">
      <w:pPr>
        <w:pStyle w:val="Heading8"/>
      </w:pPr>
      <w:r w:rsidRPr="007D162C">
        <w:t>Regulatory option:</w:t>
      </w:r>
    </w:p>
    <w:p w14:paraId="3924C4ED" w14:textId="5E5180C6" w:rsidR="00F302D5" w:rsidRPr="007D162C" w:rsidRDefault="00E1199F" w:rsidP="00B140F4">
      <w:r w:rsidRPr="007D162C">
        <w:t>The benefits and costs were estimated from small number of data points from the survey and proxied at a national level meaning the results may not fully reflect the existing levels of compliance.</w:t>
      </w:r>
    </w:p>
    <w:p w14:paraId="04E2E7D1" w14:textId="4BE3F54F" w:rsidR="00874437" w:rsidRPr="007D162C" w:rsidRDefault="00E1199F" w:rsidP="00B140F4">
      <w:r w:rsidRPr="007D162C">
        <w:t>This reform results in safety benefits for a single cohort of beneficiaries at a single point in their journey, whereas the costs in retrofitting existing conveyances with passive restraints applies to a high proportion of conveyances.</w:t>
      </w:r>
    </w:p>
    <w:p w14:paraId="0FE3EC22" w14:textId="54D5313F" w:rsidR="00E1199F" w:rsidRPr="007D162C" w:rsidRDefault="00E1199F" w:rsidP="00F302D5">
      <w:pPr>
        <w:pStyle w:val="Heading8"/>
      </w:pPr>
      <w:r w:rsidRPr="007D162C">
        <w:t xml:space="preserve">Interdependencies: </w:t>
      </w:r>
    </w:p>
    <w:p w14:paraId="35E69876" w14:textId="77777777" w:rsidR="00E1199F" w:rsidRPr="007D162C" w:rsidRDefault="00E1199F" w:rsidP="00F302D5">
      <w:pPr>
        <w:pStyle w:val="Listparagraphbullets"/>
        <w:numPr>
          <w:ilvl w:val="0"/>
          <w:numId w:val="0"/>
        </w:numPr>
        <w:autoSpaceDE w:val="0"/>
        <w:autoSpaceDN w:val="0"/>
        <w:spacing w:after="0"/>
      </w:pPr>
      <w:r w:rsidRPr="007D162C">
        <w:t>The accessibility benefits associated with this reform will only be realised if there was equitable access across the whole public transport journey, with benefits reliant on implementation of other reforms such as bus, tram and light rail boarding points and identification of lead stops.</w:t>
      </w:r>
    </w:p>
    <w:p w14:paraId="6A73C4FA" w14:textId="77777777" w:rsidR="00E1199F" w:rsidRPr="007D162C"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76588A0D" w14:textId="77777777" w:rsidR="00E1199F" w:rsidRPr="007D162C" w:rsidRDefault="00E1199F" w:rsidP="00E1199F">
      <w:r w:rsidRPr="007D162C">
        <w:t>The following categories of qualitative benefits were identified in the CBA as pertaining to the reform options.</w:t>
      </w:r>
    </w:p>
    <w:p w14:paraId="3DB50FC1" w14:textId="6EC22384" w:rsidR="00E1199F" w:rsidRPr="007D162C" w:rsidRDefault="00E1199F" w:rsidP="00E1199F">
      <w:pPr>
        <w:pStyle w:val="Caption"/>
        <w:keepNext/>
      </w:pPr>
      <w:bookmarkStart w:id="647" w:name="_Toc122446471"/>
      <w:bookmarkStart w:id="648" w:name="_Toc139969309"/>
      <w:r w:rsidRPr="007D162C">
        <w:t xml:space="preserve">Table </w:t>
      </w:r>
      <w:fldSimple w:instr=" SEQ Table \* ARABIC ">
        <w:r w:rsidR="00DC26AC">
          <w:rPr>
            <w:noProof/>
          </w:rPr>
          <w:t>151</w:t>
        </w:r>
      </w:fldSimple>
      <w:r w:rsidRPr="007D162C">
        <w:rPr>
          <w:noProof/>
        </w:rPr>
        <w:t xml:space="preserve">: </w:t>
      </w:r>
      <w:r w:rsidRPr="007D162C">
        <w:t xml:space="preserve">Qualitative benefits </w:t>
      </w:r>
      <w:r w:rsidRPr="007D162C">
        <w:rPr>
          <w:noProof/>
        </w:rPr>
        <w:t>for</w:t>
      </w:r>
      <w:r w:rsidRPr="007D162C">
        <w:t xml:space="preserve"> </w:t>
      </w:r>
      <w:r w:rsidRPr="007D162C">
        <w:rPr>
          <w:noProof/>
        </w:rPr>
        <w:t>mobility aid movement in allocated spaces – passive restraints</w:t>
      </w:r>
      <w:bookmarkEnd w:id="647"/>
      <w:bookmarkEnd w:id="648"/>
    </w:p>
    <w:tbl>
      <w:tblPr>
        <w:tblStyle w:val="DefaultTable1"/>
        <w:tblW w:w="9864" w:type="dxa"/>
        <w:tblLook w:val="04A0" w:firstRow="1" w:lastRow="0" w:firstColumn="1" w:lastColumn="0" w:noHBand="0" w:noVBand="1"/>
        <w:tblCaption w:val="Qualitative benefits for mobility aid movement in allocated spaces – passive restraints"/>
      </w:tblPr>
      <w:tblGrid>
        <w:gridCol w:w="1213"/>
        <w:gridCol w:w="1343"/>
        <w:gridCol w:w="1626"/>
        <w:gridCol w:w="1300"/>
        <w:gridCol w:w="1278"/>
        <w:gridCol w:w="1641"/>
        <w:gridCol w:w="1463"/>
      </w:tblGrid>
      <w:tr w:rsidR="00E1199F" w:rsidRPr="007D162C" w14:paraId="0BB026A5"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62A42D7" w14:textId="77777777" w:rsidR="00E1199F" w:rsidRPr="007D162C" w:rsidRDefault="08D050C4" w:rsidP="00E1199F">
            <w:r w:rsidRPr="007D162C">
              <w:t>Reform Option</w:t>
            </w:r>
          </w:p>
        </w:tc>
        <w:tc>
          <w:tcPr>
            <w:tcW w:w="1343" w:type="dxa"/>
          </w:tcPr>
          <w:p w14:paraId="7E53293D"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Increased optionality </w:t>
            </w:r>
          </w:p>
        </w:tc>
        <w:tc>
          <w:tcPr>
            <w:tcW w:w="1626" w:type="dxa"/>
          </w:tcPr>
          <w:p w14:paraId="57620205"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Enhanced independence and inclusion </w:t>
            </w:r>
          </w:p>
        </w:tc>
        <w:tc>
          <w:tcPr>
            <w:tcW w:w="1300" w:type="dxa"/>
          </w:tcPr>
          <w:p w14:paraId="65F45334"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health outcomes</w:t>
            </w:r>
          </w:p>
        </w:tc>
        <w:tc>
          <w:tcPr>
            <w:tcW w:w="1278" w:type="dxa"/>
          </w:tcPr>
          <w:p w14:paraId="6928E67A"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Improved access to services</w:t>
            </w:r>
          </w:p>
        </w:tc>
        <w:tc>
          <w:tcPr>
            <w:tcW w:w="1641" w:type="dxa"/>
          </w:tcPr>
          <w:p w14:paraId="611EC86F"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 xml:space="preserve">Greater sense of connection to community and place </w:t>
            </w:r>
          </w:p>
        </w:tc>
        <w:tc>
          <w:tcPr>
            <w:tcW w:w="1463" w:type="dxa"/>
          </w:tcPr>
          <w:p w14:paraId="74FC3CA9" w14:textId="77777777" w:rsidR="00E1199F" w:rsidRPr="007D162C" w:rsidRDefault="08D050C4" w:rsidP="00E1199F">
            <w:pPr>
              <w:cnfStyle w:val="100000000000" w:firstRow="1" w:lastRow="0" w:firstColumn="0" w:lastColumn="0" w:oddVBand="0" w:evenVBand="0" w:oddHBand="0" w:evenHBand="0" w:firstRowFirstColumn="0" w:firstRowLastColumn="0" w:lastRowFirstColumn="0" w:lastRowLastColumn="0"/>
            </w:pPr>
            <w:r w:rsidRPr="007D162C">
              <w:t>Increased opportunities for employment</w:t>
            </w:r>
          </w:p>
        </w:tc>
      </w:tr>
      <w:tr w:rsidR="00E1199F" w:rsidRPr="007D162C" w14:paraId="22D4C99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FC7362B" w14:textId="77777777" w:rsidR="00E1199F" w:rsidRPr="007D162C" w:rsidRDefault="00E1199F" w:rsidP="00E1199F">
            <w:r w:rsidRPr="007D162C">
              <w:t>Status Quo</w:t>
            </w:r>
          </w:p>
        </w:tc>
        <w:tc>
          <w:tcPr>
            <w:tcW w:w="1343" w:type="dxa"/>
          </w:tcPr>
          <w:p w14:paraId="18761299"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26" w:type="dxa"/>
          </w:tcPr>
          <w:p w14:paraId="04B43E8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300" w:type="dxa"/>
          </w:tcPr>
          <w:p w14:paraId="11D00E80"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75C8FA38"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641" w:type="dxa"/>
          </w:tcPr>
          <w:p w14:paraId="3A343F9D"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463" w:type="dxa"/>
          </w:tcPr>
          <w:p w14:paraId="01793AE3"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r>
      <w:tr w:rsidR="00E1199F" w:rsidRPr="007D162C" w14:paraId="60758F72"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584594DF" w14:textId="77777777" w:rsidR="00E1199F" w:rsidRPr="007D162C" w:rsidRDefault="00E1199F" w:rsidP="00E1199F">
            <w:r w:rsidRPr="007D162C">
              <w:t xml:space="preserve">Non-regulatory </w:t>
            </w:r>
          </w:p>
        </w:tc>
        <w:tc>
          <w:tcPr>
            <w:tcW w:w="1343" w:type="dxa"/>
          </w:tcPr>
          <w:p w14:paraId="006D0226"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26" w:type="dxa"/>
          </w:tcPr>
          <w:p w14:paraId="70F82067"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300" w:type="dxa"/>
          </w:tcPr>
          <w:p w14:paraId="79FFFCE3" w14:textId="77777777" w:rsidR="00E1199F" w:rsidRPr="007D162C" w:rsidRDefault="08D050C4" w:rsidP="00874437">
            <w:pPr>
              <w:pStyle w:val="dash"/>
              <w:cnfStyle w:val="000000000000" w:firstRow="0" w:lastRow="0" w:firstColumn="0" w:lastColumn="0" w:oddVBand="0" w:evenVBand="0" w:oddHBand="0" w:evenHBand="0" w:firstRowFirstColumn="0" w:firstRowLastColumn="0" w:lastRowFirstColumn="0" w:lastRowLastColumn="0"/>
            </w:pPr>
            <w:r w:rsidRPr="007D162C">
              <w:t>-</w:t>
            </w:r>
          </w:p>
        </w:tc>
        <w:tc>
          <w:tcPr>
            <w:tcW w:w="1278" w:type="dxa"/>
          </w:tcPr>
          <w:p w14:paraId="6C958460"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641" w:type="dxa"/>
          </w:tcPr>
          <w:p w14:paraId="3F04571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c>
          <w:tcPr>
            <w:tcW w:w="1463" w:type="dxa"/>
          </w:tcPr>
          <w:p w14:paraId="248D6C04" w14:textId="77777777" w:rsidR="00E1199F" w:rsidRPr="007D162C" w:rsidRDefault="00E1199F" w:rsidP="00E1199F">
            <w:pPr>
              <w:cnfStyle w:val="000000000000" w:firstRow="0" w:lastRow="0" w:firstColumn="0" w:lastColumn="0" w:oddVBand="0" w:evenVBand="0" w:oddHBand="0" w:evenHBand="0" w:firstRowFirstColumn="0" w:firstRowLastColumn="0" w:lastRowFirstColumn="0" w:lastRowLastColumn="0"/>
            </w:pPr>
            <w:r w:rsidRPr="007D162C">
              <w:t>Yes</w:t>
            </w:r>
          </w:p>
        </w:tc>
      </w:tr>
      <w:tr w:rsidR="00E1199F" w:rsidRPr="007D162C" w14:paraId="77CECA8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190CF8E2" w14:textId="77777777" w:rsidR="00E1199F" w:rsidRPr="007D162C" w:rsidRDefault="00E1199F" w:rsidP="00E1199F">
            <w:r w:rsidRPr="007D162C">
              <w:t>Regulatory</w:t>
            </w:r>
          </w:p>
        </w:tc>
        <w:tc>
          <w:tcPr>
            <w:tcW w:w="1343" w:type="dxa"/>
          </w:tcPr>
          <w:p w14:paraId="21B4C23B"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26" w:type="dxa"/>
          </w:tcPr>
          <w:p w14:paraId="2E8C19E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300" w:type="dxa"/>
          </w:tcPr>
          <w:p w14:paraId="4FCA0C1B" w14:textId="77777777" w:rsidR="00E1199F" w:rsidRPr="007D162C" w:rsidRDefault="08D050C4" w:rsidP="00874437">
            <w:pPr>
              <w:pStyle w:val="dash"/>
              <w:cnfStyle w:val="000000100000" w:firstRow="0" w:lastRow="0" w:firstColumn="0" w:lastColumn="0" w:oddVBand="0" w:evenVBand="0" w:oddHBand="1" w:evenHBand="0" w:firstRowFirstColumn="0" w:firstRowLastColumn="0" w:lastRowFirstColumn="0" w:lastRowLastColumn="0"/>
            </w:pPr>
            <w:r w:rsidRPr="007D162C">
              <w:t>-</w:t>
            </w:r>
          </w:p>
        </w:tc>
        <w:tc>
          <w:tcPr>
            <w:tcW w:w="1278" w:type="dxa"/>
          </w:tcPr>
          <w:p w14:paraId="153F3E34"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641" w:type="dxa"/>
          </w:tcPr>
          <w:p w14:paraId="364214ED"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c>
          <w:tcPr>
            <w:tcW w:w="1463" w:type="dxa"/>
          </w:tcPr>
          <w:p w14:paraId="20299F3E" w14:textId="77777777" w:rsidR="00E1199F" w:rsidRPr="007D162C" w:rsidRDefault="00E1199F" w:rsidP="00E1199F">
            <w:pPr>
              <w:cnfStyle w:val="000000100000" w:firstRow="0" w:lastRow="0" w:firstColumn="0" w:lastColumn="0" w:oddVBand="0" w:evenVBand="0" w:oddHBand="1" w:evenHBand="0" w:firstRowFirstColumn="0" w:firstRowLastColumn="0" w:lastRowFirstColumn="0" w:lastRowLastColumn="0"/>
            </w:pPr>
            <w:r w:rsidRPr="007D162C">
              <w:t>Yes</w:t>
            </w:r>
          </w:p>
        </w:tc>
      </w:tr>
    </w:tbl>
    <w:p w14:paraId="71A213E4" w14:textId="77777777" w:rsidR="00F302D5" w:rsidRPr="007D162C" w:rsidRDefault="00F302D5" w:rsidP="00F302D5">
      <w:pPr>
        <w:pStyle w:val="BodyText"/>
      </w:pPr>
    </w:p>
    <w:p w14:paraId="533BFE3F" w14:textId="07EB86E1" w:rsidR="00E1199F" w:rsidRPr="007D162C" w:rsidRDefault="00E1199F" w:rsidP="00E1199F">
      <w:pPr>
        <w:pStyle w:val="Heading4"/>
        <w:tabs>
          <w:tab w:val="left" w:pos="284"/>
        </w:tabs>
      </w:pPr>
      <w:r w:rsidRPr="007D162C">
        <w:t xml:space="preserve">Analysis of submissions </w:t>
      </w:r>
    </w:p>
    <w:p w14:paraId="3F959E10" w14:textId="77777777" w:rsidR="00E1199F" w:rsidRPr="007D162C" w:rsidRDefault="00E1199F" w:rsidP="00F302D5">
      <w:pPr>
        <w:pStyle w:val="Heading5"/>
      </w:pPr>
      <w:r w:rsidRPr="007D162C">
        <w:t>Status quo</w:t>
      </w:r>
    </w:p>
    <w:p w14:paraId="69DDAA38" w14:textId="77777777" w:rsidR="00E1199F" w:rsidRPr="007D162C" w:rsidRDefault="00E1199F" w:rsidP="00E1199F">
      <w:r w:rsidRPr="007D162C">
        <w:t xml:space="preserve">Section 9.11 of the Transport Standards requires that an allocated space must contain the movement of a mobility aid towards the front and sides of buses (except dedicated school buses), trams and light rail. </w:t>
      </w:r>
    </w:p>
    <w:p w14:paraId="77D82173" w14:textId="77777777" w:rsidR="00E1199F" w:rsidRPr="007D162C" w:rsidRDefault="00E1199F" w:rsidP="00E1199F">
      <w:r w:rsidRPr="007D162C">
        <w:t xml:space="preserve">The status quo option was supported by one of the 15 stakeholders who indicated a preferred option. This submission from a bus industry stakeholder outlined that the status quo provides bus operators the flexibility required to meet the needs of people with disability. The submission noted that the </w:t>
      </w:r>
      <w:r w:rsidRPr="007D162C">
        <w:rPr>
          <w:rFonts w:ascii="Calibri" w:hAnsi="Calibri" w:cs="Calibri"/>
          <w:color w:val="000000"/>
          <w:shd w:val="clear" w:color="auto" w:fill="FFFFFF"/>
        </w:rPr>
        <w:t>majority of bus designs have not explicitly incorporated the need to include structural capacity to retrofit passive restraint systems at the time of contract. The submission noted feedback from manufacturers is that vehicle design configurations would need to be assessed to ensure capacity to retrofit any passive restraint system. Identifying passive restraint solutions would require significant investigation of options to identify those that best suit particular bus designs, which the submission highlighted may differ not only across the bus network, but within an operator’s fleet. The submission also expressed concerns there would be significant costs associated with retrofitting passive restraints, and that installation of passive restraint systems within allocated areas may impact space and access for other passengers.</w:t>
      </w:r>
    </w:p>
    <w:p w14:paraId="39882353" w14:textId="77777777" w:rsidR="00262CCB" w:rsidRDefault="08D050C4" w:rsidP="00E1199F">
      <w:r w:rsidRPr="007D162C">
        <w:t>A number of submissions from other stakeholders expressed significant safety concerns and the need for greater clarity in containing the movement of mobility aids. Submissions from industry and government stakeholders, as well as individuals, people with disability and disability organisations all recounted instances of mobility aids tipping and sliding during transit. Instances of these incidents resulting in significant injury were also highlighted in submissions.</w:t>
      </w:r>
    </w:p>
    <w:p w14:paraId="172DAB2F" w14:textId="77777777" w:rsidR="00262CCB" w:rsidRDefault="00262CCB">
      <w:pPr>
        <w:spacing w:line="259" w:lineRule="auto"/>
      </w:pPr>
      <w:r>
        <w:br w:type="page"/>
      </w:r>
    </w:p>
    <w:p w14:paraId="1D7AD438" w14:textId="77777777" w:rsidR="00E1199F" w:rsidRPr="007D162C" w:rsidRDefault="00E1199F" w:rsidP="00E1199F"/>
    <w:p w14:paraId="36C00C62" w14:textId="77777777" w:rsidR="00E1199F" w:rsidRPr="007D162C" w:rsidRDefault="00E1199F" w:rsidP="00E1199F">
      <w:pPr>
        <w:pStyle w:val="Quote"/>
        <w:rPr>
          <w:shd w:val="clear" w:color="auto" w:fill="FFFFFF"/>
        </w:rPr>
      </w:pPr>
      <w:r w:rsidRPr="007D162C">
        <w:rPr>
          <w:shd w:val="clear" w:color="auto" w:fill="FFFFFF"/>
        </w:rPr>
        <w:t xml:space="preserve">A few years ago, a PDA member using a motorised wheelchair on a bus was thrown from his wheelchair and partially crushed by it when the bus he was travelling on negotiated a corner at a speed less than the designated limit for that section of the route. As a result, he suffered injuries that resulted in further functional impairments and the need for more attendant care and assistive technology to help him live a (somewhat) ordinary life. </w:t>
      </w:r>
    </w:p>
    <w:p w14:paraId="00A7CE4B" w14:textId="77777777" w:rsidR="00E1199F" w:rsidRPr="007D162C" w:rsidRDefault="00E1199F" w:rsidP="00E1199F">
      <w:pPr>
        <w:pStyle w:val="Quote"/>
        <w:rPr>
          <w:shd w:val="clear" w:color="auto" w:fill="FFFFFF"/>
        </w:rPr>
      </w:pPr>
      <w:r w:rsidRPr="007D162C">
        <w:rPr>
          <w:shd w:val="clear" w:color="auto" w:fill="FFFFFF"/>
        </w:rPr>
        <w:t>Physical Disability Australia</w:t>
      </w:r>
    </w:p>
    <w:p w14:paraId="40A1B9AF" w14:textId="3FA8E98A" w:rsidR="00E1199F" w:rsidRPr="007D162C" w:rsidRDefault="08D050C4" w:rsidP="08D050C4">
      <w:pPr>
        <w:shd w:val="clear" w:color="auto" w:fill="FFFFFF" w:themeFill="background1"/>
        <w:rPr>
          <w:rFonts w:ascii="Calibri" w:eastAsia="Times New Roman" w:hAnsi="Calibri" w:cs="Calibri"/>
          <w:color w:val="000000" w:themeColor="text1"/>
          <w:lang w:eastAsia="en-AU"/>
        </w:rPr>
      </w:pPr>
      <w:r w:rsidRPr="007D162C">
        <w:t>Submissions from individuals, people with disability and disability organisations expressed that sometimes the fear of tipping or past experiences of tipping, leads to avoiding further travel. This was highlighted by the Public Transport Ombudsman in Victoria</w:t>
      </w:r>
      <w:r w:rsidR="00B140F4">
        <w:t>,</w:t>
      </w:r>
      <w:r w:rsidRPr="007D162C">
        <w:t xml:space="preserve"> who noted it has </w:t>
      </w:r>
      <w:r w:rsidRPr="007D162C">
        <w:rPr>
          <w:rFonts w:ascii="Calibri" w:eastAsia="Times New Roman" w:hAnsi="Calibri" w:cs="Calibri"/>
          <w:color w:val="000000" w:themeColor="text1"/>
          <w:lang w:eastAsia="en-AU"/>
        </w:rPr>
        <w:t>received several complaints from consumers who have felt unsafe or have tipped over while travelling in wheelchairs on buses. The submission agreed with the issues that arise from a lack of guidance in this area and supports reforms that would provide greater clarity.</w:t>
      </w:r>
    </w:p>
    <w:p w14:paraId="175D4F63" w14:textId="1244E6C9" w:rsidR="00E1199F" w:rsidRPr="007D162C" w:rsidRDefault="00E1199F" w:rsidP="00E1199F">
      <w:r w:rsidRPr="007D162C">
        <w:t>Submissions highlighted that the status quo is not meeting the needs of people with disability and creates significant safety concerns. Maintaining the status quo continues to risk the safety of people with disability when using mobility aids on public transport. The status quo does not enhance or increase equality and independence, or reduce discrimination for people with disability in relation to public transport. The status quo has no ongoing costs for public transport operators and providers, however negative impacts on community amenity, accessibility, and safety are high.</w:t>
      </w:r>
    </w:p>
    <w:p w14:paraId="71BB3B9D" w14:textId="77777777" w:rsidR="00E1199F" w:rsidRPr="007D162C" w:rsidRDefault="00E1199F" w:rsidP="00F302D5">
      <w:pPr>
        <w:pStyle w:val="Heading5"/>
      </w:pPr>
      <w:r w:rsidRPr="007D162C">
        <w:t>Non-regulatory</w:t>
      </w:r>
    </w:p>
    <w:p w14:paraId="36EAEE25" w14:textId="668DD3CE" w:rsidR="00E1199F" w:rsidRPr="007D162C" w:rsidRDefault="00E1199F" w:rsidP="00E1199F">
      <w:r w:rsidRPr="007D162C">
        <w:t xml:space="preserve">The non-regulatory option would update guidance to provide modal specific advice for containment of mobility aids in allocated spaces and a definition for passive restraint systems. </w:t>
      </w:r>
    </w:p>
    <w:p w14:paraId="6DBEE1DF" w14:textId="77777777" w:rsidR="00E1199F" w:rsidRPr="007D162C" w:rsidRDefault="00E1199F" w:rsidP="00E1199F">
      <w:r w:rsidRPr="007D162C">
        <w:t>Seven i</w:t>
      </w:r>
      <w:r w:rsidRPr="007D162C">
        <w:rPr>
          <w:rFonts w:ascii="Calibri" w:eastAsia="Times New Roman" w:hAnsi="Calibri" w:cs="Calibri"/>
          <w:color w:val="000000" w:themeColor="text1"/>
          <w:lang w:eastAsia="en-AU"/>
        </w:rPr>
        <w:t xml:space="preserve">ndustry and government stakeholders </w:t>
      </w:r>
      <w:r w:rsidRPr="007D162C">
        <w:t xml:space="preserve">expressed support for the non-regulatory option. Submissions acknowledged that improved guidance would provide more clarity to the status quo and highlighted perceived limitations with the regulatory option which rendered the option unfeasible. </w:t>
      </w:r>
    </w:p>
    <w:p w14:paraId="4EEC1F72" w14:textId="77777777" w:rsidR="00E1199F" w:rsidRPr="007D162C" w:rsidRDefault="08D050C4" w:rsidP="00E1199F">
      <w:r w:rsidRPr="007D162C">
        <w:t>Key concerns outlined in submissions that supported the non-regulatory option centred on the design constraints that make containment of lateral movement with passive constraints unfeasible in some conveyances and the technical and cost concerns in retrofitting suitable constraints. One submission noted installation of passive restraints into a low-floor conveyance would require the redesign of the passenger saloon to accommodate the required number of allocated spaces with consideration for maintaining an access pathway, manoeuvring area and circulation space. A number of submissions also raised concerns with the range of mobility aids used and the difficulty in designing and installing restraints that suit all mobility aids of varying size, height and weight configurations. Submissions noted the non-regulatory option provides the flexibility to incorporate guidance into asset standards while allowing for consideration of these concerns.</w:t>
      </w:r>
    </w:p>
    <w:p w14:paraId="537F46EF" w14:textId="77777777" w:rsidR="00E1199F" w:rsidRPr="007D162C" w:rsidRDefault="00E1199F" w:rsidP="00E1199F">
      <w:r w:rsidRPr="007D162C">
        <w:t>To the extent that guidance is followed, costs may be incurred to install adequate passive containment systems on buses, trams, light rail and ferries to the extent that they do not already comply with the proposed guidance. Costs may be greater to retrofit certain constraints or certain conveyances. Operators and providers will be able to manage the implementation (and related costs) to suit their operational requirements, including through staging the implementation.</w:t>
      </w:r>
    </w:p>
    <w:p w14:paraId="54D11597" w14:textId="77777777" w:rsidR="00E1199F" w:rsidRPr="007D162C" w:rsidRDefault="00E1199F" w:rsidP="00E1199F">
      <w:r w:rsidRPr="007D162C">
        <w:lastRenderedPageBreak/>
        <w:t xml:space="preserve">As this option is discretionary, it may not provide the certainty that operators and providers will install passive containment systems on conveyances. However, where passive containments are installed, safety for passengers traveling with a mobility aid will be improved and they will benefit from greater confidence and may travel more frequently and independently. If mobility aids are adequately contained in allocated spaces, safety for other passengers and staff will also be improved. Additional guidance around the use and definition of passive restraints will assist operators and providers ensure the containment systems used on conveyances are appropriate, effective and do not contravene any other sections of the Transport Standards. </w:t>
      </w:r>
    </w:p>
    <w:p w14:paraId="743628BB" w14:textId="77777777" w:rsidR="00E1199F" w:rsidRPr="007D162C" w:rsidRDefault="00E1199F" w:rsidP="00F302D5">
      <w:pPr>
        <w:pStyle w:val="Heading5"/>
      </w:pPr>
      <w:r w:rsidRPr="007D162C">
        <w:t>Regulatory</w:t>
      </w:r>
    </w:p>
    <w:p w14:paraId="5CC576D5" w14:textId="45239FC3" w:rsidR="00E1199F" w:rsidRPr="007D162C" w:rsidRDefault="00E1199F" w:rsidP="00E1199F">
      <w:r w:rsidRPr="007D162C">
        <w:t xml:space="preserve">The regulatory option would amend the Transport Standards to provide a definition for passive restraint systems and modal specific requirements for containment of mobility aids in allocated spaces in buses, trams and light rail. </w:t>
      </w:r>
    </w:p>
    <w:p w14:paraId="1E6CAE9C" w14:textId="77777777" w:rsidR="00E1199F" w:rsidRPr="002D6C65" w:rsidRDefault="08D050C4" w:rsidP="00E1199F">
      <w:r w:rsidRPr="007D162C">
        <w:t>Seven stakeholders expressed support for the regulatory option. These submissions were from individuals, people with disability and disability organisations. Submissions highlighted significant safety concerns due to the risk of tipping when travelling using mobility aids. Submissions highlighted the risk was particularly great</w:t>
      </w:r>
      <w:r>
        <w:t xml:space="preserve"> when travelling in buses.</w:t>
      </w:r>
    </w:p>
    <w:p w14:paraId="4A73595C" w14:textId="77777777" w:rsidR="00E1199F" w:rsidRDefault="00E1199F" w:rsidP="08D050C4">
      <w:pPr>
        <w:rPr>
          <w:rFonts w:ascii="Calibri" w:hAnsi="Calibri" w:cs="Calibri"/>
          <w:color w:val="000000" w:themeColor="text1"/>
        </w:rPr>
      </w:pPr>
      <w:r>
        <w:rPr>
          <w:rFonts w:ascii="Calibri" w:hAnsi="Calibri" w:cs="Calibri"/>
          <w:color w:val="000000"/>
          <w:shd w:val="clear" w:color="auto" w:fill="FFFFFF"/>
        </w:rPr>
        <w:t>One submission contradicted claims made in another submission regarding passive restraints presenting a barrier to manoeuvring into allocated space, instead stating the main limitations to manoeuvrability are aisle width and the size of the allocated space.</w:t>
      </w:r>
    </w:p>
    <w:p w14:paraId="4637EB39" w14:textId="77777777" w:rsidR="00E1199F" w:rsidRDefault="00E1199F" w:rsidP="00E1199F">
      <w:pPr>
        <w:pStyle w:val="Quote"/>
        <w:rPr>
          <w:shd w:val="clear" w:color="auto" w:fill="FFFFFF"/>
        </w:rPr>
      </w:pPr>
      <w:r w:rsidRPr="00A00222">
        <w:rPr>
          <w:shd w:val="clear" w:color="auto" w:fill="FFFFFF"/>
        </w:rPr>
        <w:t xml:space="preserve">The passive restraints provided are an effective measure to prevent mobility device movement on the front and wall side of the bus. However, movement of the mobility device to the aisle side of the bus can occur particularly for passengers who do not have sufficient upper body and arm strength to brace themselves with the handrail on the window ledge. Anecdotal feedback suggests mobility device users do not always position their device in the correct location or orientation for the passive restraints to be effective. This increases the risk of the mobility device moving, particularly when forward facing in the current fleet configuration. </w:t>
      </w:r>
    </w:p>
    <w:p w14:paraId="59E56827" w14:textId="64BB8958" w:rsidR="00B140F4" w:rsidRDefault="00E1199F" w:rsidP="00B140F4">
      <w:pPr>
        <w:pStyle w:val="Quote"/>
        <w:rPr>
          <w:shd w:val="clear" w:color="auto" w:fill="FFFFFF"/>
        </w:rPr>
      </w:pPr>
      <w:r>
        <w:rPr>
          <w:shd w:val="clear" w:color="auto" w:fill="FFFFFF"/>
        </w:rPr>
        <w:t>Brisbane City Council</w:t>
      </w:r>
    </w:p>
    <w:p w14:paraId="0990DCE6" w14:textId="77777777" w:rsidR="00B140F4" w:rsidRPr="00B140F4" w:rsidRDefault="00B140F4" w:rsidP="00B140F4">
      <w:pPr>
        <w:rPr>
          <w:lang w:val="en-AU"/>
        </w:rPr>
      </w:pPr>
    </w:p>
    <w:p w14:paraId="7493E9A0" w14:textId="4752DA1D" w:rsidR="00E1199F" w:rsidRPr="00D31A9F" w:rsidRDefault="00E1199F" w:rsidP="00B140F4">
      <w:r>
        <w:t>Echoing concerns in other submissions, one industry stakeholder noted they could support the regulatory option for accessible low floor conveyances if approved mobility devices are used. Three out of 15 submissions expressed concerns about the limitations posed by the variability in the design and size of mobility aid devices.</w:t>
      </w:r>
    </w:p>
    <w:p w14:paraId="69769031" w14:textId="77777777" w:rsidR="00E1199F" w:rsidRDefault="00E1199F" w:rsidP="00E1199F">
      <w:r>
        <w:t>If mobility aids are adequately contained in allocated spaces, this would limit the movement of mobility aids during transit, improving safety for people with disability who use mobility aids, as well as other passengers and staff. The safety and confidence of people with disability who travel with mobility aids will be significantly improved by passive containments in allocated spaces. Improved regulatory clarity around the use and definition of passive restraints will also assist operators and providers and ensure the containment systems used on conveyances are appropriate, effective and do not contravene any other sections of the Transport Standards.</w:t>
      </w:r>
    </w:p>
    <w:p w14:paraId="04868564" w14:textId="77777777" w:rsidR="00E1199F" w:rsidRPr="002D6C65" w:rsidRDefault="00E1199F" w:rsidP="00E1199F">
      <w:r>
        <w:t xml:space="preserve">Costs will be incurred to install adequate passive containment systems on conveyances to the extent that they do not already comply with the proposed requirements. Installation costs will vary </w:t>
      </w:r>
      <w:r>
        <w:lastRenderedPageBreak/>
        <w:t xml:space="preserve">depending on the type of conveyance, the type of passive restraint (such as ironing boards versus aisle-side restraints in buses) and the extent to which retrofitting is required. </w:t>
      </w:r>
    </w:p>
    <w:p w14:paraId="37B7FBC9" w14:textId="77777777" w:rsidR="00E1199F" w:rsidRDefault="00E1199F" w:rsidP="00E1199F">
      <w:pPr>
        <w:pStyle w:val="Heading4"/>
      </w:pPr>
      <w:r>
        <w:t>Preferred option</w:t>
      </w:r>
    </w:p>
    <w:p w14:paraId="2843192D" w14:textId="77777777" w:rsidR="00E1199F" w:rsidRDefault="00E1199F" w:rsidP="00E1199F">
      <w:r>
        <w:t xml:space="preserve">Informed by the outcomes of consultation, impacts, cost and outcomes analysis above, the preferred option is the </w:t>
      </w:r>
      <w:r>
        <w:rPr>
          <w:b/>
        </w:rPr>
        <w:t>non-regulatory option</w:t>
      </w:r>
      <w:r>
        <w:t xml:space="preserve">. </w:t>
      </w:r>
    </w:p>
    <w:p w14:paraId="31298DF1" w14:textId="77777777" w:rsidR="00E1199F" w:rsidRDefault="08D050C4" w:rsidP="00E1199F">
      <w:r>
        <w:t xml:space="preserve">There was a clear split amongst stakeholders, with the regulatory option being supported by all individuals, people with disability and disability organisations stakeholders (seven in total) and the non-regulatory and status quo options being supported by all industry and government stakeholders (eight in total). </w:t>
      </w:r>
    </w:p>
    <w:p w14:paraId="2237320A" w14:textId="77777777" w:rsidR="00E1199F" w:rsidRPr="001A10CE" w:rsidRDefault="00E1199F" w:rsidP="00E1199F">
      <w:r w:rsidRPr="169A030C">
        <w:rPr>
          <w:rFonts w:ascii="Calibri" w:eastAsia="Times New Roman" w:hAnsi="Calibri" w:cs="Calibri"/>
          <w:color w:val="000000" w:themeColor="text1"/>
          <w:lang w:eastAsia="en-AU"/>
        </w:rPr>
        <w:t xml:space="preserve">A number of key issues were presented as impacting the feasibility of an effective passive restraint. </w:t>
      </w:r>
      <w:r>
        <w:t xml:space="preserve">While submissions highlighted the particular safety risks associated with the movement of mobility aids while in transit, submissions also highlighted that the variability in the design configurations of mobility aids render the </w:t>
      </w:r>
      <w:r w:rsidRPr="001A10CE">
        <w:t>development of specifications for passive restraints that would suit the array of different devices available, as unfeasible. Three submissions indicated that without a national standard for mobility device design, it isn’t possible to design suitable passive constraints that would be adequate for containing all mobility devices that are currently available on the Australian market.</w:t>
      </w:r>
    </w:p>
    <w:p w14:paraId="3A877B28" w14:textId="77777777" w:rsidR="00E1199F" w:rsidRPr="001A10CE" w:rsidRDefault="00E1199F" w:rsidP="00E1199F">
      <w:r w:rsidRPr="001A10CE">
        <w:t xml:space="preserve">Submissions also highlighted the complexity with developing suitable constraints in some conveyances, particularly buses which present the greatest risk for mobility aid movement due to lateral movements. It is these movements that also make the installation of suitable passive restraints particularly challenging. Submissions indicate that the regulatory options presented are unlikely to address this risk.  </w:t>
      </w:r>
    </w:p>
    <w:p w14:paraId="742D8E9A" w14:textId="77777777" w:rsidR="00E1199F" w:rsidRDefault="00E1199F" w:rsidP="08D050C4">
      <w:pPr>
        <w:rPr>
          <w:rFonts w:ascii="Calibri" w:hAnsi="Calibri" w:cs="Calibri"/>
          <w:color w:val="000000" w:themeColor="text1"/>
        </w:rPr>
      </w:pPr>
      <w:r>
        <w:rPr>
          <w:rFonts w:ascii="Calibri" w:hAnsi="Calibri" w:cs="Calibri"/>
          <w:color w:val="000000"/>
          <w:shd w:val="clear" w:color="auto" w:fill="FFFFFF"/>
        </w:rPr>
        <w:t>The non-regulatory option would allow consideration of</w:t>
      </w:r>
      <w:r>
        <w:t xml:space="preserve"> design constraints to ensure passive restraints are located in suitable positions in each conveyance type, considering access pathways, manoeuvring areas as well as the topography or environment in which a conveyance is used. </w:t>
      </w:r>
      <w:r>
        <w:rPr>
          <w:rFonts w:ascii="Calibri" w:hAnsi="Calibri" w:cs="Calibri"/>
          <w:color w:val="000000"/>
          <w:shd w:val="clear" w:color="auto" w:fill="FFFFFF"/>
        </w:rPr>
        <w:t>The non-regulatory option allows investigation of passive restraint solutions that best suit particular conveyance designs, which one submission highlighted may differ not only across networks, but within an operator’s fleet.</w:t>
      </w:r>
    </w:p>
    <w:p w14:paraId="12C4B158" w14:textId="77777777" w:rsidR="00E1199F" w:rsidRDefault="00E1199F" w:rsidP="00E1199F">
      <w:pPr>
        <w:rPr>
          <w:rFonts w:ascii="Calibri" w:hAnsi="Calibri" w:cs="Calibri"/>
          <w:color w:val="000000" w:themeColor="text1"/>
        </w:rPr>
      </w:pPr>
      <w:r w:rsidRPr="00D363EA">
        <w:t xml:space="preserve">Part 34 of the Transport Standards </w:t>
      </w:r>
      <w:r>
        <w:t>provides for a review of</w:t>
      </w:r>
      <w:r w:rsidRPr="00D363EA">
        <w:t xml:space="preserve"> </w:t>
      </w:r>
      <w:r w:rsidRPr="00252731">
        <w:t xml:space="preserve">the efficiency and effectiveness </w:t>
      </w:r>
      <w:r w:rsidRPr="00D363EA">
        <w:t>of the Transport Standards</w:t>
      </w:r>
      <w:r>
        <w:t xml:space="preserve"> to be carried out every 5 years</w:t>
      </w:r>
      <w:r w:rsidRPr="00D363EA">
        <w:t xml:space="preserve">.  </w:t>
      </w:r>
      <w:r>
        <w:t>This reform area</w:t>
      </w:r>
      <w:r w:rsidRPr="0054412E">
        <w:rPr>
          <w:rFonts w:ascii="Calibri" w:hAnsi="Calibri" w:cs="Calibri"/>
          <w:color w:val="000000"/>
          <w:shd w:val="clear" w:color="auto" w:fill="FFFFFF"/>
        </w:rPr>
        <w:t xml:space="preserve"> should be reviewed </w:t>
      </w:r>
      <w:r>
        <w:rPr>
          <w:rFonts w:ascii="Calibri" w:hAnsi="Calibri" w:cs="Calibri"/>
          <w:color w:val="000000"/>
          <w:shd w:val="clear" w:color="auto" w:fill="FFFFFF"/>
        </w:rPr>
        <w:t xml:space="preserve">as part of the statutory review process </w:t>
      </w:r>
      <w:r w:rsidRPr="0054412E">
        <w:rPr>
          <w:rFonts w:ascii="Calibri" w:hAnsi="Calibri" w:cs="Calibri"/>
          <w:color w:val="000000"/>
          <w:shd w:val="clear" w:color="auto" w:fill="FFFFFF"/>
        </w:rPr>
        <w:t xml:space="preserve">if new technology </w:t>
      </w:r>
      <w:r>
        <w:rPr>
          <w:rFonts w:ascii="Calibri" w:hAnsi="Calibri" w:cs="Calibri"/>
          <w:color w:val="000000"/>
          <w:shd w:val="clear" w:color="auto" w:fill="FFFFFF"/>
        </w:rPr>
        <w:t xml:space="preserve">or design standards </w:t>
      </w:r>
      <w:r w:rsidRPr="0054412E">
        <w:rPr>
          <w:rFonts w:ascii="Calibri" w:hAnsi="Calibri" w:cs="Calibri"/>
          <w:color w:val="000000"/>
          <w:shd w:val="clear" w:color="auto" w:fill="FFFFFF"/>
        </w:rPr>
        <w:t xml:space="preserve">emerges that </w:t>
      </w:r>
      <w:r>
        <w:rPr>
          <w:rFonts w:ascii="Calibri" w:hAnsi="Calibri" w:cs="Calibri"/>
          <w:color w:val="000000"/>
          <w:shd w:val="clear" w:color="auto" w:fill="FFFFFF"/>
        </w:rPr>
        <w:t>addresses the challenges posed by varying mobility device designs</w:t>
      </w:r>
      <w:r w:rsidRPr="0054412E">
        <w:rPr>
          <w:rFonts w:ascii="Calibri" w:hAnsi="Calibri" w:cs="Calibri"/>
          <w:color w:val="000000"/>
          <w:shd w:val="clear" w:color="auto" w:fill="FFFFFF"/>
        </w:rPr>
        <w:t>.</w:t>
      </w:r>
    </w:p>
    <w:p w14:paraId="1ED43923" w14:textId="77777777" w:rsidR="00E1199F" w:rsidRPr="00E253A0" w:rsidRDefault="00E1199F" w:rsidP="00E1199F">
      <w:r>
        <w:t xml:space="preserve">The preferred option will be implemented through inclusion in a revised Whole Journey Guide. </w:t>
      </w:r>
      <w:r>
        <w:br w:type="page"/>
      </w:r>
    </w:p>
    <w:p w14:paraId="4EA0C815" w14:textId="23F3E6B2" w:rsidR="00E1199F" w:rsidRDefault="00E1199F" w:rsidP="003C30C5">
      <w:pPr>
        <w:pStyle w:val="Heading2"/>
        <w:numPr>
          <w:ilvl w:val="0"/>
          <w:numId w:val="30"/>
        </w:numPr>
        <w:ind w:hanging="720"/>
      </w:pPr>
      <w:bookmarkStart w:id="649" w:name="_Toc127351806"/>
      <w:bookmarkStart w:id="650" w:name="_Toc140239764"/>
      <w:r w:rsidRPr="00182544">
        <w:lastRenderedPageBreak/>
        <w:t>Mobility aid movement in allocated spaces – active restraints</w:t>
      </w:r>
      <w:bookmarkEnd w:id="649"/>
      <w:bookmarkEnd w:id="650"/>
    </w:p>
    <w:p w14:paraId="0928BBB4" w14:textId="77777777" w:rsidR="00E1199F" w:rsidRPr="00621039" w:rsidRDefault="00E1199F" w:rsidP="00E1199F">
      <w:pPr>
        <w:pStyle w:val="Heading4"/>
        <w:tabs>
          <w:tab w:val="left" w:pos="284"/>
        </w:tabs>
      </w:pPr>
      <w:r w:rsidRPr="00621039">
        <w:t>Issue</w:t>
      </w:r>
    </w:p>
    <w:p w14:paraId="7AB59558" w14:textId="77777777" w:rsidR="00E1199F" w:rsidRDefault="08D050C4" w:rsidP="00E1199F">
      <w:pPr>
        <w:tabs>
          <w:tab w:val="left" w:pos="284"/>
        </w:tabs>
      </w:pPr>
      <w:r>
        <w:t>Unrestrained mobility devices in allocated spaces on conveyances can topple or slide, particularly if the conveyance executes a turn at speed, is displaced laterally due to kerb strike, or due to the lateral displacement forces caused by necessary acceleration or deceleration. This puts the occupant of the mobility aid at risk, as well as passengers who may be struck by the sliding or toppling wheelchair or scooter. The Transport Standards do not include technical requirements for active restraints, which results in a lack of clarity for operators.</w:t>
      </w:r>
    </w:p>
    <w:p w14:paraId="232F5093" w14:textId="77777777" w:rsidR="00E1199F" w:rsidRDefault="00E1199F" w:rsidP="00E1199F">
      <w:pPr>
        <w:tabs>
          <w:tab w:val="left" w:pos="284"/>
        </w:tabs>
      </w:pPr>
      <w:r>
        <w:t>Collective government action would ensure active restraints used on conveyances are appropriate for mobility aids and address key stakeholder issues raised through the Transport Standards review process.</w:t>
      </w:r>
    </w:p>
    <w:p w14:paraId="6932D7C3" w14:textId="77777777" w:rsidR="00E1199F" w:rsidRDefault="00E1199F" w:rsidP="00E1199F">
      <w:pPr>
        <w:pStyle w:val="Heading4"/>
        <w:tabs>
          <w:tab w:val="left" w:pos="284"/>
        </w:tabs>
      </w:pPr>
      <w:r>
        <w:t>Reform options</w:t>
      </w:r>
    </w:p>
    <w:p w14:paraId="5E8C552A" w14:textId="77777777" w:rsidR="00E1199F" w:rsidRDefault="00E1199F" w:rsidP="00E1199F">
      <w:pPr>
        <w:tabs>
          <w:tab w:val="left" w:pos="284"/>
        </w:tabs>
      </w:pPr>
      <w:r>
        <w:t>Following is a summary of the proposed options for this reform. Full details of each reform option is provided at Appendix A.</w:t>
      </w:r>
    </w:p>
    <w:p w14:paraId="48AC19BA" w14:textId="5FC6BD0A" w:rsidR="00E1199F" w:rsidRDefault="00E1199F" w:rsidP="00E1199F">
      <w:pPr>
        <w:pStyle w:val="Caption"/>
        <w:keepNext/>
      </w:pPr>
      <w:bookmarkStart w:id="651" w:name="_Toc122446472"/>
      <w:bookmarkStart w:id="652" w:name="_Toc139969310"/>
      <w:r>
        <w:t xml:space="preserve">Table </w:t>
      </w:r>
      <w:fldSimple w:instr=" SEQ Table \* ARABIC ">
        <w:r w:rsidR="00DC26AC">
          <w:rPr>
            <w:noProof/>
          </w:rPr>
          <w:t>152</w:t>
        </w:r>
      </w:fldSimple>
      <w:r>
        <w:rPr>
          <w:noProof/>
        </w:rPr>
        <w:t>:</w:t>
      </w:r>
      <w:r w:rsidRPr="00CD7F1B">
        <w:rPr>
          <w:noProof/>
        </w:rPr>
        <w:t xml:space="preserve"> </w:t>
      </w:r>
      <w:r>
        <w:rPr>
          <w:noProof/>
        </w:rPr>
        <w:t>Reform options for</w:t>
      </w:r>
      <w:r w:rsidRPr="00E92EA3">
        <w:t xml:space="preserve"> </w:t>
      </w:r>
      <w:r>
        <w:t>m</w:t>
      </w:r>
      <w:r w:rsidRPr="00E92EA3">
        <w:rPr>
          <w:noProof/>
        </w:rPr>
        <w:t>obility aid movement in allocated spaces – active restraints</w:t>
      </w:r>
      <w:bookmarkEnd w:id="651"/>
      <w:bookmarkEnd w:id="652"/>
    </w:p>
    <w:tbl>
      <w:tblPr>
        <w:tblStyle w:val="DefaultTable1"/>
        <w:tblW w:w="9072" w:type="dxa"/>
        <w:tblLook w:val="04A0" w:firstRow="1" w:lastRow="0" w:firstColumn="1" w:lastColumn="0" w:noHBand="0" w:noVBand="1"/>
        <w:tblCaption w:val="Reform options for mobility aid movement in allocated spaces – active restraints"/>
        <w:tblDescription w:val="This table provides a description of each of the options for this reform area. Status quo, non-regulatory and regulatory."/>
      </w:tblPr>
      <w:tblGrid>
        <w:gridCol w:w="2232"/>
        <w:gridCol w:w="6840"/>
      </w:tblGrid>
      <w:tr w:rsidR="00E1199F" w:rsidRPr="003964B8" w14:paraId="3901F737"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63DCE0"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4B1D2ADB"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45795E4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B75C2CA"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0FBE6FA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AD3629">
              <w:t xml:space="preserve">The Transport Standards </w:t>
            </w:r>
            <w:r>
              <w:t xml:space="preserve">will continue not to </w:t>
            </w:r>
            <w:r w:rsidRPr="00AD3629">
              <w:t>define active restraints</w:t>
            </w:r>
            <w:r>
              <w:t>, or requirements</w:t>
            </w:r>
            <w:r w:rsidRPr="00AD3629">
              <w:t xml:space="preserve"> </w:t>
            </w:r>
            <w:r>
              <w:t>of their</w:t>
            </w:r>
            <w:r w:rsidRPr="00AD3629">
              <w:t xml:space="preserve"> use</w:t>
            </w:r>
            <w:r>
              <w:t>.</w:t>
            </w:r>
          </w:p>
          <w:p w14:paraId="17CD992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009C077B"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C23E12D"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67826B70"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on active restraints on public transport conveyances, including:</w:t>
            </w:r>
          </w:p>
          <w:p w14:paraId="11609DB4" w14:textId="77777777" w:rsidR="00E1199F"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Safe use of active restraints, including seat belts.</w:t>
            </w:r>
          </w:p>
          <w:p w14:paraId="428EB917" w14:textId="77777777" w:rsidR="00E1199F"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Ensuring mobility aids meet safety requirements and deciding whether to travel on services without seatbelts.</w:t>
            </w:r>
          </w:p>
          <w:p w14:paraId="785F71C2" w14:textId="77777777" w:rsidR="00E1199F" w:rsidRPr="00BA7847" w:rsidRDefault="00E1199F" w:rsidP="00A50EF0">
            <w:pPr>
              <w:pStyle w:val="Tabletextbullets"/>
              <w:cnfStyle w:val="000000000000" w:firstRow="0" w:lastRow="0" w:firstColumn="0" w:lastColumn="0" w:oddVBand="0" w:evenVBand="0" w:oddHBand="0" w:evenHBand="0" w:firstRowFirstColumn="0" w:firstRowLastColumn="0" w:lastRowFirstColumn="0" w:lastRowLastColumn="0"/>
            </w:pPr>
            <w:r>
              <w:t>Operators can choose to comply with ASNZS10542.1 (2015).</w:t>
            </w:r>
          </w:p>
        </w:tc>
      </w:tr>
      <w:tr w:rsidR="00E1199F" w:rsidRPr="003964B8" w14:paraId="0312937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CD7B1A7"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79C747CE" w14:textId="77777777" w:rsidR="00E1199F" w:rsidRPr="00DC1D9C" w:rsidRDefault="00E1199F" w:rsidP="00E1199F">
            <w:pPr>
              <w:pStyle w:val="Tabletextbullets"/>
              <w:numPr>
                <w:ilvl w:val="0"/>
                <w:numId w:val="0"/>
              </w:numPr>
              <w:cnfStyle w:val="000000100000" w:firstRow="0" w:lastRow="0" w:firstColumn="0" w:lastColumn="0" w:oddVBand="0" w:evenVBand="0" w:oddHBand="1" w:evenHBand="0" w:firstRowFirstColumn="0" w:firstRowLastColumn="0" w:lastRowFirstColumn="0" w:lastRowLastColumn="0"/>
            </w:pPr>
            <w:r w:rsidRPr="00DC1D9C">
              <w:t xml:space="preserve">The Transport Standards would be amended to include new technical requirements for active restraints, define active restraining systems, and specify where active restraining systems are mandatory for all conveyances. </w:t>
            </w:r>
          </w:p>
          <w:p w14:paraId="6D1AA40B"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Active restrains must comply with ASNZS10542.1 (2015).</w:t>
            </w:r>
          </w:p>
          <w:p w14:paraId="32141DBA"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Passengers may choose to travel facing towards the front.</w:t>
            </w:r>
          </w:p>
          <w:p w14:paraId="48C5396B"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Active restraint systems must be operator deployable as default, rather than passenger deployable.</w:t>
            </w:r>
          </w:p>
          <w:p w14:paraId="51389756" w14:textId="77777777" w:rsidR="00E1199F" w:rsidRPr="00DC1D9C" w:rsidRDefault="00E1199F" w:rsidP="00E1199F">
            <w:pPr>
              <w:cnfStyle w:val="000000100000" w:firstRow="0" w:lastRow="0" w:firstColumn="0" w:lastColumn="0" w:oddVBand="0" w:evenVBand="0" w:oddHBand="1" w:evenHBand="0" w:firstRowFirstColumn="0" w:firstRowLastColumn="0" w:lastRowFirstColumn="0" w:lastRowLastColumn="0"/>
            </w:pPr>
            <w:r w:rsidRPr="00DC1D9C">
              <w:t>The Transport Standards Guidelines and /or The Whole Journey Guide would be updated to reflect new requirements.</w:t>
            </w:r>
          </w:p>
        </w:tc>
      </w:tr>
    </w:tbl>
    <w:p w14:paraId="4BE2FD89" w14:textId="77777777" w:rsidR="00F47B58" w:rsidRDefault="00F47B58" w:rsidP="00F47B58">
      <w:pPr>
        <w:pStyle w:val="BodyText"/>
      </w:pPr>
    </w:p>
    <w:p w14:paraId="7AAEF751" w14:textId="7997B40B" w:rsidR="00E1199F" w:rsidRDefault="00E1199F" w:rsidP="00E1199F">
      <w:pPr>
        <w:pStyle w:val="Heading4"/>
        <w:tabs>
          <w:tab w:val="left" w:pos="284"/>
        </w:tabs>
      </w:pPr>
      <w:r>
        <w:lastRenderedPageBreak/>
        <w:t>Cost benefit analysis</w:t>
      </w:r>
    </w:p>
    <w:p w14:paraId="2552D125"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752E4670" w14:textId="77777777" w:rsidR="00E1199F" w:rsidRPr="00595D2C" w:rsidRDefault="00E1199F" w:rsidP="00E1199F">
      <w:r>
        <w:t xml:space="preserve">The following categories of quantitative costs and benefits were identified in the CBA as pertaining to the reform options. </w:t>
      </w:r>
    </w:p>
    <w:p w14:paraId="0B513A44" w14:textId="6A840B90" w:rsidR="00E1199F" w:rsidRDefault="00E1199F" w:rsidP="00E1199F">
      <w:pPr>
        <w:pStyle w:val="Caption"/>
        <w:keepNext/>
      </w:pPr>
      <w:bookmarkStart w:id="653" w:name="_Toc122446473"/>
      <w:bookmarkStart w:id="654" w:name="_Toc139969311"/>
      <w:r>
        <w:t xml:space="preserve">Table </w:t>
      </w:r>
      <w:fldSimple w:instr=" SEQ Table \* ARABIC ">
        <w:r w:rsidR="00DC26AC">
          <w:rPr>
            <w:noProof/>
          </w:rPr>
          <w:t>153</w:t>
        </w:r>
      </w:fldSimple>
      <w:r>
        <w:t xml:space="preserve">: Benefit-cost ratios </w:t>
      </w:r>
      <w:r>
        <w:rPr>
          <w:noProof/>
        </w:rPr>
        <w:t>for</w:t>
      </w:r>
      <w:r w:rsidRPr="00E92EA3">
        <w:t xml:space="preserve"> </w:t>
      </w:r>
      <w:r>
        <w:t>m</w:t>
      </w:r>
      <w:r w:rsidRPr="00E92EA3">
        <w:rPr>
          <w:noProof/>
        </w:rPr>
        <w:t>obility aid movement in allocated spaces – active restraints</w:t>
      </w:r>
      <w:bookmarkEnd w:id="653"/>
      <w:bookmarkEnd w:id="654"/>
    </w:p>
    <w:tbl>
      <w:tblPr>
        <w:tblStyle w:val="DefaultTable1"/>
        <w:tblW w:w="9864" w:type="dxa"/>
        <w:tblLook w:val="04A0" w:firstRow="1" w:lastRow="0" w:firstColumn="1" w:lastColumn="0" w:noHBand="0" w:noVBand="1"/>
        <w:tblCaption w:val="Benefit-cost ratios for mobility aid movement in allocated spaces – active restraint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297BFD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4634F4AE" w14:textId="77777777" w:rsidR="00E1199F" w:rsidRPr="007A751F" w:rsidRDefault="08D050C4" w:rsidP="00E1199F">
            <w:r w:rsidRPr="08D050C4">
              <w:t>Reform Option</w:t>
            </w:r>
          </w:p>
        </w:tc>
        <w:tc>
          <w:tcPr>
            <w:tcW w:w="1531" w:type="dxa"/>
          </w:tcPr>
          <w:p w14:paraId="789B96F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03FB872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37DB68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68CFD8B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08BAD55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1633C36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2A7E617" w14:textId="77777777" w:rsidR="00E1199F" w:rsidRPr="00653914" w:rsidRDefault="00E1199F" w:rsidP="00E1199F">
            <w:r w:rsidRPr="00653914">
              <w:t>Status Quo</w:t>
            </w:r>
          </w:p>
        </w:tc>
        <w:tc>
          <w:tcPr>
            <w:tcW w:w="1531" w:type="dxa"/>
          </w:tcPr>
          <w:p w14:paraId="4E32B64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0A88B6C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39D91EC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597F79E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0A73C406"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94359B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ADBA96B" w14:textId="77777777" w:rsidR="00E1199F" w:rsidRPr="00653914" w:rsidRDefault="00E1199F" w:rsidP="00E1199F">
            <w:r>
              <w:t xml:space="preserve">Non-regulatory </w:t>
            </w:r>
          </w:p>
        </w:tc>
        <w:tc>
          <w:tcPr>
            <w:tcW w:w="1531" w:type="dxa"/>
            <w:vAlign w:val="center"/>
          </w:tcPr>
          <w:p w14:paraId="37FF62C3"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w:t>
            </w:r>
          </w:p>
        </w:tc>
        <w:tc>
          <w:tcPr>
            <w:tcW w:w="1791" w:type="dxa"/>
          </w:tcPr>
          <w:p w14:paraId="5B7C941A" w14:textId="77777777" w:rsidR="00E1199F" w:rsidRPr="00874437"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554A8B4D"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0.3</w:t>
            </w:r>
          </w:p>
        </w:tc>
        <w:tc>
          <w:tcPr>
            <w:tcW w:w="1539" w:type="dxa"/>
            <w:vAlign w:val="center"/>
          </w:tcPr>
          <w:p w14:paraId="27CEEB5B" w14:textId="5D68FBD9"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0.3</w:t>
            </w:r>
            <w:r w:rsidRPr="08D050C4">
              <w:rPr>
                <w:sz w:val="18"/>
                <w:szCs w:val="18"/>
                <w:vertAlign w:val="superscript"/>
              </w:rPr>
              <w:t xml:space="preserve"> i</w:t>
            </w:r>
          </w:p>
        </w:tc>
        <w:tc>
          <w:tcPr>
            <w:tcW w:w="2216" w:type="dxa"/>
            <w:vAlign w:val="center"/>
          </w:tcPr>
          <w:p w14:paraId="4827C87E"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0.00</w:t>
            </w:r>
          </w:p>
        </w:tc>
      </w:tr>
      <w:tr w:rsidR="00E1199F" w:rsidRPr="00B04D0E" w14:paraId="179FA2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7D5E0C7" w14:textId="77777777" w:rsidR="00E1199F" w:rsidRPr="00653914" w:rsidRDefault="00E1199F" w:rsidP="00E1199F">
            <w:r>
              <w:t>Regulatory</w:t>
            </w:r>
          </w:p>
        </w:tc>
        <w:tc>
          <w:tcPr>
            <w:tcW w:w="1531" w:type="dxa"/>
            <w:vAlign w:val="center"/>
          </w:tcPr>
          <w:p w14:paraId="131D129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0.8</w:t>
            </w:r>
          </w:p>
        </w:tc>
        <w:tc>
          <w:tcPr>
            <w:tcW w:w="1791" w:type="dxa"/>
          </w:tcPr>
          <w:p w14:paraId="5D5E7AE6" w14:textId="77777777" w:rsidR="00E1199F" w:rsidRPr="00874437"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0C9DC02B"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22.7</w:t>
            </w:r>
          </w:p>
        </w:tc>
        <w:tc>
          <w:tcPr>
            <w:tcW w:w="1539" w:type="dxa"/>
            <w:vAlign w:val="center"/>
          </w:tcPr>
          <w:p w14:paraId="1AE1F9B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22.7</w:t>
            </w:r>
          </w:p>
        </w:tc>
        <w:tc>
          <w:tcPr>
            <w:tcW w:w="2216" w:type="dxa"/>
            <w:vAlign w:val="center"/>
          </w:tcPr>
          <w:p w14:paraId="6A353E30"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0.03</w:t>
            </w:r>
          </w:p>
        </w:tc>
      </w:tr>
    </w:tbl>
    <w:p w14:paraId="622764D9"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1C54C196"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006E2469" w14:textId="77777777" w:rsidR="00874437" w:rsidRDefault="00874437" w:rsidP="00F302D5">
      <w:pPr>
        <w:pStyle w:val="BodyText"/>
      </w:pPr>
    </w:p>
    <w:p w14:paraId="7F4E2229" w14:textId="576CB525" w:rsidR="00E1199F" w:rsidRDefault="00E1199F" w:rsidP="00E1199F">
      <w:pPr>
        <w:pStyle w:val="Heading6"/>
      </w:pPr>
      <w:r>
        <w:t>Considerations to note in interpreting analysis</w:t>
      </w:r>
    </w:p>
    <w:p w14:paraId="7381714F" w14:textId="77777777" w:rsidR="00E1199F" w:rsidRDefault="00E1199F" w:rsidP="00F302D5">
      <w:pPr>
        <w:pStyle w:val="Heading7"/>
      </w:pPr>
      <w:r w:rsidRPr="008F2C5A">
        <w:t>Limitations:</w:t>
      </w:r>
    </w:p>
    <w:p w14:paraId="47E4CBA0" w14:textId="77777777" w:rsidR="00E1199F" w:rsidRDefault="00E1199F" w:rsidP="00F302D5">
      <w:pPr>
        <w:pStyle w:val="Heading8"/>
      </w:pPr>
      <w:r>
        <w:t>Non-regulatory option:</w:t>
      </w:r>
    </w:p>
    <w:p w14:paraId="2F649091" w14:textId="332F6505" w:rsidR="00E1199F" w:rsidRDefault="00E1199F" w:rsidP="00F302D5">
      <w:pPr>
        <w:pStyle w:val="Listparagraphbullets"/>
        <w:numPr>
          <w:ilvl w:val="0"/>
          <w:numId w:val="0"/>
        </w:numPr>
        <w:autoSpaceDE w:val="0"/>
        <w:autoSpaceDN w:val="0"/>
        <w:spacing w:after="0"/>
      </w:pPr>
      <w:r w:rsidRPr="00A42202">
        <w:t>The costs and benefits associated with the non-regulatory reform are lower than its regulatory counterpart</w:t>
      </w:r>
      <w:r>
        <w:t>.</w:t>
      </w:r>
      <w:r w:rsidRPr="00A42202">
        <w:t xml:space="preserve"> An estimated rate of uptake of 75</w:t>
      </w:r>
      <w:r w:rsidR="00B140F4">
        <w:t xml:space="preserve"> per cent</w:t>
      </w:r>
      <w:r w:rsidRPr="00A42202">
        <w:t xml:space="preserve"> was applied to the non-regulatory option based on submissions that indicated coaches and taxis typically installs active restraining systems that meet the guidance. This implies that the benefits and costs quantified for this non-regulatory reform may not reflect future take-up of the reform.</w:t>
      </w:r>
    </w:p>
    <w:p w14:paraId="5AF40740" w14:textId="77777777" w:rsidR="00F302D5" w:rsidRPr="00A42202" w:rsidRDefault="00F302D5" w:rsidP="00F302D5">
      <w:pPr>
        <w:pStyle w:val="Listparagraphbullets"/>
        <w:numPr>
          <w:ilvl w:val="0"/>
          <w:numId w:val="0"/>
        </w:numPr>
        <w:autoSpaceDE w:val="0"/>
        <w:autoSpaceDN w:val="0"/>
        <w:spacing w:after="0"/>
      </w:pPr>
    </w:p>
    <w:p w14:paraId="400AE38B" w14:textId="77777777" w:rsidR="00E1199F" w:rsidRDefault="00E1199F" w:rsidP="00F302D5">
      <w:pPr>
        <w:pStyle w:val="Heading8"/>
      </w:pPr>
      <w:r>
        <w:t>Regulatory option:</w:t>
      </w:r>
    </w:p>
    <w:p w14:paraId="7CC80F4E" w14:textId="6F822101" w:rsidR="00E1199F" w:rsidRDefault="00E1199F" w:rsidP="00B140F4">
      <w:r w:rsidRPr="00A422CF">
        <w:t>The benefits and costs were estimated from small number of data points from the survey and proxied at a national levee meaning the results may not fully reflect the existing levels of compliance.</w:t>
      </w:r>
    </w:p>
    <w:p w14:paraId="22000BF0" w14:textId="52EFBC99" w:rsidR="00E1199F" w:rsidRDefault="00E1199F" w:rsidP="00B140F4">
      <w:r w:rsidRPr="00A422CF">
        <w:t>This reform results in safety benefits for a single cohort of beneficiaries at a single point in their journey, whereas the costs in retrofitting existing conveyances with active restraints applies to a high proportion of conveyances.</w:t>
      </w:r>
    </w:p>
    <w:p w14:paraId="277F0AAB" w14:textId="5BEC0820" w:rsidR="00E1199F" w:rsidRPr="0031146F" w:rsidRDefault="00E1199F" w:rsidP="00874437">
      <w:pPr>
        <w:spacing w:line="259" w:lineRule="auto"/>
        <w:rPr>
          <w:rFonts w:asciiTheme="majorHAnsi" w:eastAsiaTheme="majorEastAsia" w:hAnsiTheme="majorHAnsi" w:cstheme="majorBidi"/>
          <w:color w:val="44546A" w:themeColor="text2"/>
          <w:lang w:val="en-AU"/>
        </w:rPr>
      </w:pPr>
      <w:r w:rsidRPr="0031146F">
        <w:rPr>
          <w:rFonts w:asciiTheme="majorHAnsi" w:eastAsiaTheme="majorEastAsia" w:hAnsiTheme="majorHAnsi" w:cstheme="majorBidi"/>
          <w:color w:val="44546A" w:themeColor="text2"/>
          <w:lang w:val="en-AU"/>
        </w:rPr>
        <w:t xml:space="preserve">Qualitative assessment </w:t>
      </w:r>
    </w:p>
    <w:p w14:paraId="4FC90D93" w14:textId="6C96536E" w:rsidR="00F302D5" w:rsidRDefault="00E1199F" w:rsidP="00E1199F">
      <w:r>
        <w:t>The following categories of qualitative benefits were identified in the CBA as pertaining to the reform options.</w:t>
      </w:r>
    </w:p>
    <w:p w14:paraId="5E0B9DC4" w14:textId="77777777" w:rsidR="00F302D5" w:rsidRDefault="00F302D5">
      <w:pPr>
        <w:spacing w:line="259" w:lineRule="auto"/>
      </w:pPr>
      <w:r>
        <w:br w:type="page"/>
      </w:r>
    </w:p>
    <w:p w14:paraId="6F1A96DE" w14:textId="6DDDEF32" w:rsidR="00E1199F" w:rsidRDefault="00E1199F" w:rsidP="00E1199F">
      <w:pPr>
        <w:pStyle w:val="Caption"/>
        <w:keepNext/>
      </w:pPr>
      <w:bookmarkStart w:id="655" w:name="_Toc122446474"/>
      <w:bookmarkStart w:id="656" w:name="_Toc139969312"/>
      <w:r>
        <w:lastRenderedPageBreak/>
        <w:t xml:space="preserve">Table </w:t>
      </w:r>
      <w:fldSimple w:instr=" SEQ Table \* ARABIC ">
        <w:r w:rsidR="00DC26AC">
          <w:rPr>
            <w:noProof/>
          </w:rPr>
          <w:t>154</w:t>
        </w:r>
      </w:fldSimple>
      <w:r>
        <w:rPr>
          <w:noProof/>
        </w:rPr>
        <w:t>:</w:t>
      </w:r>
      <w:r w:rsidRPr="00EE3F5F">
        <w:rPr>
          <w:noProof/>
        </w:rPr>
        <w:t xml:space="preserve"> </w:t>
      </w:r>
      <w:r>
        <w:t xml:space="preserve">Qualitative benefits </w:t>
      </w:r>
      <w:r w:rsidRPr="00D856A7">
        <w:t>for</w:t>
      </w:r>
      <w:r>
        <w:t xml:space="preserve"> m</w:t>
      </w:r>
      <w:r w:rsidRPr="00E92EA3">
        <w:rPr>
          <w:noProof/>
        </w:rPr>
        <w:t>obility aid movement in allocated spaces – active restraints</w:t>
      </w:r>
      <w:bookmarkEnd w:id="655"/>
      <w:bookmarkEnd w:id="656"/>
    </w:p>
    <w:tbl>
      <w:tblPr>
        <w:tblStyle w:val="DefaultTable1"/>
        <w:tblW w:w="9864" w:type="dxa"/>
        <w:tblLook w:val="04A0" w:firstRow="1" w:lastRow="0" w:firstColumn="1" w:lastColumn="0" w:noHBand="0" w:noVBand="1"/>
        <w:tblCaption w:val="Qualitative benefits for mobility aid movement in allocated spaces – active restraints"/>
      </w:tblPr>
      <w:tblGrid>
        <w:gridCol w:w="1213"/>
        <w:gridCol w:w="1343"/>
        <w:gridCol w:w="1626"/>
        <w:gridCol w:w="1300"/>
        <w:gridCol w:w="1278"/>
        <w:gridCol w:w="1641"/>
        <w:gridCol w:w="1463"/>
      </w:tblGrid>
      <w:tr w:rsidR="00E1199F" w:rsidRPr="007A751F" w14:paraId="143870AC"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A1AB403" w14:textId="77777777" w:rsidR="00E1199F" w:rsidRPr="007A751F" w:rsidRDefault="08D050C4" w:rsidP="00E1199F">
            <w:r w:rsidRPr="08D050C4">
              <w:t>Reform Option</w:t>
            </w:r>
          </w:p>
        </w:tc>
        <w:tc>
          <w:tcPr>
            <w:tcW w:w="1343" w:type="dxa"/>
          </w:tcPr>
          <w:p w14:paraId="1D78D08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EE5758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3DBBB9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1FB8D5D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0EF88B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505CD3DC"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1D0D4CE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447307A" w14:textId="77777777" w:rsidR="00E1199F" w:rsidRPr="00653914" w:rsidRDefault="00E1199F" w:rsidP="00E1199F">
            <w:r w:rsidRPr="00653914">
              <w:t>Status Quo</w:t>
            </w:r>
          </w:p>
        </w:tc>
        <w:tc>
          <w:tcPr>
            <w:tcW w:w="1343" w:type="dxa"/>
          </w:tcPr>
          <w:p w14:paraId="4A1BA8C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22271983"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510A7F0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AB8BBA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3C03329C"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61B94EB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1559C24D"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224BD08C" w14:textId="77777777" w:rsidR="00E1199F" w:rsidRPr="00653914" w:rsidRDefault="00E1199F" w:rsidP="00E1199F">
            <w:r>
              <w:t xml:space="preserve">Non-regulatory </w:t>
            </w:r>
          </w:p>
        </w:tc>
        <w:tc>
          <w:tcPr>
            <w:tcW w:w="1343" w:type="dxa"/>
          </w:tcPr>
          <w:p w14:paraId="518C5F27"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112B4246"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439A2882"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0C10DC18"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7DD84887"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D634BA4"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r>
      <w:tr w:rsidR="00E1199F" w:rsidRPr="00B04D0E" w14:paraId="01DDF1B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F7FB0DB" w14:textId="77777777" w:rsidR="00E1199F" w:rsidRPr="00653914" w:rsidRDefault="00E1199F" w:rsidP="00E1199F">
            <w:r>
              <w:t>Regulatory</w:t>
            </w:r>
          </w:p>
        </w:tc>
        <w:tc>
          <w:tcPr>
            <w:tcW w:w="1343" w:type="dxa"/>
          </w:tcPr>
          <w:p w14:paraId="50B093D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212416C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008B170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72FE501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21543EB5"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37F6606C"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0A326464" w14:textId="77777777" w:rsidR="00874437" w:rsidRDefault="00874437" w:rsidP="00874437">
      <w:pPr>
        <w:pStyle w:val="BodyText"/>
      </w:pPr>
    </w:p>
    <w:p w14:paraId="3A8DE0B4" w14:textId="638F440C" w:rsidR="00E1199F" w:rsidRPr="004C16F7" w:rsidRDefault="00E1199F" w:rsidP="00E1199F">
      <w:pPr>
        <w:pStyle w:val="Heading4"/>
        <w:tabs>
          <w:tab w:val="left" w:pos="284"/>
        </w:tabs>
      </w:pPr>
      <w:r>
        <w:t xml:space="preserve">Analysis of submissions </w:t>
      </w:r>
    </w:p>
    <w:p w14:paraId="6FF22538" w14:textId="77777777" w:rsidR="00E1199F" w:rsidRPr="00562DC3" w:rsidRDefault="00E1199F" w:rsidP="00E1199F">
      <w:pPr>
        <w:pStyle w:val="Heading5"/>
      </w:pPr>
      <w:r w:rsidRPr="00562DC3">
        <w:t>Status quo</w:t>
      </w:r>
    </w:p>
    <w:p w14:paraId="378ABF4B" w14:textId="77777777" w:rsidR="00E1199F" w:rsidRDefault="00E1199F" w:rsidP="00E1199F">
      <w:r>
        <w:t xml:space="preserve">Under the status quo the Transport Standards would continue to not define active restraints, provide technical standards for their use, or clearly state where they are necessary on conveyances. </w:t>
      </w:r>
    </w:p>
    <w:p w14:paraId="60D97417" w14:textId="4CF36DE6" w:rsidR="00E1199F" w:rsidRPr="00A155C3" w:rsidRDefault="00E1199F" w:rsidP="00E1199F">
      <w:r>
        <w:t xml:space="preserve">During consultation, </w:t>
      </w:r>
      <w:r w:rsidRPr="00B140F4">
        <w:t>there was some misinterpretation of the scope of the proposed reform options. The regulatory option includes provisions for active restraint systems in allocated spaces on conveyances ‘</w:t>
      </w:r>
      <w:r w:rsidR="00B140F4">
        <w:t>i</w:t>
      </w:r>
      <w:r w:rsidRPr="00B140F4">
        <w:t>f safety belts are compulsory under legislation in a conveyance’. Some of the feedback received during consultation relates to conveyances outside of the scope</w:t>
      </w:r>
      <w:r>
        <w:t xml:space="preserve"> of this proposal, such as on standard route bus services.</w:t>
      </w:r>
    </w:p>
    <w:p w14:paraId="11477A03" w14:textId="77777777" w:rsidR="00E1199F" w:rsidRDefault="08D050C4" w:rsidP="00E1199F">
      <w:r>
        <w:t xml:space="preserve">Feedback from the disability sector highlighted the risks associated with travelling using mobility aids on public transport. Multiple submissions noted that where fitted (primarily, wheelchair accessible taxis and school buses) active restraints are an effective way to mitigate safety risks. One submission from a disability organisation noted that these risks are more significant on bus services, due to the potential for unexpected braking and lateral movement. </w:t>
      </w:r>
    </w:p>
    <w:p w14:paraId="7E208EE4" w14:textId="77777777" w:rsidR="00E1199F" w:rsidRDefault="00E1199F" w:rsidP="00E1199F">
      <w:r>
        <w:t xml:space="preserve">One submission from government and one submission from industry supported the status quo. Both submissions highlighted that generally, buses are not designed to incorporate the structural features required to install active restraint systems. Both submissions highlighted the significant challenges associated with retrospective application of the proposed regulatory requirements, which may be unfeasible or cost prohibitive. Similarly, both submissions raised concerns regarding the impact of fitting active restraint systems in buses used on route services, including impacts on the efficiency of service and safety implications relating to the various designs of mobility aids, and suggested the flexibility of the status quo allows operators and providers to meet the needs of passengers. </w:t>
      </w:r>
    </w:p>
    <w:p w14:paraId="4216BDCF" w14:textId="77777777" w:rsidR="00E1199F" w:rsidRDefault="00E1199F" w:rsidP="00E1199F">
      <w:pPr>
        <w:pStyle w:val="Quote"/>
      </w:pPr>
      <w:r w:rsidRPr="0052576A">
        <w:t>Council believes that passive restraints provide a better overall experience for all passengers compared to active restraints in an urban bus fleet while maintaining the travel efficiencies of a public transport system.</w:t>
      </w:r>
    </w:p>
    <w:p w14:paraId="7D7C8723" w14:textId="77777777" w:rsidR="00E1199F" w:rsidRDefault="00E1199F" w:rsidP="00E1199F">
      <w:pPr>
        <w:pStyle w:val="Quote"/>
      </w:pPr>
      <w:r>
        <w:t>Brisbane City Council</w:t>
      </w:r>
    </w:p>
    <w:p w14:paraId="2D593ADC" w14:textId="77777777" w:rsidR="00E1199F" w:rsidRDefault="00E1199F" w:rsidP="00E1199F">
      <w:r>
        <w:lastRenderedPageBreak/>
        <w:t xml:space="preserve">Maintaining the status quo would not address issues identified during consultation relating to risk to the safety of passengers who use mobility aids on public transport. The status quo does not enhance or increase equality and independence, or reduce discrimination for people with disability in relation to public transport. </w:t>
      </w:r>
    </w:p>
    <w:p w14:paraId="5333C830" w14:textId="77777777" w:rsidR="00E1199F" w:rsidRPr="00562DC3" w:rsidRDefault="00E1199F" w:rsidP="00E1199F">
      <w:pPr>
        <w:pStyle w:val="Heading5"/>
      </w:pPr>
      <w:r w:rsidRPr="00562DC3">
        <w:t>Non-regulatory</w:t>
      </w:r>
    </w:p>
    <w:p w14:paraId="0493B11C" w14:textId="77777777" w:rsidR="00E1199F" w:rsidRDefault="08D050C4" w:rsidP="00E1199F">
      <w:r>
        <w:t xml:space="preserve">Two submissions from industry and four submissions from government supported the non-regulatory option. The provision of best practice guidance material was well supported among these stakeholders, although several submissions emphasised the importance of incorporating guidance into ongoing staff training to ensure systems are used safely and as intended. </w:t>
      </w:r>
    </w:p>
    <w:p w14:paraId="30FE2037" w14:textId="3D298ACC" w:rsidR="00E1199F" w:rsidRDefault="08D050C4" w:rsidP="00E1199F">
      <w:r>
        <w:t xml:space="preserve">In recognition of the variety of mobility aids and use cases relevant to the use of active restraints, these submissions noted the value of flexibility provided through the non-regulatory option. Two submissions from government noted that design requirements, where they are mandatory, already meet </w:t>
      </w:r>
      <w:r w:rsidR="00B140F4">
        <w:t>ADRs</w:t>
      </w:r>
      <w:r>
        <w:t xml:space="preserve"> and other applicable Australian Standards, and therefore additional regulation through the Transport Standards would be unnecessary. Similarly, three submissions from government discussed the potential implications of the installation of active restraint systems on bus services – particularly relating to interruptions to service and liability. The non-regulatory option was identified by these submissions as a suitable compromise, where best practice would benefit conveyance designers, operators and providers and people with disability, whilst recognising the need for flexibility. </w:t>
      </w:r>
    </w:p>
    <w:p w14:paraId="2026BBCB" w14:textId="77777777" w:rsidR="00E1199F" w:rsidRDefault="00E1199F" w:rsidP="00E1199F">
      <w:r>
        <w:t>Multiple submissions from government noted that the retrospective application of the proposed requirements would incur significant additional operational costs and upgrade costs.</w:t>
      </w:r>
    </w:p>
    <w:p w14:paraId="08FF1E1C" w14:textId="77777777" w:rsidR="00E1199F" w:rsidRPr="00562DC3" w:rsidRDefault="00E1199F" w:rsidP="00E1199F">
      <w:pPr>
        <w:pStyle w:val="Heading5"/>
      </w:pPr>
      <w:r w:rsidRPr="00562DC3">
        <w:t>Regulatory</w:t>
      </w:r>
    </w:p>
    <w:p w14:paraId="3E32D6F6" w14:textId="77777777" w:rsidR="00E1199F" w:rsidRDefault="08D050C4" w:rsidP="00E1199F">
      <w:r>
        <w:t>All submissions from individuals, people with disability and disability organisations supported the regulatory option. These submissions emphasised the role that active restraint systems can play in improving the safety of public transport services for people who use mobility aids, and highlighted that passenger safety must be paramount when decisions are made on configuring seating arrangements and utilising restraints. There were mixed views shared regarding how the proposed requirements should be applied. Some submissions supported the fitting and consistency of design of active restraint systems in conveyances where already mandated, such as WATS, but noted that the application of the requirement across all conveyances may not deliver an optimal outcome for all passengers. Conversely, some stakeholders advocated for the mandatory fitting of active restraint systems in conveyances outside the scope of the proposed option, such as public route buses.</w:t>
      </w:r>
    </w:p>
    <w:p w14:paraId="3F6D7D73" w14:textId="77777777" w:rsidR="00E1199F" w:rsidRDefault="00E1199F" w:rsidP="00E1199F">
      <w:pPr>
        <w:pStyle w:val="Quote"/>
      </w:pPr>
      <w:r>
        <w:t xml:space="preserve">Whilst we support the use of active restraints as the safest way to travel when using a mobility aid, mandating their use would limit the independence of people with disability and be problematic across forms of public transport which run to set timetables, such as trains, trams, and buses, or where there are limited staff and the potential of one or more people needing help to restrain their assistive aids. </w:t>
      </w:r>
      <w:r>
        <w:br/>
      </w:r>
      <w:r>
        <w:br/>
        <w:t>Where active restraints have been mandated, for example, across all Wheelchair Accessible Taxis (WATS) time pressures are less of a problem and there is only a single passenger to help at any one time.</w:t>
      </w:r>
    </w:p>
    <w:p w14:paraId="667275B3" w14:textId="77777777" w:rsidR="00E1199F" w:rsidRDefault="00E1199F" w:rsidP="00E1199F">
      <w:pPr>
        <w:pStyle w:val="Quote"/>
      </w:pPr>
      <w:r>
        <w:t>Physical Disability Council of NSW</w:t>
      </w:r>
    </w:p>
    <w:p w14:paraId="501A3476" w14:textId="77777777" w:rsidR="00E1199F" w:rsidRDefault="08D050C4" w:rsidP="00E1199F">
      <w:r>
        <w:lastRenderedPageBreak/>
        <w:t xml:space="preserve">The regulatory option was favoured by the disability sector to provide a greater level of consistency and certainty across services and jurisdictions. Two submissions from people with disability noted that all drivers of WATs are already trained in the use of active restraint systems, and the impact on operators and providers is likely to be minimal. </w:t>
      </w:r>
    </w:p>
    <w:p w14:paraId="185B63F1" w14:textId="77777777" w:rsidR="00E1199F" w:rsidRDefault="08D050C4" w:rsidP="00E1199F">
      <w:r>
        <w:t xml:space="preserve">Four submissions from industry and one submission from government supported the regulatory option. One submission from industry noted that the proposed regulatory option is feasible to implement and would result in tangible improvements to passenger’s accessibility and safety when travelling on coach services. Similarly, two submissions outlined that the majority of WAT services are already compliant with the proposal, and the regulatory option would support national consistency. One submission emphasised that any new regulations must be accompanied by staff training to guarantee safety and accessibility benefits are achieved. One submission from industry noted that further clarity should be provided regarding the fitment of active restraint systems to non-certified anchorage points on mobility devices, and the potential for the introduction of a national labelling system to identify safe anchorage points. One submission from industry noted that costs would be incurred if the requirements were applied retrospectively and a conveyance required upgrade. </w:t>
      </w:r>
    </w:p>
    <w:p w14:paraId="0515DC90" w14:textId="77777777" w:rsidR="00E1199F" w:rsidRPr="00F107BC" w:rsidRDefault="00E1199F" w:rsidP="00E1199F">
      <w:r>
        <w:t xml:space="preserve">Costs will be incurred to install active restraint systems on conveyances where they are required, to the extent that they do not already comply with the proposed requirements. Installation costs will vary depending on the extent to which retrofitting is required. </w:t>
      </w:r>
    </w:p>
    <w:p w14:paraId="32BB22C8" w14:textId="77777777" w:rsidR="00E1199F" w:rsidRDefault="00E1199F" w:rsidP="00E1199F">
      <w:pPr>
        <w:pStyle w:val="Heading4"/>
      </w:pPr>
      <w:r>
        <w:t>Preferred option</w:t>
      </w:r>
    </w:p>
    <w:p w14:paraId="50321B69" w14:textId="77777777" w:rsidR="00E1199F" w:rsidRDefault="00E1199F" w:rsidP="00E1199F">
      <w:r>
        <w:t xml:space="preserve">Informed by the outcomes of consultation, stakeholder impacts, cost and outcomes analysis, the preferred option is the </w:t>
      </w:r>
      <w:r>
        <w:rPr>
          <w:b/>
        </w:rPr>
        <w:t>non-regulatory option</w:t>
      </w:r>
      <w:r>
        <w:t xml:space="preserve">. </w:t>
      </w:r>
    </w:p>
    <w:p w14:paraId="2D52734C" w14:textId="77777777" w:rsidR="00E1199F" w:rsidRDefault="00E1199F" w:rsidP="00E1199F">
      <w:r>
        <w:t xml:space="preserve">During consultation, there was widespread agreement that the risks associated with travelling on conveyances when using mobility aids can be mitigated through the use of active restraint systems, where fitted. Submissions from government and industry provided mixed support for the status quo, non-regulatory and regulatory options, while all submissions from the disability sector supported the regulatory option. </w:t>
      </w:r>
    </w:p>
    <w:p w14:paraId="4F1DF084" w14:textId="56650FE7" w:rsidR="00E1199F" w:rsidRDefault="08D050C4" w:rsidP="00E1199F">
      <w:r>
        <w:t xml:space="preserve">Stakeholders shared diverse views on the scope of conveyances in which active restraint systems should be installed, but agreed that the safe use of these features, particularly in WATs and coaches, must be recognised. Several submissions noted there are current </w:t>
      </w:r>
      <w:r w:rsidR="00B140F4">
        <w:t>ADRs</w:t>
      </w:r>
      <w:r>
        <w:t xml:space="preserve"> which prescribe the design and use of active restraint systems to ensure safety for passengers, including in WATs. To complement these requirements, the non-regulatory option will provide best practice guidance to support operators and providers to safely fit and operate active restraint systems where they are required, while recognising existing provisions required through other regulations such as </w:t>
      </w:r>
      <w:r w:rsidR="00B140F4">
        <w:t>ADRs</w:t>
      </w:r>
      <w:r>
        <w:t xml:space="preserve"> to which conveyances must already </w:t>
      </w:r>
      <w:r w:rsidR="00ED6F7C">
        <w:t>meet</w:t>
      </w:r>
      <w:r>
        <w:t xml:space="preserve">. </w:t>
      </w:r>
    </w:p>
    <w:p w14:paraId="4AA0E3D9" w14:textId="4ACC2E1A" w:rsidR="00E1199F" w:rsidRDefault="00E1199F" w:rsidP="00E1199F">
      <w:r>
        <w:t xml:space="preserve">Multiple submissions from both industry and the disability sector discussed the provision of active restraint systems in conveyances </w:t>
      </w:r>
      <w:r w:rsidR="00ED6F7C">
        <w:t xml:space="preserve">in </w:t>
      </w:r>
      <w:r>
        <w:t>which safety belts are not mandatory. These suggestions fall outside the scope of the proposed reforms. Additional guidance regarding the importance of staff training will be provided to ensure the ongoing safety of use of fitted active restraint systems.</w:t>
      </w:r>
    </w:p>
    <w:p w14:paraId="1951EB41" w14:textId="77777777" w:rsidR="00E1199F" w:rsidRDefault="00E1199F" w:rsidP="00E1199F">
      <w:r>
        <w:t xml:space="preserve">The preferred option will be implemented through inclusion in a revised Whole Journey Guide. </w:t>
      </w:r>
    </w:p>
    <w:p w14:paraId="76BAD3E8" w14:textId="77777777" w:rsidR="00E1199F" w:rsidRDefault="00E1199F" w:rsidP="00E1199F"/>
    <w:p w14:paraId="78606D6E" w14:textId="77777777" w:rsidR="00E1199F" w:rsidRPr="00790E31" w:rsidRDefault="00E1199F" w:rsidP="00E1199F">
      <w:r>
        <w:br w:type="page"/>
      </w:r>
    </w:p>
    <w:p w14:paraId="2653026F" w14:textId="34FB4C2E" w:rsidR="00E1199F" w:rsidRDefault="00E1199F" w:rsidP="003C30C5">
      <w:pPr>
        <w:pStyle w:val="Heading2"/>
        <w:numPr>
          <w:ilvl w:val="0"/>
          <w:numId w:val="30"/>
        </w:numPr>
        <w:ind w:hanging="720"/>
      </w:pPr>
      <w:bookmarkStart w:id="657" w:name="_Toc127351807"/>
      <w:bookmarkStart w:id="658" w:name="_Toc140239765"/>
      <w:r w:rsidRPr="00182544">
        <w:lastRenderedPageBreak/>
        <w:t>Appropriate seats on booked services</w:t>
      </w:r>
      <w:bookmarkEnd w:id="657"/>
      <w:bookmarkEnd w:id="658"/>
    </w:p>
    <w:p w14:paraId="59911E56" w14:textId="77777777" w:rsidR="00E1199F" w:rsidRPr="00763218" w:rsidRDefault="00E1199F" w:rsidP="00E1199F">
      <w:pPr>
        <w:pStyle w:val="Heading4"/>
        <w:tabs>
          <w:tab w:val="left" w:pos="284"/>
        </w:tabs>
      </w:pPr>
      <w:r w:rsidRPr="00621039">
        <w:t>Issue</w:t>
      </w:r>
    </w:p>
    <w:p w14:paraId="2F45A40E" w14:textId="77777777" w:rsidR="00E1199F" w:rsidRPr="00763218" w:rsidRDefault="08D050C4" w:rsidP="00E1199F">
      <w:pPr>
        <w:tabs>
          <w:tab w:val="left" w:pos="284"/>
        </w:tabs>
      </w:pPr>
      <w:bookmarkStart w:id="659" w:name="_Hlk118790983"/>
      <w:r>
        <w:t>The Transport Standards require accessible seats to be held until last in the booking process. However, the definition of an ‘accessible seat’ is unclear and does not recognise the diversity of needs of passengers. In some cases, this may lead to a discriminatory outcome whereby people with disability do not have access to a seat that meets their needs, posing a risk to their health and safety.</w:t>
      </w:r>
    </w:p>
    <w:bookmarkEnd w:id="659"/>
    <w:p w14:paraId="1DB38C9F" w14:textId="77777777" w:rsidR="00E1199F" w:rsidRDefault="00E1199F" w:rsidP="00E1199F">
      <w:pPr>
        <w:tabs>
          <w:tab w:val="left" w:pos="284"/>
        </w:tabs>
      </w:pPr>
      <w:r>
        <w:t>Collective government action would ensure people with disability can access seats suitable for their needs and address key stakeholder issues raised through the Transport Standards review process.</w:t>
      </w:r>
    </w:p>
    <w:p w14:paraId="0C2679F2" w14:textId="77777777" w:rsidR="00E1199F" w:rsidRDefault="00E1199F" w:rsidP="00E1199F">
      <w:pPr>
        <w:pStyle w:val="Heading4"/>
        <w:tabs>
          <w:tab w:val="left" w:pos="284"/>
        </w:tabs>
      </w:pPr>
      <w:r>
        <w:t>Reform options</w:t>
      </w:r>
    </w:p>
    <w:p w14:paraId="3B20E5A6" w14:textId="77777777" w:rsidR="00E1199F" w:rsidRDefault="00E1199F" w:rsidP="00E1199F">
      <w:pPr>
        <w:tabs>
          <w:tab w:val="left" w:pos="284"/>
        </w:tabs>
      </w:pPr>
      <w:r>
        <w:t>Following is a summary of the proposed options for this reform. Full details of each reform option is provided at Appendix A.</w:t>
      </w:r>
    </w:p>
    <w:p w14:paraId="7816D5A3" w14:textId="66DA5AA9" w:rsidR="00E1199F" w:rsidRDefault="00E1199F" w:rsidP="00E1199F">
      <w:pPr>
        <w:pStyle w:val="Caption"/>
        <w:keepNext/>
      </w:pPr>
      <w:bookmarkStart w:id="660" w:name="_Toc122446475"/>
      <w:bookmarkStart w:id="661" w:name="_Toc139969313"/>
      <w:r>
        <w:t xml:space="preserve">Table </w:t>
      </w:r>
      <w:fldSimple w:instr=" SEQ Table \* ARABIC ">
        <w:r w:rsidR="00DC26AC">
          <w:rPr>
            <w:noProof/>
          </w:rPr>
          <w:t>155</w:t>
        </w:r>
      </w:fldSimple>
      <w:r>
        <w:rPr>
          <w:noProof/>
        </w:rPr>
        <w:t>:</w:t>
      </w:r>
      <w:r w:rsidRPr="00CD7F1B">
        <w:rPr>
          <w:noProof/>
        </w:rPr>
        <w:t xml:space="preserve"> </w:t>
      </w:r>
      <w:r>
        <w:rPr>
          <w:noProof/>
        </w:rPr>
        <w:t>Reform options for</w:t>
      </w:r>
      <w:r>
        <w:t xml:space="preserve"> a</w:t>
      </w:r>
      <w:r w:rsidRPr="007C16A3">
        <w:rPr>
          <w:noProof/>
        </w:rPr>
        <w:t>ppropriate seats on booked services</w:t>
      </w:r>
      <w:bookmarkEnd w:id="660"/>
      <w:bookmarkEnd w:id="661"/>
    </w:p>
    <w:tbl>
      <w:tblPr>
        <w:tblStyle w:val="DefaultTable1"/>
        <w:tblW w:w="9072" w:type="dxa"/>
        <w:tblLook w:val="04A0" w:firstRow="1" w:lastRow="0" w:firstColumn="1" w:lastColumn="0" w:noHBand="0" w:noVBand="1"/>
        <w:tblCaption w:val="Reform options for appropriate seats on booked services"/>
        <w:tblDescription w:val="This table provides a description of each of the options for this reform area. Status quo, non-regulatory and regulatory."/>
      </w:tblPr>
      <w:tblGrid>
        <w:gridCol w:w="2232"/>
        <w:gridCol w:w="6840"/>
      </w:tblGrid>
      <w:tr w:rsidR="00E1199F" w:rsidRPr="003964B8" w14:paraId="6F48B0FF"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F0EC13B"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1417C76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55FBB24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2BB21E5"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70102063"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The Transport Standards requires accessible seats to be kept for passengers with disabilities and that operators must allocate unbooked accessible seats to other passengers only after all other standard seats are filled.</w:t>
            </w:r>
          </w:p>
          <w:p w14:paraId="35B759C5"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5E683BF4"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3F44F1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3E8A6598" w14:textId="77777777" w:rsidR="00E1199F" w:rsidRPr="00BA7847"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on booking seats appropriate to a passenger’s needs and is pertinent to booked services on aircraft, coaches, ferries, dial-a-ride services and trains.</w:t>
            </w:r>
          </w:p>
        </w:tc>
      </w:tr>
      <w:tr w:rsidR="00E1199F" w:rsidRPr="003964B8" w14:paraId="3C8D958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D0E145"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6B5F07E7" w14:textId="44659E42"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requirement</w:t>
            </w:r>
            <w:r w:rsidR="00ED6F7C">
              <w:t>s</w:t>
            </w:r>
            <w:r>
              <w:t xml:space="preserve"> for booking seats appropriate to a passenger’s needs and specify the nature of appropriate versus accessible seating for people with disability, for </w:t>
            </w:r>
            <w:r w:rsidRPr="009325E3">
              <w:t xml:space="preserve">aircraft, coaches, ferries, dial-a-ride services and trains </w:t>
            </w:r>
            <w:r>
              <w:t>including:</w:t>
            </w:r>
          </w:p>
          <w:p w14:paraId="37BF2214"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Passengers with disabilities must be able to book seats that are located in parts of the conveyance that are appropriate for their travelling needs.</w:t>
            </w:r>
          </w:p>
          <w:p w14:paraId="3A8B282A"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Operators and providers must appropriately accommodate passengers based on their needs unless all seats on the service are already booked.</w:t>
            </w:r>
          </w:p>
          <w:p w14:paraId="0790B75E" w14:textId="77777777" w:rsidR="00E1199F" w:rsidRPr="00197BCC" w:rsidRDefault="00E1199F" w:rsidP="006F65FB">
            <w:pPr>
              <w:pStyle w:val="ListParagraph"/>
              <w:numPr>
                <w:ilvl w:val="0"/>
                <w:numId w:val="29"/>
              </w:numPr>
              <w:autoSpaceDE w:val="0"/>
              <w:autoSpaceDN w:val="0"/>
              <w:spacing w:before="40" w:after="40"/>
              <w:cnfStyle w:val="000000100000" w:firstRow="0" w:lastRow="0" w:firstColumn="0" w:lastColumn="0" w:oddVBand="0" w:evenVBand="0" w:oddHBand="1" w:evenHBand="0" w:firstRowFirstColumn="0" w:firstRowLastColumn="0" w:lastRowFirstColumn="0" w:lastRowLastColumn="0"/>
            </w:pPr>
            <w:r w:rsidRPr="00F842DE">
              <w:t xml:space="preserve">If different classes of travel are provided by a service, </w:t>
            </w:r>
            <w:r w:rsidRPr="001F22E4">
              <w:t xml:space="preserve">appropriate </w:t>
            </w:r>
            <w:r w:rsidRPr="00DC1D9C">
              <w:t>seats must be available in each class.</w:t>
            </w:r>
          </w:p>
          <w:p w14:paraId="55D73809"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4EF8C298" w14:textId="77777777" w:rsidR="00F302D5" w:rsidRDefault="00F302D5" w:rsidP="00F302D5">
      <w:pPr>
        <w:pStyle w:val="BodyText"/>
      </w:pPr>
    </w:p>
    <w:p w14:paraId="1EAE10DF" w14:textId="7EB05D50" w:rsidR="00E1199F" w:rsidRDefault="00E1199F" w:rsidP="00E1199F">
      <w:pPr>
        <w:pStyle w:val="Heading4"/>
        <w:tabs>
          <w:tab w:val="left" w:pos="284"/>
        </w:tabs>
      </w:pPr>
      <w:r>
        <w:lastRenderedPageBreak/>
        <w:t>Cost benefit analysis</w:t>
      </w:r>
    </w:p>
    <w:p w14:paraId="16C9F0AA"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5C225F55" w14:textId="77777777" w:rsidR="00E1199F" w:rsidRPr="00595D2C" w:rsidRDefault="00E1199F" w:rsidP="00E1199F">
      <w:r>
        <w:t xml:space="preserve">The following categories of quantitative costs and benefits were identified in the CBA as pertaining to the reform options. </w:t>
      </w:r>
    </w:p>
    <w:p w14:paraId="2DB014D9" w14:textId="32645B30" w:rsidR="00E1199F" w:rsidRDefault="00E1199F" w:rsidP="00E1199F">
      <w:pPr>
        <w:pStyle w:val="Caption"/>
        <w:keepNext/>
      </w:pPr>
      <w:bookmarkStart w:id="662" w:name="_Toc122446476"/>
      <w:bookmarkStart w:id="663" w:name="_Toc139969314"/>
      <w:r>
        <w:t xml:space="preserve">Table </w:t>
      </w:r>
      <w:fldSimple w:instr=" SEQ Table \* ARABIC ">
        <w:r w:rsidR="00DC26AC">
          <w:rPr>
            <w:noProof/>
          </w:rPr>
          <w:t>156</w:t>
        </w:r>
      </w:fldSimple>
      <w:r>
        <w:t xml:space="preserve">: Benefit-cost ratios </w:t>
      </w:r>
      <w:r w:rsidRPr="009B6AFE">
        <w:t>for</w:t>
      </w:r>
      <w:r w:rsidRPr="00246E47">
        <w:t xml:space="preserve"> </w:t>
      </w:r>
      <w:r>
        <w:t>a</w:t>
      </w:r>
      <w:r w:rsidRPr="007C16A3">
        <w:rPr>
          <w:noProof/>
        </w:rPr>
        <w:t>ppropriate seats on booked services</w:t>
      </w:r>
      <w:bookmarkEnd w:id="662"/>
      <w:bookmarkEnd w:id="663"/>
    </w:p>
    <w:tbl>
      <w:tblPr>
        <w:tblStyle w:val="DefaultTable1"/>
        <w:tblW w:w="9864" w:type="dxa"/>
        <w:tblLook w:val="04A0" w:firstRow="1" w:lastRow="0" w:firstColumn="1" w:lastColumn="0" w:noHBand="0" w:noVBand="1"/>
        <w:tblCaption w:val="Benefit-cost ratios for appropriate seats on booked servic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1E72328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571CA1EC" w14:textId="77777777" w:rsidR="00E1199F" w:rsidRPr="007A751F" w:rsidRDefault="08D050C4" w:rsidP="00E1199F">
            <w:r w:rsidRPr="08D050C4">
              <w:t>Reform Option</w:t>
            </w:r>
          </w:p>
        </w:tc>
        <w:tc>
          <w:tcPr>
            <w:tcW w:w="1531" w:type="dxa"/>
          </w:tcPr>
          <w:p w14:paraId="007CB37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4AFD1F0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B9BA6E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D5FF2E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4F60D8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58375AD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E089B3E" w14:textId="77777777" w:rsidR="00E1199F" w:rsidRPr="00653914" w:rsidRDefault="00E1199F" w:rsidP="00E1199F">
            <w:r w:rsidRPr="00653914">
              <w:t>Status Quo</w:t>
            </w:r>
          </w:p>
        </w:tc>
        <w:tc>
          <w:tcPr>
            <w:tcW w:w="1531" w:type="dxa"/>
          </w:tcPr>
          <w:p w14:paraId="4B385039"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4A6A651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6EB5CB2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4F40355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6D4A58A3"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5CEC67C"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EA53DED" w14:textId="77777777" w:rsidR="00E1199F" w:rsidRPr="00653914" w:rsidRDefault="00E1199F" w:rsidP="00E1199F">
            <w:r>
              <w:t xml:space="preserve">Non-regulatory </w:t>
            </w:r>
          </w:p>
        </w:tc>
        <w:tc>
          <w:tcPr>
            <w:tcW w:w="1531" w:type="dxa"/>
            <w:vAlign w:val="center"/>
          </w:tcPr>
          <w:p w14:paraId="04459A0C"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101.0</w:t>
            </w:r>
          </w:p>
        </w:tc>
        <w:tc>
          <w:tcPr>
            <w:tcW w:w="1791" w:type="dxa"/>
          </w:tcPr>
          <w:p w14:paraId="7D3375E1" w14:textId="77777777" w:rsidR="00E1199F" w:rsidRPr="00874437"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A3E296E"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104.7</w:t>
            </w:r>
          </w:p>
        </w:tc>
        <w:tc>
          <w:tcPr>
            <w:tcW w:w="1539" w:type="dxa"/>
            <w:vAlign w:val="center"/>
          </w:tcPr>
          <w:p w14:paraId="7DC841FD" w14:textId="0775D42D"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104.7</w:t>
            </w:r>
            <w:r w:rsidRPr="08D050C4">
              <w:rPr>
                <w:sz w:val="18"/>
                <w:szCs w:val="18"/>
                <w:vertAlign w:val="superscript"/>
              </w:rPr>
              <w:t xml:space="preserve"> i</w:t>
            </w:r>
          </w:p>
        </w:tc>
        <w:tc>
          <w:tcPr>
            <w:tcW w:w="2216" w:type="dxa"/>
            <w:vAlign w:val="center"/>
          </w:tcPr>
          <w:p w14:paraId="06988FBC" w14:textId="77777777" w:rsidR="00E1199F" w:rsidRPr="00874437"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0.96</w:t>
            </w:r>
          </w:p>
        </w:tc>
      </w:tr>
      <w:tr w:rsidR="00E1199F" w:rsidRPr="00B04D0E" w14:paraId="49E7CA42"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8A15CD1" w14:textId="77777777" w:rsidR="00E1199F" w:rsidRPr="00653914" w:rsidRDefault="00E1199F" w:rsidP="00E1199F">
            <w:r>
              <w:t>Regulatory</w:t>
            </w:r>
          </w:p>
        </w:tc>
        <w:tc>
          <w:tcPr>
            <w:tcW w:w="1531" w:type="dxa"/>
            <w:vAlign w:val="center"/>
          </w:tcPr>
          <w:p w14:paraId="3172624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317.0</w:t>
            </w:r>
          </w:p>
        </w:tc>
        <w:tc>
          <w:tcPr>
            <w:tcW w:w="1791" w:type="dxa"/>
          </w:tcPr>
          <w:p w14:paraId="0C30A838" w14:textId="77777777" w:rsidR="00E1199F" w:rsidRPr="00874437"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41B213D5"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144.8</w:t>
            </w:r>
          </w:p>
        </w:tc>
        <w:tc>
          <w:tcPr>
            <w:tcW w:w="1539" w:type="dxa"/>
            <w:vAlign w:val="center"/>
          </w:tcPr>
          <w:p w14:paraId="67AFA1A7"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144.8</w:t>
            </w:r>
          </w:p>
        </w:tc>
        <w:tc>
          <w:tcPr>
            <w:tcW w:w="2216" w:type="dxa"/>
            <w:vAlign w:val="center"/>
          </w:tcPr>
          <w:p w14:paraId="57D96440"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2.19</w:t>
            </w:r>
          </w:p>
        </w:tc>
      </w:tr>
    </w:tbl>
    <w:p w14:paraId="5C472C1A"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173D164"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4334AB0A" w14:textId="4E596A0F" w:rsidR="00E1199F" w:rsidRPr="00F730F8" w:rsidRDefault="00E1199F" w:rsidP="00E1199F">
      <w:pPr>
        <w:spacing w:before="120" w:after="0"/>
        <w:rPr>
          <w:sz w:val="20"/>
        </w:rPr>
      </w:pPr>
    </w:p>
    <w:p w14:paraId="569283EF" w14:textId="77777777" w:rsidR="00E1199F" w:rsidRDefault="00E1199F" w:rsidP="00E1199F">
      <w:pPr>
        <w:pStyle w:val="Heading6"/>
      </w:pPr>
      <w:r>
        <w:t>Considerations to note in interpreting analysis</w:t>
      </w:r>
    </w:p>
    <w:p w14:paraId="4DDC57D7" w14:textId="77777777" w:rsidR="00E1199F" w:rsidRDefault="00E1199F" w:rsidP="00425012">
      <w:pPr>
        <w:pStyle w:val="Heading8"/>
      </w:pPr>
      <w:r w:rsidRPr="008F2C5A">
        <w:t>Limitations:</w:t>
      </w:r>
    </w:p>
    <w:p w14:paraId="1922C227" w14:textId="77777777" w:rsidR="00E1199F" w:rsidRDefault="00E1199F" w:rsidP="00425012">
      <w:pPr>
        <w:pStyle w:val="Heading7"/>
      </w:pPr>
      <w:r>
        <w:t xml:space="preserve">Non-regulatory option: </w:t>
      </w:r>
    </w:p>
    <w:p w14:paraId="657F0CFC" w14:textId="5746A5A1" w:rsidR="00E1199F" w:rsidRDefault="00E1199F" w:rsidP="00425012">
      <w:pPr>
        <w:pStyle w:val="Listparagraphbullets"/>
        <w:numPr>
          <w:ilvl w:val="0"/>
          <w:numId w:val="0"/>
        </w:numPr>
        <w:autoSpaceDE w:val="0"/>
        <w:autoSpaceDN w:val="0"/>
        <w:spacing w:after="0"/>
      </w:pPr>
      <w:r w:rsidRPr="00104F9B">
        <w:t>The costs and benefits associated with the non-regulatory reform are lower than its regulatory counterpart reflecting an assumed lower rate of compliance with the reform. The compliance rate is assumption-based and has been estimated by the Department through insights gained from the Consultation RIS rather than observed behaviour or direct consultation responses. This implies that the benefits and costs quantified for this non-regulatory reform may not reflect future take-up of the reform.</w:t>
      </w:r>
    </w:p>
    <w:p w14:paraId="4C4CE5B5" w14:textId="77777777" w:rsidR="00425012" w:rsidRPr="00104F9B" w:rsidRDefault="00425012" w:rsidP="00425012">
      <w:pPr>
        <w:pStyle w:val="Listparagraphbullets"/>
        <w:numPr>
          <w:ilvl w:val="0"/>
          <w:numId w:val="0"/>
        </w:numPr>
        <w:autoSpaceDE w:val="0"/>
        <w:autoSpaceDN w:val="0"/>
        <w:spacing w:after="0"/>
      </w:pPr>
    </w:p>
    <w:p w14:paraId="56220FF0" w14:textId="77777777" w:rsidR="00E1199F" w:rsidRPr="00104F9B" w:rsidRDefault="00E1199F" w:rsidP="00425012">
      <w:pPr>
        <w:pStyle w:val="Heading8"/>
      </w:pPr>
      <w:r w:rsidRPr="00104F9B">
        <w:t>Regulatory option:</w:t>
      </w:r>
    </w:p>
    <w:p w14:paraId="71015006" w14:textId="0B0FE360" w:rsidR="00425012" w:rsidRPr="00104F9B" w:rsidRDefault="00E1199F" w:rsidP="00B140F4">
      <w:r w:rsidRPr="00104F9B">
        <w:t xml:space="preserve">The benefits and costs for this reform were estimated from publicly available data (including the number of public transport operators) and a small number of data points from the survey. This implies the benefits and costs may not be fully reflective of differences by state and jurisdiction and rates of current and future compliance. </w:t>
      </w:r>
    </w:p>
    <w:p w14:paraId="613021AD" w14:textId="7343A0BC" w:rsidR="00425012" w:rsidRPr="00104F9B" w:rsidRDefault="00E1199F" w:rsidP="00B140F4">
      <w:r w:rsidRPr="00104F9B">
        <w:t>This reform improves safety, amenity and accessibility outcomes for public transport users with disability and users with restricted mobility resulting in benefits for the broader community.</w:t>
      </w:r>
    </w:p>
    <w:p w14:paraId="20FFBFB8" w14:textId="77777777" w:rsidR="00E1199F" w:rsidRPr="00104F9B" w:rsidRDefault="00E1199F" w:rsidP="00425012">
      <w:pPr>
        <w:pStyle w:val="Heading8"/>
      </w:pPr>
      <w:r w:rsidRPr="00104F9B">
        <w:t xml:space="preserve">Interdependencies: </w:t>
      </w:r>
    </w:p>
    <w:p w14:paraId="0E6AB756" w14:textId="77777777" w:rsidR="00E1199F" w:rsidRPr="00104F9B" w:rsidRDefault="00E1199F" w:rsidP="00425012">
      <w:pPr>
        <w:pStyle w:val="Listparagraphbullets"/>
        <w:numPr>
          <w:ilvl w:val="0"/>
          <w:numId w:val="0"/>
        </w:numPr>
        <w:autoSpaceDE w:val="0"/>
        <w:autoSpaceDN w:val="0"/>
        <w:spacing w:after="0"/>
      </w:pPr>
      <w:r w:rsidRPr="00104F9B">
        <w:t>The accessibility benefits associated with this reform will only be realised if there was equitable access across the whole public transport journey, with benefits reliant on implementation of other reforms such as installation of appropriate restraints, timely provision of information, boarding points on infrastructure and others.</w:t>
      </w:r>
    </w:p>
    <w:p w14:paraId="2F080847"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lastRenderedPageBreak/>
        <w:t xml:space="preserve">Qualitative assessment </w:t>
      </w:r>
    </w:p>
    <w:p w14:paraId="623261CF" w14:textId="77777777" w:rsidR="00E1199F" w:rsidRPr="00F10FAA" w:rsidRDefault="00E1199F" w:rsidP="00E1199F">
      <w:r>
        <w:t>The following categories of qualitative benefits were identified in the CBA as pertaining to the reform options.</w:t>
      </w:r>
    </w:p>
    <w:p w14:paraId="41DF301F" w14:textId="7241B298" w:rsidR="00E1199F" w:rsidRDefault="00E1199F" w:rsidP="00E1199F">
      <w:pPr>
        <w:pStyle w:val="Caption"/>
        <w:keepNext/>
      </w:pPr>
      <w:bookmarkStart w:id="664" w:name="_Toc122446477"/>
      <w:bookmarkStart w:id="665" w:name="_Toc139969315"/>
      <w:r>
        <w:t xml:space="preserve">Table </w:t>
      </w:r>
      <w:fldSimple w:instr=" SEQ Table \* ARABIC ">
        <w:r w:rsidR="00DC26AC">
          <w:rPr>
            <w:noProof/>
          </w:rPr>
          <w:t>157</w:t>
        </w:r>
      </w:fldSimple>
      <w:r>
        <w:t xml:space="preserve">: Qualitative benefits </w:t>
      </w:r>
      <w:r w:rsidRPr="00D856A7">
        <w:t>for</w:t>
      </w:r>
      <w:r>
        <w:t xml:space="preserve"> a</w:t>
      </w:r>
      <w:r w:rsidRPr="007C16A3">
        <w:rPr>
          <w:noProof/>
        </w:rPr>
        <w:t>ppropriate seats on booked services</w:t>
      </w:r>
      <w:bookmarkEnd w:id="664"/>
      <w:bookmarkEnd w:id="665"/>
    </w:p>
    <w:tbl>
      <w:tblPr>
        <w:tblStyle w:val="DefaultTable1"/>
        <w:tblW w:w="9864" w:type="dxa"/>
        <w:tblLook w:val="04A0" w:firstRow="1" w:lastRow="0" w:firstColumn="1" w:lastColumn="0" w:noHBand="0" w:noVBand="1"/>
        <w:tblCaption w:val="Qualitative benefits for appropriate seats on booked services"/>
      </w:tblPr>
      <w:tblGrid>
        <w:gridCol w:w="1213"/>
        <w:gridCol w:w="1343"/>
        <w:gridCol w:w="1626"/>
        <w:gridCol w:w="1300"/>
        <w:gridCol w:w="1278"/>
        <w:gridCol w:w="1641"/>
        <w:gridCol w:w="1463"/>
      </w:tblGrid>
      <w:tr w:rsidR="00E1199F" w:rsidRPr="007A751F" w14:paraId="150AB8B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A45DAA6" w14:textId="77777777" w:rsidR="00E1199F" w:rsidRPr="007A751F" w:rsidRDefault="08D050C4" w:rsidP="00E1199F">
            <w:r w:rsidRPr="08D050C4">
              <w:t>Reform Option</w:t>
            </w:r>
          </w:p>
        </w:tc>
        <w:tc>
          <w:tcPr>
            <w:tcW w:w="1343" w:type="dxa"/>
          </w:tcPr>
          <w:p w14:paraId="54E1CD6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75928E2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263AFC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155A4D4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4452EE7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3C940182"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1F37FD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75DDC56" w14:textId="77777777" w:rsidR="00E1199F" w:rsidRPr="00653914" w:rsidRDefault="00E1199F" w:rsidP="00E1199F">
            <w:r w:rsidRPr="00653914">
              <w:t>Status Quo</w:t>
            </w:r>
          </w:p>
        </w:tc>
        <w:tc>
          <w:tcPr>
            <w:tcW w:w="1343" w:type="dxa"/>
          </w:tcPr>
          <w:p w14:paraId="46DAB97E"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500ADFFA"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4C3F656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37228D6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439809A7"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3AB725F5"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r>
      <w:tr w:rsidR="00E1199F" w:rsidRPr="00B04D0E" w14:paraId="0D5409E6"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41F6754A" w14:textId="77777777" w:rsidR="00E1199F" w:rsidRPr="00653914" w:rsidRDefault="00E1199F" w:rsidP="00E1199F">
            <w:r>
              <w:t xml:space="preserve">Non-regulatory </w:t>
            </w:r>
          </w:p>
        </w:tc>
        <w:tc>
          <w:tcPr>
            <w:tcW w:w="1343" w:type="dxa"/>
          </w:tcPr>
          <w:p w14:paraId="26FE685C"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08F6480C"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6B36B7CB" w14:textId="77777777" w:rsidR="00E1199F" w:rsidRDefault="08D050C4" w:rsidP="00E1199F">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2D35D2DE"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04E76CB0"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3D414DD7" w14:textId="77777777" w:rsidR="00E1199F" w:rsidRPr="00B04D0E" w:rsidRDefault="08D050C4" w:rsidP="00E1199F">
            <w:pPr>
              <w:cnfStyle w:val="000000000000" w:firstRow="0" w:lastRow="0" w:firstColumn="0" w:lastColumn="0" w:oddVBand="0" w:evenVBand="0" w:oddHBand="0" w:evenHBand="0" w:firstRowFirstColumn="0" w:firstRowLastColumn="0" w:lastRowFirstColumn="0" w:lastRowLastColumn="0"/>
            </w:pPr>
            <w:r>
              <w:t>-</w:t>
            </w:r>
          </w:p>
        </w:tc>
      </w:tr>
      <w:tr w:rsidR="00E1199F" w:rsidRPr="00B04D0E" w14:paraId="3D7492A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C0C7965" w14:textId="77777777" w:rsidR="00E1199F" w:rsidRPr="00653914" w:rsidRDefault="00E1199F" w:rsidP="00E1199F">
            <w:r>
              <w:t>Regulatory</w:t>
            </w:r>
          </w:p>
        </w:tc>
        <w:tc>
          <w:tcPr>
            <w:tcW w:w="1343" w:type="dxa"/>
          </w:tcPr>
          <w:p w14:paraId="359A046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0A81F8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7CCFB4F8"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475E9065"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11D647BD"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648AD75A"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r>
    </w:tbl>
    <w:p w14:paraId="6DA19309" w14:textId="77777777" w:rsidR="00874437" w:rsidRDefault="00874437" w:rsidP="00874437">
      <w:pPr>
        <w:pStyle w:val="BodyText"/>
      </w:pPr>
    </w:p>
    <w:p w14:paraId="3C2AED48" w14:textId="1ADB643F" w:rsidR="00E1199F" w:rsidRPr="004C16F7" w:rsidRDefault="00E1199F" w:rsidP="00E1199F">
      <w:pPr>
        <w:pStyle w:val="Heading4"/>
        <w:tabs>
          <w:tab w:val="left" w:pos="284"/>
        </w:tabs>
      </w:pPr>
      <w:r>
        <w:t xml:space="preserve">Analysis of submissions </w:t>
      </w:r>
    </w:p>
    <w:p w14:paraId="55DDAA1D" w14:textId="77777777" w:rsidR="00E1199F" w:rsidRPr="00562DC3" w:rsidRDefault="00E1199F" w:rsidP="00E1199F">
      <w:pPr>
        <w:pStyle w:val="Heading5"/>
      </w:pPr>
      <w:r w:rsidRPr="00562DC3">
        <w:t>Status quo</w:t>
      </w:r>
    </w:p>
    <w:p w14:paraId="33D3F4E6" w14:textId="70306BF2" w:rsidR="00E1199F" w:rsidRDefault="00E1199F" w:rsidP="08D050C4">
      <w:pPr>
        <w:rPr>
          <w:rFonts w:ascii="Calibri" w:hAnsi="Calibri" w:cs="Calibri"/>
          <w:color w:val="000000" w:themeColor="text1"/>
        </w:rPr>
      </w:pPr>
      <w:r w:rsidRPr="009674B7">
        <w:t>Under the status quo</w:t>
      </w:r>
      <w:r>
        <w:t>,</w:t>
      </w:r>
      <w:r w:rsidRPr="009674B7">
        <w:t xml:space="preserve"> accessible seats will continue to be kept for passengers with disabilities and operators will only be able </w:t>
      </w:r>
      <w:r w:rsidR="00ED6F7C">
        <w:t>to</w:t>
      </w:r>
      <w:r w:rsidRPr="009674B7">
        <w:t xml:space="preserve"> allocate unbooked accessible seats to other passengers after all other standard seats are filled. </w:t>
      </w:r>
      <w:r>
        <w:t xml:space="preserve">During consultation, individuals, people with disability and disability organisations identified that these requirements do not align with best practice and should be replaced with more inclusive booking options. For example, one submission noted the individualised identification of appropriate seating </w:t>
      </w:r>
      <w:r>
        <w:rPr>
          <w:rFonts w:ascii="Calibri" w:hAnsi="Calibri" w:cs="Calibri"/>
          <w:color w:val="000000"/>
          <w:shd w:val="clear" w:color="auto" w:fill="FFFFFF"/>
        </w:rPr>
        <w:t>to meet people’s needs could reduce potential health and safety issues during service use.</w:t>
      </w:r>
    </w:p>
    <w:p w14:paraId="6566F7A4" w14:textId="77777777" w:rsidR="00E1199F" w:rsidRDefault="00E1199F" w:rsidP="00E1199F">
      <w:pPr>
        <w:pStyle w:val="Quote"/>
      </w:pPr>
      <w:r>
        <w:t>Our preference reflects our view that the regulatory option is the most effective way of achieving consistency and certainty by acknowledging that for many people who are blind or have low vision it can be more useful for them to be allocated a seat, for example, that is closer to bathroom or dining facilities than a seat that meets the definition of an accessible seat.</w:t>
      </w:r>
    </w:p>
    <w:p w14:paraId="3A37317C" w14:textId="77777777" w:rsidR="00E1199F" w:rsidRPr="00675417" w:rsidRDefault="00E1199F" w:rsidP="00E1199F">
      <w:pPr>
        <w:pStyle w:val="Quote"/>
        <w:rPr>
          <w:highlight w:val="green"/>
        </w:rPr>
      </w:pPr>
      <w:r w:rsidRPr="0015415B">
        <w:rPr>
          <w:shd w:val="clear" w:color="auto" w:fill="FFFFFF"/>
        </w:rPr>
        <w:t>Vision Australia</w:t>
      </w:r>
    </w:p>
    <w:p w14:paraId="727232E4" w14:textId="77777777" w:rsidR="00E1199F" w:rsidRPr="009674B7" w:rsidRDefault="00E1199F" w:rsidP="00E1199F">
      <w:r>
        <w:t xml:space="preserve">One submission from industry supported the status quo option. </w:t>
      </w:r>
      <w:r w:rsidRPr="009674B7">
        <w:t xml:space="preserve">This stakeholder preferred the status quo as unique characteristics in the relevant industry make this option the most feasible </w:t>
      </w:r>
      <w:r>
        <w:t xml:space="preserve">and appropriate solution, </w:t>
      </w:r>
      <w:r w:rsidRPr="009674B7">
        <w:t>without compromising on safety issues.</w:t>
      </w:r>
    </w:p>
    <w:p w14:paraId="221754A8" w14:textId="77777777" w:rsidR="00E1199F" w:rsidRPr="009674B7" w:rsidRDefault="00E1199F" w:rsidP="00E1199F">
      <w:r w:rsidRPr="009674B7">
        <w:t xml:space="preserve">Maintaining the status quo has no-ongoing costs for public transport operators and providers. There </w:t>
      </w:r>
      <w:r>
        <w:t>may be a lost opportunity to ensure</w:t>
      </w:r>
      <w:r w:rsidRPr="009674B7">
        <w:t xml:space="preserve"> people with disability </w:t>
      </w:r>
      <w:r>
        <w:t>can book</w:t>
      </w:r>
      <w:r w:rsidRPr="009674B7">
        <w:t xml:space="preserve"> seating more appropriate to their needs.</w:t>
      </w:r>
    </w:p>
    <w:p w14:paraId="7417865F" w14:textId="77777777" w:rsidR="00E1199F" w:rsidRPr="00562DC3" w:rsidRDefault="00E1199F" w:rsidP="00E1199F">
      <w:pPr>
        <w:pStyle w:val="Heading5"/>
      </w:pPr>
      <w:r w:rsidRPr="00562DC3">
        <w:t>Non-regulatory</w:t>
      </w:r>
    </w:p>
    <w:p w14:paraId="458AE671" w14:textId="58A7C85A" w:rsidR="00E1199F" w:rsidRDefault="00E1199F" w:rsidP="00E1199F">
      <w:r>
        <w:t>Two submission</w:t>
      </w:r>
      <w:r w:rsidR="00B140F4">
        <w:t>s</w:t>
      </w:r>
      <w:r>
        <w:t xml:space="preserve"> from industry and one submission from government supported the non-regulatory option. </w:t>
      </w:r>
      <w:r w:rsidRPr="005F7D7F">
        <w:t xml:space="preserve">Those who supported the non-regulatory option noted </w:t>
      </w:r>
      <w:r>
        <w:t xml:space="preserve">guidance material would support </w:t>
      </w:r>
      <w:r w:rsidRPr="005F7D7F">
        <w:t>operators</w:t>
      </w:r>
      <w:r>
        <w:t xml:space="preserve"> and providers to ensure their practices follow best practice, and benefit </w:t>
      </w:r>
      <w:r>
        <w:lastRenderedPageBreak/>
        <w:t>passengers</w:t>
      </w:r>
      <w:r w:rsidRPr="005F7D7F">
        <w:t xml:space="preserve"> when there is operational and passenger alignment. </w:t>
      </w:r>
      <w:r>
        <w:t xml:space="preserve">Similarly, two submissions stated the regulatory option may not be feasible to implement, given the variability of passenger’s needs and the operational constraints of coaches. </w:t>
      </w:r>
    </w:p>
    <w:p w14:paraId="7CB767AC" w14:textId="77777777" w:rsidR="00E1199F" w:rsidRDefault="00E1199F" w:rsidP="00E1199F">
      <w:pPr>
        <w:pStyle w:val="Quote"/>
        <w:rPr>
          <w:lang w:eastAsia="en-AU"/>
        </w:rPr>
      </w:pPr>
      <w:r>
        <w:rPr>
          <w:lang w:eastAsia="en-AU"/>
        </w:rPr>
        <w:t xml:space="preserve">The BIC does not support the regulatory option as it would be impossible to apply to passengers in all circumstances of travelling needs across all coach types. </w:t>
      </w:r>
    </w:p>
    <w:p w14:paraId="23111D88" w14:textId="7FCB7DB2" w:rsidR="00E1199F" w:rsidRDefault="00E1199F" w:rsidP="00E1199F">
      <w:pPr>
        <w:pStyle w:val="Quote"/>
        <w:rPr>
          <w:lang w:eastAsia="en-AU"/>
        </w:rPr>
      </w:pPr>
      <w:r>
        <w:rPr>
          <w:lang w:eastAsia="en-AU"/>
        </w:rPr>
        <w:t xml:space="preserve">For example: </w:t>
      </w:r>
      <w:r w:rsidR="00B140F4">
        <w:rPr>
          <w:lang w:eastAsia="en-AU"/>
        </w:rPr>
        <w:t>a</w:t>
      </w:r>
      <w:r>
        <w:rPr>
          <w:lang w:eastAsia="en-AU"/>
        </w:rPr>
        <w:t>ll booked passengers have their position on the coach conveyance pre-allocated. If a roadside pickup were to occur, the passenger would be booked and allocated a seat (if one is available), before the passenger boards the coach. This cannot happen for roadside bookings, for example, where the passenger uses a mobility aid, as the removal of fixed seats to gain access is a 2-man lift / job and cannot be completed roadside.</w:t>
      </w:r>
    </w:p>
    <w:p w14:paraId="62A6C18C" w14:textId="77777777" w:rsidR="00E1199F" w:rsidRDefault="00E1199F" w:rsidP="00E1199F">
      <w:pPr>
        <w:pStyle w:val="Quote"/>
        <w:rPr>
          <w:lang w:eastAsia="en-AU"/>
        </w:rPr>
      </w:pPr>
      <w:r>
        <w:rPr>
          <w:lang w:eastAsia="en-AU"/>
        </w:rPr>
        <w:t>Bus Industry Confederation</w:t>
      </w:r>
    </w:p>
    <w:p w14:paraId="325BFB37" w14:textId="3B2505B1" w:rsidR="00E1199F" w:rsidRPr="005F7D7F" w:rsidRDefault="00E1199F" w:rsidP="00E1199F">
      <w:r>
        <w:t xml:space="preserve">To the extent that guidance is adopted, people with disability may benefit from increased amenity through the provision of seating most appropriate to their needs. However, the discretionary nature of the option does not </w:t>
      </w:r>
      <w:r w:rsidRPr="005F7D7F">
        <w:t>provide certainty that operators and providers will</w:t>
      </w:r>
      <w:r>
        <w:t xml:space="preserve"> adopt guidance. </w:t>
      </w:r>
    </w:p>
    <w:p w14:paraId="0DC14147" w14:textId="77777777" w:rsidR="00E1199F" w:rsidRPr="00562DC3" w:rsidRDefault="00E1199F" w:rsidP="00E1199F">
      <w:pPr>
        <w:pStyle w:val="Heading5"/>
      </w:pPr>
      <w:r w:rsidRPr="00562DC3">
        <w:t>Regulatory</w:t>
      </w:r>
    </w:p>
    <w:p w14:paraId="49F20188" w14:textId="77777777" w:rsidR="00E1199F" w:rsidRPr="00AC181A" w:rsidRDefault="08D050C4" w:rsidP="00E1199F">
      <w:r>
        <w:t xml:space="preserve">The majority of submissions from government, two submissions from industry and all individuals, people with disability and disability organisations supported the regulatory option. </w:t>
      </w:r>
    </w:p>
    <w:p w14:paraId="643195D8" w14:textId="54D8FE39" w:rsidR="00E1199F" w:rsidRDefault="00E1199F" w:rsidP="00E1199F">
      <w:r>
        <w:t>Stakeholders from the disability sector</w:t>
      </w:r>
      <w:r w:rsidRPr="00AC181A">
        <w:t xml:space="preserve"> indicated </w:t>
      </w:r>
      <w:r>
        <w:t xml:space="preserve">that </w:t>
      </w:r>
      <w:r w:rsidRPr="00AC181A">
        <w:t xml:space="preserve">identifying appropriate seating during the booking process can reduce safety issues while a service is </w:t>
      </w:r>
      <w:r w:rsidR="00ED6F7C">
        <w:t>underway</w:t>
      </w:r>
      <w:r w:rsidRPr="00AC181A">
        <w:t xml:space="preserve">. Individual respondents highlighted that the regulatory option would be an effective way of </w:t>
      </w:r>
      <w:r>
        <w:t>providing</w:t>
      </w:r>
      <w:r w:rsidRPr="00AC181A">
        <w:t xml:space="preserve"> consistency </w:t>
      </w:r>
      <w:r>
        <w:t>of service to</w:t>
      </w:r>
      <w:r w:rsidRPr="00AC181A">
        <w:t xml:space="preserve"> people with disabilit</w:t>
      </w:r>
      <w:r>
        <w:t>y</w:t>
      </w:r>
      <w:r w:rsidRPr="00AC181A">
        <w:t>. Additionally, it was mentioned that this option would allow individuals to have a greater sense of confidence and independence</w:t>
      </w:r>
      <w:r>
        <w:t xml:space="preserve"> when travelling</w:t>
      </w:r>
      <w:r w:rsidRPr="00AC181A">
        <w:t>.</w:t>
      </w:r>
    </w:p>
    <w:p w14:paraId="5D4E7EB2" w14:textId="77777777" w:rsidR="00E1199F" w:rsidRDefault="00E1199F" w:rsidP="00E1199F">
      <w:pPr>
        <w:pStyle w:val="Quote"/>
        <w:rPr>
          <w:lang w:eastAsia="en-AU"/>
        </w:rPr>
      </w:pPr>
      <w:r w:rsidRPr="00DE14FF">
        <w:rPr>
          <w:lang w:eastAsia="en-AU"/>
        </w:rPr>
        <w:t xml:space="preserve">Regulation in the Transport Standards gives choice and control back to the consumer and people with disability when using booked service, promoting the use of these services with the understanding for </w:t>
      </w:r>
      <w:r>
        <w:rPr>
          <w:lang w:eastAsia="en-AU"/>
        </w:rPr>
        <w:t>passengers</w:t>
      </w:r>
      <w:r w:rsidRPr="00DE14FF">
        <w:rPr>
          <w:lang w:eastAsia="en-AU"/>
        </w:rPr>
        <w:t xml:space="preserve"> that their needs will be met equitably and not at the expense of their time and dignity.</w:t>
      </w:r>
    </w:p>
    <w:p w14:paraId="275F5CD7" w14:textId="77777777" w:rsidR="00E1199F" w:rsidRPr="0015415B" w:rsidRDefault="00E1199F" w:rsidP="00E1199F">
      <w:pPr>
        <w:pStyle w:val="Quote"/>
        <w:rPr>
          <w:lang w:eastAsia="en-AU"/>
        </w:rPr>
      </w:pPr>
      <w:r>
        <w:rPr>
          <w:lang w:eastAsia="en-AU"/>
        </w:rPr>
        <w:t>Physical Disability Council of NSW</w:t>
      </w:r>
    </w:p>
    <w:p w14:paraId="10796658" w14:textId="77777777" w:rsidR="00E1199F" w:rsidRDefault="00E1199F" w:rsidP="00E1199F">
      <w:r>
        <w:t>The majority of submissions from government supported the regulatory option in principle, but</w:t>
      </w:r>
      <w:r w:rsidRPr="00AC181A">
        <w:t xml:space="preserve"> </w:t>
      </w:r>
      <w:r>
        <w:t xml:space="preserve">suggested </w:t>
      </w:r>
      <w:r w:rsidRPr="00AC181A">
        <w:t>amendments</w:t>
      </w:r>
      <w:r>
        <w:t xml:space="preserve"> to clarify the scope of the proposed requirements. One submission sought clarity </w:t>
      </w:r>
      <w:r w:rsidRPr="00AC181A">
        <w:t xml:space="preserve">regarding the </w:t>
      </w:r>
      <w:r>
        <w:t>definition</w:t>
      </w:r>
      <w:r w:rsidRPr="00AC181A">
        <w:t xml:space="preserve"> of ‘booked seats’ and ‘booked services’</w:t>
      </w:r>
      <w:r>
        <w:t xml:space="preserve"> to mitigate the risk of misinterpretation which may result in services</w:t>
      </w:r>
      <w:r w:rsidRPr="00AC181A">
        <w:t xml:space="preserve"> that do not</w:t>
      </w:r>
      <w:r>
        <w:t xml:space="preserve"> have reserved seating being subject to compliance obligations</w:t>
      </w:r>
      <w:r w:rsidRPr="00AC181A">
        <w:t xml:space="preserve">. Additionally, </w:t>
      </w:r>
      <w:r>
        <w:t xml:space="preserve">one submission suggested amendments to clarify an appropriate location must be provided, rather than a specific seat. </w:t>
      </w:r>
    </w:p>
    <w:p w14:paraId="1C580753" w14:textId="77777777" w:rsidR="00E1199F" w:rsidRDefault="00E1199F" w:rsidP="00E1199F">
      <w:r>
        <w:t xml:space="preserve">Industry provided mixed support for the regulatory option. Both submissions which supported the regulatory option highlighted the accessibility benefits that may result from this reform. However, one submission noted that while they support regulatory amendments in principle, further clarity is required regarding the definition of accessible seating and guidance on how operators and providers should appropriately accommodate passengers based on their preferences. This submission suggested further consultation with operators and providers and the disability sector to ensure the proposal is fit-for-purpose. </w:t>
      </w:r>
    </w:p>
    <w:p w14:paraId="781DCE52" w14:textId="77777777" w:rsidR="00E1199F" w:rsidRDefault="00E1199F" w:rsidP="00E1199F">
      <w:pPr>
        <w:rPr>
          <w:highlight w:val="green"/>
        </w:rPr>
      </w:pPr>
      <w:r>
        <w:lastRenderedPageBreak/>
        <w:t xml:space="preserve">Submission from both industry and government noted any legislative amendments may result in </w:t>
      </w:r>
      <w:r w:rsidRPr="00AC181A">
        <w:t>technical and cost impacts</w:t>
      </w:r>
      <w:r>
        <w:t>,</w:t>
      </w:r>
      <w:r w:rsidRPr="00AC181A">
        <w:t xml:space="preserve"> depending on the manner in which </w:t>
      </w:r>
      <w:r>
        <w:t>new requirements are implemented</w:t>
      </w:r>
      <w:r w:rsidRPr="00AC181A">
        <w:t>.</w:t>
      </w:r>
    </w:p>
    <w:p w14:paraId="2A811175" w14:textId="77777777" w:rsidR="00E1199F" w:rsidRDefault="00E1199F" w:rsidP="00E1199F">
      <w:pPr>
        <w:pStyle w:val="Heading4"/>
      </w:pPr>
      <w:r>
        <w:t>Preferred option</w:t>
      </w:r>
    </w:p>
    <w:p w14:paraId="34877E1C" w14:textId="74558BBF" w:rsidR="00E1199F" w:rsidRDefault="00E1199F" w:rsidP="00E1199F">
      <w:r>
        <w:t xml:space="preserve">Informed by the outcomes of consultation, impacts, cost and outcomes analysis above, the preferred option is the </w:t>
      </w:r>
      <w:r w:rsidRPr="004761C3">
        <w:rPr>
          <w:b/>
        </w:rPr>
        <w:t>regulatory option</w:t>
      </w:r>
      <w:r w:rsidR="000F79C9">
        <w:rPr>
          <w:b/>
        </w:rPr>
        <w:t xml:space="preserve"> with additional guidance</w:t>
      </w:r>
      <w:r>
        <w:t xml:space="preserve">. </w:t>
      </w:r>
    </w:p>
    <w:p w14:paraId="4CFDD263" w14:textId="77777777" w:rsidR="00E1199F" w:rsidRDefault="08D050C4" w:rsidP="00E1199F">
      <w:r>
        <w:t xml:space="preserve">Industry provided mixed support for the status quo, non-regulatory and regulatory options, while the majority of submissions from government and the disability sector supported the regulatory option. The regulatory option will provide a greater standard of accessibility to passengers when booking seating, and increase consistency of service across public transport networks. Operational issues, such as managing seating allocation and bookings would continue to be the responsibility of the public transport operators and providers. To support people with disability, transport operators and providers, guidance will be developed. Guidance material would focus on addressing stakeholder concerns about defining ‘booked’ and ‘unbooked’ service and the scope of the new requirements. </w:t>
      </w:r>
    </w:p>
    <w:p w14:paraId="407CEE1E" w14:textId="77777777" w:rsidR="00E1199F" w:rsidRPr="00A859AE" w:rsidRDefault="00E1199F" w:rsidP="00E1199F">
      <w:r>
        <w:t xml:space="preserve">The preferred option will be implemented through amendments to the Transport Standards and Guidelines. Operators and providers will be required to meet the new Transport Standards requirements retrospectively with a compliance schedule timing of 5 years. </w:t>
      </w:r>
      <w:r>
        <w:br w:type="page"/>
      </w:r>
    </w:p>
    <w:p w14:paraId="13C7B9B0" w14:textId="7A33895E" w:rsidR="00E1199F" w:rsidRDefault="00E1199F" w:rsidP="003C30C5">
      <w:pPr>
        <w:pStyle w:val="Heading2"/>
        <w:numPr>
          <w:ilvl w:val="0"/>
          <w:numId w:val="30"/>
        </w:numPr>
        <w:ind w:hanging="720"/>
      </w:pPr>
      <w:bookmarkStart w:id="666" w:name="_Toc127351808"/>
      <w:bookmarkStart w:id="667" w:name="_Toc140239766"/>
      <w:r w:rsidRPr="00182544">
        <w:lastRenderedPageBreak/>
        <w:t>Conveyance dwell times at stops</w:t>
      </w:r>
      <w:bookmarkEnd w:id="666"/>
      <w:bookmarkEnd w:id="667"/>
    </w:p>
    <w:p w14:paraId="702B3EAC" w14:textId="77777777" w:rsidR="00E1199F" w:rsidRPr="00621039" w:rsidRDefault="00E1199F" w:rsidP="00E1199F">
      <w:pPr>
        <w:pStyle w:val="Heading4"/>
        <w:tabs>
          <w:tab w:val="left" w:pos="284"/>
        </w:tabs>
      </w:pPr>
      <w:r w:rsidRPr="00621039">
        <w:t>Issue</w:t>
      </w:r>
    </w:p>
    <w:p w14:paraId="46102CFE" w14:textId="05B8C225" w:rsidR="00E1199F" w:rsidRDefault="00E1199F" w:rsidP="00E1199F">
      <w:r w:rsidRPr="00775EFE">
        <w:t>The Transport Standards do not provide any requirements for dwell (waiting) times at stops to enable people with disability to be safely seated, securely located in allocated spaces or have safely alighted before the conveyance moves. In some conveyances such as buses and coaches it is possible for drivers to observe if people with disability are safely seated or securely positioned in an allocated space prior to departing a stop, but it is difficult or not possible in other conveyances.</w:t>
      </w:r>
      <w:r>
        <w:t xml:space="preserve"> Addressing conveyance dwell times in either the Transport Standards or guidance can provide a nationally consistent approach and may increase safety for people with disability.</w:t>
      </w:r>
    </w:p>
    <w:p w14:paraId="759AE450" w14:textId="77777777" w:rsidR="00E1199F" w:rsidRPr="00AE7D9E" w:rsidRDefault="00E1199F" w:rsidP="00E1199F">
      <w:pPr>
        <w:tabs>
          <w:tab w:val="left" w:pos="284"/>
        </w:tabs>
      </w:pPr>
      <w:r>
        <w:t>Collective government action would ensure people with disability are able to safely board conveyances and would address key stakeholder issues raised through the Transport Standards review process.</w:t>
      </w:r>
    </w:p>
    <w:p w14:paraId="5235BB4F" w14:textId="77777777" w:rsidR="00E1199F" w:rsidRDefault="00E1199F" w:rsidP="00E1199F">
      <w:pPr>
        <w:pStyle w:val="Heading4"/>
        <w:tabs>
          <w:tab w:val="left" w:pos="284"/>
        </w:tabs>
      </w:pPr>
      <w:r>
        <w:t>Reform options</w:t>
      </w:r>
    </w:p>
    <w:p w14:paraId="725FB56A" w14:textId="77777777" w:rsidR="00E1199F" w:rsidRDefault="00E1199F" w:rsidP="00E1199F">
      <w:pPr>
        <w:tabs>
          <w:tab w:val="left" w:pos="284"/>
        </w:tabs>
      </w:pPr>
      <w:r>
        <w:t>Following is a summary of the proposed options for this reform. Full details of each reform option is provided at Appendix A.</w:t>
      </w:r>
    </w:p>
    <w:p w14:paraId="5CBF9D0A" w14:textId="01E14F18" w:rsidR="00E1199F" w:rsidRDefault="00E1199F" w:rsidP="00E1199F">
      <w:pPr>
        <w:pStyle w:val="Caption"/>
        <w:keepNext/>
      </w:pPr>
      <w:bookmarkStart w:id="668" w:name="_Toc122446478"/>
      <w:bookmarkStart w:id="669" w:name="_Toc139969316"/>
      <w:r>
        <w:t xml:space="preserve">Table </w:t>
      </w:r>
      <w:fldSimple w:instr=" SEQ Table \* ARABIC ">
        <w:r w:rsidR="00DC26AC">
          <w:rPr>
            <w:noProof/>
          </w:rPr>
          <w:t>158</w:t>
        </w:r>
      </w:fldSimple>
      <w:r>
        <w:rPr>
          <w:noProof/>
        </w:rPr>
        <w:t>:</w:t>
      </w:r>
      <w:r w:rsidRPr="00CD7F1B">
        <w:rPr>
          <w:noProof/>
        </w:rPr>
        <w:t xml:space="preserve"> </w:t>
      </w:r>
      <w:r>
        <w:rPr>
          <w:noProof/>
        </w:rPr>
        <w:t>Reform options for</w:t>
      </w:r>
      <w:r w:rsidRPr="007C16A3">
        <w:t xml:space="preserve"> </w:t>
      </w:r>
      <w:r>
        <w:rPr>
          <w:noProof/>
        </w:rPr>
        <w:t>c</w:t>
      </w:r>
      <w:r w:rsidRPr="007C16A3">
        <w:rPr>
          <w:noProof/>
        </w:rPr>
        <w:t>onveyance dwell times at stops</w:t>
      </w:r>
      <w:bookmarkEnd w:id="668"/>
      <w:bookmarkEnd w:id="669"/>
    </w:p>
    <w:tbl>
      <w:tblPr>
        <w:tblStyle w:val="DefaultTable1"/>
        <w:tblW w:w="9072" w:type="dxa"/>
        <w:tblLook w:val="04A0" w:firstRow="1" w:lastRow="0" w:firstColumn="1" w:lastColumn="0" w:noHBand="0" w:noVBand="1"/>
        <w:tblCaption w:val="Reform options for conveyance dwell times at stops"/>
        <w:tblDescription w:val="This table provides a description of each of the options for this reform area. Status quo, non-regulatory and regulatory."/>
      </w:tblPr>
      <w:tblGrid>
        <w:gridCol w:w="2232"/>
        <w:gridCol w:w="6840"/>
      </w:tblGrid>
      <w:tr w:rsidR="00E1199F" w:rsidRPr="003964B8" w14:paraId="0BD88FE5"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DF87A73"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007E6440"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171CA5A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E14F0DA"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5468A41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does not include provision of conveyance dwell time at stops.</w:t>
            </w:r>
          </w:p>
          <w:p w14:paraId="4D6AD93C"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6C3BCFED"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410C66EA"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13D4F807" w14:textId="77777777" w:rsidR="00E1199F" w:rsidRPr="00BA7847" w:rsidRDefault="00E1199F" w:rsidP="00E1199F">
            <w:pPr>
              <w:cnfStyle w:val="000000000000" w:firstRow="0" w:lastRow="0" w:firstColumn="0" w:lastColumn="0" w:oddVBand="0" w:evenVBand="0" w:oddHBand="0" w:evenHBand="0" w:firstRowFirstColumn="0" w:firstRowLastColumn="0" w:lastRowFirstColumn="0" w:lastRowLastColumn="0"/>
            </w:pPr>
            <w:r>
              <w:t>Guidance would be updated to include advice that conveyances should not depart from stops until passengers including those with disabilities are safely seated, securely located or securely positioned in allocated spaces or have safely alighted.</w:t>
            </w:r>
          </w:p>
        </w:tc>
      </w:tr>
      <w:tr w:rsidR="00E1199F" w:rsidRPr="003964B8" w14:paraId="1741042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DA49774"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3E532DC2"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conveyance dwell time at stops. Dwell times at stops must permit passengers, including those with disabilities, to safely alight and to board and be safely seated, be securely located, or be securely positioned in allocated spaces before the conveyance resumes movement.</w:t>
            </w:r>
          </w:p>
          <w:p w14:paraId="180F458B"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These requirements would apply to all conveyances where the driver or master has a clear view of the priority seats and allocates spaces.</w:t>
            </w:r>
          </w:p>
          <w:p w14:paraId="1CEBA5B6"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306061C2" w14:textId="77777777" w:rsidR="00425012" w:rsidRDefault="00425012" w:rsidP="00425012">
      <w:pPr>
        <w:pStyle w:val="BodyText"/>
      </w:pPr>
    </w:p>
    <w:p w14:paraId="3448CECB" w14:textId="0E88C7A9" w:rsidR="00E1199F" w:rsidRDefault="00E1199F" w:rsidP="00E1199F">
      <w:pPr>
        <w:pStyle w:val="Heading4"/>
        <w:tabs>
          <w:tab w:val="left" w:pos="284"/>
        </w:tabs>
      </w:pPr>
      <w:r>
        <w:lastRenderedPageBreak/>
        <w:t>Cost benefit analysis</w:t>
      </w:r>
    </w:p>
    <w:p w14:paraId="683202EE"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61A765B6" w14:textId="77777777" w:rsidR="00E1199F" w:rsidRDefault="00E1199F" w:rsidP="00E1199F">
      <w:r>
        <w:t xml:space="preserve">Submissions from public transport operators and providers and state and territory governments indicated internal operational standards, processes and procedures are currently in place to manage safety risks associated with conveyance movement. As a result, there would be no additional costs or benefits associated with the reform. </w:t>
      </w:r>
    </w:p>
    <w:p w14:paraId="6DF5DD9E" w14:textId="77777777" w:rsidR="00E1199F" w:rsidRPr="0021684F" w:rsidRDefault="00E1199F" w:rsidP="00E1199F">
      <w:r>
        <w:t xml:space="preserve">More information is provided below in the analysis of submissions. </w:t>
      </w:r>
    </w:p>
    <w:p w14:paraId="0C43E2D3"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236165D6" w14:textId="77777777" w:rsidR="00E1199F" w:rsidRPr="00F10FAA" w:rsidRDefault="00E1199F" w:rsidP="00E1199F">
      <w:r>
        <w:t>The following categories of qualitative benefits were identified in the CBA as pertaining to the reform options.</w:t>
      </w:r>
    </w:p>
    <w:p w14:paraId="6A8C8A85" w14:textId="1B075507" w:rsidR="00E1199F" w:rsidRDefault="00E1199F" w:rsidP="00E1199F">
      <w:pPr>
        <w:pStyle w:val="Caption"/>
        <w:keepNext/>
      </w:pPr>
      <w:bookmarkStart w:id="670" w:name="_Toc122446479"/>
      <w:bookmarkStart w:id="671" w:name="_Toc139969317"/>
      <w:r>
        <w:t xml:space="preserve">Table </w:t>
      </w:r>
      <w:fldSimple w:instr=" SEQ Table \* ARABIC ">
        <w:r w:rsidR="00DC26AC">
          <w:rPr>
            <w:noProof/>
          </w:rPr>
          <w:t>159</w:t>
        </w:r>
      </w:fldSimple>
      <w:r>
        <w:t xml:space="preserve">: Qualitative benefits </w:t>
      </w:r>
      <w:r w:rsidRPr="00D856A7">
        <w:t>for</w:t>
      </w:r>
      <w:r>
        <w:t xml:space="preserve"> conveyance dwell times at stops</w:t>
      </w:r>
      <w:bookmarkEnd w:id="670"/>
      <w:bookmarkEnd w:id="671"/>
    </w:p>
    <w:tbl>
      <w:tblPr>
        <w:tblStyle w:val="DefaultTable1"/>
        <w:tblW w:w="9864" w:type="dxa"/>
        <w:tblLook w:val="04A0" w:firstRow="1" w:lastRow="0" w:firstColumn="1" w:lastColumn="0" w:noHBand="0" w:noVBand="1"/>
        <w:tblCaption w:val="Qualitative benefits for conveyance dwell times at stops"/>
        <w:tblDescription w:val="This table provides the monetised benefits and costs for each of the options for this reform area."/>
      </w:tblPr>
      <w:tblGrid>
        <w:gridCol w:w="1213"/>
        <w:gridCol w:w="1343"/>
        <w:gridCol w:w="1626"/>
        <w:gridCol w:w="1300"/>
        <w:gridCol w:w="1278"/>
        <w:gridCol w:w="1641"/>
        <w:gridCol w:w="1463"/>
      </w:tblGrid>
      <w:tr w:rsidR="00E1199F" w:rsidRPr="007A751F" w14:paraId="1FEFA0DB"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2CAB10F8" w14:textId="77777777" w:rsidR="00E1199F" w:rsidRPr="007A751F" w:rsidRDefault="08D050C4" w:rsidP="00E1199F">
            <w:r w:rsidRPr="08D050C4">
              <w:t>Reform Option</w:t>
            </w:r>
          </w:p>
        </w:tc>
        <w:tc>
          <w:tcPr>
            <w:tcW w:w="1343" w:type="dxa"/>
          </w:tcPr>
          <w:p w14:paraId="39B6CF3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353831A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47D5576A"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5E875A7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09A77D9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9893628"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436BAF63"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6FAC301" w14:textId="77777777" w:rsidR="00E1199F" w:rsidRPr="00653914" w:rsidRDefault="00E1199F" w:rsidP="00E1199F">
            <w:r w:rsidRPr="00653914">
              <w:t>Status Quo</w:t>
            </w:r>
          </w:p>
        </w:tc>
        <w:tc>
          <w:tcPr>
            <w:tcW w:w="1343" w:type="dxa"/>
          </w:tcPr>
          <w:p w14:paraId="1D17E8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39343A35"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23A9CDE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444C2DA5"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397FE4EA"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7A7DB3E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5A8DBF39"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15343638" w14:textId="77777777" w:rsidR="00E1199F" w:rsidRPr="00653914" w:rsidRDefault="00E1199F" w:rsidP="00E1199F">
            <w:r>
              <w:t xml:space="preserve">Non-regulatory </w:t>
            </w:r>
          </w:p>
        </w:tc>
        <w:tc>
          <w:tcPr>
            <w:tcW w:w="1343" w:type="dxa"/>
          </w:tcPr>
          <w:p w14:paraId="0F10C03D"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10AB98FD"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218D790"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2E1264E3"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12B52D70"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4B9CD46A"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r>
      <w:tr w:rsidR="00E1199F" w:rsidRPr="00B04D0E" w14:paraId="33FB5D6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0AEDC9F3" w14:textId="77777777" w:rsidR="00E1199F" w:rsidRPr="00653914" w:rsidRDefault="00E1199F" w:rsidP="00E1199F">
            <w:r>
              <w:t>Regulatory</w:t>
            </w:r>
          </w:p>
        </w:tc>
        <w:tc>
          <w:tcPr>
            <w:tcW w:w="1343" w:type="dxa"/>
          </w:tcPr>
          <w:p w14:paraId="5F69136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5D19D24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42A587D3"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635877CD"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53F8DE9F"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0D8149DD"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7349B53F" w14:textId="77777777" w:rsidR="00874437" w:rsidRDefault="00874437" w:rsidP="00874437">
      <w:pPr>
        <w:pStyle w:val="BodyText"/>
      </w:pPr>
    </w:p>
    <w:p w14:paraId="4D3C1D00" w14:textId="2B22DB74" w:rsidR="00E1199F" w:rsidRPr="004C16F7" w:rsidRDefault="00E1199F" w:rsidP="00E1199F">
      <w:pPr>
        <w:pStyle w:val="Heading4"/>
        <w:tabs>
          <w:tab w:val="left" w:pos="284"/>
        </w:tabs>
      </w:pPr>
      <w:r>
        <w:t xml:space="preserve">Analysis of submissions </w:t>
      </w:r>
    </w:p>
    <w:p w14:paraId="16317340" w14:textId="77777777" w:rsidR="00E1199F" w:rsidRPr="00562DC3" w:rsidRDefault="00E1199F" w:rsidP="00E1199F">
      <w:pPr>
        <w:pStyle w:val="Heading5"/>
      </w:pPr>
      <w:r w:rsidRPr="00562DC3">
        <w:t>Status quo</w:t>
      </w:r>
    </w:p>
    <w:p w14:paraId="021F2776" w14:textId="77777777" w:rsidR="00E1199F" w:rsidRDefault="00E1199F" w:rsidP="00E1199F">
      <w:r w:rsidRPr="00A7643A">
        <w:t xml:space="preserve">Under the status quo there would continue to be no requirements regarding conveyance dwell times at stops to enable passengers to be seated or alight safely, or to securely located in allocated spaces. </w:t>
      </w:r>
    </w:p>
    <w:p w14:paraId="003978BE" w14:textId="77777777" w:rsidR="00E1199F" w:rsidRDefault="08D050C4" w:rsidP="00E1199F">
      <w:r>
        <w:t>Feedback provided by individuals, people with disability and disability organisations indicates the lack of consistency in conveyance dwell times can cause considerable anxiety for passengers, and may make them more reluctant to use public transport. Similarly, stakeholders highlighted the additional safety and accessibility impacts risked posed to passengers with disability when appropriate dwell times are not provided.</w:t>
      </w:r>
    </w:p>
    <w:p w14:paraId="37D9BE35" w14:textId="77777777" w:rsidR="00E1199F" w:rsidRDefault="00E1199F" w:rsidP="00E1199F">
      <w:pPr>
        <w:pStyle w:val="Quote"/>
        <w:rPr>
          <w:shd w:val="clear" w:color="auto" w:fill="FFFFFF"/>
        </w:rPr>
      </w:pPr>
      <w:r>
        <w:rPr>
          <w:shd w:val="clear" w:color="auto" w:fill="FFFFFF"/>
        </w:rPr>
        <w:t>Often it has been the experience of our members that there is little assurance that transport services will not leave without them, or they are unable to get off at their desired stop because there is simply not enough time allowed for them to enter and exit.</w:t>
      </w:r>
    </w:p>
    <w:p w14:paraId="3762D609" w14:textId="77777777" w:rsidR="00E1199F" w:rsidRPr="007932F8" w:rsidRDefault="00E1199F" w:rsidP="00E1199F">
      <w:pPr>
        <w:pStyle w:val="Quote"/>
        <w:rPr>
          <w:shd w:val="clear" w:color="auto" w:fill="FFFFFF"/>
        </w:rPr>
      </w:pPr>
      <w:r w:rsidRPr="0015415B">
        <w:rPr>
          <w:shd w:val="clear" w:color="auto" w:fill="FFFFFF"/>
        </w:rPr>
        <w:t xml:space="preserve">Physical Disability Council </w:t>
      </w:r>
      <w:r>
        <w:rPr>
          <w:shd w:val="clear" w:color="auto" w:fill="FFFFFF"/>
        </w:rPr>
        <w:t xml:space="preserve">of </w:t>
      </w:r>
      <w:r w:rsidRPr="0015415B">
        <w:rPr>
          <w:shd w:val="clear" w:color="auto" w:fill="FFFFFF"/>
        </w:rPr>
        <w:t>NSW</w:t>
      </w:r>
    </w:p>
    <w:p w14:paraId="65B9D83B" w14:textId="77777777" w:rsidR="00E1199F" w:rsidRPr="00A7643A" w:rsidRDefault="00E1199F" w:rsidP="00E1199F">
      <w:r>
        <w:t xml:space="preserve">Of the 19 stakeholders who indicated a preference for this reform, two submissions from industry and one submission from government supported the status quo option. These submissions shared </w:t>
      </w:r>
      <w:r>
        <w:lastRenderedPageBreak/>
        <w:t xml:space="preserve">concerns regarding the feasibility of the non-regulatory and regulatory option on timetabled services, given operational challenges associated with ensuring timely service delivery during peak periods. Likewise, one submission sought clarity regarding how the proposed requirements could be implemented on conveyances where a driver’s view may be obstructed and CCTV visibility cannot be relied upon. Two submissions from government noted it is already standard practice for drivers to wait until passengers are seated before moving. In recognition of this, one submission from government suggested the intended outcome of this reform area could be achieved through staff training, making additional regulation redundant. </w:t>
      </w:r>
    </w:p>
    <w:p w14:paraId="25A93BC8" w14:textId="77777777" w:rsidR="00E1199F" w:rsidRPr="002942EB" w:rsidRDefault="00E1199F" w:rsidP="00E1199F">
      <w:r w:rsidRPr="00A7643A">
        <w:t xml:space="preserve">Maintaining the status quo will continue to inhibit the safety of people with disability if there is not sufficient time to be safely seated, securely located in allocated spaces or have safely alighted before the conveyances resumes movement. The status quo does not enhance or increase equality and independence, or reduce discrimination for people with disability in relation to public transport. It has no </w:t>
      </w:r>
      <w:r w:rsidR="169A030C">
        <w:t>ongoing</w:t>
      </w:r>
      <w:r w:rsidRPr="00A7643A">
        <w:t xml:space="preserve"> costs for public transports operators and providers; however, negative impacts on community accessibility and safety remain.</w:t>
      </w:r>
    </w:p>
    <w:p w14:paraId="68673428" w14:textId="77777777" w:rsidR="00E1199F" w:rsidRPr="00562DC3" w:rsidRDefault="00E1199F" w:rsidP="00E1199F">
      <w:pPr>
        <w:pStyle w:val="Heading5"/>
      </w:pPr>
      <w:r w:rsidRPr="00562DC3">
        <w:t>Non-regulatory</w:t>
      </w:r>
    </w:p>
    <w:p w14:paraId="5A48CDD4" w14:textId="77777777" w:rsidR="00E1199F" w:rsidRDefault="00E1199F" w:rsidP="00E1199F">
      <w:r>
        <w:t xml:space="preserve">The majority of submissions from industry and government stakeholders supported the non-regulatory option. All of these submissions shared examples of internal operational standards, processes and procedures currently in place to manage safety risks associated with conveyance movement. </w:t>
      </w:r>
    </w:p>
    <w:p w14:paraId="360D1C0D" w14:textId="77777777" w:rsidR="00E1199F" w:rsidRDefault="00E1199F" w:rsidP="00E1199F">
      <w:r>
        <w:t xml:space="preserve">Although largely supportive of providing best practice guidance to provide greater clarity to operators and providers, multiple submissions raised concerns regarding the feasibility of complying with the regulatory proposal on certain conveyance types. Stakeholders broadly agreed that on buses and coaches, the proposed requirements are feasible. However, on modes where there is no direct line of sight between passenger and driver – for example, heavy rail and ferries – this cannot be achieved, and therefore flexibility is required. Likewise, in conveyances that contain both seated and standing passengers, two submissions noted the potential inability for a driver to view all passengers. These submissions did not support the regulatory option, suggesting it would not provide regulatory certainty to operators and providers, and does not sufficiently consider people with hidden and invisible disabilities. </w:t>
      </w:r>
    </w:p>
    <w:p w14:paraId="2FF9F6FD" w14:textId="77777777" w:rsidR="00E1199F" w:rsidRDefault="00E1199F" w:rsidP="00E1199F">
      <w:r>
        <w:t>Three submissions from industry and government discussed the potentially detrimental outcomes of the regulatory option on the overall operation of a public transport network, including the impacts of additional dwell times on timetabling, service frequency and service crowding.</w:t>
      </w:r>
    </w:p>
    <w:p w14:paraId="238520B4" w14:textId="77777777" w:rsidR="00E1199F" w:rsidRDefault="00E1199F" w:rsidP="00E1199F">
      <w:pPr>
        <w:pStyle w:val="Quote"/>
      </w:pPr>
      <w:r>
        <w:t>It would be almost impossible to have services running on time if a mandatory dwell time is inserted, as per the regulatory option.</w:t>
      </w:r>
    </w:p>
    <w:p w14:paraId="4544563B" w14:textId="77777777" w:rsidR="00E1199F" w:rsidRDefault="08D050C4" w:rsidP="00E1199F">
      <w:pPr>
        <w:pStyle w:val="Quote"/>
        <w:rPr>
          <w:rStyle w:val="Strong"/>
          <w:rFonts w:ascii="Calibri" w:hAnsi="Calibri" w:cs="Calibri"/>
          <w:color w:val="000000" w:themeColor="text1"/>
        </w:rPr>
      </w:pPr>
      <w:r>
        <w:t>Queensland Government Department of Transport and Main Roads</w:t>
      </w:r>
    </w:p>
    <w:p w14:paraId="69AD0227" w14:textId="77777777" w:rsidR="00E1199F" w:rsidRPr="00A7643A" w:rsidRDefault="00E1199F" w:rsidP="00E1199F">
      <w:r>
        <w:t>One submission questioned how the regulatory proposal would be applied to autonomous and driverless vehicles.</w:t>
      </w:r>
    </w:p>
    <w:p w14:paraId="2D388183" w14:textId="77777777" w:rsidR="00E1199F" w:rsidRPr="00A7643A" w:rsidRDefault="00E1199F" w:rsidP="00E1199F">
      <w:r w:rsidRPr="00A7643A">
        <w:t>Due to the discretionary nature of this option, it does not provide certainty that</w:t>
      </w:r>
      <w:r>
        <w:t xml:space="preserve"> public transport services across all jurisdictions will provide consistent dwell times to support the safe boarding of a conveyance. </w:t>
      </w:r>
      <w:r w:rsidRPr="00A7643A">
        <w:t xml:space="preserve">To the extent that guidance is followed, costs </w:t>
      </w:r>
      <w:r>
        <w:t>may be incurred by operators and providers relating to staff training and broader operational impacts.</w:t>
      </w:r>
    </w:p>
    <w:p w14:paraId="6BCD5548" w14:textId="77777777" w:rsidR="00E1199F" w:rsidRPr="00562DC3" w:rsidRDefault="00E1199F" w:rsidP="00E1199F">
      <w:pPr>
        <w:pStyle w:val="Heading5"/>
      </w:pPr>
      <w:r w:rsidRPr="00562DC3">
        <w:lastRenderedPageBreak/>
        <w:t>Regulatory</w:t>
      </w:r>
    </w:p>
    <w:p w14:paraId="3F4D8B11" w14:textId="77777777" w:rsidR="00E1199F" w:rsidRDefault="08D050C4" w:rsidP="00E1199F">
      <w:r>
        <w:t xml:space="preserve">The regulatory option was supported by all individuals, people with disability and disability organisations who expressed a preference for this reform area (nine stakeholders). Submissions from these stakeholders highlighted the certainty provided through the regulatory reform and the potential benefits to passenger safety, which are not guaranteed through the non-regulatory option. </w:t>
      </w:r>
    </w:p>
    <w:p w14:paraId="1CDCD1D6" w14:textId="77777777" w:rsidR="00E1199F" w:rsidRPr="00DC1D9C" w:rsidRDefault="00E1199F" w:rsidP="00E1199F">
      <w:pPr>
        <w:pStyle w:val="Quote"/>
        <w:rPr>
          <w:shd w:val="clear" w:color="auto" w:fill="FFFFFF"/>
        </w:rPr>
      </w:pPr>
      <w:r w:rsidRPr="0015415B">
        <w:rPr>
          <w:shd w:val="clear" w:color="auto" w:fill="FFFFFF"/>
        </w:rPr>
        <w:t>Knowing in advance what the dwell times will be would provide passengers with a greater capacity to plan their transport usage having regard to their safety and individual circumstances.</w:t>
      </w:r>
      <w:r>
        <w:rPr>
          <w:shd w:val="clear" w:color="auto" w:fill="FFFFFF"/>
        </w:rPr>
        <w:br/>
        <w:t>Vision Australia</w:t>
      </w:r>
    </w:p>
    <w:p w14:paraId="5E6ABD3B" w14:textId="77777777" w:rsidR="00E1199F" w:rsidRDefault="00E1199F" w:rsidP="00E1199F">
      <w:r>
        <w:br/>
      </w:r>
      <w:r w:rsidR="08D050C4">
        <w:t xml:space="preserve">Two submissions from disability organisations also stated the benefits to accessibility should be considered more significant than the resulting operational costs that may be incurred through the regulatory option. </w:t>
      </w:r>
    </w:p>
    <w:p w14:paraId="3FEA6D01" w14:textId="77777777" w:rsidR="00E1199F" w:rsidRDefault="00E1199F" w:rsidP="00E1199F">
      <w:pPr>
        <w:pStyle w:val="Quote"/>
        <w:rPr>
          <w:lang w:eastAsia="en-AU"/>
        </w:rPr>
      </w:pPr>
      <w:r w:rsidRPr="0015415B">
        <w:rPr>
          <w:lang w:eastAsia="en-AU"/>
        </w:rPr>
        <w:t>The regulatory option is supported. The health and safety of passengers should take precedence over the running schedule of vehicles. Drivers need training that reinforces behaviour to monitor and assess passengers during stop/start of vehicles.</w:t>
      </w:r>
    </w:p>
    <w:p w14:paraId="1F64A0C6" w14:textId="77777777" w:rsidR="00E1199F" w:rsidRPr="00B83185" w:rsidRDefault="00E1199F" w:rsidP="00E1199F">
      <w:pPr>
        <w:pStyle w:val="Quote"/>
        <w:rPr>
          <w:lang w:eastAsia="en-AU"/>
        </w:rPr>
      </w:pPr>
      <w:r w:rsidRPr="0015415B">
        <w:rPr>
          <w:lang w:eastAsia="en-AU"/>
        </w:rPr>
        <w:t>Queenslanders with Disability Network</w:t>
      </w:r>
    </w:p>
    <w:p w14:paraId="7278847F" w14:textId="77777777" w:rsidR="00E1199F" w:rsidRPr="00A7643A" w:rsidRDefault="00E1199F" w:rsidP="00E1199F">
      <w:r w:rsidRPr="00A7643A">
        <w:t xml:space="preserve">No government or industry stakeholders supported the regulatory option. </w:t>
      </w:r>
    </w:p>
    <w:p w14:paraId="148001A9" w14:textId="77777777" w:rsidR="00E1199F" w:rsidRPr="00A7643A" w:rsidRDefault="00E1199F" w:rsidP="00E1199F">
      <w:pPr>
        <w:pStyle w:val="Heading4"/>
      </w:pPr>
      <w:r w:rsidRPr="00A7643A">
        <w:t>Preferred option</w:t>
      </w:r>
    </w:p>
    <w:p w14:paraId="0DCC7E40" w14:textId="77777777" w:rsidR="00E1199F" w:rsidRPr="00A7643A" w:rsidRDefault="00E1199F" w:rsidP="00E1199F">
      <w:r w:rsidRPr="00A7643A">
        <w:t xml:space="preserve">Informed by the outcomes of consultation, impacts, cost and outcomes analysis above, the preferred option is the </w:t>
      </w:r>
      <w:r w:rsidRPr="00A7643A">
        <w:rPr>
          <w:b/>
        </w:rPr>
        <w:t>non-regulatory option</w:t>
      </w:r>
      <w:r w:rsidRPr="00A7643A">
        <w:t xml:space="preserve">. </w:t>
      </w:r>
    </w:p>
    <w:p w14:paraId="79140628" w14:textId="77777777" w:rsidR="00E1199F" w:rsidRDefault="08D050C4" w:rsidP="00E1199F">
      <w:r>
        <w:t xml:space="preserve">There was a very clear split amongst stakeholders with the regulatory option being supported by all individuals, people with disability and disability organisations stakeholders (nine in total) and the non-regulatory and status quo options being supported by all industry and government stakeholders (ten in total). </w:t>
      </w:r>
    </w:p>
    <w:p w14:paraId="103D337B" w14:textId="77777777" w:rsidR="00E1199F" w:rsidRPr="00A7643A" w:rsidRDefault="08D050C4" w:rsidP="00E1199F">
      <w:r>
        <w:t xml:space="preserve">The non-regulatory option will provide best practice guidance to operators and providers to implement appropriate dwell times where feasible, while recognising the operational constraints of some conveyance modes and existing internal practices which achieve the intended outcome of this reform. Additional guidance material will be provided to supplement this option, noting the importance of driver training to ensure the safety of passengers. </w:t>
      </w:r>
    </w:p>
    <w:p w14:paraId="16ECAE68" w14:textId="77777777" w:rsidR="00E1199F" w:rsidRDefault="00E1199F" w:rsidP="00E1199F">
      <w:r w:rsidRPr="00A7643A">
        <w:t>The effectiveness of the non-regulatory option in enabling passengers to be seated or alight safely</w:t>
      </w:r>
      <w:r>
        <w:t xml:space="preserve"> </w:t>
      </w:r>
      <w:r w:rsidRPr="00A7643A">
        <w:t>before conveyances resume movement will be evaluated in a future statutory review of the Transport Standards.</w:t>
      </w:r>
    </w:p>
    <w:p w14:paraId="10EB9284" w14:textId="77777777" w:rsidR="00E1199F" w:rsidRPr="002942EB" w:rsidRDefault="00E1199F" w:rsidP="00E1199F">
      <w:r>
        <w:t xml:space="preserve">The preferred option will be implemented through inclusion in a revised Whole Journey Guide. </w:t>
      </w:r>
    </w:p>
    <w:p w14:paraId="3860976A" w14:textId="77777777" w:rsidR="00E1199F" w:rsidRDefault="00E1199F" w:rsidP="00E1199F">
      <w:pPr>
        <w:rPr>
          <w:rFonts w:ascii="Calibri" w:eastAsia="Calibri" w:hAnsi="Calibri" w:cs="Calibri"/>
          <w:color w:val="081E3E"/>
          <w:kern w:val="12"/>
          <w:sz w:val="36"/>
          <w:szCs w:val="36"/>
        </w:rPr>
      </w:pPr>
      <w:r>
        <w:br w:type="page"/>
      </w:r>
    </w:p>
    <w:p w14:paraId="6C9D7F98" w14:textId="45C3273A" w:rsidR="00E1199F" w:rsidRDefault="00E1199F" w:rsidP="003C30C5">
      <w:pPr>
        <w:pStyle w:val="Heading2"/>
        <w:numPr>
          <w:ilvl w:val="0"/>
          <w:numId w:val="30"/>
        </w:numPr>
        <w:ind w:hanging="720"/>
      </w:pPr>
      <w:bookmarkStart w:id="672" w:name="_Toc127351809"/>
      <w:bookmarkStart w:id="673" w:name="_Toc140239767"/>
      <w:r w:rsidRPr="00182544">
        <w:lastRenderedPageBreak/>
        <w:t>Stairs on trains</w:t>
      </w:r>
      <w:bookmarkEnd w:id="672"/>
      <w:bookmarkEnd w:id="673"/>
    </w:p>
    <w:p w14:paraId="7134CBFF" w14:textId="77777777" w:rsidR="00E1199F" w:rsidRPr="00621039" w:rsidRDefault="00E1199F" w:rsidP="00E1199F">
      <w:pPr>
        <w:pStyle w:val="Heading4"/>
        <w:tabs>
          <w:tab w:val="left" w:pos="284"/>
        </w:tabs>
      </w:pPr>
      <w:r w:rsidRPr="00621039">
        <w:t>Issue</w:t>
      </w:r>
    </w:p>
    <w:p w14:paraId="1182F77E" w14:textId="77777777" w:rsidR="00E1199F" w:rsidRDefault="00E1199F" w:rsidP="00E1199F">
      <w:pPr>
        <w:tabs>
          <w:tab w:val="left" w:pos="284"/>
        </w:tabs>
      </w:pPr>
      <w:r w:rsidRPr="00412B24">
        <w:t xml:space="preserve">The Transport Standards requirements </w:t>
      </w:r>
      <w:r>
        <w:t xml:space="preserve">reference dated Australian Standards </w:t>
      </w:r>
      <w:r w:rsidRPr="00412B24">
        <w:t xml:space="preserve">for stairs </w:t>
      </w:r>
      <w:r>
        <w:t xml:space="preserve">and </w:t>
      </w:r>
      <w:r w:rsidRPr="00412B24">
        <w:t>are not specific to each type of public transport conveyance</w:t>
      </w:r>
      <w:r w:rsidRPr="00B5751D">
        <w:t>. As a result, the</w:t>
      </w:r>
      <w:r w:rsidRPr="00412B24">
        <w:t xml:space="preserve"> requirements</w:t>
      </w:r>
      <w:r w:rsidRPr="00B5751D">
        <w:t xml:space="preserve"> are not fit-for-purpose for trains as the provision of</w:t>
      </w:r>
      <w:r w:rsidRPr="00412B24">
        <w:t xml:space="preserve"> internal stairs in rail cars </w:t>
      </w:r>
      <w:r w:rsidRPr="00B5751D">
        <w:t>is</w:t>
      </w:r>
      <w:r w:rsidRPr="00412B24">
        <w:t xml:space="preserve"> not always achievable</w:t>
      </w:r>
      <w:r w:rsidRPr="00B5751D">
        <w:t xml:space="preserve"> due to space constraints in rail cars</w:t>
      </w:r>
      <w:r w:rsidRPr="00412B24">
        <w:t xml:space="preserve">. </w:t>
      </w:r>
      <w:r>
        <w:t>This poses a safety risk to people with disability as they may not be able to traverse stairs safely.</w:t>
      </w:r>
    </w:p>
    <w:p w14:paraId="685D4801"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trains and are accessible to people with disability. This would address key stakeholder issues raised through the Transport Standards review process.</w:t>
      </w:r>
    </w:p>
    <w:p w14:paraId="5DA04725" w14:textId="77777777" w:rsidR="00E1199F" w:rsidRDefault="00E1199F" w:rsidP="00E1199F">
      <w:pPr>
        <w:pStyle w:val="Heading4"/>
        <w:tabs>
          <w:tab w:val="left" w:pos="284"/>
        </w:tabs>
      </w:pPr>
      <w:r>
        <w:t>Reform options</w:t>
      </w:r>
    </w:p>
    <w:p w14:paraId="68D64F26" w14:textId="77777777" w:rsidR="00E1199F" w:rsidRDefault="00E1199F" w:rsidP="00E1199F">
      <w:pPr>
        <w:tabs>
          <w:tab w:val="left" w:pos="284"/>
        </w:tabs>
      </w:pPr>
      <w:r>
        <w:t>Following is a summary of the proposed options for this reform. Full details of each reform option is provided at Appendix A.</w:t>
      </w:r>
    </w:p>
    <w:p w14:paraId="00A7568D" w14:textId="7F029E08" w:rsidR="00E1199F" w:rsidRDefault="00E1199F" w:rsidP="00E1199F">
      <w:pPr>
        <w:pStyle w:val="Caption"/>
        <w:keepNext/>
      </w:pPr>
      <w:bookmarkStart w:id="674" w:name="_Toc122446480"/>
      <w:bookmarkStart w:id="675" w:name="_Toc139969318"/>
      <w:r>
        <w:t xml:space="preserve">Table </w:t>
      </w:r>
      <w:fldSimple w:instr=" SEQ Table \* ARABIC ">
        <w:r w:rsidR="00DC26AC">
          <w:rPr>
            <w:noProof/>
          </w:rPr>
          <w:t>160</w:t>
        </w:r>
      </w:fldSimple>
      <w:r>
        <w:rPr>
          <w:noProof/>
        </w:rPr>
        <w:t>:</w:t>
      </w:r>
      <w:r w:rsidRPr="00CD7F1B">
        <w:rPr>
          <w:noProof/>
        </w:rPr>
        <w:t xml:space="preserve"> </w:t>
      </w:r>
      <w:r>
        <w:rPr>
          <w:noProof/>
        </w:rPr>
        <w:t>Reform options for stairs on trains</w:t>
      </w:r>
      <w:bookmarkEnd w:id="674"/>
      <w:bookmarkEnd w:id="675"/>
    </w:p>
    <w:tbl>
      <w:tblPr>
        <w:tblStyle w:val="DefaultTable1"/>
        <w:tblW w:w="9072" w:type="dxa"/>
        <w:tblLook w:val="04A0" w:firstRow="1" w:lastRow="0" w:firstColumn="1" w:lastColumn="0" w:noHBand="0" w:noVBand="1"/>
        <w:tblCaption w:val="Reform options for stairs on trains"/>
        <w:tblDescription w:val="This table provides a description of each of the options for this reform area. Status quo, non-regulatory and regulatory."/>
      </w:tblPr>
      <w:tblGrid>
        <w:gridCol w:w="2232"/>
        <w:gridCol w:w="6840"/>
      </w:tblGrid>
      <w:tr w:rsidR="00E1199F" w:rsidRPr="003964B8" w14:paraId="7C795901"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EB0085C"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323D808C"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7C9A0E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587143"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19FDFD2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3FE62EB1"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45BFD59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3D2B01F1"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35F6524B" w14:textId="77777777" w:rsidR="00E1199F" w:rsidRPr="00BA7847"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on internal stairs on board trains, including accessibility features and handrail geometry, and refer operators and providers to AS1428.1 (2009).</w:t>
            </w:r>
          </w:p>
        </w:tc>
      </w:tr>
      <w:tr w:rsidR="00E1199F" w:rsidRPr="003964B8" w14:paraId="754697C4"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B730E7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37FE3BE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The Transport Standards would be amended to include requirements for stairs on trains, trams and light rail to include the following: </w:t>
            </w:r>
          </w:p>
          <w:p w14:paraId="2F4BE202"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Where internal stairs and steps are provided, they must have opaque risers and comply with AS1428.1 (2009).</w:t>
            </w:r>
          </w:p>
          <w:p w14:paraId="0D2A3435"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Stair and step geometry must comply with one of two sub-options.</w:t>
            </w:r>
          </w:p>
          <w:p w14:paraId="272181B0"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minimum access path width on stairs and steps must be 850 millimetres. Stairs and steps must not intrude into access paths.</w:t>
            </w:r>
          </w:p>
          <w:p w14:paraId="4B790BC3"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Transport Standards Guidelines and /or The Whole Journey Guide would be updated to reflect new requirements.</w:t>
            </w:r>
          </w:p>
          <w:p w14:paraId="7DC514F9"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The Transport Standards would be updated to amend requirements for handrails for all conveyances (except dedicated school buses and small aircraft.), to include the following:</w:t>
            </w:r>
          </w:p>
          <w:p w14:paraId="0CC28C32"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A handrail on stairs or steps need not extend beyond the top or bottom of the steps and stairs.</w:t>
            </w:r>
          </w:p>
          <w:p w14:paraId="1E8917D5" w14:textId="77777777" w:rsidR="00E1199F" w:rsidRPr="00DC1D9C"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Handrails must have at least 30 per cent luminance contrast with any background wall or surface adjacent to the handrail.</w:t>
            </w:r>
          </w:p>
          <w:p w14:paraId="0C640CAA" w14:textId="77777777" w:rsidR="00E1199F" w:rsidRPr="00D27D68"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rsidRPr="00DC1D9C">
              <w:t>Handrails must comply with AS1428.1 (2009) Clause 12 Handrails</w:t>
            </w:r>
            <w:r>
              <w:t>.</w:t>
            </w:r>
          </w:p>
        </w:tc>
      </w:tr>
    </w:tbl>
    <w:p w14:paraId="30393B61" w14:textId="77777777" w:rsidR="00E1199F" w:rsidRDefault="00E1199F" w:rsidP="00E1199F">
      <w:pPr>
        <w:pStyle w:val="Heading4"/>
      </w:pPr>
      <w:r>
        <w:lastRenderedPageBreak/>
        <w:t>Cost benefit analysis</w:t>
      </w:r>
    </w:p>
    <w:p w14:paraId="1EA7D7C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280D911C" w14:textId="77777777" w:rsidR="00E1199F" w:rsidRPr="00595D2C" w:rsidRDefault="00E1199F" w:rsidP="00E1199F">
      <w:r>
        <w:t xml:space="preserve">The following categories of quantitative costs and benefits were identified in the CBA as pertaining to the reform options. </w:t>
      </w:r>
    </w:p>
    <w:p w14:paraId="2B84B245" w14:textId="0557A605" w:rsidR="00E1199F" w:rsidRDefault="00E1199F" w:rsidP="00E1199F">
      <w:pPr>
        <w:pStyle w:val="Caption"/>
        <w:keepNext/>
      </w:pPr>
      <w:bookmarkStart w:id="676" w:name="_Toc122446481"/>
      <w:bookmarkStart w:id="677" w:name="_Toc139969319"/>
      <w:r>
        <w:t xml:space="preserve">Table </w:t>
      </w:r>
      <w:fldSimple w:instr=" SEQ Table \* ARABIC ">
        <w:r w:rsidR="00DC26AC">
          <w:rPr>
            <w:noProof/>
          </w:rPr>
          <w:t>161</w:t>
        </w:r>
      </w:fldSimple>
      <w:r>
        <w:t xml:space="preserve">: Benefit-cost ratios </w:t>
      </w:r>
      <w:r w:rsidRPr="009B6AFE">
        <w:t>for</w:t>
      </w:r>
      <w:r w:rsidRPr="00246E47">
        <w:t xml:space="preserve"> </w:t>
      </w:r>
      <w:r>
        <w:t>s</w:t>
      </w:r>
      <w:r>
        <w:rPr>
          <w:noProof/>
        </w:rPr>
        <w:t>tairs on trains</w:t>
      </w:r>
      <w:bookmarkEnd w:id="676"/>
      <w:bookmarkEnd w:id="677"/>
    </w:p>
    <w:tbl>
      <w:tblPr>
        <w:tblStyle w:val="DefaultTable1"/>
        <w:tblW w:w="9864" w:type="dxa"/>
        <w:tblLook w:val="04A0" w:firstRow="1" w:lastRow="0" w:firstColumn="1" w:lastColumn="0" w:noHBand="0" w:noVBand="1"/>
        <w:tblCaption w:val="Benefit-cost ratios for stairs on train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79E87C92"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1CB7C567" w14:textId="77777777" w:rsidR="00E1199F" w:rsidRPr="007A751F" w:rsidRDefault="08D050C4" w:rsidP="00E1199F">
            <w:r w:rsidRPr="08D050C4">
              <w:t>Reform Option</w:t>
            </w:r>
          </w:p>
        </w:tc>
        <w:tc>
          <w:tcPr>
            <w:tcW w:w="1531" w:type="dxa"/>
          </w:tcPr>
          <w:p w14:paraId="511CCD1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58F3FE69"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2373D7F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2E2FEB3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F5EFBA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046BDF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66FFDDA7" w14:textId="77777777" w:rsidR="00E1199F" w:rsidRPr="00653914" w:rsidRDefault="00E1199F" w:rsidP="00E1199F">
            <w:r w:rsidRPr="00653914">
              <w:t>Status Quo</w:t>
            </w:r>
          </w:p>
        </w:tc>
        <w:tc>
          <w:tcPr>
            <w:tcW w:w="1531" w:type="dxa"/>
          </w:tcPr>
          <w:p w14:paraId="00E7502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44FB6F2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7CE48D86"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67164F3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5DEA6685"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7447D261"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395F5E8E" w14:textId="77777777" w:rsidR="00E1199F" w:rsidRPr="00653914" w:rsidRDefault="00E1199F" w:rsidP="00E1199F">
            <w:r>
              <w:t xml:space="preserve">Non-regulatory </w:t>
            </w:r>
          </w:p>
        </w:tc>
        <w:tc>
          <w:tcPr>
            <w:tcW w:w="1531" w:type="dxa"/>
            <w:vAlign w:val="center"/>
          </w:tcPr>
          <w:p w14:paraId="1ABB470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vAlign w:val="center"/>
          </w:tcPr>
          <w:p w14:paraId="1DA192E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5A8E0900"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vAlign w:val="center"/>
          </w:tcPr>
          <w:p w14:paraId="15FC37B8"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vAlign w:val="center"/>
          </w:tcPr>
          <w:p w14:paraId="07F244D8"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6BD3760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25ED11F" w14:textId="77777777" w:rsidR="00E1199F" w:rsidRPr="00653914" w:rsidRDefault="00E1199F" w:rsidP="00E1199F">
            <w:r>
              <w:t>Regulatory</w:t>
            </w:r>
          </w:p>
        </w:tc>
        <w:tc>
          <w:tcPr>
            <w:tcW w:w="1531" w:type="dxa"/>
            <w:vAlign w:val="center"/>
          </w:tcPr>
          <w:p w14:paraId="0A894BBC"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8.9</w:t>
            </w:r>
          </w:p>
        </w:tc>
        <w:tc>
          <w:tcPr>
            <w:tcW w:w="1791" w:type="dxa"/>
            <w:vAlign w:val="center"/>
          </w:tcPr>
          <w:p w14:paraId="502B2AFD" w14:textId="77777777" w:rsidR="00E1199F" w:rsidRPr="00874437"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8D050C4">
              <w:t>-</w:t>
            </w:r>
          </w:p>
        </w:tc>
        <w:tc>
          <w:tcPr>
            <w:tcW w:w="1573" w:type="dxa"/>
            <w:vAlign w:val="center"/>
          </w:tcPr>
          <w:p w14:paraId="231D0584"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7.4</w:t>
            </w:r>
          </w:p>
        </w:tc>
        <w:tc>
          <w:tcPr>
            <w:tcW w:w="1539" w:type="dxa"/>
            <w:vAlign w:val="center"/>
          </w:tcPr>
          <w:p w14:paraId="2B696CCD"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7.4</w:t>
            </w:r>
          </w:p>
        </w:tc>
        <w:tc>
          <w:tcPr>
            <w:tcW w:w="2216" w:type="dxa"/>
            <w:vAlign w:val="center"/>
          </w:tcPr>
          <w:p w14:paraId="067FB1C5"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1.21</w:t>
            </w:r>
          </w:p>
        </w:tc>
      </w:tr>
    </w:tbl>
    <w:p w14:paraId="2A630158" w14:textId="7C930E43" w:rsidR="00E1199F"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09728C9" w14:textId="77777777" w:rsidR="00425012" w:rsidRPr="00F730F8" w:rsidRDefault="00425012" w:rsidP="00E1199F">
      <w:pPr>
        <w:spacing w:before="120" w:after="0"/>
        <w:rPr>
          <w:sz w:val="20"/>
        </w:rPr>
      </w:pPr>
    </w:p>
    <w:p w14:paraId="075F21B8" w14:textId="77777777" w:rsidR="00E1199F" w:rsidRDefault="00E1199F" w:rsidP="00E1199F">
      <w:pPr>
        <w:pStyle w:val="Heading6"/>
      </w:pPr>
      <w:r>
        <w:t>Considerations to note in interpreting analysis</w:t>
      </w:r>
    </w:p>
    <w:p w14:paraId="679D3348" w14:textId="77777777" w:rsidR="00E1199F" w:rsidRDefault="00E1199F" w:rsidP="00425012">
      <w:pPr>
        <w:pStyle w:val="Heading7"/>
      </w:pPr>
      <w:r w:rsidRPr="008F2C5A">
        <w:t>Limitations:</w:t>
      </w:r>
    </w:p>
    <w:p w14:paraId="14C54E24" w14:textId="77777777" w:rsidR="00E1199F" w:rsidRDefault="00E1199F" w:rsidP="00425012">
      <w:pPr>
        <w:pStyle w:val="Heading8"/>
      </w:pPr>
      <w:r>
        <w:t>Non-regulatory option:</w:t>
      </w:r>
    </w:p>
    <w:p w14:paraId="70536DA7" w14:textId="32047805" w:rsidR="00E1199F" w:rsidRDefault="00E1199F" w:rsidP="00425012">
      <w:pPr>
        <w:pStyle w:val="Listparagraphbullets"/>
        <w:numPr>
          <w:ilvl w:val="0"/>
          <w:numId w:val="0"/>
        </w:numPr>
        <w:autoSpaceDE w:val="0"/>
        <w:autoSpaceDN w:val="0"/>
        <w:spacing w:after="0"/>
        <w:rPr>
          <w:rStyle w:val="ListparagraphbulletsChar"/>
        </w:rPr>
      </w:pPr>
      <w:r w:rsidRPr="00ED7F99">
        <w:t xml:space="preserve">There are no costs and benefits </w:t>
      </w:r>
      <w:r w:rsidRPr="004B3526">
        <w:rPr>
          <w:rStyle w:val="ListparagraphbulletsChar"/>
        </w:rPr>
        <w:t>associated with this non-regulatory reform with the Department indicating that there would be no take-up based on the provision of guidelines only.</w:t>
      </w:r>
    </w:p>
    <w:p w14:paraId="707D18DA" w14:textId="77777777" w:rsidR="00425012" w:rsidRPr="004B3526" w:rsidRDefault="00425012" w:rsidP="00425012">
      <w:pPr>
        <w:pStyle w:val="Listparagraphbullets"/>
        <w:numPr>
          <w:ilvl w:val="0"/>
          <w:numId w:val="0"/>
        </w:numPr>
        <w:autoSpaceDE w:val="0"/>
        <w:autoSpaceDN w:val="0"/>
        <w:spacing w:after="0"/>
        <w:rPr>
          <w:rStyle w:val="ListparagraphbulletsChar"/>
        </w:rPr>
      </w:pPr>
    </w:p>
    <w:p w14:paraId="4BA290CF" w14:textId="77777777" w:rsidR="00E1199F" w:rsidRDefault="00E1199F" w:rsidP="00425012">
      <w:pPr>
        <w:pStyle w:val="Heading8"/>
      </w:pPr>
      <w:r>
        <w:t>Regulatory option:</w:t>
      </w:r>
    </w:p>
    <w:p w14:paraId="369A39D4" w14:textId="0A2F5683" w:rsidR="00E1199F" w:rsidRDefault="00E1199F" w:rsidP="00425012">
      <w:pPr>
        <w:pStyle w:val="Listparagraphbullets"/>
        <w:numPr>
          <w:ilvl w:val="0"/>
          <w:numId w:val="0"/>
        </w:numPr>
        <w:autoSpaceDE w:val="0"/>
        <w:autoSpaceDN w:val="0"/>
        <w:spacing w:after="0"/>
      </w:pPr>
      <w:r w:rsidRPr="00ED7F99">
        <w:t>The costs and benefits for this reform were estimated from a small number of data points provided by survey responses to proxy the compliance of stairs on trains at a national level. This implies the benefits and costs may not be fully reflective of differences by state and jurisdiction.</w:t>
      </w:r>
    </w:p>
    <w:p w14:paraId="5516A80B" w14:textId="77777777" w:rsidR="00425012" w:rsidRDefault="00425012" w:rsidP="00425012">
      <w:pPr>
        <w:pStyle w:val="Listparagraphbullets"/>
        <w:numPr>
          <w:ilvl w:val="0"/>
          <w:numId w:val="0"/>
        </w:numPr>
        <w:autoSpaceDE w:val="0"/>
        <w:autoSpaceDN w:val="0"/>
        <w:spacing w:after="0"/>
      </w:pPr>
    </w:p>
    <w:p w14:paraId="55A951AE" w14:textId="77777777" w:rsidR="00E1199F" w:rsidRDefault="00E1199F" w:rsidP="00425012">
      <w:pPr>
        <w:pStyle w:val="Heading8"/>
      </w:pPr>
      <w:r w:rsidRPr="005F2BF9">
        <w:t xml:space="preserve">Interdependencies: </w:t>
      </w:r>
    </w:p>
    <w:p w14:paraId="5BAF6DFB" w14:textId="77777777" w:rsidR="00E1199F" w:rsidRPr="005F2BF9" w:rsidRDefault="00E1199F" w:rsidP="00425012">
      <w:pPr>
        <w:pStyle w:val="Listparagraphbullets"/>
        <w:numPr>
          <w:ilvl w:val="0"/>
          <w:numId w:val="0"/>
        </w:numPr>
        <w:autoSpaceDE w:val="0"/>
        <w:autoSpaceDN w:val="0"/>
        <w:spacing w:after="0"/>
      </w:pPr>
      <w:r w:rsidRPr="00ED7F99">
        <w:t>The accessibility benefits of this reform will only be realised if there was equitable access across the whole public transport journey, with benefits reliant on implementation of other reforms such as nominated assistance boarding points, bus, tram and light rail boarding points and signals and process for requesting boarding devices.</w:t>
      </w:r>
    </w:p>
    <w:p w14:paraId="741B13FE"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4DDAE0FF" w14:textId="2DA9C58C" w:rsidR="00425012" w:rsidRDefault="00E1199F" w:rsidP="00E1199F">
      <w:r>
        <w:t>The following categories of qualitative benefits were identified in the CBA as pertaining to the reform options.</w:t>
      </w:r>
    </w:p>
    <w:p w14:paraId="650C604D" w14:textId="77777777" w:rsidR="00425012" w:rsidRDefault="00425012">
      <w:pPr>
        <w:spacing w:line="259" w:lineRule="auto"/>
      </w:pPr>
      <w:r>
        <w:br w:type="page"/>
      </w:r>
    </w:p>
    <w:p w14:paraId="60F67BDD" w14:textId="00D841DA" w:rsidR="00E1199F" w:rsidRDefault="00E1199F" w:rsidP="00E1199F">
      <w:pPr>
        <w:pStyle w:val="Caption"/>
        <w:keepNext/>
      </w:pPr>
      <w:bookmarkStart w:id="678" w:name="_Toc122446482"/>
      <w:bookmarkStart w:id="679" w:name="_Toc139969320"/>
      <w:r>
        <w:lastRenderedPageBreak/>
        <w:t xml:space="preserve">Table </w:t>
      </w:r>
      <w:fldSimple w:instr=" SEQ Table \* ARABIC ">
        <w:r w:rsidR="00DC26AC">
          <w:rPr>
            <w:noProof/>
          </w:rPr>
          <w:t>162</w:t>
        </w:r>
      </w:fldSimple>
      <w:r>
        <w:t xml:space="preserve">: Qualitative benefits </w:t>
      </w:r>
      <w:r w:rsidRPr="00D856A7">
        <w:t>for</w:t>
      </w:r>
      <w:r>
        <w:t xml:space="preserve"> s</w:t>
      </w:r>
      <w:r>
        <w:rPr>
          <w:noProof/>
        </w:rPr>
        <w:t>tairs on trains</w:t>
      </w:r>
      <w:bookmarkEnd w:id="678"/>
      <w:bookmarkEnd w:id="679"/>
    </w:p>
    <w:tbl>
      <w:tblPr>
        <w:tblStyle w:val="DefaultTable1"/>
        <w:tblW w:w="9864" w:type="dxa"/>
        <w:tblLook w:val="04A0" w:firstRow="1" w:lastRow="0" w:firstColumn="1" w:lastColumn="0" w:noHBand="0" w:noVBand="1"/>
        <w:tblCaption w:val="Qualitative benefits for stairs on trains"/>
      </w:tblPr>
      <w:tblGrid>
        <w:gridCol w:w="1213"/>
        <w:gridCol w:w="1343"/>
        <w:gridCol w:w="1626"/>
        <w:gridCol w:w="1300"/>
        <w:gridCol w:w="1278"/>
        <w:gridCol w:w="1641"/>
        <w:gridCol w:w="1463"/>
      </w:tblGrid>
      <w:tr w:rsidR="00E1199F" w:rsidRPr="007A751F" w14:paraId="77ECE511"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6AFAB655" w14:textId="77777777" w:rsidR="00E1199F" w:rsidRPr="007A751F" w:rsidRDefault="08D050C4" w:rsidP="00E1199F">
            <w:r w:rsidRPr="08D050C4">
              <w:t>Reform Option</w:t>
            </w:r>
          </w:p>
        </w:tc>
        <w:tc>
          <w:tcPr>
            <w:tcW w:w="1343" w:type="dxa"/>
          </w:tcPr>
          <w:p w14:paraId="2F31CE0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24BA5CE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1C89F84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7405D19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1E478BD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39CC913F"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58B33B1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61CAC71" w14:textId="77777777" w:rsidR="00E1199F" w:rsidRPr="00653914" w:rsidRDefault="00E1199F" w:rsidP="00E1199F">
            <w:r w:rsidRPr="00653914">
              <w:t>Status Quo</w:t>
            </w:r>
          </w:p>
        </w:tc>
        <w:tc>
          <w:tcPr>
            <w:tcW w:w="1343" w:type="dxa"/>
          </w:tcPr>
          <w:p w14:paraId="251061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006E3F9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208B5290"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BEB20B4"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265255D2"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3FB332DE"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0A3288DE"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EEF9C34" w14:textId="77777777" w:rsidR="00E1199F" w:rsidRPr="00653914" w:rsidRDefault="00E1199F" w:rsidP="00E1199F">
            <w:r>
              <w:t xml:space="preserve">Non-regulatory </w:t>
            </w:r>
          </w:p>
        </w:tc>
        <w:tc>
          <w:tcPr>
            <w:tcW w:w="1343" w:type="dxa"/>
          </w:tcPr>
          <w:p w14:paraId="79485A78"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c>
          <w:tcPr>
            <w:tcW w:w="1626" w:type="dxa"/>
          </w:tcPr>
          <w:p w14:paraId="67C396DE"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c>
          <w:tcPr>
            <w:tcW w:w="1300" w:type="dxa"/>
          </w:tcPr>
          <w:p w14:paraId="557FA46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1CD3EB60"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08F98C6F"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688D2788"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 xml:space="preserve">Yes </w:t>
            </w:r>
          </w:p>
        </w:tc>
      </w:tr>
      <w:tr w:rsidR="00E1199F" w:rsidRPr="00B04D0E" w14:paraId="04BAB7B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4FB954CF" w14:textId="77777777" w:rsidR="00E1199F" w:rsidRPr="00653914" w:rsidRDefault="00E1199F" w:rsidP="00E1199F">
            <w:r>
              <w:t>Regulatory</w:t>
            </w:r>
          </w:p>
        </w:tc>
        <w:tc>
          <w:tcPr>
            <w:tcW w:w="1343" w:type="dxa"/>
          </w:tcPr>
          <w:p w14:paraId="13F770D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c>
          <w:tcPr>
            <w:tcW w:w="1626" w:type="dxa"/>
          </w:tcPr>
          <w:p w14:paraId="16B03083"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c>
          <w:tcPr>
            <w:tcW w:w="1300" w:type="dxa"/>
          </w:tcPr>
          <w:p w14:paraId="0041CD9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7779A01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FFFFBC3"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6A6A2282"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 xml:space="preserve">Yes </w:t>
            </w:r>
          </w:p>
        </w:tc>
      </w:tr>
    </w:tbl>
    <w:p w14:paraId="2F64C54A" w14:textId="77777777" w:rsidR="00425012" w:rsidRDefault="00425012" w:rsidP="00425012">
      <w:pPr>
        <w:pStyle w:val="BodyText"/>
      </w:pPr>
    </w:p>
    <w:p w14:paraId="0A2581FB" w14:textId="26D75F03" w:rsidR="00E1199F" w:rsidRPr="004C16F7" w:rsidRDefault="00E1199F" w:rsidP="00E1199F">
      <w:pPr>
        <w:pStyle w:val="Heading4"/>
        <w:tabs>
          <w:tab w:val="left" w:pos="284"/>
        </w:tabs>
      </w:pPr>
      <w:r>
        <w:t xml:space="preserve">Analysis of submissions </w:t>
      </w:r>
    </w:p>
    <w:p w14:paraId="5BF81FA5" w14:textId="77777777" w:rsidR="00E1199F" w:rsidRPr="0054328A" w:rsidRDefault="00E1199F" w:rsidP="00425012">
      <w:pPr>
        <w:pStyle w:val="Heading5"/>
      </w:pPr>
      <w:r w:rsidRPr="0054328A">
        <w:t>Status quo</w:t>
      </w:r>
    </w:p>
    <w:p w14:paraId="58E2F640" w14:textId="6CC6D496" w:rsidR="00E1199F" w:rsidRDefault="00E1199F" w:rsidP="00E1199F">
      <w:r>
        <w:t xml:space="preserve">The Transport Standards requirements for stairs are not specific to each type of public transport conveyance. The space constraints of rail cars make compliance with the </w:t>
      </w:r>
      <w:r w:rsidR="005B282E">
        <w:t xml:space="preserve">existing stair requirements in the </w:t>
      </w:r>
      <w:r>
        <w:t>Transport Standards unachievable.</w:t>
      </w:r>
    </w:p>
    <w:p w14:paraId="160DD204" w14:textId="77777777" w:rsidR="00E1199F" w:rsidRDefault="00E1199F" w:rsidP="00E1199F">
      <w:r>
        <w:t>The current requirements continue to inhibit the safety of people with disability when traversing stairs on trains as they are unable to be implemented.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2B3E91FC" w14:textId="77777777" w:rsidR="00E1199F" w:rsidRDefault="00E1199F" w:rsidP="00E1199F">
      <w:r>
        <w:t>While the status quo has no ongoing costs for public transport operators and providers, negative impacts on community amenity, accessibility, and safety will remain as space constraints in rail cars make the current requirements unattainable for operators and providers.</w:t>
      </w:r>
    </w:p>
    <w:p w14:paraId="1A7342AC" w14:textId="77777777" w:rsidR="00E1199F" w:rsidRDefault="00E1199F" w:rsidP="00E1199F">
      <w:r>
        <w:t>No submissions received during public consultation expressed support for the status quo option.</w:t>
      </w:r>
    </w:p>
    <w:p w14:paraId="52D176F5" w14:textId="77777777" w:rsidR="00E1199F" w:rsidRDefault="00E1199F" w:rsidP="00425012">
      <w:pPr>
        <w:pStyle w:val="Heading5"/>
      </w:pPr>
      <w:r>
        <w:t>Non-regulatory</w:t>
      </w:r>
    </w:p>
    <w:p w14:paraId="48CD70DE" w14:textId="77777777" w:rsidR="00E1199F" w:rsidRDefault="00E1199F" w:rsidP="00E1199F">
      <w:r>
        <w:t>The non-regulatory option would provide updated guidance with advice on accessibility features for internal stairs on board trains including stair design, appropriate luminance contrasting and handrail requirements including handrail location in relation to access paths. TGSIs would not be required at train, tram and light rail stairs and steps.</w:t>
      </w:r>
    </w:p>
    <w:p w14:paraId="0C6FC2A7" w14:textId="77777777" w:rsidR="00E1199F" w:rsidRDefault="00E1199F" w:rsidP="00E1199F">
      <w:r>
        <w:t>No submissions received during public consultation indicated support for the non-regulatory option. It was noted that a regulatory option is likely to provide the greatest level of consistency and certainty, and ensure people who can transit between decks can do so safely.</w:t>
      </w:r>
    </w:p>
    <w:p w14:paraId="368B3784" w14:textId="77777777" w:rsidR="00E1199F" w:rsidRDefault="00E1199F" w:rsidP="00E1199F">
      <w:r>
        <w:t xml:space="preserve">To the extent that guidance is followed, costs would be incurred to install compliant stairs and accessibility features. Retrofitting stairs in existing conveyances would be expensive or unfeasible. Due to the discretionary nature of this option, it does not provide certainty that operators and providers will adopt requirements, however the non-regulatory option allows operators and providers to manage the implementation (and related costs) to suit their operational requirements, including through staging the implementation. </w:t>
      </w:r>
    </w:p>
    <w:p w14:paraId="15DD9B4C" w14:textId="16A72257" w:rsidR="00E1199F" w:rsidRDefault="00E1199F" w:rsidP="00E1199F">
      <w:r>
        <w:lastRenderedPageBreak/>
        <w:t xml:space="preserve">Given this option is discretionary, it does not provide certainty that guidance will be implemented which may reduce confidence of passengers to travel if they are unable to safely traverse stairs when travelling by train. To the extent that guidance is followed, people travelling by train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 </w:t>
      </w:r>
    </w:p>
    <w:p w14:paraId="719B6C00" w14:textId="77777777" w:rsidR="00E1199F" w:rsidRDefault="00E1199F" w:rsidP="00425012">
      <w:pPr>
        <w:pStyle w:val="Heading5"/>
      </w:pPr>
      <w:r w:rsidRPr="0054328A">
        <w:t>Regulatory</w:t>
      </w:r>
    </w:p>
    <w:p w14:paraId="728B4172" w14:textId="696F5CE7" w:rsidR="00E1199F" w:rsidRPr="00B140F4" w:rsidRDefault="00E1199F" w:rsidP="00E1199F">
      <w:r>
        <w:t>The regulatory options would amend the Transport Standards to include modal specific requirements for stairs on trains, trams and lift rail including updated Australian Standard references and handrail requirements.</w:t>
      </w:r>
      <w:r w:rsidRPr="00136917">
        <w:t xml:space="preserve"> </w:t>
      </w:r>
      <w:r>
        <w:t xml:space="preserve">TGSIs would not be required at train, tram and light rail stairs and steps. </w:t>
      </w:r>
      <w:r w:rsidRPr="00B140F4">
        <w:t xml:space="preserve">Handrail requirements would be amended to include location and luminance contrast requirements and requirements for warning indicators where a handrail is interrupted or terminates abruptly at the top or bottom step. The amended Transport Standards would also include the requirements for internal stairs, including minimum access path width requirements. </w:t>
      </w:r>
    </w:p>
    <w:p w14:paraId="635A9F95" w14:textId="53861CD6" w:rsidR="00E1199F" w:rsidRPr="00B140F4" w:rsidRDefault="00E1199F" w:rsidP="00E1199F">
      <w:r w:rsidRPr="00B140F4">
        <w:t>Two regulatory sub-options for stair and step geometry were also proposed for consideration as part of the regulatory option. Su</w:t>
      </w:r>
      <w:r w:rsidR="00B140F4">
        <w:t>b</w:t>
      </w:r>
      <w:r w:rsidRPr="00B140F4">
        <w:t xml:space="preserve">-option 1 would require compliance with riser and going specifications in the </w:t>
      </w:r>
      <w:r w:rsidR="00B140F4">
        <w:t>NCC</w:t>
      </w:r>
      <w:r w:rsidRPr="00B140F4">
        <w:t>, Table D2.131. Sub-option 2 provides a performance-based approach, requiring riser and going dimensions that are ‘safe and fit for purpose’.</w:t>
      </w:r>
    </w:p>
    <w:p w14:paraId="26A909FF" w14:textId="5221AAA4" w:rsidR="00E1199F" w:rsidRPr="00AD6F57" w:rsidRDefault="00E1199F" w:rsidP="00E1199F">
      <w:r>
        <w:t>All submissions received during public consultation favoured a regulatory approach in relation to stairs on trains, with sub-option 2 being preferred amongst those who expressed a preference relating to</w:t>
      </w:r>
      <w:r w:rsidRPr="00136917">
        <w:t xml:space="preserve"> </w:t>
      </w:r>
      <w:r>
        <w:t>stair and step geometry. S</w:t>
      </w:r>
      <w:r>
        <w:rPr>
          <w:rFonts w:ascii="Calibri" w:hAnsi="Calibri" w:cs="Calibri"/>
          <w:color w:val="000000"/>
          <w:shd w:val="clear" w:color="auto" w:fill="FFFFFF"/>
        </w:rPr>
        <w:t xml:space="preserve">ubmissions in support of sub-option 2 noted it best reflected a </w:t>
      </w:r>
      <w:r w:rsidRPr="004225C0">
        <w:rPr>
          <w:rFonts w:ascii="Calibri" w:hAnsi="Calibri" w:cs="Calibri"/>
          <w:color w:val="000000"/>
          <w:shd w:val="clear" w:color="auto" w:fill="FFFFFF"/>
        </w:rPr>
        <w:t>performance based and modal-specific approach</w:t>
      </w:r>
      <w:r>
        <w:rPr>
          <w:rFonts w:ascii="Calibri" w:hAnsi="Calibri" w:cs="Calibri"/>
          <w:color w:val="000000"/>
          <w:shd w:val="clear" w:color="auto" w:fill="FFFFFF"/>
        </w:rPr>
        <w:t xml:space="preserve"> which put passenger safety as primary concern</w:t>
      </w:r>
      <w:r w:rsidRPr="004225C0">
        <w:rPr>
          <w:rFonts w:ascii="Calibri" w:hAnsi="Calibri" w:cs="Calibri"/>
          <w:color w:val="000000"/>
          <w:shd w:val="clear" w:color="auto" w:fill="FFFFFF"/>
        </w:rPr>
        <w:t xml:space="preserve">, rather than adherence to specifications in the </w:t>
      </w:r>
      <w:r w:rsidR="00B140F4">
        <w:rPr>
          <w:rFonts w:ascii="Calibri" w:hAnsi="Calibri" w:cs="Calibri"/>
          <w:color w:val="000000"/>
          <w:shd w:val="clear" w:color="auto" w:fill="FFFFFF"/>
        </w:rPr>
        <w:t>NCC</w:t>
      </w:r>
      <w:r w:rsidRPr="004225C0">
        <w:rPr>
          <w:rFonts w:ascii="Calibri" w:hAnsi="Calibri" w:cs="Calibri"/>
          <w:color w:val="000000"/>
          <w:shd w:val="clear" w:color="auto" w:fill="FFFFFF"/>
        </w:rPr>
        <w:t xml:space="preserve"> that may not be optimised for public transport conveyances such as </w:t>
      </w:r>
      <w:r>
        <w:rPr>
          <w:rFonts w:ascii="Calibri" w:hAnsi="Calibri" w:cs="Calibri"/>
          <w:color w:val="000000"/>
          <w:shd w:val="clear" w:color="auto" w:fill="FFFFFF"/>
        </w:rPr>
        <w:t>trains</w:t>
      </w:r>
      <w:r w:rsidRPr="004225C0">
        <w:rPr>
          <w:rFonts w:ascii="Calibri" w:hAnsi="Calibri" w:cs="Calibri"/>
          <w:color w:val="000000"/>
          <w:shd w:val="clear" w:color="auto" w:fill="FFFFFF"/>
        </w:rPr>
        <w:t>.</w:t>
      </w:r>
      <w:r>
        <w:rPr>
          <w:rFonts w:ascii="Calibri" w:hAnsi="Calibri" w:cs="Calibri"/>
          <w:color w:val="000000"/>
          <w:shd w:val="clear" w:color="auto" w:fill="FFFFFF"/>
        </w:rPr>
        <w:t xml:space="preserve"> </w:t>
      </w:r>
    </w:p>
    <w:p w14:paraId="3DF14092" w14:textId="7E82EA09" w:rsidR="00E1199F" w:rsidRDefault="00E1199F" w:rsidP="08D050C4">
      <w:pPr>
        <w:shd w:val="clear" w:color="auto" w:fill="FFFFFF" w:themeFill="background1"/>
        <w:rPr>
          <w:rFonts w:ascii="Calibri" w:hAnsi="Calibri" w:cs="Calibri"/>
          <w:color w:val="000000" w:themeColor="text1"/>
        </w:rPr>
      </w:pPr>
      <w:r>
        <w:t xml:space="preserve">Concern was raised in a number of submissions that a </w:t>
      </w:r>
      <w:r w:rsidRPr="00BF4249">
        <w:rPr>
          <w:rFonts w:ascii="Calibri" w:hAnsi="Calibri" w:cs="Calibri"/>
          <w:color w:val="000000"/>
          <w:shd w:val="clear" w:color="auto" w:fill="FFFFFF"/>
        </w:rPr>
        <w:t>30 per</w:t>
      </w:r>
      <w:r w:rsidR="00B140F4">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Pr>
          <w:rFonts w:ascii="Calibri" w:hAnsi="Calibri" w:cs="Calibri"/>
          <w:color w:val="000000"/>
          <w:shd w:val="clear" w:color="auto" w:fill="FFFFFF"/>
        </w:rPr>
        <w:t xml:space="preserve">for handrails </w:t>
      </w:r>
      <w:r w:rsidRPr="00BF4249">
        <w:rPr>
          <w:rFonts w:ascii="Calibri" w:hAnsi="Calibri" w:cs="Calibri"/>
          <w:color w:val="000000"/>
          <w:shd w:val="clear" w:color="auto" w:fill="FFFFFF"/>
        </w:rPr>
        <w:t>is considered insufficient for people who are blind or vision impaired.</w:t>
      </w:r>
      <w:r>
        <w:t xml:space="preserve"> </w:t>
      </w:r>
      <w:bookmarkStart w:id="680" w:name="_Hlk121342825"/>
      <w:r>
        <w:t>This is a recurring concern where luminance contrast is an element of a reform area.</w:t>
      </w:r>
      <w:bookmarkEnd w:id="680"/>
      <w:r>
        <w:t xml:space="preserve"> Submissions also expressed some divergent views on the exclusion of TGSIs from the regulatory option. </w:t>
      </w:r>
      <w:r>
        <w:rPr>
          <w:rFonts w:ascii="Calibri" w:eastAsia="Times New Roman" w:hAnsi="Calibri" w:cs="Calibri"/>
          <w:color w:val="000000"/>
          <w:lang w:eastAsia="en-AU"/>
        </w:rPr>
        <w:t>I</w:t>
      </w:r>
      <w:r>
        <w:rPr>
          <w:rFonts w:ascii="Calibri" w:hAnsi="Calibri" w:cs="Calibri"/>
          <w:color w:val="000000"/>
          <w:shd w:val="clear" w:color="auto" w:fill="FFFFFF"/>
        </w:rPr>
        <w:t xml:space="preserve">n light of the fact that TGSI’s would not be required under the proposed regulatory option, </w:t>
      </w:r>
      <w:r>
        <w:t>one</w:t>
      </w:r>
      <w:r>
        <w:rPr>
          <w:rFonts w:ascii="Calibri" w:eastAsia="Times New Roman" w:hAnsi="Calibri" w:cs="Calibri"/>
          <w:color w:val="000000"/>
          <w:lang w:eastAsia="en-AU"/>
        </w:rPr>
        <w:t xml:space="preserve"> submission from an organisation representing the blind and vision impaired recommended </w:t>
      </w:r>
      <w:r>
        <w:rPr>
          <w:rFonts w:ascii="Calibri" w:hAnsi="Calibri" w:cs="Calibri"/>
          <w:color w:val="000000"/>
          <w:shd w:val="clear" w:color="auto" w:fill="FFFFFF"/>
        </w:rPr>
        <w:t xml:space="preserve">that the area in front of the stairs be indicated by a textured, non-slip surface with the ability for clear detection visually with appropriate luminance contrast, and through obvious textural change for a white cane being run over the surface. </w:t>
      </w:r>
    </w:p>
    <w:p w14:paraId="6B46FF12" w14:textId="77777777" w:rsidR="00E1199F" w:rsidRDefault="08D050C4" w:rsidP="08D050C4">
      <w:pPr>
        <w:shd w:val="clear" w:color="auto" w:fill="FFFFFF" w:themeFill="background1"/>
        <w:rPr>
          <w:rFonts w:ascii="Calibri" w:eastAsia="Times New Roman" w:hAnsi="Calibri" w:cs="Calibri"/>
          <w:color w:val="000000" w:themeColor="text1"/>
          <w:lang w:eastAsia="en-AU"/>
        </w:rPr>
      </w:pPr>
      <w:r w:rsidRPr="08D050C4">
        <w:rPr>
          <w:rFonts w:ascii="Calibri" w:eastAsia="Times New Roman" w:hAnsi="Calibri" w:cs="Calibri"/>
          <w:color w:val="000000" w:themeColor="text1"/>
          <w:lang w:eastAsia="en-AU"/>
        </w:rPr>
        <w:t xml:space="preserve">One submission from a government stakeholder outlined stairs on trains is a critical area for reform. The submission outlined that the existing requirements relate to buildings and are not achievable on conveyances as they fail to consider the operational environment, and space and design limitations in trains. </w:t>
      </w:r>
      <w:r>
        <w:t xml:space="preserve">This submission made suggestions to remove width requirements and references to Australian Standards for </w:t>
      </w:r>
      <w:r w:rsidRPr="08D050C4">
        <w:rPr>
          <w:rFonts w:ascii="Calibri" w:eastAsia="Times New Roman" w:hAnsi="Calibri" w:cs="Calibri"/>
          <w:color w:val="000000" w:themeColor="text1"/>
          <w:lang w:eastAsia="en-AU"/>
        </w:rPr>
        <w:t xml:space="preserve">stair height and width. Recommendations were made to replace these requirements with a performance-based approach of making stairs safe and fit for purpose, in line with the proposed sub-option 2 for stair geometry. </w:t>
      </w:r>
    </w:p>
    <w:p w14:paraId="1DB4542C" w14:textId="77777777" w:rsidR="00E1199F" w:rsidRPr="009E69A0" w:rsidRDefault="00E1199F" w:rsidP="00E1199F">
      <w:r>
        <w:t xml:space="preserve">Costs would be incurred to install compliant stairs and accessibility features. Due to space constraints, modifying existing stair geometry is not be feasible. A regulatory approach was supported by all stakeholder who expressed a preference during the consultation period. A regulatory approach would provide certainty for people with disability, ensuring that operators and </w:t>
      </w:r>
      <w:r>
        <w:lastRenderedPageBreak/>
        <w:t xml:space="preserve">providers would adopt requirements. People with disability, as well as the general public, will be able to traverse stairs more safely once requirements are implemented. Operators and providers will also benefit from greater design certainty and clarity. </w:t>
      </w:r>
    </w:p>
    <w:p w14:paraId="2A0DCE90" w14:textId="77777777" w:rsidR="00E1199F" w:rsidRDefault="00E1199F" w:rsidP="00E1199F">
      <w:pPr>
        <w:pStyle w:val="Heading4"/>
      </w:pPr>
      <w:r>
        <w:t>Preferred option</w:t>
      </w:r>
    </w:p>
    <w:p w14:paraId="6EBA3517" w14:textId="3B4C2B3F" w:rsidR="00E1199F" w:rsidRDefault="00E1199F" w:rsidP="00E1199F">
      <w:r>
        <w:t xml:space="preserve">Informed by the outcomes of consultation, stakeholder impacts, cost and outcomes analysis, the preferred option is the </w:t>
      </w:r>
      <w:r>
        <w:rPr>
          <w:b/>
        </w:rPr>
        <w:t>regulatory option</w:t>
      </w:r>
      <w:r w:rsidR="00E373EB">
        <w:rPr>
          <w:b/>
          <w:bCs/>
        </w:rPr>
        <w:t xml:space="preserve"> with revisions</w:t>
      </w:r>
      <w:r>
        <w:t xml:space="preserve">, with </w:t>
      </w:r>
      <w:r>
        <w:rPr>
          <w:b/>
        </w:rPr>
        <w:t>sub-option 2</w:t>
      </w:r>
      <w:r>
        <w:t xml:space="preserve"> in relation to </w:t>
      </w:r>
      <w:r w:rsidRPr="0015149C">
        <w:t xml:space="preserve">stair and step </w:t>
      </w:r>
      <w:r>
        <w:t xml:space="preserve">geometry and proposed amendments. </w:t>
      </w:r>
    </w:p>
    <w:p w14:paraId="789397D5" w14:textId="39E09F1C" w:rsidR="00E1199F" w:rsidRDefault="00E1199F" w:rsidP="00CF7427">
      <w:pPr>
        <w:pStyle w:val="Style5"/>
        <w:framePr w:wrap="around"/>
      </w:pPr>
      <w:r w:rsidRPr="00012DC9">
        <w:t xml:space="preserve">Following feedback through the Consultation RIS, the features for this option have been refined to remove </w:t>
      </w:r>
      <w:r>
        <w:t xml:space="preserve">specific </w:t>
      </w:r>
      <w:r w:rsidRPr="00012DC9">
        <w:t xml:space="preserve">references </w:t>
      </w:r>
      <w:r>
        <w:t>relating to</w:t>
      </w:r>
      <w:r w:rsidRPr="00007F7D">
        <w:t xml:space="preserve"> width</w:t>
      </w:r>
      <w:r>
        <w:t>,</w:t>
      </w:r>
      <w:r w:rsidRPr="00007F7D">
        <w:t xml:space="preserve"> and Australian Standards </w:t>
      </w:r>
      <w:r>
        <w:t xml:space="preserve">references </w:t>
      </w:r>
      <w:r w:rsidRPr="00007F7D">
        <w:t>for stair height</w:t>
      </w:r>
      <w:r>
        <w:t>s</w:t>
      </w:r>
      <w:r w:rsidRPr="00007F7D">
        <w:t xml:space="preserve"> and </w:t>
      </w:r>
      <w:r>
        <w:t>depths</w:t>
      </w:r>
      <w:r w:rsidRPr="00007F7D">
        <w:t xml:space="preserve">. These </w:t>
      </w:r>
      <w:r w:rsidRPr="00CF312F">
        <w:t xml:space="preserve">changes address concerns outlined in submissions regarding conveyance space and design constraints making implementation of width and stair height and depth requirements difficult to achieve or unfeasible in trains. </w:t>
      </w:r>
      <w:r>
        <w:t xml:space="preserve">Stairs should instead be safe and fit for purpose. </w:t>
      </w:r>
    </w:p>
    <w:p w14:paraId="6E4BEF8D" w14:textId="69E63684" w:rsidR="00E1199F" w:rsidRPr="00CF312F" w:rsidRDefault="00E373EB" w:rsidP="0007219F">
      <w:r>
        <w:br/>
      </w:r>
      <w:r w:rsidR="00E1199F">
        <w:t>S</w:t>
      </w:r>
      <w:r w:rsidR="00E1199F" w:rsidRPr="00CF312F">
        <w:t>ubmissions</w:t>
      </w:r>
      <w:r w:rsidR="00E1199F">
        <w:t xml:space="preserve"> in support of sub-option 2</w:t>
      </w:r>
      <w:r w:rsidR="00E1199F" w:rsidRPr="00CF312F">
        <w:t xml:space="preserve"> highlighted that </w:t>
      </w:r>
      <w:r w:rsidR="00E1199F">
        <w:t>a performance-based solution, which would replace the existing Australian Standards references for stair height and width,</w:t>
      </w:r>
      <w:r w:rsidR="00E1199F" w:rsidRPr="00CF312F">
        <w:t xml:space="preserve"> would allow flexibility to adopt a ‘fit for purpose’</w:t>
      </w:r>
      <w:r w:rsidR="00E1199F">
        <w:t xml:space="preserve"> solution. </w:t>
      </w:r>
      <w:r w:rsidR="00E1199F" w:rsidRPr="00CF312F">
        <w:t>Submissions outlined this would</w:t>
      </w:r>
      <w:r w:rsidR="00E1199F" w:rsidRPr="00CF312F">
        <w:rPr>
          <w:rFonts w:ascii="Calibri" w:hAnsi="Calibri" w:cs="Calibri"/>
          <w:color w:val="000000"/>
          <w:shd w:val="clear" w:color="auto" w:fill="FFFFFF"/>
        </w:rPr>
        <w:t xml:space="preserve"> not necessarily be achieved through reliance on specifications outlined in the National Construction Code (sub-option 1) which is not optimised for public transport conveyances.</w:t>
      </w:r>
    </w:p>
    <w:p w14:paraId="7231D421" w14:textId="02028E89" w:rsidR="00E1199F" w:rsidRDefault="08D050C4" w:rsidP="00E1199F">
      <w:r>
        <w:t xml:space="preserve">Concerns were raised from organisations representing the blind community and those with low vision regarding the proposed luminance contrasting requirements of the regulatory option. These luminance contrast requirements have been developed by a Standards Australia technical committee to ensure products, services, and systems are safe, consistent, and reliable. The objective of the referenced </w:t>
      </w:r>
      <w:r w:rsidR="005B282E">
        <w:t>Australian</w:t>
      </w:r>
      <w:r>
        <w:t xml:space="preserve"> Standards is to provide design requirements to enable access for people with disabilities. The </w:t>
      </w:r>
      <w:r w:rsidR="005B282E">
        <w:t>Australian</w:t>
      </w:r>
      <w:r>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7CA3E301" w14:textId="77777777" w:rsidR="00E1199F" w:rsidRPr="00F96CD6" w:rsidRDefault="00E1199F" w:rsidP="00E1199F">
      <w:r w:rsidRPr="00F96CD6">
        <w:t xml:space="preserve">This option provides a balance of certainty, improved accessibility and safety for people with disability with greater certainty for industry, who will benefit through and feasible and practical requirements that are fit-for-purpose. </w:t>
      </w:r>
    </w:p>
    <w:p w14:paraId="7F3E3965" w14:textId="10CC7B56" w:rsidR="000F79C9" w:rsidRPr="00946096" w:rsidRDefault="00E1199F" w:rsidP="00E1199F">
      <w:pPr>
        <w:rPr>
          <w:rFonts w:ascii="Calibri" w:eastAsia="Calibri" w:hAnsi="Calibri" w:cs="Times New Roman"/>
          <w:color w:val="000000" w:themeColor="text1"/>
        </w:rPr>
      </w:pPr>
      <w:r w:rsidRPr="00946096">
        <w:rPr>
          <w:rFonts w:ascii="Calibri" w:eastAsia="Calibri" w:hAnsi="Calibri" w:cs="Times New Roman"/>
          <w:color w:val="000000" w:themeColor="text1"/>
        </w:rPr>
        <w:t xml:space="preserve">The new Transport Standards requirements would apply </w:t>
      </w:r>
      <w:r w:rsidR="005B282E">
        <w:rPr>
          <w:rFonts w:ascii="Calibri" w:eastAsia="Calibri" w:hAnsi="Calibri" w:cs="Times New Roman"/>
          <w:color w:val="000000" w:themeColor="text1"/>
        </w:rPr>
        <w:t>prospectively</w:t>
      </w:r>
      <w:r w:rsidRPr="00946096">
        <w:rPr>
          <w:rFonts w:ascii="Calibri" w:eastAsia="Calibri" w:hAnsi="Calibri" w:cs="Times New Roman"/>
          <w:color w:val="000000" w:themeColor="text1"/>
        </w:rPr>
        <w:t xml:space="preserve">. Consultation findings indicate that it is difficult or not feasible to retrofit stairs due to conveyance space and design constraints. </w:t>
      </w:r>
    </w:p>
    <w:p w14:paraId="112CDFD7" w14:textId="77777777" w:rsidR="000F79C9" w:rsidRPr="002A7AC6" w:rsidRDefault="000F79C9" w:rsidP="000F79C9">
      <w:r w:rsidRPr="00946096">
        <w:t>The preferred option will be implemented through amendments to the Transport Standards and Guidelines. Operators and providers will be required to meet the new Transport Standards requirements prospectively with a trigger mechanism.</w:t>
      </w:r>
    </w:p>
    <w:p w14:paraId="1C7B0249" w14:textId="728D6852" w:rsidR="00E1199F" w:rsidRDefault="00E1199F" w:rsidP="003C30C5">
      <w:pPr>
        <w:pStyle w:val="Heading2"/>
        <w:numPr>
          <w:ilvl w:val="0"/>
          <w:numId w:val="30"/>
        </w:numPr>
        <w:ind w:hanging="720"/>
      </w:pPr>
      <w:bookmarkStart w:id="681" w:name="_Toc127351810"/>
      <w:bookmarkStart w:id="682" w:name="_Toc140239768"/>
      <w:r w:rsidRPr="00182544">
        <w:lastRenderedPageBreak/>
        <w:t>Stairs on ferries</w:t>
      </w:r>
      <w:bookmarkEnd w:id="681"/>
      <w:bookmarkEnd w:id="682"/>
    </w:p>
    <w:p w14:paraId="36136869" w14:textId="77777777" w:rsidR="00E1199F" w:rsidRPr="00621039" w:rsidRDefault="00E1199F" w:rsidP="00E1199F">
      <w:pPr>
        <w:pStyle w:val="Heading4"/>
        <w:tabs>
          <w:tab w:val="left" w:pos="284"/>
        </w:tabs>
      </w:pPr>
      <w:r w:rsidRPr="00621039">
        <w:t>Issue</w:t>
      </w:r>
    </w:p>
    <w:p w14:paraId="21995F56" w14:textId="77777777" w:rsidR="00E1199F" w:rsidRPr="005D1D73" w:rsidRDefault="00E1199F" w:rsidP="00E1199F">
      <w:pPr>
        <w:tabs>
          <w:tab w:val="left" w:pos="284"/>
        </w:tabs>
      </w:pPr>
      <w:r w:rsidRPr="00412B24">
        <w:t xml:space="preserve">The Transport Standards requirements </w:t>
      </w:r>
      <w:r>
        <w:t xml:space="preserve">reference dated Australian Standards </w:t>
      </w:r>
      <w:r w:rsidRPr="00412B24">
        <w:t xml:space="preserve">for stairs </w:t>
      </w:r>
      <w:r>
        <w:t xml:space="preserve">and are </w:t>
      </w:r>
      <w:r w:rsidRPr="00412B24">
        <w:t>not specific to each type of public transport conveyance</w:t>
      </w:r>
      <w:r w:rsidRPr="005D1D73">
        <w:t>. As a result, the</w:t>
      </w:r>
      <w:r w:rsidRPr="00412B24">
        <w:t xml:space="preserve"> requirements</w:t>
      </w:r>
      <w:r w:rsidRPr="005D1D73">
        <w:t xml:space="preserve"> are not fit-for-purpose for ferries as v</w:t>
      </w:r>
      <w:r w:rsidRPr="00B5751D">
        <w:t>essel interiors are space constrained and the geometry required of stairs is not always feasibly achieved in a ferry.</w:t>
      </w:r>
      <w:r w:rsidRPr="005D1D73">
        <w:t xml:space="preserve"> </w:t>
      </w:r>
      <w:r w:rsidRPr="00B5751D">
        <w:t xml:space="preserve">The Transport Standards requirements are also inadequate for handrails along ferry stairs. </w:t>
      </w:r>
      <w:r w:rsidRPr="005D1D73">
        <w:t xml:space="preserve">This poses a safety risk to people with disability as they may not be able to traverse stairs safely. </w:t>
      </w:r>
    </w:p>
    <w:p w14:paraId="13EB1BE5"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ferries and are accessible to people with disability. This would address key stakeholder issues raised through the Transport Standards review process.</w:t>
      </w:r>
    </w:p>
    <w:p w14:paraId="3D99D5C4" w14:textId="77777777" w:rsidR="00E1199F" w:rsidRDefault="00E1199F" w:rsidP="00E1199F">
      <w:pPr>
        <w:pStyle w:val="Heading4"/>
        <w:tabs>
          <w:tab w:val="left" w:pos="284"/>
        </w:tabs>
      </w:pPr>
      <w:r>
        <w:t>Reform options</w:t>
      </w:r>
    </w:p>
    <w:p w14:paraId="51AA952C" w14:textId="77777777" w:rsidR="00E1199F" w:rsidRDefault="00E1199F" w:rsidP="00E1199F">
      <w:pPr>
        <w:tabs>
          <w:tab w:val="left" w:pos="284"/>
        </w:tabs>
      </w:pPr>
      <w:r>
        <w:t>Following is a summary of the proposed options for this reform. Full details of each reform option is provided at Appendix A.</w:t>
      </w:r>
    </w:p>
    <w:p w14:paraId="18299214" w14:textId="403E9124" w:rsidR="00E1199F" w:rsidRDefault="00E1199F" w:rsidP="00E1199F">
      <w:pPr>
        <w:pStyle w:val="Caption"/>
        <w:keepNext/>
      </w:pPr>
      <w:bookmarkStart w:id="683" w:name="_Toc122446483"/>
      <w:bookmarkStart w:id="684" w:name="_Toc139969321"/>
      <w:r>
        <w:t xml:space="preserve">Table </w:t>
      </w:r>
      <w:fldSimple w:instr=" SEQ Table \* ARABIC ">
        <w:r w:rsidR="00DC26AC">
          <w:rPr>
            <w:noProof/>
          </w:rPr>
          <w:t>163</w:t>
        </w:r>
      </w:fldSimple>
      <w:r>
        <w:rPr>
          <w:noProof/>
        </w:rPr>
        <w:t>: Reform options for stairs on ferries</w:t>
      </w:r>
      <w:bookmarkEnd w:id="683"/>
      <w:bookmarkEnd w:id="684"/>
    </w:p>
    <w:tbl>
      <w:tblPr>
        <w:tblStyle w:val="DefaultTable1"/>
        <w:tblW w:w="9072" w:type="dxa"/>
        <w:tblLook w:val="04A0" w:firstRow="1" w:lastRow="0" w:firstColumn="1" w:lastColumn="0" w:noHBand="0" w:noVBand="1"/>
        <w:tblCaption w:val="Reform options for stairs on ferries"/>
        <w:tblDescription w:val="This table provides a description of each of the options for this reform area. Status quo, non-regulatory and regulatory."/>
      </w:tblPr>
      <w:tblGrid>
        <w:gridCol w:w="2232"/>
        <w:gridCol w:w="6840"/>
      </w:tblGrid>
      <w:tr w:rsidR="00E1199F" w:rsidRPr="003964B8" w14:paraId="109FCFB2"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DD5BB9F"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5B8B78A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6F8B947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DEFA845"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4E173948"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6BFD4D4E"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1043CFFF"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8CC294B"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2B5910C4"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for stairs and handrails on ferries including advice for:</w:t>
            </w:r>
          </w:p>
          <w:p w14:paraId="12E505F9" w14:textId="77777777" w:rsidR="00E1199F" w:rsidRDefault="08D050C4" w:rsidP="08D050C4">
            <w:pPr>
              <w:cnfStyle w:val="000000000000" w:firstRow="0" w:lastRow="0" w:firstColumn="0" w:lastColumn="0" w:oddVBand="0" w:evenVBand="0" w:oddHBand="0" w:evenHBand="0" w:firstRowFirstColumn="0" w:firstRowLastColumn="0" w:lastRowFirstColumn="0" w:lastRowLastColumn="0"/>
            </w:pPr>
            <w:r>
              <w:t xml:space="preserve">Stair design, including risers, nosings and luminance contrast, Handrail design, Operators and providers can choose to adopt AS1428.1 (2009) </w:t>
            </w:r>
          </w:p>
          <w:p w14:paraId="7722E1F8" w14:textId="77777777" w:rsidR="00E1199F" w:rsidRPr="00BA7847" w:rsidRDefault="00E1199F" w:rsidP="169A030C">
            <w:pPr>
              <w:cnfStyle w:val="000000000000" w:firstRow="0" w:lastRow="0" w:firstColumn="0" w:lastColumn="0" w:oddVBand="0" w:evenVBand="0" w:oddHBand="0" w:evenHBand="0" w:firstRowFirstColumn="0" w:firstRowLastColumn="0" w:lastRowFirstColumn="0" w:lastRowLastColumn="0"/>
            </w:pPr>
            <w:r>
              <w:t>Operators can refer to NSCV, Part C Design and construction Section 1 Arrangement, accommodation and personal safety (2018) Section 5.13.3.4.</w:t>
            </w:r>
          </w:p>
        </w:tc>
      </w:tr>
      <w:tr w:rsidR="00E1199F" w:rsidRPr="003964B8" w14:paraId="7878301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48F2881"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53119F8C"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be amended to include new requirements for ferry stairs and handrails along ferry stairs, including:</w:t>
            </w:r>
          </w:p>
          <w:p w14:paraId="6622B10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Where stairs and steps are provided, they must have opaque risers and comply with AS1428.1 (2009). Stair and steps risers and goings dimensions must comply with one of three sub-options. </w:t>
            </w:r>
          </w:p>
          <w:p w14:paraId="5BEE13FC"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minimum access path width on stairs and steps in the conveyance must be 900 millimetres as per NSCV, Part C Design and construction. Stairs and steps must not intrude into access paths.</w:t>
            </w:r>
          </w:p>
          <w:p w14:paraId="57819E7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The Transport Standards would include the following new requirements for handrails on ferries:</w:t>
            </w:r>
          </w:p>
          <w:p w14:paraId="22A8EEA2" w14:textId="52698F01"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Handrails must comply with the NSCV Part C Design and construction. A handrail on steps and stairs need not extend beyond the top or bottom of the stairs or steps. If the handrail is interrupted or abruptly terminated, a domed warning indicator must be provided. Handrails must have at least 30</w:t>
            </w:r>
            <w:r w:rsidR="00B140F4">
              <w:t xml:space="preserve"> </w:t>
            </w:r>
            <w:r w:rsidR="00B140F4">
              <w:lastRenderedPageBreak/>
              <w:t>per cent</w:t>
            </w:r>
            <w:r>
              <w:t xml:space="preserve"> luminance contrast with any background wall or surface adjacent to the handrail. Handrail profile must be as per AS1428.1 (2009).</w:t>
            </w:r>
          </w:p>
          <w:p w14:paraId="45D7878E"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213075D7" w14:textId="77777777" w:rsidR="00874437" w:rsidRDefault="00874437" w:rsidP="00874437">
      <w:pPr>
        <w:pStyle w:val="BodyText"/>
      </w:pPr>
    </w:p>
    <w:p w14:paraId="35D9FCEF" w14:textId="43B21084" w:rsidR="00E1199F" w:rsidRDefault="00E1199F" w:rsidP="00E1199F">
      <w:pPr>
        <w:pStyle w:val="Heading4"/>
        <w:tabs>
          <w:tab w:val="left" w:pos="284"/>
        </w:tabs>
      </w:pPr>
      <w:r>
        <w:t>Cost benefit analysis</w:t>
      </w:r>
    </w:p>
    <w:p w14:paraId="06C92C2D"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6EB07B88" w14:textId="77777777" w:rsidR="00E1199F" w:rsidRPr="00595D2C" w:rsidRDefault="00E1199F" w:rsidP="00E1199F">
      <w:r>
        <w:t xml:space="preserve">The following categories of quantitative costs and benefits were identified in the CBA as pertaining to the reform options. </w:t>
      </w:r>
    </w:p>
    <w:p w14:paraId="038011A9" w14:textId="1715F878" w:rsidR="00E1199F" w:rsidRDefault="00E1199F" w:rsidP="00E1199F">
      <w:pPr>
        <w:pStyle w:val="Caption"/>
        <w:keepNext/>
      </w:pPr>
      <w:bookmarkStart w:id="685" w:name="_Toc122446484"/>
      <w:bookmarkStart w:id="686" w:name="_Toc139969322"/>
      <w:r>
        <w:t xml:space="preserve">Table </w:t>
      </w:r>
      <w:fldSimple w:instr=" SEQ Table \* ARABIC ">
        <w:r w:rsidR="00DC26AC">
          <w:rPr>
            <w:noProof/>
          </w:rPr>
          <w:t>164</w:t>
        </w:r>
      </w:fldSimple>
      <w:r>
        <w:t xml:space="preserve">: Benefit-cost ratios </w:t>
      </w:r>
      <w:r>
        <w:rPr>
          <w:noProof/>
        </w:rPr>
        <w:t>for stairs on ferries</w:t>
      </w:r>
      <w:bookmarkEnd w:id="685"/>
      <w:bookmarkEnd w:id="686"/>
    </w:p>
    <w:tbl>
      <w:tblPr>
        <w:tblStyle w:val="DefaultTable1"/>
        <w:tblW w:w="9864" w:type="dxa"/>
        <w:tblLook w:val="04A0" w:firstRow="1" w:lastRow="0" w:firstColumn="1" w:lastColumn="0" w:noHBand="0" w:noVBand="1"/>
        <w:tblCaption w:val="Benefit-cost ratios for stairs on ferri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881E349"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6332409B" w14:textId="77777777" w:rsidR="00E1199F" w:rsidRPr="007A751F" w:rsidRDefault="08D050C4" w:rsidP="00E1199F">
            <w:r w:rsidRPr="08D050C4">
              <w:t>Reform Option</w:t>
            </w:r>
          </w:p>
        </w:tc>
        <w:tc>
          <w:tcPr>
            <w:tcW w:w="1531" w:type="dxa"/>
          </w:tcPr>
          <w:p w14:paraId="19E56DB3"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1AE3B6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6428B96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095E657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05682C8D"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5E50C55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9F914A0" w14:textId="77777777" w:rsidR="00E1199F" w:rsidRPr="00653914" w:rsidRDefault="00E1199F" w:rsidP="00E1199F">
            <w:r w:rsidRPr="00653914">
              <w:t>Status Quo</w:t>
            </w:r>
          </w:p>
        </w:tc>
        <w:tc>
          <w:tcPr>
            <w:tcW w:w="1531" w:type="dxa"/>
          </w:tcPr>
          <w:p w14:paraId="6399254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0538D976"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70FB3937"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70CED96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4A77504F"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4E5C9E2"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5BAF3787" w14:textId="77777777" w:rsidR="00E1199F" w:rsidRPr="00653914" w:rsidRDefault="00E1199F" w:rsidP="00E1199F">
            <w:r>
              <w:t xml:space="preserve">Non-regulatory </w:t>
            </w:r>
          </w:p>
        </w:tc>
        <w:tc>
          <w:tcPr>
            <w:tcW w:w="1531" w:type="dxa"/>
          </w:tcPr>
          <w:p w14:paraId="6BF2143A"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tcPr>
          <w:p w14:paraId="40FEDB46"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tcPr>
          <w:p w14:paraId="0C2EDCF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tcPr>
          <w:p w14:paraId="7CE046C5"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tcPr>
          <w:p w14:paraId="4307FF9C"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2F7AD69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1E7E9E26" w14:textId="77777777" w:rsidR="00E1199F" w:rsidRPr="00653914" w:rsidRDefault="00E1199F" w:rsidP="00E1199F">
            <w:r>
              <w:t>Regulatory</w:t>
            </w:r>
          </w:p>
        </w:tc>
        <w:tc>
          <w:tcPr>
            <w:tcW w:w="1531" w:type="dxa"/>
            <w:vAlign w:val="center"/>
          </w:tcPr>
          <w:p w14:paraId="7A85D05F"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12.0</w:t>
            </w:r>
          </w:p>
        </w:tc>
        <w:tc>
          <w:tcPr>
            <w:tcW w:w="1791" w:type="dxa"/>
            <w:vAlign w:val="center"/>
          </w:tcPr>
          <w:p w14:paraId="7A97D20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2D61711F"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0.7</w:t>
            </w:r>
          </w:p>
        </w:tc>
        <w:tc>
          <w:tcPr>
            <w:tcW w:w="1539" w:type="dxa"/>
            <w:vAlign w:val="center"/>
          </w:tcPr>
          <w:p w14:paraId="0E3D819D"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0.7</w:t>
            </w:r>
          </w:p>
        </w:tc>
        <w:tc>
          <w:tcPr>
            <w:tcW w:w="2216" w:type="dxa"/>
            <w:vAlign w:val="center"/>
          </w:tcPr>
          <w:p w14:paraId="68A22538"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rsidRPr="08D050C4">
              <w:rPr>
                <w:rFonts w:ascii="Arial" w:hAnsi="Arial" w:cs="Arial"/>
                <w:sz w:val="18"/>
                <w:szCs w:val="18"/>
              </w:rPr>
              <w:t>15.95</w:t>
            </w:r>
          </w:p>
        </w:tc>
      </w:tr>
    </w:tbl>
    <w:p w14:paraId="16876BB9"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643C5E43"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7AF92A2C" w14:textId="77777777" w:rsidR="00E1199F" w:rsidRPr="00F730F8" w:rsidRDefault="00E1199F" w:rsidP="00E1199F">
      <w:pPr>
        <w:spacing w:before="120" w:after="0"/>
        <w:rPr>
          <w:sz w:val="20"/>
          <w:szCs w:val="20"/>
        </w:rPr>
      </w:pPr>
      <w:r w:rsidRPr="169A030C">
        <w:rPr>
          <w:sz w:val="20"/>
          <w:szCs w:val="20"/>
          <w:vertAlign w:val="superscript"/>
        </w:rPr>
        <w:t>(ii)</w:t>
      </w:r>
      <w:r w:rsidRPr="169A030C">
        <w:rPr>
          <w:sz w:val="20"/>
          <w:szCs w:val="20"/>
        </w:rPr>
        <w:t>The benefits and costs presented in the table above are rounded to two decimal places and calculated to four decimal places in the CBA workbook, which may result in zero values in the table.</w:t>
      </w:r>
    </w:p>
    <w:p w14:paraId="43D3C129" w14:textId="77777777" w:rsidR="00E1199F" w:rsidRDefault="00E1199F" w:rsidP="00E1199F">
      <w:pPr>
        <w:pStyle w:val="Heading6"/>
      </w:pPr>
      <w:r>
        <w:t>Considerations to note in interpreting analysis</w:t>
      </w:r>
    </w:p>
    <w:p w14:paraId="2DA62061" w14:textId="77777777" w:rsidR="00E1199F" w:rsidRDefault="00E1199F" w:rsidP="00425012">
      <w:pPr>
        <w:pStyle w:val="Heading7"/>
      </w:pPr>
      <w:r w:rsidRPr="008F2C5A">
        <w:t>Limitations:</w:t>
      </w:r>
    </w:p>
    <w:p w14:paraId="593504F3" w14:textId="77777777" w:rsidR="00E1199F" w:rsidRDefault="00E1199F" w:rsidP="00425012">
      <w:pPr>
        <w:pStyle w:val="Heading8"/>
      </w:pPr>
      <w:r>
        <w:t>Non-regulatory option:</w:t>
      </w:r>
    </w:p>
    <w:p w14:paraId="620BC4B4" w14:textId="14573516" w:rsidR="00E1199F" w:rsidRDefault="00E1199F" w:rsidP="00425012">
      <w:pPr>
        <w:pStyle w:val="Listparagraphbullets"/>
        <w:numPr>
          <w:ilvl w:val="0"/>
          <w:numId w:val="0"/>
        </w:numPr>
        <w:autoSpaceDE w:val="0"/>
        <w:autoSpaceDN w:val="0"/>
        <w:spacing w:after="0"/>
      </w:pPr>
      <w:r w:rsidRPr="008144D7">
        <w:t xml:space="preserve">There are no costs and benefits associated with this non-regulatory reform with the </w:t>
      </w:r>
      <w:r w:rsidR="00B140F4">
        <w:t xml:space="preserve">Department </w:t>
      </w:r>
      <w:r w:rsidRPr="008144D7">
        <w:t>indicating that future infrastructure would be compliant under the National Standard for Commercial Vessels.</w:t>
      </w:r>
    </w:p>
    <w:p w14:paraId="1EC0208F" w14:textId="77777777" w:rsidR="00425012" w:rsidRDefault="00425012" w:rsidP="00425012">
      <w:pPr>
        <w:pStyle w:val="Listparagraphbullets"/>
        <w:numPr>
          <w:ilvl w:val="0"/>
          <w:numId w:val="0"/>
        </w:numPr>
        <w:autoSpaceDE w:val="0"/>
        <w:autoSpaceDN w:val="0"/>
        <w:spacing w:after="0"/>
      </w:pPr>
    </w:p>
    <w:p w14:paraId="788612D7" w14:textId="77777777" w:rsidR="00E1199F" w:rsidRDefault="00E1199F" w:rsidP="00425012">
      <w:pPr>
        <w:pStyle w:val="Heading8"/>
      </w:pPr>
      <w:r>
        <w:t>Regulatory option:</w:t>
      </w:r>
    </w:p>
    <w:p w14:paraId="6418E1CF" w14:textId="3BCC7BD2" w:rsidR="00425012" w:rsidRPr="006E1F88" w:rsidRDefault="00E1199F" w:rsidP="00B140F4">
      <w:r w:rsidRPr="006E1F88">
        <w:t xml:space="preserve">The costs and benefits for this reform were estimated from a small number of data points provided by survey responses to proxy the compliance of stairs on ferries at a national level. This implies the benefits and costs may not be fully reflective of differences by state and jurisdiction. </w:t>
      </w:r>
    </w:p>
    <w:p w14:paraId="3B0DE654" w14:textId="6A7D445E" w:rsidR="00E1199F" w:rsidRDefault="00E1199F" w:rsidP="00B140F4">
      <w:r w:rsidRPr="006E1F88">
        <w:t>They survey indicated that a low number of ferries would require upgrades, resulting in a relatively lower overall cost, in comparison with a potentially large group of beneficiaries.</w:t>
      </w:r>
    </w:p>
    <w:p w14:paraId="6C120FB2" w14:textId="77777777" w:rsidR="00425012" w:rsidRDefault="00425012" w:rsidP="00E1199F">
      <w:pPr>
        <w:rPr>
          <w:b/>
        </w:rPr>
      </w:pPr>
    </w:p>
    <w:p w14:paraId="1F49E70E" w14:textId="57301E95" w:rsidR="00E1199F" w:rsidRDefault="00E1199F" w:rsidP="00425012">
      <w:pPr>
        <w:pStyle w:val="Heading8"/>
      </w:pPr>
      <w:r w:rsidRPr="005F2BF9">
        <w:lastRenderedPageBreak/>
        <w:t xml:space="preserve">Interdependencies: </w:t>
      </w:r>
    </w:p>
    <w:p w14:paraId="7131C2F3" w14:textId="77777777" w:rsidR="00E1199F" w:rsidRPr="005F2BF9" w:rsidRDefault="00E1199F" w:rsidP="00425012">
      <w:pPr>
        <w:pStyle w:val="Listparagraphbullets"/>
        <w:numPr>
          <w:ilvl w:val="0"/>
          <w:numId w:val="0"/>
        </w:numPr>
        <w:autoSpaceDE w:val="0"/>
        <w:autoSpaceDN w:val="0"/>
        <w:spacing w:after="0"/>
      </w:pPr>
      <w:r w:rsidRPr="008144D7">
        <w:t>The accessibility benefits of this reform will only be realised if there was equitable access across the whole public transport journey, with benefits reliant on implementation of other reforms such as removable gangway design and pontoon boarding points on infrastructure.</w:t>
      </w:r>
    </w:p>
    <w:p w14:paraId="1D10CD54"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28A1DC78" w14:textId="77777777" w:rsidR="00E1199F" w:rsidRPr="00F10FAA" w:rsidRDefault="00E1199F" w:rsidP="00E1199F">
      <w:r>
        <w:t>The following categories of qualitative benefits were identified in the CBA as pertaining to the reform options.</w:t>
      </w:r>
    </w:p>
    <w:p w14:paraId="6493AFF9" w14:textId="66878D7D" w:rsidR="00E1199F" w:rsidRDefault="00E1199F" w:rsidP="00E1199F">
      <w:pPr>
        <w:pStyle w:val="Caption"/>
        <w:keepNext/>
      </w:pPr>
      <w:bookmarkStart w:id="687" w:name="_Toc122446485"/>
      <w:bookmarkStart w:id="688" w:name="_Toc139969323"/>
      <w:r>
        <w:t xml:space="preserve">Table </w:t>
      </w:r>
      <w:fldSimple w:instr=" SEQ Table \* ARABIC ">
        <w:r w:rsidR="00DC26AC">
          <w:rPr>
            <w:noProof/>
          </w:rPr>
          <w:t>165</w:t>
        </w:r>
      </w:fldSimple>
      <w:r>
        <w:t xml:space="preserve">: Qualitative benefits </w:t>
      </w:r>
      <w:r w:rsidRPr="00D856A7">
        <w:t>for</w:t>
      </w:r>
      <w:r>
        <w:t xml:space="preserve"> s</w:t>
      </w:r>
      <w:r>
        <w:rPr>
          <w:noProof/>
        </w:rPr>
        <w:t>tairs on ferries</w:t>
      </w:r>
      <w:bookmarkEnd w:id="687"/>
      <w:bookmarkEnd w:id="688"/>
    </w:p>
    <w:tbl>
      <w:tblPr>
        <w:tblStyle w:val="DefaultTable1"/>
        <w:tblW w:w="9864" w:type="dxa"/>
        <w:tblLook w:val="04A0" w:firstRow="1" w:lastRow="0" w:firstColumn="1" w:lastColumn="0" w:noHBand="0" w:noVBand="1"/>
        <w:tblCaption w:val="Qualitative benefits for stairs on ferries"/>
      </w:tblPr>
      <w:tblGrid>
        <w:gridCol w:w="1213"/>
        <w:gridCol w:w="1343"/>
        <w:gridCol w:w="1626"/>
        <w:gridCol w:w="1300"/>
        <w:gridCol w:w="1278"/>
        <w:gridCol w:w="1641"/>
        <w:gridCol w:w="1463"/>
      </w:tblGrid>
      <w:tr w:rsidR="00E1199F" w:rsidRPr="007A751F" w14:paraId="52BB1ABD"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10D2CF22" w14:textId="77777777" w:rsidR="00E1199F" w:rsidRPr="007A751F" w:rsidRDefault="08D050C4" w:rsidP="00E1199F">
            <w:r w:rsidRPr="08D050C4">
              <w:t>Reform Option</w:t>
            </w:r>
          </w:p>
        </w:tc>
        <w:tc>
          <w:tcPr>
            <w:tcW w:w="1343" w:type="dxa"/>
          </w:tcPr>
          <w:p w14:paraId="0260FF81"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5E36BB8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4C4DE5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3F92BE9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7BA5B064"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1E6CE5DD"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0F4C8B4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6EFD9B20" w14:textId="77777777" w:rsidR="00E1199F" w:rsidRPr="00653914" w:rsidRDefault="00E1199F" w:rsidP="00E1199F">
            <w:r w:rsidRPr="00653914">
              <w:t>Status Quo</w:t>
            </w:r>
          </w:p>
        </w:tc>
        <w:tc>
          <w:tcPr>
            <w:tcW w:w="1343" w:type="dxa"/>
          </w:tcPr>
          <w:p w14:paraId="12350BF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1819E25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340E1AD9"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1C28C37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62E03EEA"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4FDA932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5317185F"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0687CE2E" w14:textId="77777777" w:rsidR="00E1199F" w:rsidRPr="00653914" w:rsidRDefault="00E1199F" w:rsidP="00E1199F">
            <w:r>
              <w:t xml:space="preserve">Non-regulatory </w:t>
            </w:r>
          </w:p>
        </w:tc>
        <w:tc>
          <w:tcPr>
            <w:tcW w:w="1343" w:type="dxa"/>
          </w:tcPr>
          <w:p w14:paraId="22FD74B5"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26" w:type="dxa"/>
          </w:tcPr>
          <w:p w14:paraId="70730DD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300" w:type="dxa"/>
          </w:tcPr>
          <w:p w14:paraId="08E77D0D"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33B5242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41" w:type="dxa"/>
          </w:tcPr>
          <w:p w14:paraId="4739C4FD"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463" w:type="dxa"/>
          </w:tcPr>
          <w:p w14:paraId="0E46F44E"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0DA08F8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80ECBA7" w14:textId="77777777" w:rsidR="00E1199F" w:rsidRPr="00653914" w:rsidRDefault="00E1199F" w:rsidP="00E1199F">
            <w:r>
              <w:t>Regulatory</w:t>
            </w:r>
          </w:p>
        </w:tc>
        <w:tc>
          <w:tcPr>
            <w:tcW w:w="1343" w:type="dxa"/>
          </w:tcPr>
          <w:p w14:paraId="2AA7A906"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7D0C1F78"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5204C0F"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5312B2E4"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0F65ADB2"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4AC54979"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68390D27" w14:textId="77777777" w:rsidR="00874437" w:rsidRDefault="00874437" w:rsidP="00874437">
      <w:pPr>
        <w:pStyle w:val="BodyText"/>
      </w:pPr>
    </w:p>
    <w:p w14:paraId="63B02A4D" w14:textId="0F5919A2" w:rsidR="00E1199F" w:rsidRPr="004C16F7" w:rsidRDefault="00E1199F" w:rsidP="00E1199F">
      <w:pPr>
        <w:pStyle w:val="Heading4"/>
        <w:tabs>
          <w:tab w:val="left" w:pos="284"/>
        </w:tabs>
      </w:pPr>
      <w:r>
        <w:t xml:space="preserve">Analysis of submissions </w:t>
      </w:r>
    </w:p>
    <w:p w14:paraId="7853C581" w14:textId="77777777" w:rsidR="00E1199F" w:rsidRPr="0054328A" w:rsidRDefault="00E1199F" w:rsidP="00E1199F">
      <w:pPr>
        <w:rPr>
          <w:b/>
        </w:rPr>
      </w:pPr>
      <w:r w:rsidRPr="0054328A">
        <w:rPr>
          <w:b/>
        </w:rPr>
        <w:t>Status quo</w:t>
      </w:r>
    </w:p>
    <w:p w14:paraId="40CCD788" w14:textId="5AD5C92F" w:rsidR="00E1199F" w:rsidRDefault="00E1199F" w:rsidP="00E1199F">
      <w:r>
        <w:t xml:space="preserve">The Transport Standards requirements for stairs are not specific to each type of public transport conveyance. The space constraints </w:t>
      </w:r>
      <w:r w:rsidRPr="00B5751D">
        <w:t xml:space="preserve">and the geometry required of stairs </w:t>
      </w:r>
      <w:r w:rsidR="004607F3">
        <w:t>makes</w:t>
      </w:r>
      <w:r>
        <w:t xml:space="preserve"> compliance with the </w:t>
      </w:r>
      <w:r w:rsidR="004607F3">
        <w:t xml:space="preserve">existing stair requirements in the </w:t>
      </w:r>
      <w:r>
        <w:t>Transport Standards unachievable in many cases.</w:t>
      </w:r>
    </w:p>
    <w:p w14:paraId="0D754504" w14:textId="77777777" w:rsidR="00E1199F" w:rsidRDefault="00E1199F" w:rsidP="00E1199F">
      <w:r>
        <w:t>The current requirements continue to inhibit the safety of people with disability when traversing stairs on ferries as they are unable to be implemented.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66E55E4D" w14:textId="77777777" w:rsidR="00E1199F" w:rsidRDefault="00E1199F" w:rsidP="00E1199F">
      <w:r>
        <w:t>While the status quo has no ongoing costs for public transport operators and providers, negative impacts on community amenity, accessibility, and safety will remain as space constraints in ferries and stair geometry requirements make the Transport Standards unattainable for operators and providers.</w:t>
      </w:r>
    </w:p>
    <w:p w14:paraId="085FA47D" w14:textId="77777777" w:rsidR="00E1199F" w:rsidRDefault="00E1199F" w:rsidP="00E1199F">
      <w:r>
        <w:t>No submissions received during public consultation expressed support for the status quo option.</w:t>
      </w:r>
    </w:p>
    <w:p w14:paraId="58361431" w14:textId="77777777" w:rsidR="00E1199F" w:rsidRDefault="00E1199F" w:rsidP="00E1199F">
      <w:pPr>
        <w:rPr>
          <w:b/>
        </w:rPr>
      </w:pPr>
      <w:r>
        <w:rPr>
          <w:b/>
        </w:rPr>
        <w:t>Non-regulatory</w:t>
      </w:r>
    </w:p>
    <w:p w14:paraId="2DB19244" w14:textId="77777777" w:rsidR="00E1199F" w:rsidRDefault="00E1199F" w:rsidP="00E1199F">
      <w:r>
        <w:t>The non-regulatory option would provide updated guidance to include advice for stairs and handrails on ferries, including stair design, appropriate luminance contrasting and handrail requirements, providing flexibility to operators and providers.</w:t>
      </w:r>
    </w:p>
    <w:p w14:paraId="1044F4DA" w14:textId="142F88F4" w:rsidR="00E1199F" w:rsidRDefault="00E1199F" w:rsidP="00E1199F">
      <w:r>
        <w:lastRenderedPageBreak/>
        <w:t>No submissions received during public consultation indicated support for the non-regulatory option. It was noted that the current requirements are not fit-for-purpose, do not account for space limitations in ferries and that an achievable, modal specific approach was required.</w:t>
      </w:r>
    </w:p>
    <w:p w14:paraId="407200E0" w14:textId="56B30FD3" w:rsidR="00E1199F" w:rsidRDefault="00E1199F" w:rsidP="00E1199F">
      <w:r>
        <w:t>To the extent that guidance is followed, costs would be incurred to install compliant stairs and accessibility features. Due to space constraints, modifying existing stair geometry may not be feasible. Due to the discretionary nature of this option, it does not provide certainty that operators and providers will adopt requirements</w:t>
      </w:r>
      <w:r w:rsidR="004607F3">
        <w:t>;</w:t>
      </w:r>
      <w:r>
        <w:t xml:space="preserve"> however</w:t>
      </w:r>
      <w:r w:rsidR="004607F3">
        <w:t>,</w:t>
      </w:r>
      <w:r>
        <w:t xml:space="preserve"> the non-regulatory option should allow operators and providers to manage the implementation (and related costs) to suit their operational requirements, including through staging the implementation. </w:t>
      </w:r>
    </w:p>
    <w:p w14:paraId="70985542" w14:textId="01B1951A" w:rsidR="00E1199F" w:rsidRDefault="00E1199F" w:rsidP="00E1199F">
      <w:r>
        <w:t xml:space="preserve">Given this option is discretionary, it does not provide certainty that guidance will be implemented which may reduce confidence of passengers to travel if they are unable to safely traverse stairs when travelling by ferry. To the extent that guidance is followed, people travelling by ferry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w:t>
      </w:r>
    </w:p>
    <w:p w14:paraId="1F0BB48C" w14:textId="77777777" w:rsidR="00E1199F" w:rsidRDefault="00E1199F" w:rsidP="00E1199F">
      <w:pPr>
        <w:rPr>
          <w:b/>
        </w:rPr>
      </w:pPr>
      <w:r w:rsidRPr="0054328A">
        <w:rPr>
          <w:b/>
        </w:rPr>
        <w:t>Regulatory</w:t>
      </w:r>
    </w:p>
    <w:p w14:paraId="1F1A242C" w14:textId="77777777" w:rsidR="00E1199F" w:rsidRDefault="00E1199F" w:rsidP="00E1199F">
      <w:pPr>
        <w:rPr>
          <w:highlight w:val="green"/>
        </w:rPr>
      </w:pPr>
      <w:r w:rsidRPr="0015149C">
        <w:t>The regulatory options would amend the Transport Standards to include new requirements for ferry stairs and handrails, including updat</w:t>
      </w:r>
      <w:r>
        <w:t xml:space="preserve">ing </w:t>
      </w:r>
      <w:r w:rsidRPr="0015149C">
        <w:t>Australian Standard references. TGSIs would not be required at ferry stairs and steps</w:t>
      </w:r>
      <w:r w:rsidRPr="002D5EF3">
        <w:t>. Handrail requirements would be amended to include location and luminance contrast requirements</w:t>
      </w:r>
      <w:r>
        <w:t>, minimum access path widths,</w:t>
      </w:r>
      <w:r w:rsidRPr="002D5EF3">
        <w:t xml:space="preserve"> and requirements for warning indicators where a handrail is interrupted or terminates abruptly at the top or bottom step. </w:t>
      </w:r>
    </w:p>
    <w:p w14:paraId="48EA6022" w14:textId="72E7F714" w:rsidR="00E1199F" w:rsidRPr="0015149C" w:rsidRDefault="00E1199F" w:rsidP="00E1199F">
      <w:bookmarkStart w:id="689" w:name="_Hlk121343351"/>
      <w:r w:rsidRPr="0015149C">
        <w:t xml:space="preserve">In relation to stair and step riser and going dimensions, three regulatory sub-options were </w:t>
      </w:r>
      <w:r>
        <w:t>presented</w:t>
      </w:r>
      <w:r w:rsidRPr="0015149C">
        <w:t xml:space="preserve"> for consideration</w:t>
      </w:r>
      <w:r>
        <w:t xml:space="preserve">. Sub-option 1 would require </w:t>
      </w:r>
      <w:r w:rsidRPr="0015149C">
        <w:t>riser and going dimensions</w:t>
      </w:r>
      <w:r>
        <w:t xml:space="preserve"> to comply with relevant parts of the </w:t>
      </w:r>
      <w:r w:rsidR="00B140F4">
        <w:rPr>
          <w:rFonts w:ascii="Calibri" w:eastAsia="Times New Roman" w:hAnsi="Calibri" w:cs="Calibri"/>
          <w:color w:val="000000" w:themeColor="text1"/>
          <w:lang w:eastAsia="en-AU"/>
        </w:rPr>
        <w:t>NSCV</w:t>
      </w:r>
      <w:r w:rsidRPr="0015149C">
        <w:t>.</w:t>
      </w:r>
      <w:r w:rsidRPr="003149D3">
        <w:t xml:space="preserve"> </w:t>
      </w:r>
      <w:r>
        <w:t>Sub-option 2 would require</w:t>
      </w:r>
      <w:r w:rsidRPr="003149D3">
        <w:t xml:space="preserve"> </w:t>
      </w:r>
      <w:r>
        <w:t xml:space="preserve">compliance with relevant parts of the </w:t>
      </w:r>
      <w:r w:rsidR="00B140F4">
        <w:t>NCC</w:t>
      </w:r>
      <w:r w:rsidRPr="0015149C">
        <w:t>.</w:t>
      </w:r>
      <w:r>
        <w:t xml:space="preserve"> Sub-option 3 would require r</w:t>
      </w:r>
      <w:r w:rsidRPr="0015149C">
        <w:t>iser and going dimensions that are safe and fit for purpose.</w:t>
      </w:r>
    </w:p>
    <w:bookmarkEnd w:id="689"/>
    <w:p w14:paraId="6276E260" w14:textId="09A58DC7" w:rsidR="00E1199F" w:rsidRDefault="00E1199F" w:rsidP="08D050C4">
      <w:pPr>
        <w:shd w:val="clear" w:color="auto" w:fill="FFFFFF" w:themeFill="background1"/>
      </w:pPr>
      <w:r w:rsidRPr="0015149C">
        <w:t>All submissions received during public consultation favoured a regulatory approach</w:t>
      </w:r>
      <w:r>
        <w:t>, noting this would best achieve consistency and certainty</w:t>
      </w:r>
      <w:r w:rsidRPr="004225C0">
        <w:t xml:space="preserve"> </w:t>
      </w:r>
      <w:r w:rsidRPr="0015149C">
        <w:t>in relation to stairs on ferries</w:t>
      </w:r>
      <w:r>
        <w:t xml:space="preserve">. Concern was raised in a number of submissions that a </w:t>
      </w:r>
      <w:r w:rsidRPr="00BF4249">
        <w:rPr>
          <w:rFonts w:ascii="Calibri" w:hAnsi="Calibri" w:cs="Calibri"/>
          <w:color w:val="000000"/>
          <w:shd w:val="clear" w:color="auto" w:fill="FFFFFF"/>
        </w:rPr>
        <w:t>30 per</w:t>
      </w:r>
      <w:r w:rsidR="00B140F4">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Pr>
          <w:rFonts w:ascii="Calibri" w:hAnsi="Calibri" w:cs="Calibri"/>
          <w:color w:val="000000"/>
          <w:shd w:val="clear" w:color="auto" w:fill="FFFFFF"/>
        </w:rPr>
        <w:t xml:space="preserve">for handrails </w:t>
      </w:r>
      <w:r w:rsidRPr="00BF4249">
        <w:rPr>
          <w:rFonts w:ascii="Calibri" w:hAnsi="Calibri" w:cs="Calibri"/>
          <w:color w:val="000000"/>
          <w:shd w:val="clear" w:color="auto" w:fill="FFFFFF"/>
        </w:rPr>
        <w:t>is considered insufficient for people who are blind or vision impaired.</w:t>
      </w:r>
      <w:r>
        <w:t xml:space="preserve"> This is a recurring concern where luminance contrast is an element of a reform area. </w:t>
      </w:r>
    </w:p>
    <w:p w14:paraId="05D7578B" w14:textId="1EF16628" w:rsidR="00E1199F" w:rsidRPr="00AD6F57" w:rsidRDefault="00E1199F" w:rsidP="08D050C4">
      <w:pPr>
        <w:shd w:val="clear" w:color="auto" w:fill="FFFFFF" w:themeFill="background1"/>
      </w:pPr>
      <w:r>
        <w:rPr>
          <w:rFonts w:ascii="Calibri" w:hAnsi="Calibri" w:cs="Calibri"/>
          <w:color w:val="000000"/>
          <w:shd w:val="clear" w:color="auto" w:fill="FFFFFF"/>
        </w:rPr>
        <w:t xml:space="preserve">There was no clear preference for any one of the sub-options across submissions received during the consultation period. </w:t>
      </w:r>
      <w:r>
        <w:t xml:space="preserve">Some considered sub-options 1 and 2 as more appropriate for transiting safely between decks, with more support for sub-option 1 noting it would </w:t>
      </w:r>
      <w:r w:rsidRPr="00AD6F57">
        <w:t xml:space="preserve">include modal specific requirements and align with the </w:t>
      </w:r>
      <w:r w:rsidR="00B140F4">
        <w:rPr>
          <w:rFonts w:ascii="Calibri" w:eastAsia="Times New Roman" w:hAnsi="Calibri" w:cs="Calibri"/>
          <w:color w:val="000000" w:themeColor="text1"/>
          <w:lang w:eastAsia="en-AU"/>
        </w:rPr>
        <w:t>NSCV</w:t>
      </w:r>
      <w:r w:rsidRPr="00AD6F57">
        <w:t>.</w:t>
      </w:r>
      <w:r w:rsidRPr="00B61069">
        <w:t xml:space="preserve"> </w:t>
      </w:r>
      <w:r>
        <w:t xml:space="preserve">Others noted that sub-option 2 provided more generous dimensions for risers and goings than sub-option 1. </w:t>
      </w:r>
      <w:r>
        <w:rPr>
          <w:rFonts w:ascii="Calibri" w:hAnsi="Calibri" w:cs="Calibri"/>
          <w:color w:val="000000"/>
          <w:shd w:val="clear" w:color="auto" w:fill="FFFFFF"/>
        </w:rPr>
        <w:t xml:space="preserve">Others expressed support for sub-option 3 as it best reflected a </w:t>
      </w:r>
      <w:r w:rsidRPr="004225C0">
        <w:rPr>
          <w:rFonts w:ascii="Calibri" w:hAnsi="Calibri" w:cs="Calibri"/>
          <w:color w:val="000000"/>
          <w:shd w:val="clear" w:color="auto" w:fill="FFFFFF"/>
        </w:rPr>
        <w:t>performance based and modal-specific approach</w:t>
      </w:r>
      <w:r>
        <w:rPr>
          <w:rFonts w:ascii="Calibri" w:hAnsi="Calibri" w:cs="Calibri"/>
          <w:color w:val="000000"/>
          <w:shd w:val="clear" w:color="auto" w:fill="FFFFFF"/>
        </w:rPr>
        <w:t xml:space="preserve"> which put passenger safety as primary concern</w:t>
      </w:r>
      <w:r w:rsidRPr="004225C0">
        <w:rPr>
          <w:rFonts w:ascii="Calibri" w:hAnsi="Calibri" w:cs="Calibri"/>
          <w:color w:val="000000"/>
          <w:shd w:val="clear" w:color="auto" w:fill="FFFFFF"/>
        </w:rPr>
        <w:t xml:space="preserve">, rather than adherence to specifications in the </w:t>
      </w:r>
      <w:r w:rsidR="00B140F4">
        <w:rPr>
          <w:rFonts w:ascii="Calibri" w:hAnsi="Calibri" w:cs="Calibri"/>
          <w:color w:val="000000"/>
          <w:shd w:val="clear" w:color="auto" w:fill="FFFFFF"/>
        </w:rPr>
        <w:t>NCC</w:t>
      </w:r>
      <w:r w:rsidRPr="004225C0">
        <w:rPr>
          <w:rFonts w:ascii="Calibri" w:hAnsi="Calibri" w:cs="Calibri"/>
          <w:color w:val="000000"/>
          <w:shd w:val="clear" w:color="auto" w:fill="FFFFFF"/>
        </w:rPr>
        <w:t xml:space="preserve"> that may not be optimised for public transport conveyances such as ferries.</w:t>
      </w:r>
      <w:r>
        <w:rPr>
          <w:rFonts w:ascii="Calibri" w:hAnsi="Calibri" w:cs="Calibri"/>
          <w:color w:val="000000"/>
          <w:shd w:val="clear" w:color="auto" w:fill="FFFFFF"/>
        </w:rPr>
        <w:t xml:space="preserve"> </w:t>
      </w:r>
    </w:p>
    <w:p w14:paraId="31461ABB" w14:textId="28C39DA6" w:rsidR="00E1199F" w:rsidRPr="00683417" w:rsidRDefault="08D050C4" w:rsidP="08D050C4">
      <w:pPr>
        <w:shd w:val="clear" w:color="auto" w:fill="FFFFFF" w:themeFill="background1"/>
        <w:rPr>
          <w:rFonts w:ascii="Calibri" w:hAnsi="Calibri" w:cs="Calibri"/>
          <w:color w:val="000000" w:themeColor="text1"/>
        </w:rPr>
      </w:pPr>
      <w:r>
        <w:t>Some concerns were expressed that the regulatory options did not adequately account for space constraints in ferries. One submission suggested reference to width and Australian Standards requirements for stair heights be removed from the broader reform proposal, instead adopting a ‘fit</w:t>
      </w:r>
      <w:r w:rsidR="00B140F4">
        <w:t>-</w:t>
      </w:r>
      <w:r>
        <w:t>for</w:t>
      </w:r>
      <w:r w:rsidR="00B140F4">
        <w:t>-</w:t>
      </w:r>
      <w:r>
        <w:t xml:space="preserve">purpose’ approach similar to sub-option 3, with other elements to be moved to guidance. It was noted that compliance with the </w:t>
      </w:r>
      <w:r w:rsidR="00B140F4">
        <w:rPr>
          <w:rFonts w:ascii="Calibri" w:eastAsia="Times New Roman" w:hAnsi="Calibri" w:cs="Calibri"/>
          <w:color w:val="000000" w:themeColor="text1"/>
          <w:lang w:eastAsia="en-AU"/>
        </w:rPr>
        <w:t>NSCV</w:t>
      </w:r>
      <w:r w:rsidR="00B140F4" w:rsidRPr="08D050C4">
        <w:rPr>
          <w:rFonts w:ascii="Calibri" w:hAnsi="Calibri" w:cs="Calibri"/>
          <w:color w:val="000000" w:themeColor="text1"/>
        </w:rPr>
        <w:t xml:space="preserve"> </w:t>
      </w:r>
      <w:r w:rsidRPr="08D050C4">
        <w:rPr>
          <w:rFonts w:ascii="Calibri" w:hAnsi="Calibri" w:cs="Calibri"/>
          <w:color w:val="000000" w:themeColor="text1"/>
        </w:rPr>
        <w:t xml:space="preserve">(option 1) </w:t>
      </w:r>
      <w:r>
        <w:t xml:space="preserve">is already an industry requirement and this </w:t>
      </w:r>
      <w:r>
        <w:lastRenderedPageBreak/>
        <w:t>shouldn’t be mandated in the Transport Standards as it would increase regulatory burden without commensurate value add.</w:t>
      </w:r>
    </w:p>
    <w:p w14:paraId="697C4A5A" w14:textId="77777777" w:rsidR="00E1199F" w:rsidRDefault="00E1199F" w:rsidP="00E1199F">
      <w:r>
        <w:t xml:space="preserve">Costs would be incurred to install compliant stairs and accessibility features. Due to space constraints, modifying existing stair geometry may not be feasible. A regulatory approach was supported by all stakeholder who expressed a preference during the consultation period. A regulatory approach would provide certainty for people with disability, ensuring that operators and providers would adopt requirements. People with disability, as well as the general public, will be able to traverse stairs more safely once requirements are implemented. Operators and providers will also benefit from greater design certainty and clarity. </w:t>
      </w:r>
    </w:p>
    <w:p w14:paraId="603D5767" w14:textId="77777777" w:rsidR="00E1199F" w:rsidRDefault="00E1199F" w:rsidP="00E1199F">
      <w:pPr>
        <w:pStyle w:val="Heading4"/>
      </w:pPr>
      <w:r>
        <w:t>Preferred option</w:t>
      </w:r>
    </w:p>
    <w:p w14:paraId="2C4EFC29" w14:textId="586CFF5A" w:rsidR="00E1199F" w:rsidRDefault="00E1199F" w:rsidP="00E1199F">
      <w:r>
        <w:t xml:space="preserve">Informed by the outcomes of consultation, stakeholder impacts, cost and outcomes analysis, the preferred option is the </w:t>
      </w:r>
      <w:r>
        <w:rPr>
          <w:b/>
        </w:rPr>
        <w:t>regulatory option</w:t>
      </w:r>
      <w:r w:rsidR="00E373EB">
        <w:rPr>
          <w:b/>
          <w:bCs/>
        </w:rPr>
        <w:t xml:space="preserve"> with revisions</w:t>
      </w:r>
      <w:r>
        <w:t xml:space="preserve">, no preferred sub-option. </w:t>
      </w:r>
    </w:p>
    <w:p w14:paraId="6D2C8064" w14:textId="1A28E2CB" w:rsidR="00E1199F" w:rsidRDefault="00E1199F" w:rsidP="00E1199F">
      <w:r>
        <w:t xml:space="preserve">The </w:t>
      </w:r>
      <w:r w:rsidR="00B140F4">
        <w:rPr>
          <w:rFonts w:ascii="Calibri" w:eastAsia="Times New Roman" w:hAnsi="Calibri" w:cs="Calibri"/>
          <w:color w:val="000000" w:themeColor="text1"/>
          <w:lang w:eastAsia="en-AU"/>
        </w:rPr>
        <w:t>NSCV</w:t>
      </w:r>
      <w:r w:rsidR="00B140F4">
        <w:t xml:space="preserve"> </w:t>
      </w:r>
      <w:r>
        <w:t xml:space="preserve">already regulates the design specifications for vessel </w:t>
      </w:r>
      <w:r w:rsidRPr="0015149C">
        <w:t>stair and step riser and going dimensions</w:t>
      </w:r>
      <w:r>
        <w:t xml:space="preserve">. Adopting a preferred sub-option in relation to </w:t>
      </w:r>
      <w:r w:rsidRPr="0015149C">
        <w:t>stair and step riser and going dimensions</w:t>
      </w:r>
      <w:r>
        <w:t xml:space="preserve">, and imposing further regulation through the Transport Standards, is considered duplicative, unnecessary and may lead to uncertainty and inconsistencies if the National Standards or Transport Standards are amended in the future. </w:t>
      </w:r>
    </w:p>
    <w:p w14:paraId="74A06981" w14:textId="590EE732" w:rsidR="0007219F" w:rsidRPr="0007219F" w:rsidRDefault="00E1199F" w:rsidP="0007219F">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rPr>
          <w:highlight w:val="yellow"/>
        </w:rPr>
      </w:pPr>
      <w:r>
        <w:t xml:space="preserve">The proposed amendments refine the preferred option to also remove </w:t>
      </w:r>
      <w:r w:rsidRPr="00012DC9">
        <w:t xml:space="preserve">references </w:t>
      </w:r>
      <w:r>
        <w:t>relating to</w:t>
      </w:r>
      <w:r w:rsidRPr="00007F7D">
        <w:t xml:space="preserve"> width and Australian Standards </w:t>
      </w:r>
      <w:r>
        <w:t xml:space="preserve">references </w:t>
      </w:r>
      <w:r w:rsidRPr="00007F7D">
        <w:t>for stair height</w:t>
      </w:r>
      <w:r>
        <w:t>s</w:t>
      </w:r>
      <w:r w:rsidRPr="00007F7D">
        <w:t xml:space="preserve"> and </w:t>
      </w:r>
      <w:r>
        <w:t>depths</w:t>
      </w:r>
      <w:r w:rsidRPr="00007F7D">
        <w:t xml:space="preserve">. These </w:t>
      </w:r>
      <w:r w:rsidRPr="00CF312F">
        <w:t>changes address concerns outlined in submissions regarding conveyance space and design constraints making implementation of stair width</w:t>
      </w:r>
      <w:r>
        <w:t xml:space="preserve">, </w:t>
      </w:r>
      <w:r w:rsidRPr="00CF312F">
        <w:t xml:space="preserve">height and depth requirements difficult to achieve or unfeasible in </w:t>
      </w:r>
      <w:r>
        <w:t>ferries</w:t>
      </w:r>
      <w:r w:rsidRPr="00CF312F">
        <w:t xml:space="preserve">. </w:t>
      </w:r>
      <w:r>
        <w:t xml:space="preserve">Stairs should instead be safe and fit for purpose. </w:t>
      </w:r>
    </w:p>
    <w:p w14:paraId="704F1D42" w14:textId="536F55FD" w:rsidR="00E1199F" w:rsidRPr="00A003C2" w:rsidRDefault="00E373EB" w:rsidP="0007219F">
      <w:r>
        <w:br/>
      </w:r>
      <w:r w:rsidR="08D050C4">
        <w:t xml:space="preserve">While acknowledging concerns from organisations representing the blind community and those with low vision regarding the proposed luminance contrasting requirements of handrails, these requirements have been developed by </w:t>
      </w:r>
      <w:r w:rsidR="00F66240">
        <w:t xml:space="preserve">a </w:t>
      </w:r>
      <w:r w:rsidR="08D050C4">
        <w:t xml:space="preserve">Standards Australia technical committee to ensure products, services, and systems are safe, consistent, and reliable. The objective of the referenced </w:t>
      </w:r>
      <w:r w:rsidR="00F66240">
        <w:t xml:space="preserve">Australian </w:t>
      </w:r>
      <w:r w:rsidR="08D050C4">
        <w:t xml:space="preserve">Standards is to provide design requirements to enable access for people with disabilities. The </w:t>
      </w:r>
      <w:r w:rsidR="00F66240">
        <w:t>Australian</w:t>
      </w:r>
      <w:r w:rsidR="08D050C4">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w:t>
      </w:r>
    </w:p>
    <w:p w14:paraId="262263F7" w14:textId="43BFC51B" w:rsidR="00E1199F" w:rsidRPr="00071182" w:rsidRDefault="00E1199F" w:rsidP="00E1199F">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new Transport Standards requirements would apply </w:t>
      </w:r>
      <w:r w:rsidR="00F66240">
        <w:rPr>
          <w:rFonts w:ascii="Calibri" w:eastAsia="Calibri" w:hAnsi="Calibri" w:cs="Times New Roman"/>
          <w:color w:val="000000" w:themeColor="text1"/>
        </w:rPr>
        <w:t>prospectively</w:t>
      </w:r>
      <w:r w:rsidRPr="169A030C">
        <w:rPr>
          <w:rFonts w:ascii="Calibri" w:eastAsia="Calibri" w:hAnsi="Calibri" w:cs="Times New Roman"/>
          <w:color w:val="000000" w:themeColor="text1"/>
        </w:rPr>
        <w:t xml:space="preserve">. Consultation findings indicate that it is difficult or not feasible to retrofit stairs due to conveyance space and design constraints. </w:t>
      </w:r>
    </w:p>
    <w:p w14:paraId="2E56FA76" w14:textId="77777777" w:rsidR="000F79C9" w:rsidRPr="003A076F" w:rsidRDefault="00E1199F" w:rsidP="00E1199F">
      <w:r w:rsidRPr="00C858AE">
        <w:t xml:space="preserve">This option provides a balance of improved accessibility and safety for people with disability with improved requirements for tread nosing and handrail contrast and ensuring that trip hazards are not </w:t>
      </w:r>
      <w:r w:rsidRPr="003A076F">
        <w:t>introduced into ferries. The ferry industry will benefit through greater certainty and feasible and practical requirements that are consistent with existing industry standards.</w:t>
      </w:r>
    </w:p>
    <w:p w14:paraId="1061BF4B" w14:textId="789E5ECC" w:rsidR="00E1199F" w:rsidRPr="000C7746" w:rsidRDefault="000F79C9" w:rsidP="00E1199F">
      <w:r w:rsidRPr="003A076F">
        <w:t>The preferred option will be implemented through amendments to the Transport Standards and Guidelines. Operators and providers will be required to meet the new Transport Standards requirements prospectively with a trigger mechanism.</w:t>
      </w:r>
      <w:r w:rsidR="00E1199F">
        <w:br w:type="page"/>
      </w:r>
    </w:p>
    <w:p w14:paraId="10F45B71" w14:textId="47229607" w:rsidR="00E1199F" w:rsidRDefault="00E1199F" w:rsidP="003C30C5">
      <w:pPr>
        <w:pStyle w:val="Heading2"/>
        <w:numPr>
          <w:ilvl w:val="0"/>
          <w:numId w:val="30"/>
        </w:numPr>
        <w:ind w:hanging="720"/>
      </w:pPr>
      <w:bookmarkStart w:id="690" w:name="_Toc127351811"/>
      <w:bookmarkStart w:id="691" w:name="_Toc140239769"/>
      <w:r w:rsidRPr="00182544">
        <w:lastRenderedPageBreak/>
        <w:t>Stairs on buses</w:t>
      </w:r>
      <w:bookmarkEnd w:id="690"/>
      <w:bookmarkEnd w:id="691"/>
    </w:p>
    <w:p w14:paraId="0964C490" w14:textId="77777777" w:rsidR="00E1199F" w:rsidRPr="00621039" w:rsidRDefault="00E1199F" w:rsidP="00E1199F">
      <w:pPr>
        <w:pStyle w:val="Heading4"/>
        <w:tabs>
          <w:tab w:val="left" w:pos="284"/>
        </w:tabs>
      </w:pPr>
      <w:r w:rsidRPr="00621039">
        <w:t>Issue</w:t>
      </w:r>
    </w:p>
    <w:p w14:paraId="79D578DD" w14:textId="77777777" w:rsidR="00E1199F" w:rsidRPr="00FD467C" w:rsidRDefault="00E1199F" w:rsidP="00E1199F">
      <w:pPr>
        <w:tabs>
          <w:tab w:val="left" w:pos="284"/>
        </w:tabs>
      </w:pPr>
      <w:r w:rsidRPr="00412B24">
        <w:t xml:space="preserve">The Transport Standards requirements </w:t>
      </w:r>
      <w:r>
        <w:t xml:space="preserve">reference dated Australian Standards </w:t>
      </w:r>
      <w:r w:rsidRPr="00412B24">
        <w:t>for stairs</w:t>
      </w:r>
      <w:r>
        <w:t xml:space="preserve"> and</w:t>
      </w:r>
      <w:r w:rsidRPr="00412B24">
        <w:t xml:space="preserve"> are not specific to each type of public transport conveyance</w:t>
      </w:r>
      <w:r w:rsidRPr="00FD467C">
        <w:t>. As a result, the</w:t>
      </w:r>
      <w:r w:rsidRPr="00412B24">
        <w:t xml:space="preserve"> requirements</w:t>
      </w:r>
      <w:r w:rsidRPr="00FD467C">
        <w:t xml:space="preserve"> are not fit-for-purpose for buses and coaches, as the</w:t>
      </w:r>
      <w:r>
        <w:t>y contradict industry standards and</w:t>
      </w:r>
      <w:r w:rsidRPr="00B5751D">
        <w:t xml:space="preserve"> interior space</w:t>
      </w:r>
      <w:r w:rsidRPr="00FD467C">
        <w:t>s are</w:t>
      </w:r>
      <w:r w:rsidRPr="00B5751D">
        <w:t xml:space="preserve"> constrained </w:t>
      </w:r>
      <w:r>
        <w:t>meaning</w:t>
      </w:r>
      <w:r w:rsidRPr="00B5751D">
        <w:t xml:space="preserve"> the geometry required of stairs is not always feasibly achieved.</w:t>
      </w:r>
      <w:r w:rsidRPr="00FD467C">
        <w:t xml:space="preserve"> The existing requirements are also lacking accessibility features for people with disability to be able to use stairs on buses and coaches safely.</w:t>
      </w:r>
    </w:p>
    <w:p w14:paraId="0D8AAB1A"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requirements for stairs are appropriate to be used on buses and are accessible to people with disability. This would address key stakeholder issues raised through the Transport Standards review process.</w:t>
      </w:r>
    </w:p>
    <w:p w14:paraId="1BD2BED1" w14:textId="77777777" w:rsidR="00E1199F" w:rsidRDefault="00E1199F" w:rsidP="00E1199F">
      <w:pPr>
        <w:pStyle w:val="Heading4"/>
        <w:tabs>
          <w:tab w:val="left" w:pos="284"/>
        </w:tabs>
      </w:pPr>
      <w:r>
        <w:t>Reform options</w:t>
      </w:r>
    </w:p>
    <w:p w14:paraId="7EEF1E81" w14:textId="77777777" w:rsidR="00E1199F" w:rsidRDefault="00E1199F" w:rsidP="00E1199F">
      <w:pPr>
        <w:tabs>
          <w:tab w:val="left" w:pos="284"/>
        </w:tabs>
      </w:pPr>
      <w:r>
        <w:t>Following is a summary of the proposed options for this reform. Full details of each reform option is provided at Appendix A.</w:t>
      </w:r>
    </w:p>
    <w:p w14:paraId="36723F1D" w14:textId="6BB6B1A2" w:rsidR="00E1199F" w:rsidRDefault="00E1199F" w:rsidP="00E1199F">
      <w:pPr>
        <w:pStyle w:val="Caption"/>
        <w:keepNext/>
      </w:pPr>
      <w:bookmarkStart w:id="692" w:name="_Toc122446486"/>
      <w:bookmarkStart w:id="693" w:name="_Toc139969324"/>
      <w:r>
        <w:t xml:space="preserve">Table </w:t>
      </w:r>
      <w:fldSimple w:instr=" SEQ Table \* ARABIC ">
        <w:r w:rsidR="00DC26AC">
          <w:rPr>
            <w:noProof/>
          </w:rPr>
          <w:t>166</w:t>
        </w:r>
      </w:fldSimple>
      <w:r>
        <w:rPr>
          <w:noProof/>
        </w:rPr>
        <w:t>: Reform options for stairs on buses</w:t>
      </w:r>
      <w:bookmarkEnd w:id="692"/>
      <w:bookmarkEnd w:id="693"/>
    </w:p>
    <w:tbl>
      <w:tblPr>
        <w:tblStyle w:val="DefaultTable1"/>
        <w:tblW w:w="9072" w:type="dxa"/>
        <w:tblLook w:val="04A0" w:firstRow="1" w:lastRow="0" w:firstColumn="1" w:lastColumn="0" w:noHBand="0" w:noVBand="1"/>
        <w:tblCaption w:val="Reform options for stairs on buses"/>
        <w:tblDescription w:val="This table provides a description of each of the options for this reform area. Status quo, non-regulatory and regulatory."/>
      </w:tblPr>
      <w:tblGrid>
        <w:gridCol w:w="2232"/>
        <w:gridCol w:w="6840"/>
      </w:tblGrid>
      <w:tr w:rsidR="00E1199F" w:rsidRPr="003964B8" w14:paraId="3FEFFFC6"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7EC05F0"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14ACB031"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236F5EC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5341CB4"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6B3E140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requires stairs on conveyance to comply with relevant Australian Standards. These requirements are not specific for stairs to each type of conveyance.</w:t>
            </w:r>
          </w:p>
          <w:p w14:paraId="4794683A"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223C963A"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0292B1E3"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50BF058A"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Guidance would be updated to include advice on the accessibility of stairs on buses, including:</w:t>
            </w:r>
          </w:p>
          <w:p w14:paraId="4B446231" w14:textId="77777777" w:rsidR="00E1199F" w:rsidRDefault="08D050C4"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Step and stair design, specifically location, risers, nosings and luminance contrast and handrail location and design.</w:t>
            </w:r>
          </w:p>
          <w:p w14:paraId="1977C13A" w14:textId="77777777" w:rsidR="00E1199F" w:rsidRPr="00BA7847"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Operators and providers can refer to AS1428.1 (2009).</w:t>
            </w:r>
          </w:p>
        </w:tc>
      </w:tr>
      <w:tr w:rsidR="00E1199F" w:rsidRPr="003964B8" w14:paraId="453A1DA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5C05D7"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2A58C99F"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updated requirements for stairs on buses, including:</w:t>
            </w:r>
          </w:p>
          <w:p w14:paraId="2B3B9B4D" w14:textId="0ED45D85"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Steps and stairs must comply with </w:t>
            </w:r>
            <w:r w:rsidR="00E70AF7">
              <w:t>ADR</w:t>
            </w:r>
            <w:r>
              <w:t xml:space="preserve"> 58.</w:t>
            </w:r>
          </w:p>
          <w:p w14:paraId="28C197D7" w14:textId="77777777" w:rsidR="00E1199F" w:rsidRDefault="08D050C4"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Step edges and stair tread nosings must comply with AS1428.1 (2009).</w:t>
            </w:r>
          </w:p>
          <w:p w14:paraId="25EAD5CB"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Passenger doors must be fitted with handrails accessible when the doors are open and the minimum distance between the handrails of the door that provides the access path must be a minimum of 850 millimetres. For outward opening doors, handrails must be permanently fixed to the body.</w:t>
            </w:r>
          </w:p>
          <w:p w14:paraId="3D18998C"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Steps and stairs must not intrude into access paths.</w:t>
            </w:r>
          </w:p>
          <w:p w14:paraId="73C770AA"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4DE122EF" w14:textId="77777777" w:rsidR="00F47B58" w:rsidRDefault="00F47B58" w:rsidP="00F47B58">
      <w:pPr>
        <w:pStyle w:val="BodyText"/>
      </w:pPr>
    </w:p>
    <w:p w14:paraId="61912952" w14:textId="7D735DC4" w:rsidR="00E1199F" w:rsidRDefault="00E1199F" w:rsidP="00E1199F">
      <w:pPr>
        <w:pStyle w:val="Heading4"/>
      </w:pPr>
      <w:r>
        <w:lastRenderedPageBreak/>
        <w:t>Cost benefit analysis</w:t>
      </w:r>
    </w:p>
    <w:p w14:paraId="18EB26D4"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103D460C" w14:textId="77777777" w:rsidR="00E1199F" w:rsidRPr="00595D2C" w:rsidRDefault="00E1199F" w:rsidP="00E1199F">
      <w:r>
        <w:t xml:space="preserve">The following categories of quantitative costs and benefits were identified in the CBA as pertaining to the reform options. </w:t>
      </w:r>
    </w:p>
    <w:p w14:paraId="19B4E239" w14:textId="489B5F30" w:rsidR="00E1199F" w:rsidRDefault="00E1199F" w:rsidP="00E1199F">
      <w:pPr>
        <w:pStyle w:val="Caption"/>
        <w:keepNext/>
      </w:pPr>
      <w:bookmarkStart w:id="694" w:name="_Toc122446487"/>
      <w:bookmarkStart w:id="695" w:name="_Toc139969325"/>
      <w:r>
        <w:t xml:space="preserve">Table </w:t>
      </w:r>
      <w:fldSimple w:instr=" SEQ Table \* ARABIC ">
        <w:r w:rsidR="00DC26AC">
          <w:rPr>
            <w:noProof/>
          </w:rPr>
          <w:t>167</w:t>
        </w:r>
      </w:fldSimple>
      <w:r>
        <w:t xml:space="preserve">: Benefit-cost ratios </w:t>
      </w:r>
      <w:r>
        <w:rPr>
          <w:noProof/>
        </w:rPr>
        <w:t>for stairs on buses</w:t>
      </w:r>
      <w:bookmarkEnd w:id="694"/>
      <w:bookmarkEnd w:id="695"/>
    </w:p>
    <w:tbl>
      <w:tblPr>
        <w:tblStyle w:val="DefaultTable1"/>
        <w:tblW w:w="9864" w:type="dxa"/>
        <w:tblLook w:val="04A0" w:firstRow="1" w:lastRow="0" w:firstColumn="1" w:lastColumn="0" w:noHBand="0" w:noVBand="1"/>
        <w:tblCaption w:val="Benefit-cost ratios for stairs on buses"/>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0CFB571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4B577076" w14:textId="77777777" w:rsidR="00E1199F" w:rsidRPr="007A751F" w:rsidRDefault="08D050C4" w:rsidP="00E1199F">
            <w:r w:rsidRPr="08D050C4">
              <w:t>Reform Option</w:t>
            </w:r>
          </w:p>
        </w:tc>
        <w:tc>
          <w:tcPr>
            <w:tcW w:w="1531" w:type="dxa"/>
          </w:tcPr>
          <w:p w14:paraId="74822AD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40B2815A"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1B192E4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3011A97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30A0341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397E72C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21489CB8" w14:textId="77777777" w:rsidR="00E1199F" w:rsidRPr="00653914" w:rsidRDefault="00E1199F" w:rsidP="00E1199F">
            <w:r w:rsidRPr="00653914">
              <w:t>Status Quo</w:t>
            </w:r>
          </w:p>
        </w:tc>
        <w:tc>
          <w:tcPr>
            <w:tcW w:w="1531" w:type="dxa"/>
          </w:tcPr>
          <w:p w14:paraId="79B0FB62"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15A8D5D1"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091F661B"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149CCF9C"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5ED5572E"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2BA56627"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4306FC50" w14:textId="77777777" w:rsidR="00E1199F" w:rsidRPr="00653914" w:rsidRDefault="00E1199F" w:rsidP="00E1199F">
            <w:r>
              <w:t xml:space="preserve">Non-regulatory </w:t>
            </w:r>
          </w:p>
        </w:tc>
        <w:tc>
          <w:tcPr>
            <w:tcW w:w="1531" w:type="dxa"/>
          </w:tcPr>
          <w:p w14:paraId="7E0A5ABB"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791" w:type="dxa"/>
          </w:tcPr>
          <w:p w14:paraId="6E47B7A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tcPr>
          <w:p w14:paraId="505EA93D"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539" w:type="dxa"/>
          </w:tcPr>
          <w:p w14:paraId="5A8F5BF4"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2216" w:type="dxa"/>
          </w:tcPr>
          <w:p w14:paraId="48C794D4"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53B8C53C"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034CB78B" w14:textId="77777777" w:rsidR="00E1199F" w:rsidRPr="00653914" w:rsidRDefault="00E1199F" w:rsidP="00E1199F">
            <w:r>
              <w:t>Regulatory</w:t>
            </w:r>
          </w:p>
        </w:tc>
        <w:tc>
          <w:tcPr>
            <w:tcW w:w="1531" w:type="dxa"/>
            <w:vAlign w:val="center"/>
          </w:tcPr>
          <w:p w14:paraId="312A0D03"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1.0</w:t>
            </w:r>
          </w:p>
        </w:tc>
        <w:tc>
          <w:tcPr>
            <w:tcW w:w="1791" w:type="dxa"/>
            <w:vAlign w:val="center"/>
          </w:tcPr>
          <w:p w14:paraId="35420ACD" w14:textId="77777777" w:rsidR="00E1199F" w:rsidRPr="00874437" w:rsidRDefault="08D050C4" w:rsidP="08D050C4">
            <w:pPr>
              <w:pStyle w:val="dash"/>
              <w:cnfStyle w:val="000000100000" w:firstRow="0" w:lastRow="0" w:firstColumn="0" w:lastColumn="0" w:oddVBand="0" w:evenVBand="0" w:oddHBand="1" w:evenHBand="0" w:firstRowFirstColumn="0" w:firstRowLastColumn="0" w:lastRowFirstColumn="0" w:lastRowLastColumn="0"/>
            </w:pPr>
            <w:r w:rsidRPr="08D050C4">
              <w:t>-</w:t>
            </w:r>
          </w:p>
        </w:tc>
        <w:tc>
          <w:tcPr>
            <w:tcW w:w="1573" w:type="dxa"/>
            <w:vAlign w:val="center"/>
          </w:tcPr>
          <w:p w14:paraId="41A53BBB"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0.4</w:t>
            </w:r>
          </w:p>
        </w:tc>
        <w:tc>
          <w:tcPr>
            <w:tcW w:w="1539" w:type="dxa"/>
            <w:vAlign w:val="center"/>
          </w:tcPr>
          <w:p w14:paraId="7AF145EE"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0.4</w:t>
            </w:r>
          </w:p>
        </w:tc>
        <w:tc>
          <w:tcPr>
            <w:tcW w:w="2216" w:type="dxa"/>
            <w:vAlign w:val="center"/>
          </w:tcPr>
          <w:p w14:paraId="1514A2DD" w14:textId="77777777" w:rsidR="00E1199F" w:rsidRPr="00874437"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2.46</w:t>
            </w:r>
          </w:p>
        </w:tc>
      </w:tr>
    </w:tbl>
    <w:p w14:paraId="72737D8A" w14:textId="0BF10A24" w:rsidR="00E1199F"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391EBEE7" w14:textId="77777777" w:rsidR="00425012" w:rsidRPr="00F730F8" w:rsidRDefault="00425012" w:rsidP="00E1199F">
      <w:pPr>
        <w:spacing w:before="120" w:after="0"/>
        <w:rPr>
          <w:sz w:val="20"/>
        </w:rPr>
      </w:pPr>
    </w:p>
    <w:p w14:paraId="36B4E73A" w14:textId="77777777" w:rsidR="00E1199F" w:rsidRDefault="00E1199F" w:rsidP="00E1199F">
      <w:pPr>
        <w:pStyle w:val="Heading6"/>
      </w:pPr>
      <w:r>
        <w:t>Considerations to note in interpreting analysis</w:t>
      </w:r>
    </w:p>
    <w:p w14:paraId="5517729D" w14:textId="77777777" w:rsidR="00E1199F" w:rsidRDefault="00E1199F" w:rsidP="00425012">
      <w:pPr>
        <w:pStyle w:val="Heading7"/>
      </w:pPr>
      <w:r w:rsidRPr="008F2C5A">
        <w:t>Limitations:</w:t>
      </w:r>
    </w:p>
    <w:p w14:paraId="7F94C301" w14:textId="77777777" w:rsidR="00E1199F" w:rsidRDefault="00E1199F" w:rsidP="00425012">
      <w:pPr>
        <w:pStyle w:val="Heading8"/>
      </w:pPr>
      <w:r>
        <w:t>Non-regulatory option:</w:t>
      </w:r>
    </w:p>
    <w:p w14:paraId="0909F2A1" w14:textId="46D4F016" w:rsidR="00E1199F" w:rsidRDefault="00E1199F" w:rsidP="00425012">
      <w:pPr>
        <w:pStyle w:val="Listparagraphbullets"/>
        <w:numPr>
          <w:ilvl w:val="0"/>
          <w:numId w:val="0"/>
        </w:numPr>
        <w:autoSpaceDE w:val="0"/>
        <w:autoSpaceDN w:val="0"/>
        <w:spacing w:after="0"/>
      </w:pPr>
      <w:r w:rsidRPr="001E2AFA">
        <w:t>There are no costs and benefits associated with this non-regulatory reform with the D</w:t>
      </w:r>
      <w:r w:rsidR="00E70AF7">
        <w:t xml:space="preserve">epartment </w:t>
      </w:r>
      <w:r w:rsidRPr="001E2AFA">
        <w:t>indicating that all future infrastructure would be compliant with current industry standards.</w:t>
      </w:r>
    </w:p>
    <w:p w14:paraId="5095DA06" w14:textId="77777777" w:rsidR="00425012" w:rsidRDefault="00425012" w:rsidP="00425012">
      <w:pPr>
        <w:pStyle w:val="Listparagraphbullets"/>
        <w:numPr>
          <w:ilvl w:val="0"/>
          <w:numId w:val="0"/>
        </w:numPr>
        <w:autoSpaceDE w:val="0"/>
        <w:autoSpaceDN w:val="0"/>
        <w:spacing w:after="0"/>
      </w:pPr>
    </w:p>
    <w:p w14:paraId="5DADC84D" w14:textId="77777777" w:rsidR="00E1199F" w:rsidRDefault="00E1199F" w:rsidP="00425012">
      <w:pPr>
        <w:pStyle w:val="Heading8"/>
      </w:pPr>
      <w:r>
        <w:t>Regulatory option:</w:t>
      </w:r>
    </w:p>
    <w:p w14:paraId="312C7946" w14:textId="30365184" w:rsidR="00425012" w:rsidRPr="001E2AFA" w:rsidRDefault="00E1199F" w:rsidP="00E70AF7">
      <w:r w:rsidRPr="001E2AFA">
        <w:t xml:space="preserve">The costs and benefits for this reform were estimated from a small number of data points provided by survey </w:t>
      </w:r>
      <w:r w:rsidRPr="004B3526">
        <w:rPr>
          <w:rStyle w:val="ListparagraphbulletsChar"/>
        </w:rPr>
        <w:t>responses to proxy the compliance of stairs on buses at a national level. This implies the benefits and costs may not be fully reflective of differences by state and</w:t>
      </w:r>
      <w:r w:rsidRPr="001E2AFA">
        <w:t xml:space="preserve"> jurisdiction. </w:t>
      </w:r>
    </w:p>
    <w:p w14:paraId="22963AE9" w14:textId="55A7DA69" w:rsidR="00425012" w:rsidRDefault="00E1199F" w:rsidP="00E70AF7">
      <w:r w:rsidRPr="001E2AFA">
        <w:t>The majority of existing assets comply with current industry standards implying minimal costs and benefits associated with this reform.</w:t>
      </w:r>
    </w:p>
    <w:p w14:paraId="54B3257B" w14:textId="77777777" w:rsidR="00E1199F" w:rsidRPr="005F2BF9" w:rsidRDefault="00E1199F" w:rsidP="00425012">
      <w:pPr>
        <w:pStyle w:val="Heading8"/>
      </w:pPr>
      <w:r w:rsidRPr="005F2BF9">
        <w:t xml:space="preserve">Interdependencies: </w:t>
      </w:r>
    </w:p>
    <w:p w14:paraId="77B1BF24" w14:textId="77777777" w:rsidR="00E1199F" w:rsidRDefault="00E1199F" w:rsidP="00425012">
      <w:pPr>
        <w:pStyle w:val="Listparagraphbullets"/>
        <w:numPr>
          <w:ilvl w:val="0"/>
          <w:numId w:val="0"/>
        </w:numPr>
        <w:autoSpaceDE w:val="0"/>
        <w:autoSpaceDN w:val="0"/>
        <w:spacing w:after="0"/>
      </w:pPr>
      <w:r w:rsidRPr="001E2AFA">
        <w:t>This reform provides safety for passengers in conveyance, improving overall accessibility. The accessibility benefits of this reform will only be realised if there was equitable access across the whole public transport journey, with benefits reliant on implementation of other reforms such as bus, tram and light rail boarding points and identification of lead stops.</w:t>
      </w:r>
    </w:p>
    <w:p w14:paraId="78FEB1A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5DF22AF5" w14:textId="77777777" w:rsidR="00E1199F" w:rsidRPr="00F10FAA" w:rsidRDefault="00E1199F" w:rsidP="00E1199F">
      <w:r>
        <w:t>The following categories of qualitative benefits were identified in the CBA as pertaining to the reform options.</w:t>
      </w:r>
    </w:p>
    <w:p w14:paraId="2E66EA5F" w14:textId="50007ABE" w:rsidR="00E1199F" w:rsidRDefault="00E1199F" w:rsidP="00E1199F">
      <w:pPr>
        <w:pStyle w:val="Caption"/>
        <w:keepNext/>
      </w:pPr>
      <w:bookmarkStart w:id="696" w:name="_Toc122446488"/>
      <w:bookmarkStart w:id="697" w:name="_Toc139969326"/>
      <w:r>
        <w:lastRenderedPageBreak/>
        <w:t xml:space="preserve">Table </w:t>
      </w:r>
      <w:fldSimple w:instr=" SEQ Table \* ARABIC ">
        <w:r w:rsidR="00DC26AC">
          <w:rPr>
            <w:noProof/>
          </w:rPr>
          <w:t>168</w:t>
        </w:r>
      </w:fldSimple>
      <w:r>
        <w:t xml:space="preserve">: Qualitative benefits </w:t>
      </w:r>
      <w:r w:rsidRPr="00D856A7">
        <w:t>for</w:t>
      </w:r>
      <w:r>
        <w:t xml:space="preserve"> s</w:t>
      </w:r>
      <w:r>
        <w:rPr>
          <w:noProof/>
        </w:rPr>
        <w:t>tairs on buses</w:t>
      </w:r>
      <w:bookmarkEnd w:id="696"/>
      <w:bookmarkEnd w:id="697"/>
    </w:p>
    <w:tbl>
      <w:tblPr>
        <w:tblStyle w:val="DefaultTable1"/>
        <w:tblW w:w="9864" w:type="dxa"/>
        <w:tblLook w:val="04A0" w:firstRow="1" w:lastRow="0" w:firstColumn="1" w:lastColumn="0" w:noHBand="0" w:noVBand="1"/>
        <w:tblCaption w:val="Qualitative benefits for stairs on buses"/>
      </w:tblPr>
      <w:tblGrid>
        <w:gridCol w:w="1213"/>
        <w:gridCol w:w="1343"/>
        <w:gridCol w:w="1626"/>
        <w:gridCol w:w="1300"/>
        <w:gridCol w:w="1278"/>
        <w:gridCol w:w="1641"/>
        <w:gridCol w:w="1463"/>
      </w:tblGrid>
      <w:tr w:rsidR="00E1199F" w:rsidRPr="007A751F" w14:paraId="42E72986"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3D3A1188" w14:textId="77777777" w:rsidR="00E1199F" w:rsidRPr="007A751F" w:rsidRDefault="08D050C4" w:rsidP="00E1199F">
            <w:r w:rsidRPr="08D050C4">
              <w:t>Reform Option</w:t>
            </w:r>
          </w:p>
        </w:tc>
        <w:tc>
          <w:tcPr>
            <w:tcW w:w="1343" w:type="dxa"/>
          </w:tcPr>
          <w:p w14:paraId="77BF722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068A797E"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0963830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49A7975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3D65A39F"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7F42DB62"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2D884A9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3930DB50" w14:textId="77777777" w:rsidR="00E1199F" w:rsidRPr="00653914" w:rsidRDefault="00E1199F" w:rsidP="00E1199F">
            <w:r w:rsidRPr="00653914">
              <w:t>Status Quo</w:t>
            </w:r>
          </w:p>
        </w:tc>
        <w:tc>
          <w:tcPr>
            <w:tcW w:w="1343" w:type="dxa"/>
          </w:tcPr>
          <w:p w14:paraId="225A598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26" w:type="dxa"/>
          </w:tcPr>
          <w:p w14:paraId="7F29D5E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300" w:type="dxa"/>
          </w:tcPr>
          <w:p w14:paraId="0300DA4A"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52C2FFA8"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641" w:type="dxa"/>
          </w:tcPr>
          <w:p w14:paraId="1DD6A168" w14:textId="77777777" w:rsidR="00E1199F" w:rsidRPr="00B04D0E"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463" w:type="dxa"/>
          </w:tcPr>
          <w:p w14:paraId="4DFAE74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1CE6457"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60A35A7A" w14:textId="77777777" w:rsidR="00E1199F" w:rsidRPr="00653914" w:rsidRDefault="00E1199F" w:rsidP="00E1199F">
            <w:r>
              <w:t xml:space="preserve">Non-regulatory </w:t>
            </w:r>
          </w:p>
        </w:tc>
        <w:tc>
          <w:tcPr>
            <w:tcW w:w="1343" w:type="dxa"/>
          </w:tcPr>
          <w:p w14:paraId="75D2D44E"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26" w:type="dxa"/>
          </w:tcPr>
          <w:p w14:paraId="3427BA4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300" w:type="dxa"/>
          </w:tcPr>
          <w:p w14:paraId="732339D8"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278" w:type="dxa"/>
          </w:tcPr>
          <w:p w14:paraId="296F08CF" w14:textId="77777777" w:rsidR="00E1199F"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641" w:type="dxa"/>
          </w:tcPr>
          <w:p w14:paraId="23B1B20F"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c>
          <w:tcPr>
            <w:tcW w:w="1463" w:type="dxa"/>
          </w:tcPr>
          <w:p w14:paraId="7308C083" w14:textId="77777777" w:rsidR="00E1199F" w:rsidRPr="00B04D0E" w:rsidRDefault="08D050C4" w:rsidP="00874437">
            <w:pPr>
              <w:pStyle w:val="dash"/>
              <w:cnfStyle w:val="000000000000" w:firstRow="0" w:lastRow="0" w:firstColumn="0" w:lastColumn="0" w:oddVBand="0" w:evenVBand="0" w:oddHBand="0" w:evenHBand="0" w:firstRowFirstColumn="0" w:firstRowLastColumn="0" w:lastRowFirstColumn="0" w:lastRowLastColumn="0"/>
            </w:pPr>
            <w:r>
              <w:t>-</w:t>
            </w:r>
          </w:p>
        </w:tc>
      </w:tr>
      <w:tr w:rsidR="00E1199F" w:rsidRPr="00B04D0E" w14:paraId="7F52BF3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55EC3618" w14:textId="77777777" w:rsidR="00E1199F" w:rsidRPr="00653914" w:rsidRDefault="00E1199F" w:rsidP="00E1199F">
            <w:r>
              <w:t>Regulatory</w:t>
            </w:r>
          </w:p>
        </w:tc>
        <w:tc>
          <w:tcPr>
            <w:tcW w:w="1343" w:type="dxa"/>
          </w:tcPr>
          <w:p w14:paraId="61E42469"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0855CD5A"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EB3BD2D" w14:textId="77777777" w:rsidR="00E1199F" w:rsidRDefault="08D050C4" w:rsidP="00874437">
            <w:pPr>
              <w:pStyle w:val="dash"/>
              <w:cnfStyle w:val="000000100000" w:firstRow="0" w:lastRow="0" w:firstColumn="0" w:lastColumn="0" w:oddVBand="0" w:evenVBand="0" w:oddHBand="1" w:evenHBand="0" w:firstRowFirstColumn="0" w:firstRowLastColumn="0" w:lastRowFirstColumn="0" w:lastRowLastColumn="0"/>
            </w:pPr>
            <w:r>
              <w:t>-</w:t>
            </w:r>
          </w:p>
        </w:tc>
        <w:tc>
          <w:tcPr>
            <w:tcW w:w="1278" w:type="dxa"/>
          </w:tcPr>
          <w:p w14:paraId="306D4C21"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6C0E4D3A"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BB58F9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r>
    </w:tbl>
    <w:p w14:paraId="35C6EA9E" w14:textId="77777777" w:rsidR="00874437" w:rsidRDefault="00874437" w:rsidP="00874437">
      <w:pPr>
        <w:pStyle w:val="BodyText"/>
      </w:pPr>
    </w:p>
    <w:p w14:paraId="247E8AB5" w14:textId="7B2AD8AA" w:rsidR="00E1199F" w:rsidRPr="004C16F7" w:rsidRDefault="00E1199F" w:rsidP="00E1199F">
      <w:pPr>
        <w:pStyle w:val="Heading4"/>
        <w:tabs>
          <w:tab w:val="left" w:pos="284"/>
        </w:tabs>
      </w:pPr>
      <w:r>
        <w:t xml:space="preserve">Analysis of submissions </w:t>
      </w:r>
    </w:p>
    <w:p w14:paraId="259C009F" w14:textId="77777777" w:rsidR="00E1199F" w:rsidRPr="0054328A" w:rsidRDefault="00E1199F" w:rsidP="00E1199F">
      <w:pPr>
        <w:rPr>
          <w:b/>
        </w:rPr>
      </w:pPr>
      <w:r w:rsidRPr="0054328A">
        <w:rPr>
          <w:b/>
        </w:rPr>
        <w:t>Status quo</w:t>
      </w:r>
    </w:p>
    <w:p w14:paraId="6CD09672" w14:textId="2A0AA657" w:rsidR="00E1199F" w:rsidRDefault="00E1199F" w:rsidP="00E1199F">
      <w:r>
        <w:t xml:space="preserve">The Transport Standards requirements for stairs are not specific to each type of public transport conveyance. The requirements reference dated Australian Standards that are not adequate for people with disability to access stairs on buses and coaches, as they contradict industry standards. In addition, the space constraints </w:t>
      </w:r>
      <w:r w:rsidRPr="00B5751D">
        <w:t xml:space="preserve">and the geometry required of stairs is not always feasibly achieved </w:t>
      </w:r>
      <w:r>
        <w:t xml:space="preserve">on a bus or coach making compliance with the </w:t>
      </w:r>
      <w:r w:rsidR="0015000C">
        <w:t xml:space="preserve">existing </w:t>
      </w:r>
      <w:r>
        <w:t xml:space="preserve">Transport Standards </w:t>
      </w:r>
      <w:r w:rsidR="0015000C">
        <w:t xml:space="preserve">requirements </w:t>
      </w:r>
      <w:r>
        <w:t>unachievable in many cases.</w:t>
      </w:r>
    </w:p>
    <w:p w14:paraId="19288695" w14:textId="44E5D216" w:rsidR="00E1199F" w:rsidRDefault="00E1199F" w:rsidP="00E1199F">
      <w:r>
        <w:t xml:space="preserve">One submission expressed support for the status quo option noting </w:t>
      </w:r>
      <w:r>
        <w:rPr>
          <w:rFonts w:ascii="Calibri" w:eastAsia="Times New Roman" w:hAnsi="Calibri" w:cs="Calibri"/>
          <w:color w:val="000000"/>
          <w:lang w:eastAsia="en-AU"/>
        </w:rPr>
        <w:t xml:space="preserve">regulated requirements are </w:t>
      </w:r>
      <w:r w:rsidRPr="00B5751D">
        <w:t xml:space="preserve">not always feasibly achieved in a </w:t>
      </w:r>
      <w:r>
        <w:t>bus or coach due to</w:t>
      </w:r>
      <w:r w:rsidRPr="00300122">
        <w:rPr>
          <w:rFonts w:ascii="Calibri" w:eastAsia="Times New Roman" w:hAnsi="Calibri" w:cs="Calibri"/>
          <w:color w:val="000000"/>
          <w:lang w:eastAsia="en-AU"/>
        </w:rPr>
        <w:t xml:space="preserve"> </w:t>
      </w:r>
      <w:r>
        <w:rPr>
          <w:rFonts w:ascii="Calibri" w:eastAsia="Times New Roman" w:hAnsi="Calibri" w:cs="Calibri"/>
          <w:color w:val="000000"/>
          <w:lang w:eastAsia="en-AU"/>
        </w:rPr>
        <w:t>i</w:t>
      </w:r>
      <w:r w:rsidRPr="00300122">
        <w:rPr>
          <w:rFonts w:ascii="Calibri" w:eastAsia="Times New Roman" w:hAnsi="Calibri" w:cs="Calibri"/>
          <w:color w:val="000000"/>
          <w:lang w:eastAsia="en-AU"/>
        </w:rPr>
        <w:t>nternal conveyance design limitations</w:t>
      </w:r>
      <w:r>
        <w:rPr>
          <w:rFonts w:ascii="Calibri" w:eastAsia="Times New Roman" w:hAnsi="Calibri" w:cs="Calibri"/>
          <w:color w:val="000000"/>
          <w:lang w:eastAsia="en-AU"/>
        </w:rPr>
        <w:t xml:space="preserve"> and that the current requirements</w:t>
      </w:r>
      <w:r>
        <w:t xml:space="preserve"> provide the</w:t>
      </w:r>
      <w:r>
        <w:rPr>
          <w:rFonts w:ascii="Calibri" w:hAnsi="Calibri" w:cs="Calibri"/>
          <w:color w:val="000000"/>
          <w:shd w:val="clear" w:color="auto" w:fill="FFFFFF"/>
        </w:rPr>
        <w:t xml:space="preserve"> flexibility required to meet the needs of people with disability.</w:t>
      </w:r>
    </w:p>
    <w:p w14:paraId="42BFBCA6" w14:textId="77777777" w:rsidR="00E1199F" w:rsidRDefault="00E1199F" w:rsidP="00E1199F">
      <w:r>
        <w:t>The current requirements continue to inhibit the safety of people with disability when traversing stairs on buses and coaches as they are unable to be implemented in many cases. The status quo does not enhance</w:t>
      </w:r>
      <w:r w:rsidRPr="001E1522">
        <w:t xml:space="preserve"> </w:t>
      </w:r>
      <w:r>
        <w:t xml:space="preserve">or increase </w:t>
      </w:r>
      <w:r w:rsidRPr="001E1522">
        <w:t>equality and independenc</w:t>
      </w:r>
      <w:r>
        <w:t xml:space="preserve">e, or reduce </w:t>
      </w:r>
      <w:r w:rsidRPr="001E1522">
        <w:t>discrimination for people with disability in relation to public transport</w:t>
      </w:r>
      <w:r>
        <w:t xml:space="preserve">. </w:t>
      </w:r>
    </w:p>
    <w:p w14:paraId="50B500D3" w14:textId="68BEB4B7" w:rsidR="00E1199F" w:rsidRDefault="08D050C4" w:rsidP="00E1199F">
      <w:r>
        <w:t xml:space="preserve">The status quo would also fail to achieve the clarity and consistency that would be achieved through modal specific and fit-for-purpose requirements. While the status quo has no ongoing costs for public transport operators and providers, negative impacts on community amenity, accessibility, and safety are high and will remain as space constraints in buses and coaches and stair geometry requirements make the Transport Standards unattainable for operators and providers. Bus stairs and handrails would continue to not be aligned with industry standards and people with disability would continue to face accessibility and safety issues. Stair nosings, edge tread, and contrasting strips would also fail to meet contemporary accessibility standards. </w:t>
      </w:r>
    </w:p>
    <w:p w14:paraId="4AED744C" w14:textId="77777777" w:rsidR="00E1199F" w:rsidRDefault="00E1199F" w:rsidP="00E1199F">
      <w:pPr>
        <w:rPr>
          <w:b/>
        </w:rPr>
      </w:pPr>
      <w:r>
        <w:rPr>
          <w:b/>
        </w:rPr>
        <w:br w:type="page"/>
      </w:r>
    </w:p>
    <w:p w14:paraId="129352B1" w14:textId="77777777" w:rsidR="00E1199F" w:rsidRDefault="00E1199F" w:rsidP="00E1199F">
      <w:pPr>
        <w:rPr>
          <w:b/>
        </w:rPr>
      </w:pPr>
      <w:r>
        <w:rPr>
          <w:b/>
        </w:rPr>
        <w:lastRenderedPageBreak/>
        <w:t>Non-regulatory</w:t>
      </w:r>
    </w:p>
    <w:p w14:paraId="38D803ED" w14:textId="0B637B76" w:rsidR="00E1199F" w:rsidRDefault="00E1199F" w:rsidP="00E1199F">
      <w:r>
        <w:t xml:space="preserve">The non-regulatory option would provide updated guidance on the accessibility of stairs on buses, including stair design, location and appropriate luminance contrasting and handrail requirements. Flexibility would be provided to operators and providers in the choice of application of Australian Standards. </w:t>
      </w:r>
    </w:p>
    <w:p w14:paraId="521B7AB5" w14:textId="77777777" w:rsidR="00E1199F" w:rsidRDefault="00E1199F" w:rsidP="00E1199F">
      <w:pPr>
        <w:rPr>
          <w:rFonts w:ascii="Calibri" w:hAnsi="Calibri" w:cs="Calibri"/>
          <w:color w:val="000000" w:themeColor="text1"/>
        </w:rPr>
      </w:pPr>
      <w:r>
        <w:t>One submission received from a government stakeholder expressed support for the non-regulatory option noting</w:t>
      </w:r>
      <w:r w:rsidRPr="008B3E5D">
        <w:rPr>
          <w:rFonts w:ascii="Calibri" w:hAnsi="Calibri" w:cs="Calibri"/>
          <w:color w:val="000000"/>
          <w:shd w:val="clear" w:color="auto" w:fill="FFFFFF"/>
        </w:rPr>
        <w:t xml:space="preserve"> </w:t>
      </w:r>
      <w:r>
        <w:rPr>
          <w:rFonts w:ascii="Calibri" w:hAnsi="Calibri" w:cs="Calibri"/>
          <w:color w:val="000000"/>
          <w:shd w:val="clear" w:color="auto" w:fill="FFFFFF"/>
        </w:rPr>
        <w:t xml:space="preserve">there is already compliance with the proposed regulatory changes and additional guidance would be welcome. </w:t>
      </w:r>
    </w:p>
    <w:p w14:paraId="033F42E8" w14:textId="77777777" w:rsidR="00E1199F" w:rsidRDefault="08D050C4" w:rsidP="00E1199F">
      <w:r>
        <w:t xml:space="preserve">To the extent that guidance is followed, costs would be incurred to make changes to contrasting strips on tread nosings and ensuring that steps do not obstruct access paths. A non-regulatory option should allow operators and providers to manage the implementation (and related costs) to suit their operational requirements, including through staging the implementation. </w:t>
      </w:r>
    </w:p>
    <w:p w14:paraId="2CF666E5" w14:textId="59C69929" w:rsidR="00E1199F" w:rsidRPr="0054328A" w:rsidRDefault="00E1199F" w:rsidP="00E1199F">
      <w:pPr>
        <w:rPr>
          <w:b/>
        </w:rPr>
      </w:pPr>
      <w:r>
        <w:t xml:space="preserve">Given this option is discretionary, it does not provide certainty that guidance will be implemented which may reduce confidence of passengers to travel if they are unable to safely traverse stairs when travelling by bus. To the extent that guidance is followed, people travelling by bus will benefit from safer </w:t>
      </w:r>
      <w:r w:rsidRPr="00412B24">
        <w:t>stairs</w:t>
      </w:r>
      <w:r>
        <w:t xml:space="preserve">, </w:t>
      </w:r>
      <w:r w:rsidRPr="00412B24">
        <w:t xml:space="preserve">specific to </w:t>
      </w:r>
      <w:r>
        <w:t>the conveyance type, delivering</w:t>
      </w:r>
      <w:r w:rsidRPr="00B5751D">
        <w:t xml:space="preserve"> </w:t>
      </w:r>
      <w:r>
        <w:t xml:space="preserve">improved </w:t>
      </w:r>
      <w:r w:rsidRPr="00B5751D">
        <w:t>accessibility</w:t>
      </w:r>
      <w:r>
        <w:t xml:space="preserve"> for people with disability</w:t>
      </w:r>
      <w:r w:rsidRPr="00B5751D">
        <w:t>.</w:t>
      </w:r>
      <w:r>
        <w:t xml:space="preserve"> Operators and providers will also benefit from greater design certainty and clarity to the extent that guidance is implemented.</w:t>
      </w:r>
    </w:p>
    <w:p w14:paraId="03D623E8" w14:textId="77777777" w:rsidR="00E1199F" w:rsidRDefault="00E1199F" w:rsidP="00E1199F">
      <w:pPr>
        <w:rPr>
          <w:b/>
        </w:rPr>
      </w:pPr>
      <w:r w:rsidRPr="0054328A">
        <w:rPr>
          <w:b/>
        </w:rPr>
        <w:t>Regulatory</w:t>
      </w:r>
    </w:p>
    <w:p w14:paraId="492C350D" w14:textId="77777777" w:rsidR="00E1199F" w:rsidRDefault="08D050C4" w:rsidP="00E1199F">
      <w:r>
        <w:t>The regulatory option would amend the Transport Standards to include updated requirements for stairs on buses, except dedicated school buses. The regulatory option was the preferred option for government as well as individuals, people with disability and disability organisations.</w:t>
      </w:r>
    </w:p>
    <w:p w14:paraId="3FFC0F49" w14:textId="0C9060C9" w:rsidR="00E1199F" w:rsidRPr="00A72AED" w:rsidRDefault="00E1199F" w:rsidP="08D050C4">
      <w:pPr>
        <w:rPr>
          <w:rFonts w:ascii="Calibri" w:eastAsia="Times New Roman" w:hAnsi="Calibri" w:cs="Calibri"/>
          <w:color w:val="000000" w:themeColor="text1"/>
          <w:lang w:eastAsia="en-AU"/>
        </w:rPr>
      </w:pPr>
      <w:r w:rsidRPr="00496A98">
        <w:t xml:space="preserve">Most feedback from individuals, people with disability and disability organisations </w:t>
      </w:r>
      <w:r w:rsidRPr="00496A98">
        <w:rPr>
          <w:rFonts w:ascii="Calibri" w:hAnsi="Calibri" w:cs="Calibri"/>
          <w:color w:val="000000"/>
          <w:shd w:val="clear" w:color="auto" w:fill="FFFFFF"/>
        </w:rPr>
        <w:t xml:space="preserve">highlighted </w:t>
      </w:r>
      <w:r>
        <w:rPr>
          <w:rFonts w:ascii="Calibri" w:hAnsi="Calibri" w:cs="Calibri"/>
          <w:color w:val="000000"/>
          <w:shd w:val="clear" w:color="auto" w:fill="FFFFFF"/>
        </w:rPr>
        <w:t>that the regulatory option was most likely to achieve consistency and certainty, with measurable outcomes which will enhance stair safety and accessibility. D</w:t>
      </w:r>
      <w:r w:rsidRPr="00496A98">
        <w:t>isability organisations</w:t>
      </w:r>
      <w:r>
        <w:t xml:space="preserve"> representing the blind and vision impaired recommended some amendments to the regulatory option. </w:t>
      </w:r>
      <w:r>
        <w:rPr>
          <w:rFonts w:ascii="Calibri" w:eastAsia="Times New Roman" w:hAnsi="Calibri" w:cs="Calibri"/>
          <w:color w:val="000000"/>
          <w:lang w:eastAsia="en-AU"/>
        </w:rPr>
        <w:t>It was recommended that TGSIs be included in the</w:t>
      </w:r>
      <w:r w:rsidRPr="00A72AED">
        <w:rPr>
          <w:rFonts w:ascii="Calibri" w:eastAsia="Times New Roman" w:hAnsi="Calibri" w:cs="Calibri"/>
          <w:color w:val="000000"/>
          <w:lang w:eastAsia="en-AU"/>
        </w:rPr>
        <w:t xml:space="preserve"> area in front of the stairs </w:t>
      </w:r>
      <w:r>
        <w:rPr>
          <w:rFonts w:ascii="Calibri" w:eastAsia="Times New Roman" w:hAnsi="Calibri" w:cs="Calibri"/>
          <w:color w:val="000000"/>
          <w:lang w:eastAsia="en-AU"/>
        </w:rPr>
        <w:t xml:space="preserve">that would be appropriate for cane users, and </w:t>
      </w:r>
      <w:r w:rsidRPr="00A72AED">
        <w:rPr>
          <w:rFonts w:ascii="Calibri" w:eastAsia="Times New Roman" w:hAnsi="Calibri" w:cs="Calibri"/>
          <w:color w:val="000000"/>
          <w:lang w:eastAsia="en-AU"/>
        </w:rPr>
        <w:t xml:space="preserve">with appropriate luminance contrast. </w:t>
      </w:r>
      <w:r>
        <w:t xml:space="preserve">Concern was again raised that a </w:t>
      </w:r>
      <w:r w:rsidRPr="00BF4249">
        <w:rPr>
          <w:rFonts w:ascii="Calibri" w:hAnsi="Calibri" w:cs="Calibri"/>
          <w:color w:val="000000"/>
          <w:shd w:val="clear" w:color="auto" w:fill="FFFFFF"/>
        </w:rPr>
        <w:t>30 per</w:t>
      </w:r>
      <w:r w:rsidR="00E70AF7">
        <w:rPr>
          <w:rFonts w:ascii="Calibri" w:hAnsi="Calibri" w:cs="Calibri"/>
          <w:color w:val="000000"/>
          <w:shd w:val="clear" w:color="auto" w:fill="FFFFFF"/>
        </w:rPr>
        <w:t xml:space="preserve"> </w:t>
      </w:r>
      <w:r w:rsidRPr="00BF4249">
        <w:rPr>
          <w:rFonts w:ascii="Calibri" w:hAnsi="Calibri" w:cs="Calibri"/>
          <w:color w:val="000000"/>
          <w:shd w:val="clear" w:color="auto" w:fill="FFFFFF"/>
        </w:rPr>
        <w:t xml:space="preserve">cent luminance contrast </w:t>
      </w:r>
      <w:r w:rsidRPr="00A72AED">
        <w:rPr>
          <w:rFonts w:ascii="Calibri" w:eastAsia="Times New Roman" w:hAnsi="Calibri" w:cs="Calibri"/>
          <w:color w:val="000000"/>
          <w:lang w:eastAsia="en-AU"/>
        </w:rPr>
        <w:t>for handrails against contrasting backgrounds</w:t>
      </w:r>
      <w:r>
        <w:rPr>
          <w:rFonts w:ascii="Calibri" w:hAnsi="Calibri" w:cs="Calibri"/>
          <w:color w:val="000000"/>
          <w:shd w:val="clear" w:color="auto" w:fill="FFFFFF"/>
        </w:rPr>
        <w:t xml:space="preserve"> </w:t>
      </w:r>
      <w:r w:rsidRPr="00BF4249">
        <w:rPr>
          <w:rFonts w:ascii="Calibri" w:hAnsi="Calibri" w:cs="Calibri"/>
          <w:color w:val="000000"/>
          <w:shd w:val="clear" w:color="auto" w:fill="FFFFFF"/>
        </w:rPr>
        <w:t>is considered insufficient for people who are blind or vision impaired</w:t>
      </w:r>
      <w:r>
        <w:rPr>
          <w:rFonts w:ascii="Calibri" w:hAnsi="Calibri" w:cs="Calibri"/>
          <w:color w:val="000000"/>
          <w:shd w:val="clear" w:color="auto" w:fill="FFFFFF"/>
        </w:rPr>
        <w:t xml:space="preserve"> and recommendations were made to make this higher.</w:t>
      </w:r>
      <w:r>
        <w:t xml:space="preserve"> This is a recurring concern where luminance contrast is an element of a proposed reform area.</w:t>
      </w:r>
    </w:p>
    <w:p w14:paraId="43E33C03" w14:textId="733CDF31" w:rsidR="00E1199F" w:rsidRPr="000F6D76" w:rsidRDefault="00E1199F" w:rsidP="00E1199F">
      <w:pPr>
        <w:rPr>
          <w:rFonts w:ascii="Segoe UI" w:eastAsia="Times New Roman" w:hAnsi="Segoe UI" w:cs="Segoe UI"/>
          <w:color w:val="000000" w:themeColor="text1"/>
          <w:sz w:val="2"/>
          <w:szCs w:val="2"/>
          <w:lang w:eastAsia="en-AU"/>
        </w:rPr>
      </w:pPr>
      <w:r w:rsidRPr="00E470F8">
        <w:t xml:space="preserve">Feedback from governments and public transport operators indicated </w:t>
      </w:r>
      <w:r>
        <w:t>support for the regulatory option as it would bring the requirements in line with best practice accessibility standards. One submission noted space and design constraints for double deck fleets which may mean requirements are</w:t>
      </w:r>
      <w:r w:rsidR="00E70AF7">
        <w:t xml:space="preserve"> </w:t>
      </w:r>
      <w:r>
        <w:t>n</w:t>
      </w:r>
      <w:r w:rsidR="00E70AF7">
        <w:t>o</w:t>
      </w:r>
      <w:r>
        <w:t>t achievable</w:t>
      </w:r>
      <w:r w:rsidRPr="00701811">
        <w:t>.</w:t>
      </w:r>
      <w:r>
        <w:t xml:space="preserve"> </w:t>
      </w:r>
      <w:r w:rsidRPr="00701811">
        <w:t xml:space="preserve">This submission made suggestions to remove width requirements and references to Australian Standards for </w:t>
      </w:r>
      <w:r w:rsidRPr="169A030C">
        <w:rPr>
          <w:rFonts w:ascii="Calibri" w:eastAsia="Times New Roman" w:hAnsi="Calibri" w:cs="Calibri"/>
          <w:color w:val="000000" w:themeColor="text1"/>
          <w:lang w:eastAsia="en-AU"/>
        </w:rPr>
        <w:t>stair height and width, instead referring to ADR Rule 58, with other elements of the regulatory option being provided as guidance only. It was also suggested that clarification be provided that handrails on a single step are not necessary and should be provided as guidance only. Another suggestion was made to remove clauses 11.1(d) of AS1428.1(2009), submitting that buses cannot meet this requirement as it would present a trip hazard.</w:t>
      </w:r>
    </w:p>
    <w:p w14:paraId="7F82066B" w14:textId="77777777" w:rsidR="00E1199F" w:rsidRPr="00701811" w:rsidRDefault="00E1199F" w:rsidP="00E1199F">
      <w:r>
        <w:t xml:space="preserve">Costs would be incurred in meeting the requirements. Some </w:t>
      </w:r>
      <w:r>
        <w:rPr>
          <w:rFonts w:ascii="Calibri" w:hAnsi="Calibri" w:cs="Calibri"/>
          <w:color w:val="000000"/>
          <w:shd w:val="clear" w:color="auto" w:fill="FFFFFF"/>
        </w:rPr>
        <w:t xml:space="preserve">submissions note that </w:t>
      </w:r>
      <w:r>
        <w:t xml:space="preserve">as </w:t>
      </w:r>
      <w:r>
        <w:rPr>
          <w:rFonts w:ascii="Calibri" w:hAnsi="Calibri" w:cs="Calibri"/>
          <w:color w:val="000000"/>
          <w:shd w:val="clear" w:color="auto" w:fill="FFFFFF"/>
        </w:rPr>
        <w:t xml:space="preserve">the regulatory option brings requirements in line with contemporary accessibility standards, impacts </w:t>
      </w:r>
      <w:r>
        <w:rPr>
          <w:rFonts w:ascii="Calibri" w:hAnsi="Calibri" w:cs="Calibri"/>
          <w:color w:val="000000"/>
          <w:shd w:val="clear" w:color="auto" w:fill="FFFFFF"/>
        </w:rPr>
        <w:lastRenderedPageBreak/>
        <w:t>would be minimal. It was noted that retrofitting may not be feasible due to structural design limitations. Many noted that the regulatory option would provide clarification and certainty to the bus industry and achieve equitable outcomes for people with disability.</w:t>
      </w:r>
    </w:p>
    <w:p w14:paraId="3A3D3414" w14:textId="61CE55D7" w:rsidR="00E1199F" w:rsidRDefault="00E1199F" w:rsidP="00E1199F">
      <w:pPr>
        <w:pStyle w:val="Heading4"/>
      </w:pPr>
      <w:r>
        <w:t>Preferred option</w:t>
      </w:r>
    </w:p>
    <w:p w14:paraId="2D7F116F" w14:textId="776A8BFE" w:rsidR="00045819" w:rsidRDefault="00E1199F" w:rsidP="00E1199F">
      <w:r>
        <w:t xml:space="preserve">Informed by the outcomes of consultation, stakeholder impacts, cost and outcomes analysis, the preferred option is the </w:t>
      </w:r>
      <w:r>
        <w:rPr>
          <w:b/>
        </w:rPr>
        <w:t xml:space="preserve">regulatory option with </w:t>
      </w:r>
      <w:r w:rsidR="00E373EB">
        <w:rPr>
          <w:b/>
          <w:bCs/>
        </w:rPr>
        <w:t>revisions</w:t>
      </w:r>
      <w:r>
        <w:rPr>
          <w:b/>
        </w:rPr>
        <w:t xml:space="preserve">. </w:t>
      </w:r>
    </w:p>
    <w:p w14:paraId="56E0D1F5" w14:textId="7346F756" w:rsidR="003431B1" w:rsidRDefault="00E1199F" w:rsidP="00CF7427">
      <w:pPr>
        <w:pStyle w:val="Style5"/>
        <w:framePr w:wrap="around"/>
      </w:pPr>
      <w:r w:rsidRPr="00012DC9">
        <w:t xml:space="preserve">Following feedback through the Consultation RIS, the features for this option have been refined to remove references </w:t>
      </w:r>
      <w:r>
        <w:t>relating to</w:t>
      </w:r>
      <w:r w:rsidRPr="00007F7D">
        <w:t xml:space="preserve"> width and Australian Standards </w:t>
      </w:r>
      <w:r>
        <w:t xml:space="preserve">references </w:t>
      </w:r>
      <w:r w:rsidRPr="00007F7D">
        <w:t>for stair height</w:t>
      </w:r>
      <w:r>
        <w:t>s</w:t>
      </w:r>
      <w:r w:rsidRPr="00007F7D">
        <w:t xml:space="preserve"> and </w:t>
      </w:r>
      <w:r>
        <w:t>depths</w:t>
      </w:r>
      <w:r w:rsidRPr="00007F7D">
        <w:t xml:space="preserve">. These </w:t>
      </w:r>
      <w:r w:rsidRPr="00CF312F">
        <w:t xml:space="preserve">changes address concerns outlined in submissions regarding conveyance space and design constraints making implementation of </w:t>
      </w:r>
      <w:r>
        <w:t xml:space="preserve">stair </w:t>
      </w:r>
      <w:r w:rsidRPr="00CF312F">
        <w:t>width</w:t>
      </w:r>
      <w:r>
        <w:t xml:space="preserve">, </w:t>
      </w:r>
      <w:r w:rsidRPr="00CF312F">
        <w:t xml:space="preserve">height and depth requirements difficult to achieve or unfeasible in </w:t>
      </w:r>
      <w:r>
        <w:t>buses</w:t>
      </w:r>
      <w:r w:rsidRPr="00CF312F">
        <w:t xml:space="preserve">. </w:t>
      </w:r>
      <w:r>
        <w:t xml:space="preserve">Stairs should instead be safe and fit for purpose. The updated requirements would also be clarified to </w:t>
      </w:r>
      <w:r w:rsidRPr="00FD64E4">
        <w:t>specify that handrails would not be not mandated for a single step, but the updated Transport Standards Guidelines and /or The Whole Journey Guide Guidance would advise that handrails should still be considered in these circumstances.</w:t>
      </w:r>
      <w:r w:rsidR="003431B1">
        <w:t xml:space="preserve"> </w:t>
      </w:r>
    </w:p>
    <w:p w14:paraId="7B8193B9" w14:textId="6E952A3E" w:rsidR="00E1199F" w:rsidRPr="00FD64E4" w:rsidRDefault="00E373EB" w:rsidP="00E1199F">
      <w:r>
        <w:br/>
      </w:r>
      <w:r w:rsidR="08D050C4">
        <w:t xml:space="preserve">While acknowledging concerns from organisations representing the blind community and those with low vision regarding the proposed luminance contrasting requirements of handrails, these requirements have been developed by </w:t>
      </w:r>
      <w:r w:rsidR="0015000C">
        <w:t xml:space="preserve">a </w:t>
      </w:r>
      <w:r w:rsidR="08D050C4">
        <w:t xml:space="preserve">Standards Australia technical committee to ensure products, services, and systems are safe, consistent, and reliable. The objective of the referenced </w:t>
      </w:r>
      <w:r w:rsidR="0015000C">
        <w:t xml:space="preserve">Australian </w:t>
      </w:r>
      <w:r w:rsidR="08D050C4">
        <w:t xml:space="preserve">Standards is to provide design requirements to enable access for people with disabilities. The </w:t>
      </w:r>
      <w:r w:rsidR="0015000C">
        <w:t>Australian</w:t>
      </w:r>
      <w:r w:rsidR="08D050C4">
        <w:t xml:space="preserve"> Standards note that the design requirements should be regarded as a minimum. The regulatory approach reiterates that this requirement should be regarded as a minimum and this will be further emphasised in updating the Transport Standards Guidelines and /or The Whole Journey Guide to reflect the new requirements. Organisations representing the blind community and those with low vision also raised concerns regarding the exclusion of requirements for TGSIs. The suitability of requiring TGSIs on stairs on buses should be addressed in a future statutory review of the Transport Standards to ensure suitable options are developed and considered by all stakeholders.</w:t>
      </w:r>
    </w:p>
    <w:p w14:paraId="350D28A7" w14:textId="218D7D91" w:rsidR="00E1199F" w:rsidRDefault="00E1199F" w:rsidP="00E1199F">
      <w:r w:rsidRPr="00FD64E4">
        <w:t xml:space="preserve">Since the primacy of </w:t>
      </w:r>
      <w:r w:rsidR="00E70AF7">
        <w:t>ADR</w:t>
      </w:r>
      <w:r w:rsidRPr="00FD64E4">
        <w:t xml:space="preserve"> Rule 58 is maintained with the preferred option, the geometry of bus stairs is unlikely to change. Costs will be incurred by operators and providers in meeting contrast requirements for handrails. </w:t>
      </w:r>
    </w:p>
    <w:p w14:paraId="54DD5FAA" w14:textId="5C3EF912" w:rsidR="00E1199F" w:rsidRDefault="00E1199F" w:rsidP="00E1199F">
      <w:r w:rsidRPr="00FD64E4">
        <w:t>This option provides a balance of improved accessibility and safety for people with disability with improved requirements for tread nosing and handrail contrast and ensuring that trip hazards are not introduced into buses. The bus industry will benefit through greater certainty and feasible and practical requirements that are fit-for-purpose for buses and coaches.</w:t>
      </w:r>
    </w:p>
    <w:p w14:paraId="4BABE429" w14:textId="6D9F5CC5" w:rsidR="00E1199F" w:rsidRPr="003A076F" w:rsidRDefault="00E1199F" w:rsidP="00E1199F">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 new Transport Standards requirements would apply to new conveyances and would not be retrospective. Consultation findings indicate that it is difficult or not feasible to retrofit stairs due to conveyance space and design constraints. This would address the primary concerns of </w:t>
      </w:r>
      <w:r w:rsidRPr="003A076F">
        <w:rPr>
          <w:rFonts w:ascii="Calibri" w:eastAsia="Calibri" w:hAnsi="Calibri" w:cs="Times New Roman"/>
          <w:color w:val="000000" w:themeColor="text1"/>
        </w:rPr>
        <w:t xml:space="preserve">stakeholders. </w:t>
      </w:r>
    </w:p>
    <w:p w14:paraId="1C5CC5D9" w14:textId="3DB6953A" w:rsidR="00E1199F" w:rsidRPr="003149D3" w:rsidRDefault="000F79C9" w:rsidP="00E1199F">
      <w:r w:rsidRPr="003A076F">
        <w:t>The preferred option will be implemented through amendments to the Transport Standards and Guidelines. Operators and providers will be required to meet the new Transport Standards requirements prospectively with a trigger mechanism.</w:t>
      </w:r>
      <w:r w:rsidR="00E1199F">
        <w:br w:type="page"/>
      </w:r>
    </w:p>
    <w:p w14:paraId="2E1EDE37" w14:textId="1FA17351" w:rsidR="00E1199F" w:rsidRPr="00182544" w:rsidRDefault="00E1199F" w:rsidP="003C30C5">
      <w:pPr>
        <w:pStyle w:val="Heading2"/>
        <w:numPr>
          <w:ilvl w:val="0"/>
          <w:numId w:val="30"/>
        </w:numPr>
        <w:ind w:hanging="720"/>
      </w:pPr>
      <w:bookmarkStart w:id="698" w:name="_Toc127351812"/>
      <w:bookmarkStart w:id="699" w:name="_Toc140239770"/>
      <w:r w:rsidRPr="00182544">
        <w:lastRenderedPageBreak/>
        <w:t>Doorway contrast and height</w:t>
      </w:r>
      <w:bookmarkEnd w:id="698"/>
      <w:bookmarkEnd w:id="699"/>
    </w:p>
    <w:p w14:paraId="713FA949" w14:textId="77777777" w:rsidR="00E1199F" w:rsidRPr="00621039" w:rsidRDefault="00E1199F" w:rsidP="00E1199F">
      <w:pPr>
        <w:pStyle w:val="Heading4"/>
        <w:tabs>
          <w:tab w:val="left" w:pos="284"/>
        </w:tabs>
      </w:pPr>
      <w:r w:rsidRPr="00621039">
        <w:t>Issue</w:t>
      </w:r>
    </w:p>
    <w:p w14:paraId="324E5666" w14:textId="77777777" w:rsidR="00E1199F" w:rsidRPr="00A073B3" w:rsidRDefault="00E1199F" w:rsidP="00E1199F">
      <w:pPr>
        <w:tabs>
          <w:tab w:val="left" w:pos="284"/>
        </w:tabs>
      </w:pPr>
      <w:r w:rsidRPr="00FD467C">
        <w:t xml:space="preserve">The Transport Standards </w:t>
      </w:r>
      <w:r>
        <w:t>requirements for doorways reference dated Australian Standards that are not commensurate with the Premises Standards. These requirements</w:t>
      </w:r>
      <w:r w:rsidRPr="00FD467C">
        <w:t xml:space="preserve"> </w:t>
      </w:r>
      <w:r>
        <w:t>do not include</w:t>
      </w:r>
      <w:r w:rsidRPr="00FD467C">
        <w:t xml:space="preserve"> </w:t>
      </w:r>
      <w:r w:rsidRPr="00A073B3">
        <w:t xml:space="preserve">the minimum safe height and luminance contrast of doorways on </w:t>
      </w:r>
      <w:r w:rsidRPr="00FD467C">
        <w:t>conveyanc</w:t>
      </w:r>
      <w:r w:rsidRPr="00A073B3">
        <w:t>es. This</w:t>
      </w:r>
      <w:r w:rsidRPr="00FD467C">
        <w:t xml:space="preserve"> </w:t>
      </w:r>
      <w:r w:rsidRPr="00A073B3">
        <w:t>poses a safety risk for head strikes</w:t>
      </w:r>
      <w:r>
        <w:t xml:space="preserve"> and people mistaking gaps or glass doors for open doors</w:t>
      </w:r>
      <w:r w:rsidRPr="00FD467C">
        <w:t>.</w:t>
      </w:r>
      <w:r>
        <w:t xml:space="preserve"> </w:t>
      </w:r>
    </w:p>
    <w:p w14:paraId="02554AB8" w14:textId="77777777" w:rsidR="00E1199F" w:rsidRDefault="00E1199F" w:rsidP="00E1199F">
      <w:pPr>
        <w:tabs>
          <w:tab w:val="left" w:pos="284"/>
        </w:tabs>
        <w:suppressAutoHyphens/>
        <w:rPr>
          <w:rFonts w:asciiTheme="majorHAnsi" w:eastAsiaTheme="majorEastAsia" w:hAnsiTheme="majorHAnsi" w:cstheme="majorBidi"/>
          <w:b/>
          <w:color w:val="806000"/>
          <w:sz w:val="26"/>
          <w:szCs w:val="26"/>
        </w:rPr>
      </w:pPr>
      <w:r>
        <w:t>Collective government action would ensure doors do not pose a safety risk to people with disability and address key stakeholder issues raised through the Transport Standards review process.</w:t>
      </w:r>
    </w:p>
    <w:p w14:paraId="1D202925" w14:textId="77777777" w:rsidR="00E1199F" w:rsidRDefault="00E1199F" w:rsidP="00E1199F">
      <w:pPr>
        <w:pStyle w:val="Heading4"/>
        <w:tabs>
          <w:tab w:val="left" w:pos="284"/>
        </w:tabs>
      </w:pPr>
      <w:r>
        <w:t>Reform options</w:t>
      </w:r>
    </w:p>
    <w:p w14:paraId="75D7420A" w14:textId="77777777" w:rsidR="00E1199F" w:rsidRDefault="00E1199F" w:rsidP="00E1199F">
      <w:pPr>
        <w:tabs>
          <w:tab w:val="left" w:pos="284"/>
        </w:tabs>
      </w:pPr>
      <w:r>
        <w:t>Following is a summary of the proposed options for this reform. Full details of each reform option is provided at Appendix A.</w:t>
      </w:r>
    </w:p>
    <w:p w14:paraId="5E0D630E" w14:textId="4CCEE06F" w:rsidR="00E1199F" w:rsidRDefault="00E1199F" w:rsidP="00E1199F">
      <w:pPr>
        <w:pStyle w:val="Caption"/>
        <w:keepNext/>
      </w:pPr>
      <w:bookmarkStart w:id="700" w:name="_Toc122446489"/>
      <w:bookmarkStart w:id="701" w:name="_Toc139969327"/>
      <w:r>
        <w:t xml:space="preserve">Table </w:t>
      </w:r>
      <w:fldSimple w:instr=" SEQ Table \* ARABIC ">
        <w:r w:rsidR="00DC26AC">
          <w:rPr>
            <w:noProof/>
          </w:rPr>
          <w:t>169</w:t>
        </w:r>
      </w:fldSimple>
      <w:r>
        <w:t xml:space="preserve">: </w:t>
      </w:r>
      <w:r w:rsidRPr="00CB29EB">
        <w:t>Reform options for</w:t>
      </w:r>
      <w:r>
        <w:t xml:space="preserve"> Doorway contrast and height</w:t>
      </w:r>
      <w:bookmarkEnd w:id="700"/>
      <w:bookmarkEnd w:id="701"/>
    </w:p>
    <w:tbl>
      <w:tblPr>
        <w:tblStyle w:val="DefaultTable1"/>
        <w:tblW w:w="9072" w:type="dxa"/>
        <w:tblLook w:val="04A0" w:firstRow="1" w:lastRow="0" w:firstColumn="1" w:lastColumn="0" w:noHBand="0" w:noVBand="1"/>
        <w:tblCaption w:val="Reform options for Doorway contrast and height"/>
        <w:tblDescription w:val="This table provides a description of each of the options for this reform area. Status quo, non-regulatory and regulatory."/>
      </w:tblPr>
      <w:tblGrid>
        <w:gridCol w:w="2232"/>
        <w:gridCol w:w="6840"/>
      </w:tblGrid>
      <w:tr w:rsidR="00E1199F" w:rsidRPr="003964B8" w14:paraId="2AA8F908"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29DFFCE" w14:textId="77777777" w:rsidR="00E1199F" w:rsidRPr="003964B8" w:rsidRDefault="00E1199F" w:rsidP="00E1199F">
            <w:pPr>
              <w:pStyle w:val="Tablerowcolumnheading"/>
              <w:keepNext/>
              <w:tabs>
                <w:tab w:val="left" w:pos="284"/>
              </w:tabs>
              <w:rPr>
                <w:rFonts w:asciiTheme="minorHAnsi" w:hAnsiTheme="minorHAnsi"/>
                <w:b/>
                <w:sz w:val="22"/>
                <w:szCs w:val="22"/>
              </w:rPr>
            </w:pPr>
            <w:r w:rsidRPr="169A030C">
              <w:rPr>
                <w:b/>
                <w:sz w:val="22"/>
                <w:szCs w:val="22"/>
              </w:rPr>
              <w:t>Option</w:t>
            </w:r>
          </w:p>
        </w:tc>
        <w:tc>
          <w:tcPr>
            <w:tcW w:w="6840" w:type="dxa"/>
            <w:vAlign w:val="center"/>
          </w:tcPr>
          <w:p w14:paraId="426B5502" w14:textId="77777777" w:rsidR="00E1199F" w:rsidRPr="003964B8" w:rsidRDefault="00E1199F" w:rsidP="00E1199F">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169A030C">
              <w:rPr>
                <w:rFonts w:asciiTheme="minorHAnsi" w:hAnsiTheme="minorHAnsi"/>
                <w:b/>
                <w:sz w:val="22"/>
                <w:szCs w:val="22"/>
              </w:rPr>
              <w:t>Description</w:t>
            </w:r>
          </w:p>
        </w:tc>
      </w:tr>
      <w:tr w:rsidR="00E1199F" w:rsidRPr="003964B8" w14:paraId="431B9D7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F667070" w14:textId="77777777" w:rsidR="00E1199F" w:rsidRPr="00653914" w:rsidRDefault="00E1199F" w:rsidP="00E1199F">
            <w:pPr>
              <w:pStyle w:val="Tabletext"/>
              <w:tabs>
                <w:tab w:val="left" w:pos="284"/>
              </w:tabs>
              <w:rPr>
                <w:rFonts w:asciiTheme="minorHAnsi" w:hAnsiTheme="minorHAnsi" w:cstheme="minorBidi"/>
                <w:b w:val="0"/>
                <w:sz w:val="22"/>
                <w:szCs w:val="22"/>
              </w:rPr>
            </w:pPr>
            <w:r w:rsidRPr="169A030C">
              <w:rPr>
                <w:rFonts w:asciiTheme="minorHAnsi" w:hAnsiTheme="minorHAnsi" w:cstheme="minorBidi"/>
                <w:b w:val="0"/>
                <w:sz w:val="22"/>
                <w:szCs w:val="22"/>
              </w:rPr>
              <w:t>Status Quo</w:t>
            </w:r>
          </w:p>
        </w:tc>
        <w:tc>
          <w:tcPr>
            <w:tcW w:w="6840" w:type="dxa"/>
            <w:vAlign w:val="center"/>
          </w:tcPr>
          <w:p w14:paraId="07F44BF0"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rsidRPr="00446671">
              <w:t xml:space="preserve">The Transport Standards </w:t>
            </w:r>
            <w:r>
              <w:t xml:space="preserve">require that doorways must comply with the relevant Australian Standards. These </w:t>
            </w:r>
            <w:r w:rsidRPr="0068533E">
              <w:t>requirement</w:t>
            </w:r>
            <w:r>
              <w:t xml:space="preserve">s do not include </w:t>
            </w:r>
            <w:r w:rsidRPr="0068533E">
              <w:t xml:space="preserve">luminance contrast for solid and glazed doors and no minimum height for </w:t>
            </w:r>
            <w:r>
              <w:t>doors on conveyance.</w:t>
            </w:r>
          </w:p>
          <w:p w14:paraId="4211E218"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would remain unchanged and no new or updated guidance would be issued.</w:t>
            </w:r>
          </w:p>
        </w:tc>
      </w:tr>
      <w:tr w:rsidR="00E1199F" w:rsidRPr="003964B8" w14:paraId="7B8F2A3E"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1575BE65"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Non-regulatory</w:t>
            </w:r>
          </w:p>
        </w:tc>
        <w:tc>
          <w:tcPr>
            <w:tcW w:w="6840" w:type="dxa"/>
            <w:vAlign w:val="center"/>
          </w:tcPr>
          <w:p w14:paraId="6115F770" w14:textId="77777777" w:rsidR="00E1199F" w:rsidRDefault="00E1199F" w:rsidP="169A030C">
            <w:pPr>
              <w:cnfStyle w:val="000000000000" w:firstRow="0" w:lastRow="0" w:firstColumn="0" w:lastColumn="0" w:oddVBand="0" w:evenVBand="0" w:oddHBand="0" w:evenHBand="0" w:firstRowFirstColumn="0" w:firstRowLastColumn="0" w:lastRowFirstColumn="0" w:lastRowLastColumn="0"/>
            </w:pPr>
            <w:r>
              <w:t>The Whole Journey Guide would be updated to include advice for good practice for luminance contrast and height clearance of conveyance doors, including:</w:t>
            </w:r>
          </w:p>
          <w:p w14:paraId="22C28038" w14:textId="77777777" w:rsidR="00E1199F"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Door dimension requirements specific to location, such as on an access path or a bus and luminance contrast on and around access path doors</w:t>
            </w:r>
          </w:p>
          <w:p w14:paraId="1ABDB9D7" w14:textId="29A59E15" w:rsidR="00E1199F" w:rsidRPr="00BA7847" w:rsidRDefault="00E1199F" w:rsidP="00E1199F">
            <w:pPr>
              <w:pStyle w:val="Listparagraphbullets"/>
              <w:autoSpaceDE w:val="0"/>
              <w:autoSpaceDN w:val="0"/>
              <w:spacing w:before="0" w:after="0"/>
              <w:cnfStyle w:val="000000000000" w:firstRow="0" w:lastRow="0" w:firstColumn="0" w:lastColumn="0" w:oddVBand="0" w:evenVBand="0" w:oddHBand="0" w:evenHBand="0" w:firstRowFirstColumn="0" w:firstRowLastColumn="0" w:lastRowFirstColumn="0" w:lastRowLastColumn="0"/>
            </w:pPr>
            <w:r>
              <w:t>Operators and providers can choose to comply with AS1428.2 (1992).</w:t>
            </w:r>
          </w:p>
        </w:tc>
      </w:tr>
      <w:tr w:rsidR="00E1199F" w:rsidRPr="003964B8" w14:paraId="3CC4F217"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E54951E" w14:textId="77777777" w:rsidR="00E1199F" w:rsidRPr="00653914" w:rsidRDefault="00E1199F" w:rsidP="00E1199F">
            <w:pPr>
              <w:pStyle w:val="Tabletext"/>
              <w:rPr>
                <w:rFonts w:asciiTheme="minorHAnsi" w:hAnsiTheme="minorHAnsi" w:cstheme="minorBidi"/>
                <w:b w:val="0"/>
                <w:sz w:val="22"/>
                <w:szCs w:val="22"/>
              </w:rPr>
            </w:pPr>
            <w:r w:rsidRPr="169A030C">
              <w:rPr>
                <w:rFonts w:asciiTheme="minorHAnsi" w:hAnsiTheme="minorHAnsi" w:cstheme="minorBidi"/>
                <w:b w:val="0"/>
                <w:sz w:val="22"/>
                <w:szCs w:val="22"/>
              </w:rPr>
              <w:t>Regulatory</w:t>
            </w:r>
          </w:p>
        </w:tc>
        <w:tc>
          <w:tcPr>
            <w:tcW w:w="6840" w:type="dxa"/>
            <w:vAlign w:val="center"/>
          </w:tcPr>
          <w:p w14:paraId="4DE97ED5"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Transport Standards would be amended to include updated requirements for luminance contrast and height clearance of conveyance doors for conveyances including:</w:t>
            </w:r>
          </w:p>
          <w:p w14:paraId="11B3908A" w14:textId="57A75A8D"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 xml:space="preserve">Doors located on an access path other than in buses and coaches must be at least 850 millimetres width from the floor or deck to a height of at least 1980 millimetres. Door vertical clearance in buses and coaches must comply with </w:t>
            </w:r>
            <w:r w:rsidR="00E70AF7">
              <w:t>ADR</w:t>
            </w:r>
            <w:r>
              <w:t xml:space="preserve"> 58.</w:t>
            </w:r>
          </w:p>
          <w:p w14:paraId="30BCCBD6" w14:textId="77777777" w:rsidR="00E1199F" w:rsidRDefault="00E1199F" w:rsidP="00E1199F">
            <w:pPr>
              <w:pStyle w:val="Listparagraphbullets"/>
              <w:autoSpaceDE w:val="0"/>
              <w:autoSpaceDN w:val="0"/>
              <w:spacing w:before="0" w:after="0"/>
              <w:cnfStyle w:val="000000100000" w:firstRow="0" w:lastRow="0" w:firstColumn="0" w:lastColumn="0" w:oddVBand="0" w:evenVBand="0" w:oddHBand="1" w:evenHBand="0" w:firstRowFirstColumn="0" w:firstRowLastColumn="0" w:lastRowFirstColumn="0" w:lastRowLastColumn="0"/>
            </w:pPr>
            <w:r>
              <w:t>Doors and gates on an accessway must luminance contrast with their surroundings as per AS1428.1 (2009). Fully glazed doors must have a luminance contrasting strip as per AS1428.1 (2009).</w:t>
            </w:r>
          </w:p>
          <w:p w14:paraId="55E49214" w14:textId="77777777" w:rsidR="00E1199F" w:rsidRPr="00D27D68" w:rsidRDefault="00E1199F" w:rsidP="00E1199F">
            <w:pPr>
              <w:cnfStyle w:val="000000100000" w:firstRow="0" w:lastRow="0" w:firstColumn="0" w:lastColumn="0" w:oddVBand="0" w:evenVBand="0" w:oddHBand="1" w:evenHBand="0" w:firstRowFirstColumn="0" w:firstRowLastColumn="0" w:lastRowFirstColumn="0" w:lastRowLastColumn="0"/>
            </w:pPr>
            <w:r>
              <w:t>The Transport Standards Guidelines and /or The Whole Journey Guide would be updated to reflect new requirements.</w:t>
            </w:r>
          </w:p>
        </w:tc>
      </w:tr>
    </w:tbl>
    <w:p w14:paraId="747B2C73" w14:textId="77777777" w:rsidR="00425012" w:rsidRDefault="00425012" w:rsidP="00425012">
      <w:pPr>
        <w:pStyle w:val="BodyText"/>
      </w:pPr>
    </w:p>
    <w:p w14:paraId="6A883A9D" w14:textId="43001039" w:rsidR="00E1199F" w:rsidRDefault="00E1199F" w:rsidP="00E1199F">
      <w:pPr>
        <w:pStyle w:val="Heading4"/>
      </w:pPr>
      <w:r>
        <w:lastRenderedPageBreak/>
        <w:t>Cost benefit analysis</w:t>
      </w:r>
    </w:p>
    <w:p w14:paraId="073D8636"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Quantitative assessment </w:t>
      </w:r>
    </w:p>
    <w:p w14:paraId="5E526BAE" w14:textId="77777777" w:rsidR="00E1199F" w:rsidRPr="00595D2C" w:rsidRDefault="00E1199F" w:rsidP="00E1199F">
      <w:r>
        <w:t xml:space="preserve">The following categories of quantitative costs and benefits were identified in the CBA as pertaining to the reform options. </w:t>
      </w:r>
    </w:p>
    <w:p w14:paraId="1AF9D68B" w14:textId="1E5810A1" w:rsidR="00E1199F" w:rsidRDefault="00E1199F" w:rsidP="00E1199F">
      <w:pPr>
        <w:pStyle w:val="Caption"/>
        <w:keepNext/>
      </w:pPr>
      <w:bookmarkStart w:id="702" w:name="_Toc122446490"/>
      <w:bookmarkStart w:id="703" w:name="_Toc139969328"/>
      <w:r>
        <w:t xml:space="preserve">Table </w:t>
      </w:r>
      <w:fldSimple w:instr=" SEQ Table \* ARABIC ">
        <w:r w:rsidR="00DC26AC">
          <w:rPr>
            <w:noProof/>
          </w:rPr>
          <w:t>170</w:t>
        </w:r>
      </w:fldSimple>
      <w:r>
        <w:t xml:space="preserve">: Benefit-cost ratios </w:t>
      </w:r>
      <w:r w:rsidRPr="009B6AFE">
        <w:t>for</w:t>
      </w:r>
      <w:r>
        <w:t xml:space="preserve"> doorway contrast and height</w:t>
      </w:r>
      <w:bookmarkEnd w:id="702"/>
      <w:bookmarkEnd w:id="703"/>
    </w:p>
    <w:tbl>
      <w:tblPr>
        <w:tblStyle w:val="DefaultTable1"/>
        <w:tblW w:w="9864" w:type="dxa"/>
        <w:tblLook w:val="04A0" w:firstRow="1" w:lastRow="0" w:firstColumn="1" w:lastColumn="0" w:noHBand="0" w:noVBand="1"/>
        <w:tblCaption w:val="Benefit-cost ratios for doorway contrast and height"/>
        <w:tblDescription w:val="This table provides the monetised benefits and costs for each of the options for this reform area."/>
      </w:tblPr>
      <w:tblGrid>
        <w:gridCol w:w="1214"/>
        <w:gridCol w:w="1531"/>
        <w:gridCol w:w="1791"/>
        <w:gridCol w:w="1573"/>
        <w:gridCol w:w="1539"/>
        <w:gridCol w:w="2216"/>
      </w:tblGrid>
      <w:tr w:rsidR="00E1199F" w:rsidRPr="003964B8" w14:paraId="55195613"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4" w:type="dxa"/>
          </w:tcPr>
          <w:p w14:paraId="7DA84E49" w14:textId="77777777" w:rsidR="00E1199F" w:rsidRPr="007A751F" w:rsidRDefault="08D050C4" w:rsidP="00E1199F">
            <w:r w:rsidRPr="08D050C4">
              <w:t>Reform Option</w:t>
            </w:r>
          </w:p>
        </w:tc>
        <w:tc>
          <w:tcPr>
            <w:tcW w:w="1531" w:type="dxa"/>
          </w:tcPr>
          <w:p w14:paraId="3CD044C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benefits*</w:t>
            </w:r>
          </w:p>
        </w:tc>
        <w:tc>
          <w:tcPr>
            <w:tcW w:w="1791" w:type="dxa"/>
          </w:tcPr>
          <w:p w14:paraId="1CEB3C52"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(administrative)*</w:t>
            </w:r>
          </w:p>
        </w:tc>
        <w:tc>
          <w:tcPr>
            <w:tcW w:w="1573" w:type="dxa"/>
          </w:tcPr>
          <w:p w14:paraId="0775C7D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compliance costs (substantive)*</w:t>
            </w:r>
          </w:p>
        </w:tc>
        <w:tc>
          <w:tcPr>
            <w:tcW w:w="1539" w:type="dxa"/>
          </w:tcPr>
          <w:p w14:paraId="4C8069D5"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Monetised total compliance costs*</w:t>
            </w:r>
          </w:p>
        </w:tc>
        <w:tc>
          <w:tcPr>
            <w:tcW w:w="2216" w:type="dxa"/>
          </w:tcPr>
          <w:p w14:paraId="7568EB5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Benefit-cost ratio</w:t>
            </w:r>
          </w:p>
        </w:tc>
      </w:tr>
      <w:tr w:rsidR="00E1199F" w:rsidRPr="00B04D0E" w14:paraId="6BEFD9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4807FF47" w14:textId="77777777" w:rsidR="00E1199F" w:rsidRPr="00653914" w:rsidRDefault="00E1199F" w:rsidP="00E1199F">
            <w:r w:rsidRPr="00653914">
              <w:t>Status Quo</w:t>
            </w:r>
          </w:p>
        </w:tc>
        <w:tc>
          <w:tcPr>
            <w:tcW w:w="1531" w:type="dxa"/>
          </w:tcPr>
          <w:p w14:paraId="75D9219A"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791" w:type="dxa"/>
          </w:tcPr>
          <w:p w14:paraId="25EB16D8"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tcPr>
          <w:p w14:paraId="46D826B9"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39" w:type="dxa"/>
          </w:tcPr>
          <w:p w14:paraId="6D526145" w14:textId="77777777" w:rsidR="00E1199F"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2216" w:type="dxa"/>
          </w:tcPr>
          <w:p w14:paraId="0C6A7AA6" w14:textId="77777777" w:rsidR="00E1199F" w:rsidRPr="00B04D0E"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r>
      <w:tr w:rsidR="00E1199F" w:rsidRPr="00B04D0E" w14:paraId="334B9509" w14:textId="77777777" w:rsidTr="08D050C4">
        <w:tc>
          <w:tcPr>
            <w:cnfStyle w:val="001000000000" w:firstRow="0" w:lastRow="0" w:firstColumn="1" w:lastColumn="0" w:oddVBand="0" w:evenVBand="0" w:oddHBand="0" w:evenHBand="0" w:firstRowFirstColumn="0" w:firstRowLastColumn="0" w:lastRowFirstColumn="0" w:lastRowLastColumn="0"/>
            <w:tcW w:w="1214" w:type="dxa"/>
          </w:tcPr>
          <w:p w14:paraId="6B665150" w14:textId="77777777" w:rsidR="00E1199F" w:rsidRPr="00653914" w:rsidRDefault="00E1199F" w:rsidP="00E1199F">
            <w:r>
              <w:t xml:space="preserve">Non-regulatory </w:t>
            </w:r>
          </w:p>
        </w:tc>
        <w:tc>
          <w:tcPr>
            <w:tcW w:w="1531" w:type="dxa"/>
            <w:vAlign w:val="center"/>
          </w:tcPr>
          <w:p w14:paraId="4F4A4D7E"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w:t>
            </w:r>
          </w:p>
        </w:tc>
        <w:tc>
          <w:tcPr>
            <w:tcW w:w="1791" w:type="dxa"/>
          </w:tcPr>
          <w:p w14:paraId="708BB61C" w14:textId="77777777" w:rsidR="00E1199F" w:rsidRPr="00650AD2" w:rsidRDefault="08D050C4" w:rsidP="00650AD2">
            <w:pPr>
              <w:pStyle w:val="dash"/>
              <w:cnfStyle w:val="000000000000" w:firstRow="0" w:lastRow="0" w:firstColumn="0" w:lastColumn="0" w:oddVBand="0" w:evenVBand="0" w:oddHBand="0" w:evenHBand="0" w:firstRowFirstColumn="0" w:firstRowLastColumn="0" w:lastRowFirstColumn="0" w:lastRowLastColumn="0"/>
            </w:pPr>
            <w:r>
              <w:t>-</w:t>
            </w:r>
          </w:p>
        </w:tc>
        <w:tc>
          <w:tcPr>
            <w:tcW w:w="1573" w:type="dxa"/>
            <w:vAlign w:val="center"/>
          </w:tcPr>
          <w:p w14:paraId="3AD63A1F"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w:t>
            </w:r>
          </w:p>
        </w:tc>
        <w:tc>
          <w:tcPr>
            <w:tcW w:w="1539" w:type="dxa"/>
            <w:vAlign w:val="center"/>
          </w:tcPr>
          <w:p w14:paraId="47808B1B" w14:textId="21AA64B4"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0.9</w:t>
            </w:r>
            <w:r w:rsidRPr="08D050C4">
              <w:rPr>
                <w:sz w:val="18"/>
                <w:szCs w:val="18"/>
                <w:vertAlign w:val="superscript"/>
              </w:rPr>
              <w:t xml:space="preserve"> i</w:t>
            </w:r>
          </w:p>
        </w:tc>
        <w:tc>
          <w:tcPr>
            <w:tcW w:w="2216" w:type="dxa"/>
            <w:vAlign w:val="center"/>
          </w:tcPr>
          <w:p w14:paraId="29656E77" w14:textId="77777777" w:rsidR="00E1199F" w:rsidRPr="00650AD2" w:rsidRDefault="08D050C4" w:rsidP="08D050C4">
            <w:pPr>
              <w:cnfStyle w:val="000000000000" w:firstRow="0" w:lastRow="0" w:firstColumn="0" w:lastColumn="0" w:oddVBand="0" w:evenVBand="0" w:oddHBand="0" w:evenHBand="0" w:firstRowFirstColumn="0" w:firstRowLastColumn="0" w:lastRowFirstColumn="0" w:lastRowLastColumn="0"/>
            </w:pPr>
            <w:r w:rsidRPr="08D050C4">
              <w:rPr>
                <w:sz w:val="18"/>
                <w:szCs w:val="18"/>
              </w:rPr>
              <w:t>0.00</w:t>
            </w:r>
          </w:p>
        </w:tc>
      </w:tr>
      <w:tr w:rsidR="00E1199F" w:rsidRPr="00B04D0E" w14:paraId="199B8FB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4" w:type="dxa"/>
          </w:tcPr>
          <w:p w14:paraId="75A150E2" w14:textId="77777777" w:rsidR="00E1199F" w:rsidRPr="00653914" w:rsidRDefault="00E1199F" w:rsidP="00E1199F">
            <w:r>
              <w:t>Regulatory</w:t>
            </w:r>
          </w:p>
        </w:tc>
        <w:tc>
          <w:tcPr>
            <w:tcW w:w="1531" w:type="dxa"/>
            <w:vAlign w:val="center"/>
          </w:tcPr>
          <w:p w14:paraId="48A8ED68"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0.1</w:t>
            </w:r>
          </w:p>
        </w:tc>
        <w:tc>
          <w:tcPr>
            <w:tcW w:w="1791" w:type="dxa"/>
          </w:tcPr>
          <w:p w14:paraId="13A879A3" w14:textId="77777777" w:rsidR="00E1199F" w:rsidRPr="00650AD2" w:rsidRDefault="08D050C4" w:rsidP="00650AD2">
            <w:pPr>
              <w:pStyle w:val="dash"/>
              <w:cnfStyle w:val="000000100000" w:firstRow="0" w:lastRow="0" w:firstColumn="0" w:lastColumn="0" w:oddVBand="0" w:evenVBand="0" w:oddHBand="1" w:evenHBand="0" w:firstRowFirstColumn="0" w:firstRowLastColumn="0" w:lastRowFirstColumn="0" w:lastRowLastColumn="0"/>
            </w:pPr>
            <w:r>
              <w:t>-</w:t>
            </w:r>
          </w:p>
        </w:tc>
        <w:tc>
          <w:tcPr>
            <w:tcW w:w="1573" w:type="dxa"/>
            <w:vAlign w:val="center"/>
          </w:tcPr>
          <w:p w14:paraId="414F274D"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3.9</w:t>
            </w:r>
          </w:p>
        </w:tc>
        <w:tc>
          <w:tcPr>
            <w:tcW w:w="1539" w:type="dxa"/>
            <w:vAlign w:val="center"/>
          </w:tcPr>
          <w:p w14:paraId="14A37A96"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3.9</w:t>
            </w:r>
          </w:p>
        </w:tc>
        <w:tc>
          <w:tcPr>
            <w:tcW w:w="2216" w:type="dxa"/>
            <w:vAlign w:val="center"/>
          </w:tcPr>
          <w:p w14:paraId="5EA27627" w14:textId="77777777" w:rsidR="00E1199F" w:rsidRPr="00650AD2" w:rsidRDefault="08D050C4" w:rsidP="08D050C4">
            <w:pPr>
              <w:cnfStyle w:val="000000100000" w:firstRow="0" w:lastRow="0" w:firstColumn="0" w:lastColumn="0" w:oddVBand="0" w:evenVBand="0" w:oddHBand="1" w:evenHBand="0" w:firstRowFirstColumn="0" w:firstRowLastColumn="0" w:lastRowFirstColumn="0" w:lastRowLastColumn="0"/>
            </w:pPr>
            <w:r w:rsidRPr="08D050C4">
              <w:rPr>
                <w:sz w:val="18"/>
                <w:szCs w:val="18"/>
              </w:rPr>
              <w:t>0.03</w:t>
            </w:r>
          </w:p>
        </w:tc>
      </w:tr>
    </w:tbl>
    <w:p w14:paraId="7FE4EEEA" w14:textId="77777777" w:rsidR="00E1199F" w:rsidRPr="00F730F8" w:rsidRDefault="00E1199F" w:rsidP="00E1199F">
      <w:pPr>
        <w:spacing w:before="120" w:after="0"/>
        <w:rPr>
          <w:sz w:val="20"/>
          <w:szCs w:val="20"/>
        </w:rPr>
      </w:pPr>
      <w:r w:rsidRPr="169A030C">
        <w:rPr>
          <w:sz w:val="20"/>
          <w:szCs w:val="20"/>
          <w:vertAlign w:val="superscript"/>
        </w:rPr>
        <w:t>*</w:t>
      </w:r>
      <w:r w:rsidRPr="169A030C">
        <w:rPr>
          <w:sz w:val="20"/>
          <w:szCs w:val="20"/>
        </w:rPr>
        <w:t>$M, 2022/23, real, discounted at 7% over a 15-year appraisal period after implementation of all reforms, assessed incrementally</w:t>
      </w:r>
    </w:p>
    <w:p w14:paraId="0CAE70E3" w14:textId="77777777" w:rsidR="00E1199F" w:rsidRPr="00F730F8" w:rsidRDefault="08D050C4" w:rsidP="08D050C4">
      <w:pPr>
        <w:spacing w:before="120" w:after="0"/>
        <w:rPr>
          <w:sz w:val="20"/>
          <w:szCs w:val="20"/>
        </w:rPr>
      </w:pPr>
      <w:r w:rsidRPr="08D050C4">
        <w:rPr>
          <w:sz w:val="20"/>
          <w:szCs w:val="20"/>
          <w:vertAlign w:val="superscript"/>
        </w:rPr>
        <w:t>(i)</w:t>
      </w:r>
      <w:r w:rsidRPr="08D050C4">
        <w:rPr>
          <w:sz w:val="20"/>
          <w:szCs w:val="20"/>
        </w:rPr>
        <w:t>Non-regulatory compliance rates are calculated using assumptions about retrospective and prospective take-up rates, and are not a percentage of the regulatory costs.</w:t>
      </w:r>
    </w:p>
    <w:p w14:paraId="28CE0304" w14:textId="77777777" w:rsidR="007363D8" w:rsidRDefault="007363D8" w:rsidP="007363D8">
      <w:pPr>
        <w:pStyle w:val="BodyText"/>
      </w:pPr>
    </w:p>
    <w:p w14:paraId="360530BA" w14:textId="11814F5B" w:rsidR="00E1199F" w:rsidRDefault="00E1199F" w:rsidP="00E1199F">
      <w:pPr>
        <w:pStyle w:val="Heading6"/>
      </w:pPr>
      <w:r>
        <w:t>Considerations to note in interpreting analysis</w:t>
      </w:r>
    </w:p>
    <w:p w14:paraId="002B1D20" w14:textId="77777777" w:rsidR="00E1199F" w:rsidRDefault="00E1199F" w:rsidP="007363D8">
      <w:pPr>
        <w:pStyle w:val="Heading7"/>
      </w:pPr>
      <w:r w:rsidRPr="008F2C5A">
        <w:t>Limitations:</w:t>
      </w:r>
    </w:p>
    <w:p w14:paraId="11090807" w14:textId="77777777" w:rsidR="00E1199F" w:rsidRDefault="00E1199F" w:rsidP="007363D8">
      <w:pPr>
        <w:pStyle w:val="Heading8"/>
      </w:pPr>
      <w:r>
        <w:t>Non-regulatory option:</w:t>
      </w:r>
    </w:p>
    <w:p w14:paraId="2285BF40" w14:textId="072A5DD7" w:rsidR="00E1199F" w:rsidRDefault="00E1199F" w:rsidP="00425012">
      <w:pPr>
        <w:pStyle w:val="Listparagraphbullets"/>
        <w:numPr>
          <w:ilvl w:val="0"/>
          <w:numId w:val="0"/>
        </w:numPr>
        <w:autoSpaceDE w:val="0"/>
        <w:autoSpaceDN w:val="0"/>
        <w:spacing w:after="0"/>
      </w:pPr>
      <w:r w:rsidRPr="00DA0598">
        <w:t xml:space="preserve">The costs and benefits associated with the non-regulatory reform are lower than its regulatory counterpart </w:t>
      </w:r>
      <w:r w:rsidRPr="004B3526">
        <w:rPr>
          <w:rStyle w:val="ListparagraphbulletsChar"/>
        </w:rPr>
        <w:t>reflecting an assumed lower rate of compliance with the reform. An estimated rate of uptake of 75</w:t>
      </w:r>
      <w:r w:rsidR="00E70AF7">
        <w:rPr>
          <w:rStyle w:val="ListparagraphbulletsChar"/>
        </w:rPr>
        <w:t xml:space="preserve"> per cent</w:t>
      </w:r>
      <w:r w:rsidRPr="004B3526">
        <w:rPr>
          <w:rStyle w:val="ListparagraphbulletsChar"/>
        </w:rPr>
        <w:t xml:space="preserve"> for new assets was applied to the non-regulatory option based on the low cost and complexity to implement the requirements for doors on new conveyances. It was not expected the guidance would be implemented on existing</w:t>
      </w:r>
      <w:r w:rsidRPr="00DA0598">
        <w:t xml:space="preserve"> assets. This implies that the benefits and costs quantified for this non-regulatory reform may not reflect future take-up of the reform.</w:t>
      </w:r>
    </w:p>
    <w:p w14:paraId="07894B66" w14:textId="77777777" w:rsidR="00425012" w:rsidRDefault="00425012" w:rsidP="00425012">
      <w:pPr>
        <w:pStyle w:val="Listparagraphbullets"/>
        <w:numPr>
          <w:ilvl w:val="0"/>
          <w:numId w:val="0"/>
        </w:numPr>
        <w:autoSpaceDE w:val="0"/>
        <w:autoSpaceDN w:val="0"/>
        <w:spacing w:after="0"/>
      </w:pPr>
    </w:p>
    <w:p w14:paraId="0006BFC5" w14:textId="77777777" w:rsidR="00E1199F" w:rsidRDefault="00E1199F" w:rsidP="007363D8">
      <w:pPr>
        <w:pStyle w:val="Heading8"/>
      </w:pPr>
      <w:r>
        <w:t>Regulatory option:</w:t>
      </w:r>
    </w:p>
    <w:p w14:paraId="1DF79321" w14:textId="36AE1917" w:rsidR="00E1199F" w:rsidRDefault="00E1199F" w:rsidP="00425012">
      <w:pPr>
        <w:pStyle w:val="Listparagraphbullets"/>
        <w:numPr>
          <w:ilvl w:val="0"/>
          <w:numId w:val="0"/>
        </w:numPr>
        <w:autoSpaceDE w:val="0"/>
        <w:autoSpaceDN w:val="0"/>
        <w:spacing w:after="0"/>
      </w:pPr>
      <w:r w:rsidRPr="008811B4">
        <w:t xml:space="preserve">The benefits and costs for this reform were estimated based on publicly available data and survey responses, proxied to estimate compliance at a national level. This implies the benefits and costs may not be fully reflective of existing compliance rates. </w:t>
      </w:r>
    </w:p>
    <w:p w14:paraId="50054A7E" w14:textId="77777777" w:rsidR="00425012" w:rsidRPr="008811B4" w:rsidRDefault="00425012" w:rsidP="00425012">
      <w:pPr>
        <w:pStyle w:val="Listparagraphbullets"/>
        <w:numPr>
          <w:ilvl w:val="0"/>
          <w:numId w:val="0"/>
        </w:numPr>
        <w:autoSpaceDE w:val="0"/>
        <w:autoSpaceDN w:val="0"/>
        <w:spacing w:after="0"/>
      </w:pPr>
    </w:p>
    <w:p w14:paraId="3DD4130F" w14:textId="1BC67243" w:rsidR="00E1199F" w:rsidRDefault="00E1199F" w:rsidP="00425012">
      <w:pPr>
        <w:pStyle w:val="Listparagraphbullets"/>
        <w:numPr>
          <w:ilvl w:val="0"/>
          <w:numId w:val="0"/>
        </w:numPr>
        <w:autoSpaceDE w:val="0"/>
        <w:autoSpaceDN w:val="0"/>
        <w:spacing w:after="0"/>
      </w:pPr>
      <w:r w:rsidRPr="008811B4">
        <w:t>With only luminance contrast changes required, this reform would result in safety benefits to a relatively small group of beneficiaries such as people with vision impairments with upgrades required across a number of conveyances.</w:t>
      </w:r>
    </w:p>
    <w:p w14:paraId="0BEC0529" w14:textId="77777777" w:rsidR="00E1199F" w:rsidRPr="0031146F" w:rsidRDefault="00E1199F" w:rsidP="0031146F">
      <w:pPr>
        <w:pStyle w:val="Heading5"/>
        <w:keepLines/>
        <w:spacing w:before="240"/>
        <w:rPr>
          <w:rFonts w:asciiTheme="majorHAnsi" w:eastAsiaTheme="majorEastAsia" w:hAnsiTheme="majorHAnsi" w:cstheme="majorBidi"/>
          <w:color w:val="44546A" w:themeColor="text2"/>
          <w:sz w:val="22"/>
          <w:szCs w:val="22"/>
          <w:lang w:val="en-AU"/>
        </w:rPr>
      </w:pPr>
      <w:r w:rsidRPr="0031146F">
        <w:rPr>
          <w:rFonts w:asciiTheme="majorHAnsi" w:eastAsiaTheme="majorEastAsia" w:hAnsiTheme="majorHAnsi" w:cstheme="majorBidi"/>
          <w:color w:val="44546A" w:themeColor="text2"/>
          <w:kern w:val="0"/>
          <w:sz w:val="22"/>
          <w:szCs w:val="22"/>
          <w:lang w:val="en-AU"/>
        </w:rPr>
        <w:t xml:space="preserve">Qualitative assessment </w:t>
      </w:r>
    </w:p>
    <w:p w14:paraId="0B5557BD" w14:textId="39A4F04B" w:rsidR="00425012" w:rsidRDefault="00E1199F" w:rsidP="00ED1853">
      <w:r>
        <w:t>The following categories of qualitative benefits were identified in the CBA as pertaining to the reform options.</w:t>
      </w:r>
      <w:r w:rsidR="00425012">
        <w:br w:type="page"/>
      </w:r>
    </w:p>
    <w:p w14:paraId="176E4BDF" w14:textId="64D25141" w:rsidR="00E1199F" w:rsidRDefault="00E1199F" w:rsidP="00E1199F">
      <w:pPr>
        <w:pStyle w:val="Caption"/>
        <w:keepNext/>
      </w:pPr>
      <w:bookmarkStart w:id="704" w:name="_Toc122446491"/>
      <w:bookmarkStart w:id="705" w:name="_Toc139969329"/>
      <w:r>
        <w:lastRenderedPageBreak/>
        <w:t xml:space="preserve">Table </w:t>
      </w:r>
      <w:fldSimple w:instr=" SEQ Table \* ARABIC ">
        <w:r w:rsidR="00DC26AC">
          <w:rPr>
            <w:noProof/>
          </w:rPr>
          <w:t>171</w:t>
        </w:r>
      </w:fldSimple>
      <w:r>
        <w:t xml:space="preserve">: Qualitative benefits </w:t>
      </w:r>
      <w:r w:rsidRPr="00D856A7">
        <w:t>for</w:t>
      </w:r>
      <w:r>
        <w:t xml:space="preserve"> doorway contrast and height</w:t>
      </w:r>
      <w:bookmarkEnd w:id="704"/>
      <w:bookmarkEnd w:id="705"/>
    </w:p>
    <w:tbl>
      <w:tblPr>
        <w:tblStyle w:val="DefaultTable1"/>
        <w:tblW w:w="9864" w:type="dxa"/>
        <w:tblLook w:val="04A0" w:firstRow="1" w:lastRow="0" w:firstColumn="1" w:lastColumn="0" w:noHBand="0" w:noVBand="1"/>
        <w:tblCaption w:val="Qualitative benefits for doorway contrast and height"/>
      </w:tblPr>
      <w:tblGrid>
        <w:gridCol w:w="1213"/>
        <w:gridCol w:w="1343"/>
        <w:gridCol w:w="1626"/>
        <w:gridCol w:w="1300"/>
        <w:gridCol w:w="1278"/>
        <w:gridCol w:w="1641"/>
        <w:gridCol w:w="1463"/>
      </w:tblGrid>
      <w:tr w:rsidR="00E1199F" w:rsidRPr="007A751F" w14:paraId="667A2A8A" w14:textId="77777777" w:rsidTr="08D050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3" w:type="dxa"/>
          </w:tcPr>
          <w:p w14:paraId="7D616A5F" w14:textId="77777777" w:rsidR="00E1199F" w:rsidRPr="007A751F" w:rsidRDefault="08D050C4" w:rsidP="00E1199F">
            <w:r w:rsidRPr="08D050C4">
              <w:t>Reform Option</w:t>
            </w:r>
          </w:p>
        </w:tc>
        <w:tc>
          <w:tcPr>
            <w:tcW w:w="1343" w:type="dxa"/>
          </w:tcPr>
          <w:p w14:paraId="1D3ABFD7"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Increased optionality </w:t>
            </w:r>
          </w:p>
        </w:tc>
        <w:tc>
          <w:tcPr>
            <w:tcW w:w="1626" w:type="dxa"/>
          </w:tcPr>
          <w:p w14:paraId="71DE625C"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Enhanced independence and inclusion </w:t>
            </w:r>
          </w:p>
        </w:tc>
        <w:tc>
          <w:tcPr>
            <w:tcW w:w="1300" w:type="dxa"/>
          </w:tcPr>
          <w:p w14:paraId="7B7059A8"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health outcomes</w:t>
            </w:r>
          </w:p>
        </w:tc>
        <w:tc>
          <w:tcPr>
            <w:tcW w:w="1278" w:type="dxa"/>
          </w:tcPr>
          <w:p w14:paraId="202C7426"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Improved access to services</w:t>
            </w:r>
          </w:p>
        </w:tc>
        <w:tc>
          <w:tcPr>
            <w:tcW w:w="1641" w:type="dxa"/>
          </w:tcPr>
          <w:p w14:paraId="6470A1DB" w14:textId="77777777" w:rsidR="00E1199F" w:rsidRPr="007A751F" w:rsidRDefault="08D050C4" w:rsidP="00E1199F">
            <w:pPr>
              <w:cnfStyle w:val="100000000000" w:firstRow="1" w:lastRow="0" w:firstColumn="0" w:lastColumn="0" w:oddVBand="0" w:evenVBand="0" w:oddHBand="0" w:evenHBand="0" w:firstRowFirstColumn="0" w:firstRowLastColumn="0" w:lastRowFirstColumn="0" w:lastRowLastColumn="0"/>
            </w:pPr>
            <w:r w:rsidRPr="08D050C4">
              <w:t xml:space="preserve">Greater sense of connection to community and place </w:t>
            </w:r>
          </w:p>
        </w:tc>
        <w:tc>
          <w:tcPr>
            <w:tcW w:w="1463" w:type="dxa"/>
          </w:tcPr>
          <w:p w14:paraId="4FFE3669" w14:textId="77777777" w:rsidR="00E1199F" w:rsidRDefault="08D050C4" w:rsidP="00E1199F">
            <w:pPr>
              <w:cnfStyle w:val="100000000000" w:firstRow="1" w:lastRow="0" w:firstColumn="0" w:lastColumn="0" w:oddVBand="0" w:evenVBand="0" w:oddHBand="0" w:evenHBand="0" w:firstRowFirstColumn="0" w:firstRowLastColumn="0" w:lastRowFirstColumn="0" w:lastRowLastColumn="0"/>
            </w:pPr>
            <w:r w:rsidRPr="08D050C4">
              <w:t>Increased opportunities for employment</w:t>
            </w:r>
          </w:p>
        </w:tc>
      </w:tr>
      <w:tr w:rsidR="00E1199F" w:rsidRPr="00B04D0E" w14:paraId="64AC15A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77BEEC83" w14:textId="77777777" w:rsidR="00E1199F" w:rsidRPr="00653914" w:rsidRDefault="00E1199F" w:rsidP="00E1199F">
            <w:r w:rsidRPr="00653914">
              <w:t>Status Quo</w:t>
            </w:r>
          </w:p>
        </w:tc>
        <w:tc>
          <w:tcPr>
            <w:tcW w:w="1343" w:type="dxa"/>
          </w:tcPr>
          <w:p w14:paraId="72844B82"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26" w:type="dxa"/>
          </w:tcPr>
          <w:p w14:paraId="5851A60C"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300" w:type="dxa"/>
          </w:tcPr>
          <w:p w14:paraId="4F5C02E2"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17E780DB"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641" w:type="dxa"/>
          </w:tcPr>
          <w:p w14:paraId="2747027D"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463" w:type="dxa"/>
          </w:tcPr>
          <w:p w14:paraId="6A374056"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r>
      <w:tr w:rsidR="00E1199F" w:rsidRPr="00B04D0E" w14:paraId="1D642444" w14:textId="77777777" w:rsidTr="08D050C4">
        <w:tc>
          <w:tcPr>
            <w:cnfStyle w:val="001000000000" w:firstRow="0" w:lastRow="0" w:firstColumn="1" w:lastColumn="0" w:oddVBand="0" w:evenVBand="0" w:oddHBand="0" w:evenHBand="0" w:firstRowFirstColumn="0" w:firstRowLastColumn="0" w:lastRowFirstColumn="0" w:lastRowLastColumn="0"/>
            <w:tcW w:w="1213" w:type="dxa"/>
          </w:tcPr>
          <w:p w14:paraId="38C7B5E2" w14:textId="77777777" w:rsidR="00E1199F" w:rsidRPr="00653914" w:rsidRDefault="00E1199F" w:rsidP="00E1199F">
            <w:r>
              <w:t xml:space="preserve">Non-regulatory </w:t>
            </w:r>
          </w:p>
        </w:tc>
        <w:tc>
          <w:tcPr>
            <w:tcW w:w="1343" w:type="dxa"/>
          </w:tcPr>
          <w:p w14:paraId="60996F7F"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26" w:type="dxa"/>
          </w:tcPr>
          <w:p w14:paraId="79575784"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300" w:type="dxa"/>
          </w:tcPr>
          <w:p w14:paraId="26C550E0" w14:textId="77777777" w:rsidR="00E1199F" w:rsidRDefault="08D050C4" w:rsidP="00E1199F">
            <w:pPr>
              <w:cnfStyle w:val="000000000000" w:firstRow="0" w:lastRow="0" w:firstColumn="0" w:lastColumn="0" w:oddVBand="0" w:evenVBand="0" w:oddHBand="0" w:evenHBand="0" w:firstRowFirstColumn="0" w:firstRowLastColumn="0" w:lastRowFirstColumn="0" w:lastRowLastColumn="0"/>
            </w:pPr>
            <w:r>
              <w:t>-</w:t>
            </w:r>
          </w:p>
        </w:tc>
        <w:tc>
          <w:tcPr>
            <w:tcW w:w="1278" w:type="dxa"/>
          </w:tcPr>
          <w:p w14:paraId="7ABC66D5" w14:textId="77777777" w:rsidR="00E1199F"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641" w:type="dxa"/>
          </w:tcPr>
          <w:p w14:paraId="28C1E1D5" w14:textId="77777777" w:rsidR="00E1199F" w:rsidRPr="00B04D0E" w:rsidRDefault="00E1199F" w:rsidP="00E1199F">
            <w:pPr>
              <w:cnfStyle w:val="000000000000" w:firstRow="0" w:lastRow="0" w:firstColumn="0" w:lastColumn="0" w:oddVBand="0" w:evenVBand="0" w:oddHBand="0" w:evenHBand="0" w:firstRowFirstColumn="0" w:firstRowLastColumn="0" w:lastRowFirstColumn="0" w:lastRowLastColumn="0"/>
            </w:pPr>
            <w:r>
              <w:t>Yes</w:t>
            </w:r>
          </w:p>
        </w:tc>
        <w:tc>
          <w:tcPr>
            <w:tcW w:w="1463" w:type="dxa"/>
          </w:tcPr>
          <w:p w14:paraId="310163F3" w14:textId="77777777" w:rsidR="00E1199F" w:rsidRPr="00B04D0E" w:rsidRDefault="08D050C4" w:rsidP="00E1199F">
            <w:pPr>
              <w:cnfStyle w:val="000000000000" w:firstRow="0" w:lastRow="0" w:firstColumn="0" w:lastColumn="0" w:oddVBand="0" w:evenVBand="0" w:oddHBand="0" w:evenHBand="0" w:firstRowFirstColumn="0" w:firstRowLastColumn="0" w:lastRowFirstColumn="0" w:lastRowLastColumn="0"/>
            </w:pPr>
            <w:r>
              <w:t>-</w:t>
            </w:r>
          </w:p>
        </w:tc>
      </w:tr>
      <w:tr w:rsidR="00E1199F" w:rsidRPr="00B04D0E" w14:paraId="2B4E1A7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3" w:type="dxa"/>
          </w:tcPr>
          <w:p w14:paraId="25D00704" w14:textId="77777777" w:rsidR="00E1199F" w:rsidRPr="00653914" w:rsidRDefault="00E1199F" w:rsidP="00E1199F">
            <w:r>
              <w:t>Regulatory</w:t>
            </w:r>
          </w:p>
        </w:tc>
        <w:tc>
          <w:tcPr>
            <w:tcW w:w="1343" w:type="dxa"/>
          </w:tcPr>
          <w:p w14:paraId="38A9F4C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26" w:type="dxa"/>
          </w:tcPr>
          <w:p w14:paraId="6B20455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300" w:type="dxa"/>
          </w:tcPr>
          <w:p w14:paraId="50110CA5" w14:textId="77777777" w:rsidR="00E1199F" w:rsidRDefault="08D050C4" w:rsidP="00E1199F">
            <w:pPr>
              <w:cnfStyle w:val="000000100000" w:firstRow="0" w:lastRow="0" w:firstColumn="0" w:lastColumn="0" w:oddVBand="0" w:evenVBand="0" w:oddHBand="1" w:evenHBand="0" w:firstRowFirstColumn="0" w:firstRowLastColumn="0" w:lastRowFirstColumn="0" w:lastRowLastColumn="0"/>
            </w:pPr>
            <w:r>
              <w:t>-</w:t>
            </w:r>
          </w:p>
        </w:tc>
        <w:tc>
          <w:tcPr>
            <w:tcW w:w="1278" w:type="dxa"/>
          </w:tcPr>
          <w:p w14:paraId="391F0177" w14:textId="77777777" w:rsidR="00E1199F"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641" w:type="dxa"/>
          </w:tcPr>
          <w:p w14:paraId="7587FECE" w14:textId="77777777" w:rsidR="00E1199F" w:rsidRPr="00B04D0E" w:rsidRDefault="00E1199F" w:rsidP="00E1199F">
            <w:pPr>
              <w:cnfStyle w:val="000000100000" w:firstRow="0" w:lastRow="0" w:firstColumn="0" w:lastColumn="0" w:oddVBand="0" w:evenVBand="0" w:oddHBand="1" w:evenHBand="0" w:firstRowFirstColumn="0" w:firstRowLastColumn="0" w:lastRowFirstColumn="0" w:lastRowLastColumn="0"/>
            </w:pPr>
            <w:r>
              <w:t>Yes</w:t>
            </w:r>
          </w:p>
        </w:tc>
        <w:tc>
          <w:tcPr>
            <w:tcW w:w="1463" w:type="dxa"/>
          </w:tcPr>
          <w:p w14:paraId="7D471719" w14:textId="77777777" w:rsidR="00E1199F" w:rsidRPr="00B04D0E" w:rsidRDefault="08D050C4" w:rsidP="00E1199F">
            <w:pPr>
              <w:cnfStyle w:val="000000100000" w:firstRow="0" w:lastRow="0" w:firstColumn="0" w:lastColumn="0" w:oddVBand="0" w:evenVBand="0" w:oddHBand="1" w:evenHBand="0" w:firstRowFirstColumn="0" w:firstRowLastColumn="0" w:lastRowFirstColumn="0" w:lastRowLastColumn="0"/>
            </w:pPr>
            <w:r>
              <w:t>-</w:t>
            </w:r>
          </w:p>
        </w:tc>
      </w:tr>
    </w:tbl>
    <w:p w14:paraId="5EA99DF0" w14:textId="77777777" w:rsidR="00425012" w:rsidRDefault="00425012" w:rsidP="00425012">
      <w:pPr>
        <w:pStyle w:val="BodyText"/>
      </w:pPr>
    </w:p>
    <w:p w14:paraId="6E58F401" w14:textId="6413978B" w:rsidR="00E1199F" w:rsidRPr="004C16F7" w:rsidRDefault="00E1199F" w:rsidP="00E1199F">
      <w:pPr>
        <w:pStyle w:val="Heading4"/>
        <w:tabs>
          <w:tab w:val="left" w:pos="284"/>
        </w:tabs>
      </w:pPr>
      <w:r>
        <w:t xml:space="preserve">Analysis of submissions </w:t>
      </w:r>
    </w:p>
    <w:p w14:paraId="6595C8D7" w14:textId="77777777" w:rsidR="00E1199F" w:rsidRPr="0054328A" w:rsidRDefault="00E1199F" w:rsidP="00425012">
      <w:pPr>
        <w:pStyle w:val="Heading5"/>
      </w:pPr>
      <w:r w:rsidRPr="0054328A">
        <w:t>Status quo</w:t>
      </w:r>
    </w:p>
    <w:p w14:paraId="3E46D153" w14:textId="77777777" w:rsidR="00E1199F" w:rsidRDefault="00E1199F" w:rsidP="00E1199F">
      <w:r>
        <w:t>The Transport Standards have no requirement for luminance contrast for solid and glazed doors and have no minimum height for conveyance doors, creating a risk of a passengers striking the door or door frame. Current requirements for doorways reference dated Australian Standards that are not commensurate with the Premises Standards. Transport Standards section 12.4 Clear opening of doorways, references AS1428.2 (1992) Design for access and mobility, Clause 11.5.1, covers clear opening of conveyance doors. While Clause 11.5.1 recommends that doors have a contrasting frame or trim, this reference is dated and has the potential to be updated to a more contemporary reference.</w:t>
      </w:r>
    </w:p>
    <w:p w14:paraId="3DD9223D" w14:textId="3990106A" w:rsidR="00E1199F" w:rsidRDefault="00E1199F" w:rsidP="00E1199F">
      <w:r>
        <w:t xml:space="preserve">One submission expressed support for the status quo option, noting doorway size </w:t>
      </w:r>
      <w:r>
        <w:rPr>
          <w:rFonts w:ascii="Calibri" w:hAnsi="Calibri" w:cs="Calibri"/>
          <w:color w:val="000000"/>
          <w:shd w:val="clear" w:color="auto" w:fill="FFFFFF"/>
        </w:rPr>
        <w:t xml:space="preserve">is adjusted to take maximum advantage of conveyance design. </w:t>
      </w:r>
      <w:r>
        <w:t>This submission from a government stakeholder</w:t>
      </w:r>
      <w:r>
        <w:rPr>
          <w:rFonts w:ascii="Calibri" w:hAnsi="Calibri" w:cs="Calibri"/>
          <w:color w:val="000000"/>
          <w:shd w:val="clear" w:color="auto" w:fill="FFFFFF"/>
        </w:rPr>
        <w:t xml:space="preserve"> noted that being too prescriptive may lead to requirements being unachievable. </w:t>
      </w:r>
    </w:p>
    <w:p w14:paraId="4E0343C5" w14:textId="77777777" w:rsidR="00E1199F" w:rsidRDefault="08D050C4" w:rsidP="00E1199F">
      <w:r>
        <w:t>Submissions from individuals, people with disability and disability organisations outlined concerns posed by the current lack of requirements and maintaining the status quo. Submissions highlighted concerns regarding the lack of luminance contrast requirements for glazed doors and the safety risk this poses, particularly for people with low vision.</w:t>
      </w:r>
    </w:p>
    <w:p w14:paraId="6E4BAC96" w14:textId="0E13FC92" w:rsidR="00E1199F" w:rsidRDefault="08D050C4" w:rsidP="00E1199F">
      <w:r>
        <w:t>The status quo continues to inhibit accessibility and safety of people with disability on public transport services. The status quo does not enhance or increase equality and independence, or reduce discrimination for people with disability in relation to public transport. The status quo has no ongoing costs for public transport operators and providers</w:t>
      </w:r>
      <w:r w:rsidR="0015000C">
        <w:t>;</w:t>
      </w:r>
      <w:r>
        <w:t xml:space="preserve"> however</w:t>
      </w:r>
      <w:r w:rsidR="0015000C">
        <w:t>,</w:t>
      </w:r>
      <w:r>
        <w:t xml:space="preserve"> negative impacts on community amenity, accessibility, and safety will remain. The opportunity for more contemporary Australian Standards that are commensurate and harmonised with the Premises Standards would also be missed by maintaining the status quo. This would result in continuing uncertainty for operators and providers on their obligations under the DDA.</w:t>
      </w:r>
    </w:p>
    <w:p w14:paraId="6828F665" w14:textId="77777777" w:rsidR="00E1199F" w:rsidRDefault="00E1199F" w:rsidP="00425012">
      <w:pPr>
        <w:pStyle w:val="Heading5"/>
      </w:pPr>
      <w:r>
        <w:t>Non-regulatory</w:t>
      </w:r>
    </w:p>
    <w:p w14:paraId="06815CEF" w14:textId="77777777" w:rsidR="00E1199F" w:rsidRDefault="00E1199F" w:rsidP="00E1199F">
      <w:r>
        <w:t>The non-regulatory option would update the Whole Journey Guide and / or the Transport Standards Guidelines to include advice for luminance contrast and height clearance of conveyance doors. Specific guidance would pertain to buses (except dedicated school buses), coaches, ferries, trains, trams and light rail.</w:t>
      </w:r>
    </w:p>
    <w:p w14:paraId="2BD6E0F1" w14:textId="77777777" w:rsidR="00E1199F" w:rsidRPr="00202350" w:rsidRDefault="00E1199F" w:rsidP="00E1199F">
      <w:r w:rsidRPr="002B4503">
        <w:lastRenderedPageBreak/>
        <w:t xml:space="preserve">The </w:t>
      </w:r>
      <w:r>
        <w:t>non-regulatory</w:t>
      </w:r>
      <w:r w:rsidRPr="002B4503">
        <w:t xml:space="preserve"> option was the preferred option for governments and public transport operators</w:t>
      </w:r>
      <w:r>
        <w:t xml:space="preserve">, in large part due </w:t>
      </w:r>
      <w:r w:rsidRPr="000D7CAE">
        <w:t>to concerns regarding the height requirements outlined in the regulatory option.  It was noted that r</w:t>
      </w:r>
      <w:r w:rsidRPr="000D7CAE">
        <w:rPr>
          <w:rFonts w:ascii="Calibri" w:hAnsi="Calibri" w:cs="Calibri"/>
          <w:color w:val="000000"/>
          <w:shd w:val="clear" w:color="auto" w:fill="FFFFFF"/>
        </w:rPr>
        <w:t xml:space="preserve">etrofitting door height on existing conveyances is not achievable due to </w:t>
      </w:r>
      <w:r>
        <w:rPr>
          <w:rFonts w:ascii="Calibri" w:hAnsi="Calibri" w:cs="Calibri"/>
          <w:color w:val="000000"/>
          <w:shd w:val="clear" w:color="auto" w:fill="FFFFFF"/>
        </w:rPr>
        <w:t>design</w:t>
      </w:r>
      <w:r w:rsidRPr="000D7CAE">
        <w:rPr>
          <w:rFonts w:ascii="Calibri" w:hAnsi="Calibri" w:cs="Calibri"/>
          <w:color w:val="000000"/>
          <w:shd w:val="clear" w:color="auto" w:fill="FFFFFF"/>
        </w:rPr>
        <w:t xml:space="preserve"> complexity and structural impacts on the vehicle</w:t>
      </w:r>
      <w:r>
        <w:rPr>
          <w:rFonts w:ascii="Calibri" w:hAnsi="Calibri" w:cs="Calibri"/>
          <w:color w:val="000000"/>
          <w:shd w:val="clear" w:color="auto" w:fill="FFFFFF"/>
        </w:rPr>
        <w:t xml:space="preserve"> and may result in entire fleets being non-compliant with the proposed regulatory </w:t>
      </w:r>
      <w:r w:rsidRPr="00202350">
        <w:t xml:space="preserve">option. </w:t>
      </w:r>
    </w:p>
    <w:p w14:paraId="6D804627" w14:textId="77777777" w:rsidR="00E1199F" w:rsidRPr="00202350" w:rsidRDefault="00E1199F" w:rsidP="00E1199F">
      <w:r w:rsidRPr="00202350">
        <w:t>Many viewed the proposed height as inappropriate, noting there would be significant operational impacts, it would only support a small number of people, and the cost associated with implementing the reform would not be commensurate with</w:t>
      </w:r>
      <w:r>
        <w:t xml:space="preserve"> the</w:t>
      </w:r>
      <w:r w:rsidRPr="00202350">
        <w:t xml:space="preserve"> benefit it would achieve. </w:t>
      </w:r>
      <w:r w:rsidRPr="005A0EFB">
        <w:t>Some suggested they would support the regulatory option if these requirements were removed and</w:t>
      </w:r>
      <w:r>
        <w:t xml:space="preserve"> replaced with the industry standard for specific conveyances or as </w:t>
      </w:r>
      <w:r w:rsidRPr="005A0EFB">
        <w:t>conveyance specific guidance.</w:t>
      </w:r>
      <w:r>
        <w:t xml:space="preserve"> </w:t>
      </w:r>
      <w:r w:rsidRPr="00202350">
        <w:t xml:space="preserve">It was also noted by some that luminance contrast requirements </w:t>
      </w:r>
      <w:r>
        <w:t>i</w:t>
      </w:r>
      <w:r w:rsidRPr="00202350">
        <w:t>n the regulatory option were too prescriptive due to different finishes presented around a door</w:t>
      </w:r>
      <w:r>
        <w:t>,</w:t>
      </w:r>
      <w:r w:rsidRPr="00202350">
        <w:t xml:space="preserve"> and that these requirements would also be better as guidance.</w:t>
      </w:r>
    </w:p>
    <w:p w14:paraId="6D1046BE" w14:textId="77777777" w:rsidR="00E1199F" w:rsidRDefault="00E1199F" w:rsidP="00E1199F">
      <w:r>
        <w:t xml:space="preserve">To the extent that guidance is followed, costs would be incurred to ensure conveyance doors met luminance contrast and minimum height requirements. Submissions indicate that retrofitting doors in existing conveyances </w:t>
      </w:r>
      <w:r>
        <w:rPr>
          <w:rFonts w:ascii="Calibri" w:hAnsi="Calibri" w:cs="Calibri"/>
          <w:color w:val="000000"/>
          <w:shd w:val="clear" w:color="auto" w:fill="FFFFFF"/>
        </w:rPr>
        <w:t>is likely to impose an onerous financial cost, and possibly unfeasible due to the complexity of the design, structural impacts on conveyances and significant operational impacts</w:t>
      </w:r>
      <w:r>
        <w:t xml:space="preserve">. Due to the discretionary nature of this option, it does not provide certainty that operators and providers will adopt requirements, however the non-regulatory option allows operators and providers to manage the implementation (and related costs) to suit their operational requirements, including through staging the implementation. </w:t>
      </w:r>
    </w:p>
    <w:p w14:paraId="2476DB8A" w14:textId="077A2B30" w:rsidR="00E1199F" w:rsidRDefault="08D050C4" w:rsidP="00E1199F">
      <w:pPr>
        <w:rPr>
          <w:rFonts w:ascii="Calibri" w:hAnsi="Calibri" w:cs="Calibri"/>
          <w:color w:val="000000" w:themeColor="text1"/>
        </w:rPr>
      </w:pPr>
      <w:r>
        <w:t xml:space="preserve">Given this option is discretionary, it does not provide certainty that guidance will be implemented which may reduce confidence of passengers to travel. To the extent that guidance is followed, the incidents of passengers striking or mistaking doorways is likely to be reduced and wayfinding for people with vision impairments is likely to improve. </w:t>
      </w:r>
    </w:p>
    <w:p w14:paraId="7ED101FD" w14:textId="77777777" w:rsidR="00E1199F" w:rsidRDefault="00E1199F" w:rsidP="00425012">
      <w:pPr>
        <w:pStyle w:val="Heading5"/>
      </w:pPr>
      <w:r w:rsidRPr="0054328A">
        <w:t>Regulatory</w:t>
      </w:r>
    </w:p>
    <w:p w14:paraId="33464457" w14:textId="77777777" w:rsidR="00E1199F" w:rsidRDefault="00E1199F" w:rsidP="00E1199F">
      <w:r>
        <w:t xml:space="preserve">The regulatory option would amend the Transport Standards to include updated requirements for luminance contrast and height clearance of conveyance doors. These requirements would pertain to buses (except dedicated school buses), coaches, ferries, trains, trams and light rail. </w:t>
      </w:r>
    </w:p>
    <w:p w14:paraId="29B89A25" w14:textId="77777777" w:rsidR="00E1199F" w:rsidRDefault="00E1199F" w:rsidP="08D050C4">
      <w:pPr>
        <w:shd w:val="clear" w:color="auto" w:fill="FFFFFF" w:themeFill="background1"/>
        <w:spacing w:after="0"/>
        <w:rPr>
          <w:rFonts w:ascii="Calibri" w:eastAsia="Times New Roman" w:hAnsi="Calibri" w:cs="Calibri"/>
          <w:color w:val="000000" w:themeColor="text1"/>
          <w:lang w:eastAsia="en-AU"/>
        </w:rPr>
      </w:pPr>
      <w:r w:rsidRPr="002B4503">
        <w:t xml:space="preserve">The regulatory option was the preferred option for </w:t>
      </w:r>
      <w:r w:rsidRPr="00496A98">
        <w:t>individuals, people with disability and disability organisations</w:t>
      </w:r>
      <w:r>
        <w:t xml:space="preserve"> as it would </w:t>
      </w:r>
      <w:r>
        <w:rPr>
          <w:rFonts w:ascii="Calibri" w:hAnsi="Calibri" w:cs="Calibri"/>
          <w:color w:val="000000"/>
          <w:shd w:val="clear" w:color="auto" w:fill="FFFFFF"/>
        </w:rPr>
        <w:t>achieve consis</w:t>
      </w:r>
      <w:r w:rsidRPr="00F82AED">
        <w:rPr>
          <w:rFonts w:ascii="Calibri" w:hAnsi="Calibri" w:cs="Calibri"/>
          <w:color w:val="000000"/>
          <w:shd w:val="clear" w:color="auto" w:fill="FFFFFF"/>
        </w:rPr>
        <w:t>tency and certainty, with measurable outcomes to address</w:t>
      </w:r>
      <w:r>
        <w:rPr>
          <w:rFonts w:ascii="Calibri" w:eastAsia="Times New Roman" w:hAnsi="Calibri" w:cs="Calibri"/>
          <w:color w:val="000000"/>
          <w:lang w:eastAsia="en-AU"/>
        </w:rPr>
        <w:t xml:space="preserve"> </w:t>
      </w:r>
      <w:r w:rsidRPr="00F82AED">
        <w:rPr>
          <w:rFonts w:ascii="Calibri" w:eastAsia="Times New Roman" w:hAnsi="Calibri" w:cs="Calibri"/>
          <w:color w:val="000000"/>
          <w:lang w:eastAsia="en-AU"/>
        </w:rPr>
        <w:t>non-compliance.</w:t>
      </w:r>
      <w:r>
        <w:t xml:space="preserve"> </w:t>
      </w:r>
      <w:r w:rsidRPr="00F82AED">
        <w:t xml:space="preserve">Many noted that being able to </w:t>
      </w:r>
      <w:r w:rsidRPr="00F82AED">
        <w:rPr>
          <w:rFonts w:ascii="Calibri" w:hAnsi="Calibri" w:cs="Calibri"/>
          <w:color w:val="000000"/>
          <w:shd w:val="clear" w:color="auto" w:fill="FFFFFF"/>
        </w:rPr>
        <w:t>recognise a door is both a safety and accessibility issue. It was noted that i</w:t>
      </w:r>
      <w:r w:rsidRPr="00F82AED">
        <w:rPr>
          <w:rFonts w:ascii="Calibri" w:eastAsia="Times New Roman" w:hAnsi="Calibri" w:cs="Calibri"/>
          <w:color w:val="000000"/>
          <w:lang w:eastAsia="en-AU"/>
        </w:rPr>
        <w:t xml:space="preserve">ncidents where people with vision impairment have stepped between train carriages, mistaking the gap for an open door, have been reported. Markings on glass doors and contrasting features were particularly important to respondents. </w:t>
      </w:r>
    </w:p>
    <w:p w14:paraId="29FE3D6F" w14:textId="77777777" w:rsidR="00E1199F" w:rsidRPr="00202350" w:rsidRDefault="00E1199F" w:rsidP="00E1199F">
      <w:pPr>
        <w:pStyle w:val="Quote"/>
      </w:pPr>
      <w:r w:rsidRPr="00202350">
        <w:t>In the case of passenger opened doors it is imperative to boarding and alighting that the door be recognisable. Glass doors without markings are easily mistaken for an open door to people with</w:t>
      </w:r>
      <w:r>
        <w:t xml:space="preserve"> </w:t>
      </w:r>
      <w:r w:rsidRPr="00202350">
        <w:t xml:space="preserve">low vision. </w:t>
      </w:r>
    </w:p>
    <w:p w14:paraId="19878373" w14:textId="77777777" w:rsidR="00E1199F" w:rsidRPr="00D71A81" w:rsidRDefault="00E1199F" w:rsidP="00E1199F">
      <w:pPr>
        <w:pStyle w:val="Quote"/>
      </w:pPr>
      <w:r>
        <w:t>Queenslanders with Disability Network</w:t>
      </w:r>
    </w:p>
    <w:p w14:paraId="7ECA881F" w14:textId="0603CD99" w:rsidR="00E1199F" w:rsidRDefault="00E1199F" w:rsidP="00E1199F">
      <w:r>
        <w:rPr>
          <w:rFonts w:ascii="Calibri" w:hAnsi="Calibri" w:cs="Calibri"/>
          <w:color w:val="000000"/>
          <w:shd w:val="clear" w:color="auto" w:fill="FFFFFF"/>
        </w:rPr>
        <w:t>However, d</w:t>
      </w:r>
      <w:r w:rsidRPr="00496A98">
        <w:t>isability organisations</w:t>
      </w:r>
      <w:r>
        <w:t xml:space="preserve"> representing the blind and vision impaired again recommended significantly higher </w:t>
      </w:r>
      <w:r w:rsidRPr="00BF4249">
        <w:rPr>
          <w:rFonts w:ascii="Calibri" w:hAnsi="Calibri" w:cs="Calibri"/>
          <w:color w:val="000000"/>
          <w:shd w:val="clear" w:color="auto" w:fill="FFFFFF"/>
        </w:rPr>
        <w:t>luminance contrast</w:t>
      </w:r>
      <w:r>
        <w:rPr>
          <w:rFonts w:ascii="Calibri" w:hAnsi="Calibri" w:cs="Calibri"/>
          <w:color w:val="000000"/>
          <w:shd w:val="clear" w:color="auto" w:fill="FFFFFF"/>
        </w:rPr>
        <w:t>, noting t</w:t>
      </w:r>
      <w:r>
        <w:t xml:space="preserve">hat a </w:t>
      </w:r>
      <w:r w:rsidRPr="00BF4249">
        <w:rPr>
          <w:rFonts w:ascii="Calibri" w:hAnsi="Calibri" w:cs="Calibri"/>
          <w:color w:val="000000"/>
          <w:shd w:val="clear" w:color="auto" w:fill="FFFFFF"/>
        </w:rPr>
        <w:t>30 per</w:t>
      </w:r>
      <w:r w:rsidR="00E70AF7">
        <w:rPr>
          <w:rFonts w:ascii="Calibri" w:hAnsi="Calibri" w:cs="Calibri"/>
          <w:color w:val="000000"/>
          <w:shd w:val="clear" w:color="auto" w:fill="FFFFFF"/>
        </w:rPr>
        <w:t xml:space="preserve"> </w:t>
      </w:r>
      <w:r w:rsidRPr="00BF4249">
        <w:rPr>
          <w:rFonts w:ascii="Calibri" w:hAnsi="Calibri" w:cs="Calibri"/>
          <w:color w:val="000000"/>
          <w:shd w:val="clear" w:color="auto" w:fill="FFFFFF"/>
        </w:rPr>
        <w:t>cent luminance contrast</w:t>
      </w:r>
      <w:r w:rsidRPr="00A72AED">
        <w:rPr>
          <w:rFonts w:ascii="Calibri" w:eastAsia="Times New Roman" w:hAnsi="Calibri" w:cs="Calibri"/>
          <w:color w:val="000000"/>
          <w:lang w:eastAsia="en-AU"/>
        </w:rPr>
        <w:t xml:space="preserve"> </w:t>
      </w:r>
      <w:r w:rsidRPr="00BF4249">
        <w:rPr>
          <w:rFonts w:ascii="Calibri" w:hAnsi="Calibri" w:cs="Calibri"/>
          <w:color w:val="000000"/>
          <w:shd w:val="clear" w:color="auto" w:fill="FFFFFF"/>
        </w:rPr>
        <w:t xml:space="preserve">is considered insufficient for people who are </w:t>
      </w:r>
      <w:r w:rsidRPr="009D52E4">
        <w:rPr>
          <w:rFonts w:ascii="Calibri" w:hAnsi="Calibri" w:cs="Calibri"/>
          <w:color w:val="000000"/>
          <w:shd w:val="clear" w:color="auto" w:fill="FFFFFF"/>
        </w:rPr>
        <w:t>blind or vision impaired.</w:t>
      </w:r>
      <w:r w:rsidRPr="009D52E4">
        <w:t xml:space="preserve"> This is a recurring concern where luminance contrast is an element of a reform area. </w:t>
      </w:r>
    </w:p>
    <w:p w14:paraId="3AD51A0D" w14:textId="7F52123F" w:rsidR="00E1199F" w:rsidRPr="009D52E4" w:rsidRDefault="00E1199F" w:rsidP="00E1199F">
      <w:pPr>
        <w:rPr>
          <w:rFonts w:ascii="Calibri" w:eastAsia="Times New Roman" w:hAnsi="Calibri" w:cs="Calibri"/>
          <w:color w:val="000000" w:themeColor="text1"/>
          <w:lang w:eastAsia="en-AU"/>
        </w:rPr>
      </w:pPr>
      <w:r w:rsidRPr="009D52E4">
        <w:rPr>
          <w:rFonts w:ascii="Calibri" w:hAnsi="Calibri" w:cs="Calibri"/>
          <w:color w:val="000000"/>
          <w:shd w:val="clear" w:color="auto" w:fill="FFFFFF"/>
        </w:rPr>
        <w:lastRenderedPageBreak/>
        <w:t>One submission from an industry stakeholder noted that luminance contrast</w:t>
      </w:r>
      <w:r w:rsidRPr="009D52E4">
        <w:rPr>
          <w:rFonts w:ascii="Calibri" w:eastAsia="Times New Roman" w:hAnsi="Calibri" w:cs="Calibri"/>
          <w:color w:val="000000"/>
          <w:lang w:eastAsia="en-AU"/>
        </w:rPr>
        <w:t xml:space="preserve"> reforms should not be applied to coach</w:t>
      </w:r>
      <w:r>
        <w:rPr>
          <w:rFonts w:ascii="Calibri" w:eastAsia="Times New Roman" w:hAnsi="Calibri" w:cs="Calibri"/>
          <w:color w:val="000000"/>
          <w:lang w:eastAsia="en-AU"/>
        </w:rPr>
        <w:t>es</w:t>
      </w:r>
      <w:r w:rsidRPr="009D52E4">
        <w:rPr>
          <w:rFonts w:ascii="Calibri" w:eastAsia="Times New Roman" w:hAnsi="Calibri" w:cs="Calibri"/>
          <w:color w:val="000000"/>
          <w:lang w:eastAsia="en-AU"/>
        </w:rPr>
        <w:t xml:space="preserve"> which are typically only fitted with front doors and do not experience high and regular passenger movement around doorways. The submission contended that the lumin</w:t>
      </w:r>
      <w:r>
        <w:rPr>
          <w:rFonts w:ascii="Calibri" w:eastAsia="Times New Roman" w:hAnsi="Calibri" w:cs="Calibri"/>
          <w:color w:val="000000"/>
          <w:lang w:eastAsia="en-AU"/>
        </w:rPr>
        <w:t>ance</w:t>
      </w:r>
      <w:r w:rsidRPr="009D52E4">
        <w:rPr>
          <w:rFonts w:ascii="Calibri" w:eastAsia="Times New Roman" w:hAnsi="Calibri" w:cs="Calibri"/>
          <w:color w:val="000000"/>
          <w:lang w:eastAsia="en-AU"/>
        </w:rPr>
        <w:t xml:space="preserve"> requirement does not provide the same passenger benefit.  Safety risks for coaches were also noted in that they operate frequently on high-speed roads and highways, use additional headlighting and experience reflection from other road vehicles. It was noted that additional lumin</w:t>
      </w:r>
      <w:r>
        <w:rPr>
          <w:rFonts w:ascii="Calibri" w:eastAsia="Times New Roman" w:hAnsi="Calibri" w:cs="Calibri"/>
          <w:color w:val="000000"/>
          <w:lang w:eastAsia="en-AU"/>
        </w:rPr>
        <w:t>ance</w:t>
      </w:r>
      <w:r w:rsidRPr="009D52E4">
        <w:rPr>
          <w:rFonts w:ascii="Calibri" w:eastAsia="Times New Roman" w:hAnsi="Calibri" w:cs="Calibri"/>
          <w:color w:val="000000"/>
          <w:lang w:eastAsia="en-AU"/>
        </w:rPr>
        <w:t xml:space="preserve"> doorway contrasts would create a vision distraction for the driver.</w:t>
      </w:r>
      <w:r>
        <w:rPr>
          <w:rFonts w:ascii="Calibri" w:eastAsia="Times New Roman" w:hAnsi="Calibri" w:cs="Calibri"/>
          <w:color w:val="000000"/>
          <w:lang w:eastAsia="en-AU"/>
        </w:rPr>
        <w:t xml:space="preserve"> The concerns regarding coaches did not apply to city buses</w:t>
      </w:r>
      <w:r w:rsidR="0015000C">
        <w:rPr>
          <w:rFonts w:ascii="Calibri" w:eastAsia="Times New Roman" w:hAnsi="Calibri" w:cs="Calibri"/>
          <w:color w:val="000000"/>
          <w:lang w:eastAsia="en-AU"/>
        </w:rPr>
        <w:t>;</w:t>
      </w:r>
      <w:r>
        <w:rPr>
          <w:rFonts w:ascii="Calibri" w:eastAsia="Times New Roman" w:hAnsi="Calibri" w:cs="Calibri"/>
          <w:color w:val="000000"/>
          <w:lang w:eastAsia="en-AU"/>
        </w:rPr>
        <w:t xml:space="preserve"> however, the </w:t>
      </w:r>
      <w:r w:rsidR="0015000C">
        <w:rPr>
          <w:rFonts w:ascii="Calibri" w:eastAsia="Times New Roman" w:hAnsi="Calibri" w:cs="Calibri"/>
          <w:color w:val="000000"/>
          <w:lang w:eastAsia="en-AU"/>
        </w:rPr>
        <w:t>stakeholder</w:t>
      </w:r>
      <w:r>
        <w:rPr>
          <w:rFonts w:ascii="Calibri" w:eastAsia="Times New Roman" w:hAnsi="Calibri" w:cs="Calibri"/>
          <w:color w:val="000000"/>
          <w:lang w:eastAsia="en-AU"/>
        </w:rPr>
        <w:t xml:space="preserve"> noted </w:t>
      </w:r>
      <w:r>
        <w:rPr>
          <w:rFonts w:ascii="Calibri" w:hAnsi="Calibri" w:cs="Calibri"/>
          <w:color w:val="000000"/>
          <w:shd w:val="clear" w:color="auto" w:fill="FFFFFF"/>
        </w:rPr>
        <w:t xml:space="preserve">the inclusion of luminance contrast requirements would be of a benefit given the high number of passenger movements in and around city buses. It was noted that these buses also have multiple passenger doors, where locations down the length of the bus varies depending on bus design and layout. </w:t>
      </w:r>
    </w:p>
    <w:p w14:paraId="1C554A41" w14:textId="77777777" w:rsidR="00E1199F" w:rsidRDefault="00E1199F" w:rsidP="00E1199F">
      <w:r w:rsidRPr="009D52E4">
        <w:t>As noted above, concerns were raised by governments and public transport operators regarding the inappropriateness, cost and complexity of implementing door height requirements.</w:t>
      </w:r>
      <w:r>
        <w:t xml:space="preserve"> One submission stated that there was no evidence from customer complaints that door heights in conveyances is an issue.</w:t>
      </w:r>
      <w:r w:rsidRPr="009D52E4">
        <w:t xml:space="preserve"> Some suggested they would support the regulatory option if these requirements were removed and included as conveyance specific guidance.</w:t>
      </w:r>
      <w:r>
        <w:t xml:space="preserve"> </w:t>
      </w:r>
    </w:p>
    <w:p w14:paraId="0F0E57D0" w14:textId="12852F28" w:rsidR="00E1199F" w:rsidRDefault="08D050C4" w:rsidP="08D050C4">
      <w:pPr>
        <w:shd w:val="clear" w:color="auto" w:fill="FFFFFF" w:themeFill="background1"/>
        <w:spacing w:after="0"/>
      </w:pPr>
      <w:r w:rsidRPr="08D050C4">
        <w:rPr>
          <w:rFonts w:ascii="Calibri" w:eastAsia="Times New Roman" w:hAnsi="Calibri" w:cs="Calibri"/>
          <w:color w:val="000000" w:themeColor="text1"/>
          <w:lang w:eastAsia="en-AU"/>
        </w:rPr>
        <w:t xml:space="preserve">Consistency in the luminance contrast and heights of doorways would allow a level of predictability across transport modes and </w:t>
      </w:r>
      <w:r w:rsidR="007C2931" w:rsidRPr="08D050C4">
        <w:rPr>
          <w:rFonts w:ascii="Calibri" w:eastAsia="Times New Roman" w:hAnsi="Calibri" w:cs="Calibri"/>
          <w:color w:val="000000" w:themeColor="text1"/>
          <w:lang w:eastAsia="en-AU"/>
        </w:rPr>
        <w:t>instill</w:t>
      </w:r>
      <w:r w:rsidRPr="08D050C4">
        <w:rPr>
          <w:rFonts w:ascii="Calibri" w:eastAsia="Times New Roman" w:hAnsi="Calibri" w:cs="Calibri"/>
          <w:color w:val="000000" w:themeColor="text1"/>
          <w:lang w:eastAsia="en-AU"/>
        </w:rPr>
        <w:t xml:space="preserve"> a greater level of confidence using multi modal transport for people with disability. One submission noted that consistency in transport systems is a common issue for people with disability, as accessibility often differs when changing transport conveyances. It was noted that regulated consistency in accessibility requirements for door height and contrast would assist with addressing this issue. The regulatory option would improve wayfinding for people with vision impairment and minimum door height clearance would improve safety for passengers.</w:t>
      </w:r>
      <w:r>
        <w:t xml:space="preserve"> Harmonisation with the Premises Standards and referencing contemporary Australian Standards would also provide clarity for operators and providers on their obligations under the DDA to assist in their compliance.</w:t>
      </w:r>
    </w:p>
    <w:p w14:paraId="29D8771B" w14:textId="77777777" w:rsidR="00E70AF7" w:rsidRPr="00363E9B" w:rsidRDefault="00E70AF7" w:rsidP="08D050C4">
      <w:pPr>
        <w:shd w:val="clear" w:color="auto" w:fill="FFFFFF" w:themeFill="background1"/>
        <w:spacing w:after="0"/>
        <w:rPr>
          <w:rFonts w:ascii="Calibri" w:eastAsia="Times New Roman" w:hAnsi="Calibri" w:cs="Calibri"/>
          <w:color w:val="000000" w:themeColor="text1"/>
          <w:lang w:eastAsia="en-AU"/>
        </w:rPr>
      </w:pPr>
    </w:p>
    <w:p w14:paraId="344B82E1" w14:textId="77777777" w:rsidR="00E1199F" w:rsidRDefault="00E1199F" w:rsidP="00E1199F">
      <w:pPr>
        <w:rPr>
          <w:b/>
        </w:rPr>
      </w:pPr>
      <w:r>
        <w:t xml:space="preserve">One submission from government outlined that the costs associated with this reform area are not commensurate with the benefit it would achieve. Many submissions noted there would be significant costs associated with retrofitting conveyance doors for height, or replacing conveyances with door heights that would be compliant. The mandating of contrast of doors will also impose a cost on operators and providers. This will apply to operators and providers who have not followed existing advice to contrast doors with their surroundings. </w:t>
      </w:r>
    </w:p>
    <w:p w14:paraId="4FE8D40B" w14:textId="77777777" w:rsidR="00E1199F" w:rsidRDefault="00E1199F" w:rsidP="00E1199F">
      <w:pPr>
        <w:pStyle w:val="Heading4"/>
      </w:pPr>
      <w:r>
        <w:t>Preferred option</w:t>
      </w:r>
    </w:p>
    <w:p w14:paraId="321B8FD3" w14:textId="1E77B3D1" w:rsidR="00E1199F" w:rsidRDefault="00E1199F" w:rsidP="00E1199F">
      <w:pPr>
        <w:spacing w:before="120" w:after="120"/>
      </w:pPr>
      <w:r>
        <w:t xml:space="preserve">Informed by the outcomes of consultation, stakeholder impacts, cost and outcomes analysis, the preferred option is the </w:t>
      </w:r>
      <w:r>
        <w:rPr>
          <w:b/>
        </w:rPr>
        <w:t xml:space="preserve">regulatory option with </w:t>
      </w:r>
      <w:r w:rsidR="00E373EB">
        <w:rPr>
          <w:b/>
          <w:bCs/>
        </w:rPr>
        <w:t>revisions</w:t>
      </w:r>
      <w:r>
        <w:rPr>
          <w:b/>
        </w:rPr>
        <w:t xml:space="preserve">. </w:t>
      </w:r>
    </w:p>
    <w:p w14:paraId="666965B8" w14:textId="2DD563CB" w:rsidR="00E1199F" w:rsidRPr="00F55FEE" w:rsidRDefault="00E1199F" w:rsidP="00CF7427">
      <w:pPr>
        <w:pStyle w:val="Style5"/>
        <w:framePr w:wrap="around"/>
      </w:pPr>
      <w:r>
        <w:lastRenderedPageBreak/>
        <w:t xml:space="preserve">Following strong feedback from government and industry that the proposed minimum height requirements for conveyance doors were not feasible or appropriate due to </w:t>
      </w:r>
      <w:r>
        <w:rPr>
          <w:shd w:val="clear" w:color="auto" w:fill="FFFFFF"/>
        </w:rPr>
        <w:t xml:space="preserve">structural impacts and design complexity and constraints, </w:t>
      </w:r>
      <w:r>
        <w:t>this option has been refined to remove requirements relating to minimum door height clearance</w:t>
      </w:r>
      <w:r>
        <w:rPr>
          <w:shd w:val="clear" w:color="auto" w:fill="FFFFFF"/>
        </w:rPr>
        <w:t xml:space="preserve">. </w:t>
      </w:r>
      <w:r w:rsidR="003431B1" w:rsidRPr="003431B1">
        <w:t xml:space="preserve">In </w:t>
      </w:r>
      <w:r w:rsidR="003431B1">
        <w:t xml:space="preserve">addition, in </w:t>
      </w:r>
      <w:r w:rsidR="003431B1" w:rsidRPr="003431B1">
        <w:t xml:space="preserve">response to safety concerns raised during consultation, the luminance contrasting requirements </w:t>
      </w:r>
      <w:r w:rsidR="003431B1">
        <w:t xml:space="preserve">will not apply to </w:t>
      </w:r>
      <w:r w:rsidR="003431B1" w:rsidRPr="003431B1">
        <w:t xml:space="preserve">coaches. </w:t>
      </w:r>
      <w:r>
        <w:t>Th</w:t>
      </w:r>
      <w:r w:rsidRPr="00D25D11">
        <w:t>e Transport Standards Guidelines and / or The Whole Journey Guide</w:t>
      </w:r>
      <w:r>
        <w:t xml:space="preserve"> will be updated to include advice that doorway height </w:t>
      </w:r>
      <w:r>
        <w:rPr>
          <w:shd w:val="clear" w:color="auto" w:fill="FFFFFF"/>
        </w:rPr>
        <w:t>should be adjusted to take maximum advantage of conveyance design</w:t>
      </w:r>
      <w:r w:rsidR="003431B1">
        <w:rPr>
          <w:shd w:val="clear" w:color="auto" w:fill="FFFFFF"/>
        </w:rPr>
        <w:t>. Guidance will also be provided regarding</w:t>
      </w:r>
      <w:r w:rsidR="003431B1" w:rsidRPr="003431B1">
        <w:t xml:space="preserve"> good practice for luminance contrast of coach doorways where safe and appropriate</w:t>
      </w:r>
      <w:r>
        <w:rPr>
          <w:shd w:val="clear" w:color="auto" w:fill="FFFFFF"/>
        </w:rPr>
        <w:t xml:space="preserve">. </w:t>
      </w: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 xml:space="preserve">AS1428.1 (2021), reference to AS1428.1 (2009) </w:t>
      </w:r>
      <w:r>
        <w:t>clause</w:t>
      </w:r>
      <w:r w:rsidR="003431B1">
        <w:t>s</w:t>
      </w:r>
      <w:r>
        <w:t xml:space="preserve"> </w:t>
      </w:r>
      <w:r w:rsidRPr="00F55FEE">
        <w:t>13.1</w:t>
      </w:r>
      <w:r w:rsidR="003431B1">
        <w:t xml:space="preserve"> and 13.2</w:t>
      </w:r>
      <w:r w:rsidRPr="00F55FEE">
        <w:t xml:space="preserve"> </w:t>
      </w:r>
      <w:r w:rsidRPr="00F55FEE">
        <w:rPr>
          <w:shd w:val="clear" w:color="auto" w:fill="FFFFFF"/>
        </w:rPr>
        <w:t>will be updated with the equivalent clause reference</w:t>
      </w:r>
      <w:r w:rsidR="000764F1">
        <w:rPr>
          <w:shd w:val="clear" w:color="auto" w:fill="FFFFFF"/>
        </w:rPr>
        <w:t xml:space="preserve"> </w:t>
      </w:r>
      <w:r w:rsidRPr="00F55FEE">
        <w:rPr>
          <w:shd w:val="clear" w:color="auto" w:fill="FFFFFF"/>
        </w:rPr>
        <w:t xml:space="preserve">in </w:t>
      </w:r>
      <w:r w:rsidRPr="00F55FEE">
        <w:t xml:space="preserve">AS1428.1 (2021). There is no material change to the content of these updated Australian Standards clauses. However, reference to AS1428.1 (2009) 6.6 will be retained as the equivalent </w:t>
      </w:r>
      <w:r w:rsidRPr="00F55FEE">
        <w:rPr>
          <w:shd w:val="clear" w:color="auto" w:fill="FFFFFF"/>
        </w:rPr>
        <w:t xml:space="preserve">references in </w:t>
      </w:r>
      <w:r w:rsidRPr="00F55FEE">
        <w:t>AS1428.1 (2021) contains technical additions that are not equivalent to the AS1428.1 (2009) reference.</w:t>
      </w:r>
      <w:r w:rsidR="003431B1">
        <w:t xml:space="preserve"> </w:t>
      </w:r>
    </w:p>
    <w:p w14:paraId="10CA1F3A" w14:textId="64BDC582" w:rsidR="00E1199F" w:rsidRDefault="00E373EB" w:rsidP="003431B1">
      <w:pPr>
        <w:spacing w:before="120" w:after="120"/>
      </w:pPr>
      <w:r>
        <w:rPr>
          <w:rFonts w:ascii="Calibri" w:hAnsi="Calibri" w:cs="Calibri"/>
          <w:color w:val="000000"/>
          <w:shd w:val="clear" w:color="auto" w:fill="FFFFFF"/>
        </w:rPr>
        <w:br/>
      </w:r>
      <w:r w:rsidR="00E1199F">
        <w:t>While requirements regarding minimum door heights would reduce the risk of head strike, the requirement for luminance contrasted door elements will also reduce this risk. For people who have vision impairments, the requirement for luminance contrasted door elements will also be beneficial for wayfinding. Operators and providers will also have greater confidence if provided with a more contemporary reference for contrast requirements.</w:t>
      </w:r>
    </w:p>
    <w:p w14:paraId="351CA573" w14:textId="73C79FEA" w:rsidR="00E1199F" w:rsidRDefault="08D050C4" w:rsidP="00E1199F">
      <w:pPr>
        <w:spacing w:before="120" w:after="120"/>
      </w:pPr>
      <w:r>
        <w:t xml:space="preserve">While acknowledging concerns from organisations representing the blind community and those with low vision regarding the proposed luminance contrasting requirements, these requirements have been developed by </w:t>
      </w:r>
      <w:r w:rsidR="0015000C">
        <w:t xml:space="preserve">a </w:t>
      </w:r>
      <w:r>
        <w:t xml:space="preserve">Standards Australia technical committee to ensure products, services, and systems are safe, consistent, and reliable. The objective of the referenced </w:t>
      </w:r>
      <w:r w:rsidR="0015000C">
        <w:t>Australian</w:t>
      </w:r>
      <w:r>
        <w:t xml:space="preserve"> Standards is to provide design requirements to enable access for people with disabilities. The Australian Standards note that the design requirements should be regarded as a minimum. The regulatory option reiterates that this requirement should be regarded as a minimum and this will be further emphasised in updating the Transport Standards Guidelines and /or The Whole Journey Guide to reflect the new requirements.</w:t>
      </w:r>
    </w:p>
    <w:p w14:paraId="2703FB27" w14:textId="25DC327B" w:rsidR="00E1199F" w:rsidRDefault="003431B1" w:rsidP="00E1199F">
      <w:r>
        <w:t>Luminance c</w:t>
      </w:r>
      <w:r w:rsidR="00E1199F">
        <w:t>ontrast</w:t>
      </w:r>
      <w:r>
        <w:t xml:space="preserve"> of doorways have</w:t>
      </w:r>
      <w:r w:rsidR="00E1199F">
        <w:t xml:space="preserve"> been advised in </w:t>
      </w:r>
      <w:r>
        <w:t xml:space="preserve">the </w:t>
      </w:r>
      <w:r w:rsidR="00E1199F">
        <w:t>Transport Standards but the regulatory option would see this advice being mandated. Costs will be incurred by operators and providers who have not followed the advice to contrast doors with their surroundings</w:t>
      </w:r>
      <w:r>
        <w:t>, however s</w:t>
      </w:r>
      <w:r>
        <w:rPr>
          <w:rFonts w:ascii="Calibri" w:eastAsia="Calibri" w:hAnsi="Calibri" w:cs="Times New Roman"/>
          <w:color w:val="000000"/>
        </w:rPr>
        <w:t>ubmissions indicate costs are anticipated to be low and the requirements will be easy to implement.</w:t>
      </w:r>
    </w:p>
    <w:p w14:paraId="0EAD1BA9" w14:textId="7DA25827" w:rsidR="00E1199F" w:rsidRDefault="00E1199F" w:rsidP="00E1199F">
      <w:r>
        <w:t xml:space="preserve">This option provides a balance of improved accessibility and safety for people with disability, while providing a feasible and practical solution for public transport operators and providers to implement. </w:t>
      </w:r>
    </w:p>
    <w:p w14:paraId="0947360C" w14:textId="7A3B392A" w:rsidR="00457629" w:rsidRPr="003431B1" w:rsidRDefault="000F79C9" w:rsidP="003431B1">
      <w:pPr>
        <w:rPr>
          <w:rFonts w:ascii="Calibri" w:eastAsia="Calibri" w:hAnsi="Calibri" w:cs="Times New Roman"/>
          <w:color w:val="000000" w:themeColor="text1"/>
        </w:rPr>
      </w:pPr>
      <w:r w:rsidRPr="00ED1853">
        <w:t xml:space="preserve">The preferred option will be implemented through amendments to the Transport Standards and Guidelines. Operators and providers will be required to meet the new Transport Standards requirements </w:t>
      </w:r>
      <w:r w:rsidR="00E1199F" w:rsidRPr="00ED1853">
        <w:rPr>
          <w:rFonts w:ascii="Calibri" w:eastAsia="Calibri" w:hAnsi="Calibri" w:cs="Times New Roman"/>
          <w:color w:val="000000" w:themeColor="text1"/>
        </w:rPr>
        <w:t>retrospectively within 5 years of commencement.</w:t>
      </w:r>
      <w:r w:rsidR="00E1199F" w:rsidRPr="169A030C">
        <w:rPr>
          <w:rFonts w:ascii="Calibri" w:eastAsia="Calibri" w:hAnsi="Calibri" w:cs="Times New Roman"/>
          <w:color w:val="000000" w:themeColor="text1"/>
        </w:rPr>
        <w:t xml:space="preserve"> </w:t>
      </w:r>
      <w:bookmarkStart w:id="706" w:name="_Hlk130395242"/>
      <w:r w:rsidR="003431B1">
        <w:rPr>
          <w:rFonts w:ascii="Calibri" w:hAnsi="Calibri" w:cs="Calibri"/>
          <w:color w:val="000000"/>
          <w:shd w:val="clear" w:color="auto" w:fill="FFFFFF"/>
        </w:rPr>
        <w:t xml:space="preserve">The compliance schedule proposed would allow time to audit existing assets and implement upgrades, where required. </w:t>
      </w:r>
      <w:r w:rsidR="003431B1" w:rsidRPr="00071182">
        <w:rPr>
          <w:rFonts w:ascii="Calibri" w:eastAsia="Calibri" w:hAnsi="Calibri" w:cs="Times New Roman"/>
          <w:color w:val="000000"/>
        </w:rPr>
        <w:t>This would address the primary concerns of stakeholders.</w:t>
      </w:r>
      <w:bookmarkEnd w:id="706"/>
    </w:p>
    <w:p w14:paraId="51E9C4F0" w14:textId="22B022CF" w:rsidR="00046C30" w:rsidRPr="00F70AD7" w:rsidRDefault="00046C30" w:rsidP="00666DE9">
      <w:pPr>
        <w:pStyle w:val="Heading2"/>
        <w:numPr>
          <w:ilvl w:val="0"/>
          <w:numId w:val="30"/>
        </w:numPr>
        <w:ind w:hanging="720"/>
      </w:pPr>
      <w:bookmarkStart w:id="707" w:name="_Toc140239771"/>
      <w:bookmarkStart w:id="708" w:name="_Toc127351816"/>
      <w:bookmarkStart w:id="709" w:name="_Toc127351814"/>
      <w:bookmarkStart w:id="710" w:name="_Hlk127356442"/>
      <w:r>
        <w:lastRenderedPageBreak/>
        <w:t>Stage 1 reform areas and preferred options</w:t>
      </w:r>
      <w:bookmarkEnd w:id="707"/>
    </w:p>
    <w:p w14:paraId="5C8A752A" w14:textId="0AF68F4E" w:rsidR="00046C30" w:rsidRDefault="00046C30" w:rsidP="00046C30">
      <w:r>
        <w:t xml:space="preserve">The reform process is being undertaken in two stages. Stage 1 covered 16 areas of reform and a group of amendments to Australian Standards </w:t>
      </w:r>
      <w:r w:rsidR="0015000C">
        <w:t>referenced</w:t>
      </w:r>
      <w:r>
        <w:t xml:space="preserve"> in the Transport Standards. On 12</w:t>
      </w:r>
      <w:r w:rsidR="0015000C">
        <w:t> </w:t>
      </w:r>
      <w:r>
        <w:t>February 2021, the Department released a Consultation RIS for Stage 1 of the reform process outlining the proposed reform options.</w:t>
      </w:r>
      <w:r w:rsidRPr="00796CC7">
        <w:t xml:space="preserve"> The Consultation RIS was open for public feedback until 23</w:t>
      </w:r>
      <w:r w:rsidR="0015000C">
        <w:t> </w:t>
      </w:r>
      <w:r w:rsidRPr="00796CC7">
        <w:t xml:space="preserve">April 2021. The </w:t>
      </w:r>
      <w:r>
        <w:t>Consultation RIS</w:t>
      </w:r>
      <w:r w:rsidRPr="00796CC7">
        <w:t xml:space="preserve"> sought public feedback on whether the proposed reform options will improve public transport accessibility for people with disability</w:t>
      </w:r>
      <w:r>
        <w:t xml:space="preserve"> and support operators and providers to remove discrimination from their services</w:t>
      </w:r>
      <w:r w:rsidRPr="00796CC7">
        <w:t>.</w:t>
      </w:r>
      <w:r>
        <w:t xml:space="preserve"> </w:t>
      </w:r>
    </w:p>
    <w:p w14:paraId="46BDA366" w14:textId="591395F2" w:rsidR="00046C30" w:rsidRPr="00796CC7" w:rsidRDefault="00046C30" w:rsidP="00046C30">
      <w:pPr>
        <w:rPr>
          <w:rFonts w:ascii="Calibri" w:eastAsia="Calibri" w:hAnsi="Calibri" w:cs="Times New Roman"/>
          <w:color w:val="000000" w:themeColor="text1"/>
        </w:rPr>
      </w:pPr>
      <w:r>
        <w:t xml:space="preserve">Following consultation, the Department developed a Decision RIS that outlined findings from public consultations, the illustrative costs and benefits for each reform option and presented a preferred option for consideration by Ministers. </w:t>
      </w:r>
      <w:r w:rsidRPr="169A030C">
        <w:rPr>
          <w:rFonts w:ascii="Calibri" w:eastAsia="Calibri" w:hAnsi="Calibri" w:cs="Times New Roman"/>
          <w:color w:val="000000" w:themeColor="text1"/>
        </w:rPr>
        <w:t xml:space="preserve">Reform options for Stage 1 were confirmed by Transport Ministers at the Infrastructure and Transport Ministers Meeting on 11 February 2022. The Stage 1 Decision Regulation Impact Statement did not address how agreed </w:t>
      </w:r>
      <w:r w:rsidR="0015000C">
        <w:rPr>
          <w:rFonts w:ascii="Calibri" w:eastAsia="Calibri" w:hAnsi="Calibri" w:cs="Times New Roman"/>
          <w:color w:val="000000" w:themeColor="text1"/>
        </w:rPr>
        <w:t xml:space="preserve">Stage 1 </w:t>
      </w:r>
      <w:r w:rsidRPr="169A030C">
        <w:rPr>
          <w:rFonts w:ascii="Calibri" w:eastAsia="Calibri" w:hAnsi="Calibri" w:cs="Times New Roman"/>
          <w:color w:val="000000" w:themeColor="text1"/>
        </w:rPr>
        <w:t>reform options w</w:t>
      </w:r>
      <w:r w:rsidR="0015000C">
        <w:rPr>
          <w:rFonts w:ascii="Calibri" w:eastAsia="Calibri" w:hAnsi="Calibri" w:cs="Times New Roman"/>
          <w:color w:val="000000" w:themeColor="text1"/>
        </w:rPr>
        <w:t>ould</w:t>
      </w:r>
      <w:r w:rsidRPr="169A030C">
        <w:rPr>
          <w:rFonts w:ascii="Calibri" w:eastAsia="Calibri" w:hAnsi="Calibri" w:cs="Times New Roman"/>
          <w:color w:val="000000" w:themeColor="text1"/>
        </w:rPr>
        <w:t xml:space="preserve"> be implemented. As such, the Stage 2 Decision RIS also presents recommended implementation approaches for Stage 1 reform areas. </w:t>
      </w:r>
    </w:p>
    <w:p w14:paraId="74326368" w14:textId="15FF18BB" w:rsidR="00046C30" w:rsidRDefault="169A030C"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 xml:space="preserve">Further information about Stage 1 of the reform process can be viewed at </w:t>
      </w:r>
      <w:hyperlink r:id="rId30">
        <w:r w:rsidRPr="169A030C">
          <w:rPr>
            <w:rStyle w:val="Hyperlink"/>
            <w:rFonts w:ascii="Calibri" w:eastAsia="Calibri" w:hAnsi="Calibri" w:cs="Times New Roman"/>
          </w:rPr>
          <w:t>infrastructure.gov.au/infrastructure-transport-vehicles/transport-accessibility/reform-transport-standards/stage-1-reforms</w:t>
        </w:r>
      </w:hyperlink>
      <w:r w:rsidRPr="169A030C">
        <w:rPr>
          <w:rFonts w:ascii="Calibri" w:eastAsia="Calibri" w:hAnsi="Calibri" w:cs="Times New Roman"/>
          <w:color w:val="000000" w:themeColor="text1"/>
        </w:rPr>
        <w:t>.</w:t>
      </w:r>
    </w:p>
    <w:p w14:paraId="4C1C8770"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This chapter provides an overview of all Stage 1 reform areas, outlining the issue, agreed reform option, proposed implementation approach and any interactions with Stage 2 reform areas.</w:t>
      </w:r>
      <w:r>
        <w:br/>
      </w:r>
    </w:p>
    <w:p w14:paraId="7D84BADC" w14:textId="77777777" w:rsidR="00046C30" w:rsidRPr="008F7EAB" w:rsidRDefault="00046C30" w:rsidP="00666DE9">
      <w:pPr>
        <w:keepNext/>
        <w:numPr>
          <w:ilvl w:val="0"/>
          <w:numId w:val="38"/>
        </w:numPr>
        <w:suppressAutoHyphens/>
        <w:spacing w:before="160" w:after="80"/>
        <w:ind w:left="142" w:hanging="142"/>
        <w:outlineLvl w:val="2"/>
        <w:rPr>
          <w:rFonts w:ascii="Calibri" w:eastAsia="Calibri" w:hAnsi="Calibri" w:cs="Calibri"/>
          <w:color w:val="081E3E"/>
          <w:sz w:val="36"/>
          <w:szCs w:val="36"/>
        </w:rPr>
      </w:pPr>
      <w:bookmarkStart w:id="711" w:name="_Toc130912578"/>
      <w:bookmarkStart w:id="712" w:name="_Toc130914477"/>
      <w:bookmarkStart w:id="713" w:name="_Toc132381963"/>
      <w:bookmarkStart w:id="714" w:name="_Toc140239772"/>
      <w:r>
        <w:rPr>
          <w:rFonts w:ascii="Calibri" w:eastAsia="Calibri" w:hAnsi="Calibri" w:cs="Calibri"/>
          <w:color w:val="081E3E"/>
          <w:kern w:val="12"/>
          <w:sz w:val="36"/>
          <w:szCs w:val="36"/>
        </w:rPr>
        <w:t>Staff Training and Communication</w:t>
      </w:r>
      <w:bookmarkEnd w:id="711"/>
      <w:bookmarkEnd w:id="712"/>
      <w:bookmarkEnd w:id="713"/>
      <w:bookmarkEnd w:id="714"/>
    </w:p>
    <w:p w14:paraId="68018EB1" w14:textId="77777777" w:rsidR="00046C30" w:rsidRDefault="00046C30" w:rsidP="00046C30">
      <w:r w:rsidRPr="005818B7">
        <w:t>There are no regulatory requirements for staff training in the Transport Standards.</w:t>
      </w:r>
      <w:r>
        <w:t xml:space="preserve"> </w:t>
      </w:r>
      <w:r w:rsidRPr="00345FDE">
        <w:t>The interactions between staff and customers with disability can affect the extent to which people with disability access public transport.</w:t>
      </w:r>
    </w:p>
    <w:p w14:paraId="1ECC176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B195048" w14:textId="3E41961B" w:rsidR="00046C30" w:rsidRPr="008F7EAB" w:rsidRDefault="00046C30" w:rsidP="00046C30">
      <w:r>
        <w:t>The following option was agreed by transport ministers in the Stage 1 Decision Regulation Impact Statement.</w:t>
      </w:r>
    </w:p>
    <w:p w14:paraId="69393E98" w14:textId="782DF612" w:rsidR="0015000C" w:rsidRPr="0015000C" w:rsidRDefault="0015000C" w:rsidP="0015000C">
      <w:pPr>
        <w:pStyle w:val="Caption"/>
      </w:pPr>
      <w:bookmarkStart w:id="715" w:name="_Toc139969330"/>
      <w:r w:rsidRPr="008F7EAB">
        <w:t xml:space="preserve">Table </w:t>
      </w:r>
      <w:fldSimple w:instr=" SEQ Table \* ARABIC ">
        <w:r w:rsidR="00DC26AC">
          <w:rPr>
            <w:noProof/>
          </w:rPr>
          <w:t>172</w:t>
        </w:r>
      </w:fldSimple>
      <w:r w:rsidRPr="008F7EAB">
        <w:rPr>
          <w:noProof/>
        </w:rPr>
        <w:t>:</w:t>
      </w:r>
      <w:r>
        <w:t xml:space="preserve"> Preferred option for Staff Training and Communication</w:t>
      </w:r>
      <w:bookmarkEnd w:id="715"/>
    </w:p>
    <w:tbl>
      <w:tblPr>
        <w:tblStyle w:val="DefaultTable1"/>
        <w:tblpPr w:leftFromText="180" w:rightFromText="180" w:vertAnchor="text" w:horzAnchor="margin" w:tblpY="657"/>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0A5645E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33AD0A98" w14:textId="77777777" w:rsidR="00046C30" w:rsidRPr="00666DE9" w:rsidRDefault="00046C30" w:rsidP="008877FC">
            <w:pPr>
              <w:pStyle w:val="Tablerowcolumnheading"/>
              <w:keepNext/>
              <w:tabs>
                <w:tab w:val="left" w:pos="284"/>
              </w:tabs>
              <w:rPr>
                <w:b/>
                <w:color w:val="auto"/>
                <w:sz w:val="22"/>
                <w:szCs w:val="22"/>
              </w:rPr>
            </w:pPr>
            <w:r w:rsidRPr="00666DE9">
              <w:rPr>
                <w:b/>
                <w:color w:val="auto"/>
                <w:sz w:val="22"/>
                <w:szCs w:val="22"/>
              </w:rPr>
              <w:t>Option</w:t>
            </w:r>
          </w:p>
        </w:tc>
        <w:tc>
          <w:tcPr>
            <w:tcW w:w="6840" w:type="dxa"/>
            <w:shd w:val="clear" w:color="auto" w:fill="auto"/>
          </w:tcPr>
          <w:p w14:paraId="107C4456" w14:textId="77777777" w:rsidR="00046C30" w:rsidRPr="00666DE9" w:rsidRDefault="00046C30" w:rsidP="008877FC">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b/>
                <w:color w:val="auto"/>
                <w:sz w:val="22"/>
                <w:szCs w:val="22"/>
              </w:rPr>
            </w:pPr>
            <w:r w:rsidRPr="00666DE9">
              <w:rPr>
                <w:b/>
                <w:color w:val="auto"/>
                <w:sz w:val="22"/>
                <w:szCs w:val="22"/>
              </w:rPr>
              <w:t>Description</w:t>
            </w:r>
          </w:p>
        </w:tc>
      </w:tr>
      <w:tr w:rsidR="00046C30" w:rsidRPr="008F7EAB" w14:paraId="6427DB6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AC54ECB" w14:textId="77777777" w:rsidR="00046C30" w:rsidRPr="00796D5E" w:rsidRDefault="00046C30" w:rsidP="008877FC">
            <w:pPr>
              <w:pStyle w:val="Tablerowcolumnheading"/>
              <w:keepNext/>
              <w:tabs>
                <w:tab w:val="left" w:pos="284"/>
              </w:tabs>
              <w:rPr>
                <w:b/>
                <w:sz w:val="22"/>
                <w:szCs w:val="22"/>
              </w:rPr>
            </w:pPr>
            <w:r w:rsidRPr="169A030C">
              <w:rPr>
                <w:b/>
                <w:sz w:val="22"/>
                <w:szCs w:val="22"/>
              </w:rPr>
              <w:t>Regulatory</w:t>
            </w:r>
          </w:p>
        </w:tc>
        <w:tc>
          <w:tcPr>
            <w:tcW w:w="6840" w:type="dxa"/>
          </w:tcPr>
          <w:p w14:paraId="6E6C9656" w14:textId="77777777" w:rsidR="00046C30" w:rsidRPr="00796D5E" w:rsidRDefault="00046C30" w:rsidP="008877FC">
            <w:pPr>
              <w:pStyle w:val="Tablerowcolumnheading"/>
              <w:keepNext/>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A new section will be inserted into the Transport Standards which specifies performance requirements for the provision, development and implementation of staff training. The new section will specify that public transport operators and providers must:</w:t>
            </w:r>
          </w:p>
          <w:p w14:paraId="56D06437"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Conduct tailored training to meet the specific roles and responsibilities of staff.</w:t>
            </w:r>
          </w:p>
          <w:p w14:paraId="13A17F4E"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lastRenderedPageBreak/>
              <w:t xml:space="preserve">Conduct refresher training. </w:t>
            </w:r>
          </w:p>
          <w:p w14:paraId="359D8756"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Consult with people with disability, or groups representing people with disability, when developing and reviewing training materials to ensure appropriate content is included.</w:t>
            </w:r>
          </w:p>
          <w:p w14:paraId="775DCA53" w14:textId="77777777" w:rsidR="00046C30" w:rsidRPr="00796D5E" w:rsidRDefault="00046C30" w:rsidP="006F65FB">
            <w:pPr>
              <w:pStyle w:val="Tablerowcolumnheading"/>
              <w:keepNext/>
              <w:numPr>
                <w:ilvl w:val="0"/>
                <w:numId w:val="39"/>
              </w:numPr>
              <w:tabs>
                <w:tab w:val="left" w:pos="284"/>
              </w:tabs>
              <w:cnfStyle w:val="000000100000" w:firstRow="0" w:lastRow="0" w:firstColumn="0" w:lastColumn="0" w:oddVBand="0" w:evenVBand="0" w:oddHBand="1" w:evenHBand="0" w:firstRowFirstColumn="0" w:firstRowLastColumn="0" w:lastRowFirstColumn="0" w:lastRowLastColumn="0"/>
              <w:rPr>
                <w:b w:val="0"/>
                <w:sz w:val="22"/>
                <w:szCs w:val="22"/>
              </w:rPr>
            </w:pPr>
            <w:r w:rsidRPr="169A030C">
              <w:rPr>
                <w:b w:val="0"/>
                <w:sz w:val="22"/>
                <w:szCs w:val="22"/>
              </w:rPr>
              <w:t>Ensure training is delivered by a qualified trainer.</w:t>
            </w:r>
          </w:p>
        </w:tc>
      </w:tr>
    </w:tbl>
    <w:p w14:paraId="3792F21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1B5E57EA" w14:textId="77777777" w:rsidR="00046C30" w:rsidRDefault="00046C30" w:rsidP="00046C30">
      <w:r>
        <w:t xml:space="preserve">There are no interactions between this reform area and Stage 2 of the reform process. </w:t>
      </w:r>
    </w:p>
    <w:p w14:paraId="0D5F73A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21E426EF" w14:textId="77777777" w:rsidR="00046C30" w:rsidRDefault="00046C30" w:rsidP="00046C30">
      <w:r w:rsidRPr="00706510">
        <w:t>The preferred option will be implemented through amendments to the Transport Standards and Guidelines. Operators and providers will be required to meet the new Transport Standards requirements retrospectively with a compliance schedule timing of 5 years.</w:t>
      </w:r>
      <w:r>
        <w:br/>
      </w:r>
    </w:p>
    <w:p w14:paraId="48B655D2"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16" w:name="_Toc130912579"/>
      <w:bookmarkStart w:id="717" w:name="_Toc130914478"/>
      <w:bookmarkStart w:id="718" w:name="_Toc132381964"/>
      <w:bookmarkStart w:id="719" w:name="_Toc140239773"/>
      <w:r>
        <w:rPr>
          <w:rFonts w:ascii="Calibri" w:eastAsia="Calibri" w:hAnsi="Calibri" w:cs="Calibri"/>
          <w:color w:val="081E3E"/>
          <w:kern w:val="12"/>
          <w:sz w:val="36"/>
          <w:szCs w:val="36"/>
        </w:rPr>
        <w:t>Mobility aid safety</w:t>
      </w:r>
      <w:bookmarkEnd w:id="716"/>
      <w:bookmarkEnd w:id="717"/>
      <w:bookmarkEnd w:id="718"/>
      <w:bookmarkEnd w:id="719"/>
    </w:p>
    <w:p w14:paraId="16073F92" w14:textId="77777777" w:rsidR="00046C30" w:rsidRDefault="00046C30" w:rsidP="00046C30">
      <w:r w:rsidRPr="00E205DD">
        <w:t>Submissions to reviews of the Transport Standards identified a need for further clarity and guidance for both operators and customers on the safety measures for customers travelling in mobility aids whilst in transit. This issue is particularly relevant for buses, trams and light rail as passengers in these conveyances are sometimes subject to significant displacement forces during starts, stops and turns, which are a product of the dynamics of the street road environment. At times, mobility aids will unexpectedly slide or tip out of allocated spaces and into the aisle when these forces are suddenly experienced.</w:t>
      </w:r>
    </w:p>
    <w:p w14:paraId="2F1E753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E82B8A2" w14:textId="77777777" w:rsidR="00046C30" w:rsidRPr="008F7EAB" w:rsidRDefault="00046C30" w:rsidP="00046C30">
      <w:r>
        <w:t>The following option was agreed by transport ministers in the Stage 1 Decision Regulation Impact Statement.</w:t>
      </w:r>
    </w:p>
    <w:p w14:paraId="37F204E8" w14:textId="52412390" w:rsidR="00046C30" w:rsidRPr="008F7EAB" w:rsidRDefault="00046C30" w:rsidP="00046C30">
      <w:pPr>
        <w:pStyle w:val="Caption"/>
      </w:pPr>
      <w:bookmarkStart w:id="720" w:name="_Toc139969331"/>
      <w:r w:rsidRPr="008F7EAB">
        <w:t xml:space="preserve">Table </w:t>
      </w:r>
      <w:fldSimple w:instr=" SEQ Table \* ARABIC ">
        <w:r w:rsidR="00DC26AC">
          <w:rPr>
            <w:noProof/>
          </w:rPr>
          <w:t>173</w:t>
        </w:r>
      </w:fldSimple>
      <w:r w:rsidRPr="008F7EAB">
        <w:rPr>
          <w:noProof/>
        </w:rPr>
        <w:t>:</w:t>
      </w:r>
      <w:r>
        <w:t xml:space="preserve"> Preferred option for </w:t>
      </w:r>
      <w:r w:rsidRPr="00924AFB">
        <w:t>Mobility aid safety</w:t>
      </w:r>
      <w:bookmarkEnd w:id="72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57AB701B"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AB2FAE4"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1F4FE907"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AAF7AB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6F8AF59"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6D6BC69E" w14:textId="77777777" w:rsidR="00046C30" w:rsidRPr="00E205DD"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E205DD">
              <w:rPr>
                <w:rFonts w:ascii="Calibri" w:eastAsia="Calibri" w:hAnsi="Calibri" w:cs="Times New Roman"/>
              </w:rPr>
              <w:t xml:space="preserve">Guidance </w:t>
            </w:r>
            <w:r>
              <w:rPr>
                <w:rFonts w:ascii="Calibri" w:eastAsia="Calibri" w:hAnsi="Calibri" w:cs="Times New Roman"/>
              </w:rPr>
              <w:t>will</w:t>
            </w:r>
            <w:r w:rsidRPr="00E205DD">
              <w:rPr>
                <w:rFonts w:ascii="Calibri" w:eastAsia="Calibri" w:hAnsi="Calibri" w:cs="Times New Roman"/>
              </w:rPr>
              <w:t xml:space="preserve"> be included in The Whole Journey Guide concerning mobility aids on conveyances. This guidance </w:t>
            </w:r>
            <w:r>
              <w:rPr>
                <w:rFonts w:ascii="Calibri" w:eastAsia="Calibri" w:hAnsi="Calibri" w:cs="Times New Roman"/>
              </w:rPr>
              <w:t>will</w:t>
            </w:r>
            <w:r w:rsidRPr="00E205DD">
              <w:rPr>
                <w:rFonts w:ascii="Calibri" w:eastAsia="Calibri" w:hAnsi="Calibri" w:cs="Times New Roman"/>
              </w:rPr>
              <w:t xml:space="preserve"> outline considerations for designers with regard to improving the safety of mobility aid users travelling on a conveyance, in particular, on buses, trams and light rail where they are subject to greater forward and lateral movements.</w:t>
            </w:r>
            <w:r>
              <w:rPr>
                <w:rFonts w:ascii="Calibri" w:eastAsia="Calibri" w:hAnsi="Calibri" w:cs="Times New Roman"/>
              </w:rPr>
              <w:t xml:space="preserve"> </w:t>
            </w:r>
          </w:p>
        </w:tc>
      </w:tr>
    </w:tbl>
    <w:p w14:paraId="19034D6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2EBCD4CA" w14:textId="77777777" w:rsidR="00046C30" w:rsidRPr="0073299C" w:rsidRDefault="00046C30" w:rsidP="00046C30">
      <w:r>
        <w:t xml:space="preserve">There is no duplication or contradiction between </w:t>
      </w:r>
      <w:r w:rsidRPr="003D163C">
        <w:rPr>
          <w:i/>
          <w:iCs/>
        </w:rPr>
        <w:t>Chapter 5: Mobility aid safety</w:t>
      </w:r>
      <w:r>
        <w:t xml:space="preserve"> of Stage 1 and Reform Proposal </w:t>
      </w:r>
      <w:r w:rsidRPr="007E5913">
        <w:rPr>
          <w:i/>
          <w:iCs/>
        </w:rPr>
        <w:t>53</w:t>
      </w:r>
      <w:r>
        <w:rPr>
          <w:i/>
          <w:iCs/>
        </w:rPr>
        <w:t>.</w:t>
      </w:r>
      <w:r w:rsidRPr="007E5913">
        <w:rPr>
          <w:i/>
          <w:iCs/>
        </w:rPr>
        <w:t xml:space="preserve"> Mobility aid movement in allocated spaces: Passive restraints</w:t>
      </w:r>
      <w:r>
        <w:t xml:space="preserve">. Rather, Stage 1 informs how Reform 53 of Stage 2 might be implemented. There is no duplication or contradiction between </w:t>
      </w:r>
      <w:r w:rsidRPr="003D163C">
        <w:rPr>
          <w:i/>
          <w:iCs/>
        </w:rPr>
        <w:t>Chapter 5: Mobility aid safety</w:t>
      </w:r>
      <w:r>
        <w:t xml:space="preserve"> of Stage 1 and Reform Proposal </w:t>
      </w:r>
      <w:r w:rsidRPr="007E5913">
        <w:rPr>
          <w:i/>
          <w:iCs/>
        </w:rPr>
        <w:t>54. Mobility aid movement in allocated spaces: Active restraints</w:t>
      </w:r>
      <w:r>
        <w:t xml:space="preserve"> of Stage 2. </w:t>
      </w:r>
    </w:p>
    <w:p w14:paraId="1D3C0C9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Implementation approach</w:t>
      </w:r>
    </w:p>
    <w:p w14:paraId="23BBFA70" w14:textId="77777777" w:rsidR="00046C30" w:rsidRDefault="00046C30" w:rsidP="00046C30">
      <w:r w:rsidRPr="00175262">
        <w:t>The preferred option will be implemented through inclusion in a revised Whole Journey Guide.</w:t>
      </w:r>
    </w:p>
    <w:p w14:paraId="7D835EA5"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21" w:name="_Toc130912580"/>
      <w:bookmarkStart w:id="722" w:name="_Toc130914479"/>
      <w:bookmarkStart w:id="723" w:name="_Toc132381965"/>
      <w:bookmarkStart w:id="724" w:name="_Toc140239774"/>
      <w:r>
        <w:rPr>
          <w:rFonts w:ascii="Calibri" w:eastAsia="Calibri" w:hAnsi="Calibri" w:cs="Calibri"/>
          <w:color w:val="081E3E"/>
          <w:kern w:val="12"/>
          <w:sz w:val="36"/>
          <w:szCs w:val="36"/>
        </w:rPr>
        <w:t>Priority seating</w:t>
      </w:r>
      <w:bookmarkEnd w:id="721"/>
      <w:bookmarkEnd w:id="722"/>
      <w:bookmarkEnd w:id="723"/>
      <w:bookmarkEnd w:id="724"/>
    </w:p>
    <w:p w14:paraId="33D2D67B" w14:textId="77777777" w:rsidR="00046C30" w:rsidRDefault="00046C30" w:rsidP="00046C30">
      <w:r w:rsidRPr="00B22592">
        <w:t>Section 31.1 of the Transport Standards requires public transport operators and providers to provide at least two priority seats on conveyances for 'passengers with disabilities and other groups in need of special assistance'</w:t>
      </w:r>
      <w:r>
        <w:t xml:space="preserve">. </w:t>
      </w:r>
      <w:r w:rsidRPr="00E205DD">
        <w:t xml:space="preserve">The size of the cohort in need of priority assistance is substantial and is increasing as the population ages. </w:t>
      </w:r>
      <w:r>
        <w:t>To accommodate the increasing number of people requiring priority seating, members of the</w:t>
      </w:r>
      <w:r w:rsidRPr="00E205DD">
        <w:t xml:space="preserve"> public transport industry and the disability community have raised that the current requirement for a minimum of two priority seats is inadequate</w:t>
      </w:r>
      <w:r>
        <w:t xml:space="preserve"> to support access to public transport.</w:t>
      </w:r>
    </w:p>
    <w:p w14:paraId="3A7AEDF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9073EC6" w14:textId="77777777" w:rsidR="00046C30" w:rsidRPr="008F7EAB" w:rsidRDefault="00046C30" w:rsidP="00046C30">
      <w:r>
        <w:t>The following option was agreed by transport ministers in the Stage 1 Decision Regulation Impact Statement.</w:t>
      </w:r>
    </w:p>
    <w:p w14:paraId="45FFEDF2" w14:textId="32E4BF27" w:rsidR="00046C30" w:rsidRPr="008F7EAB" w:rsidRDefault="00046C30" w:rsidP="00046C30">
      <w:pPr>
        <w:pStyle w:val="Caption"/>
      </w:pPr>
      <w:bookmarkStart w:id="725" w:name="_Toc139969332"/>
      <w:r w:rsidRPr="008F7EAB">
        <w:t xml:space="preserve">Table </w:t>
      </w:r>
      <w:fldSimple w:instr=" SEQ Table \* ARABIC ">
        <w:r w:rsidR="00DC26AC">
          <w:rPr>
            <w:noProof/>
          </w:rPr>
          <w:t>174</w:t>
        </w:r>
      </w:fldSimple>
      <w:r w:rsidRPr="008F7EAB">
        <w:rPr>
          <w:noProof/>
        </w:rPr>
        <w:t>:</w:t>
      </w:r>
      <w:r>
        <w:t xml:space="preserve"> Preferred option for Priority seating</w:t>
      </w:r>
      <w:bookmarkEnd w:id="72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0C19ADC0"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65849B7"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04109B12"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7BF7BD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2B58AB"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29F5819F"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rsidRPr="0087630A">
              <w:t xml:space="preserve">The regulatory option </w:t>
            </w:r>
            <w:r>
              <w:t>specifies a balance of prescriptive and performance-based requirements for priority seats in conveyances, including:</w:t>
            </w:r>
          </w:p>
          <w:p w14:paraId="4A7A8102"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CB429D">
              <w:t xml:space="preserve">Number of priority seats per conveyance </w:t>
            </w:r>
          </w:p>
          <w:p w14:paraId="58B4182B"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CB429D">
              <w:t>Locatio</w:t>
            </w:r>
            <w:r w:rsidRPr="0087630A">
              <w:t>n of priority seats in a conveyance</w:t>
            </w:r>
          </w:p>
          <w:p w14:paraId="10101FC9"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87630A">
              <w:t>Identification of priority seats</w:t>
            </w:r>
          </w:p>
          <w:p w14:paraId="55A026A7" w14:textId="77777777" w:rsidR="00046C30" w:rsidRPr="00E70B95"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t>The Transport Standards Guidelines will be updated to reflect the new requirements.</w:t>
            </w:r>
          </w:p>
        </w:tc>
      </w:tr>
    </w:tbl>
    <w:p w14:paraId="6A21E98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32099DAA" w14:textId="77777777" w:rsidR="00046C30" w:rsidRDefault="00046C30" w:rsidP="00046C30">
      <w:r>
        <w:t xml:space="preserve">There are no interactions between this reform area and stage 2 of the reform process. </w:t>
      </w:r>
    </w:p>
    <w:p w14:paraId="35F25BA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2DB1CCF0" w14:textId="77777777" w:rsidR="00046C30" w:rsidRDefault="00046C30" w:rsidP="00046C30">
      <w:r w:rsidRPr="00706510">
        <w:t>The preferred option will be implemented through amendments to the Transport Standards and Guidelines. Operators and providers will be required to meet the new Transport Standards requirements retrospectively with a compliance schedule timing of 5 years.</w:t>
      </w:r>
      <w:r>
        <w:br/>
      </w:r>
    </w:p>
    <w:p w14:paraId="190FD56D"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26" w:name="_Toc130912581"/>
      <w:bookmarkStart w:id="727" w:name="_Toc130914480"/>
      <w:bookmarkStart w:id="728" w:name="_Toc132381966"/>
      <w:bookmarkStart w:id="729" w:name="_Toc140239775"/>
      <w:r>
        <w:rPr>
          <w:rFonts w:ascii="Calibri" w:eastAsia="Calibri" w:hAnsi="Calibri" w:cs="Calibri"/>
          <w:color w:val="081E3E"/>
          <w:kern w:val="12"/>
          <w:sz w:val="36"/>
          <w:szCs w:val="36"/>
        </w:rPr>
        <w:t>Allocated spaces in Transit</w:t>
      </w:r>
      <w:bookmarkEnd w:id="726"/>
      <w:bookmarkEnd w:id="727"/>
      <w:bookmarkEnd w:id="728"/>
      <w:bookmarkEnd w:id="729"/>
    </w:p>
    <w:p w14:paraId="0F7B7FF5" w14:textId="77777777" w:rsidR="00046C30" w:rsidRDefault="08D050C4" w:rsidP="00046C30">
      <w:r>
        <w:t xml:space="preserve">Transport Standards Part 9, </w:t>
      </w:r>
      <w:r w:rsidRPr="08D050C4">
        <w:rPr>
          <w:i/>
          <w:iCs/>
        </w:rPr>
        <w:t xml:space="preserve">Allocated Spaces¸ </w:t>
      </w:r>
      <w:r>
        <w:t xml:space="preserve">includes provisions for the design and use of allocated spaces. Passengers who use mobility aids are dependent on the availability and accessibility of allocated spaces in public transport conveyances to undertake their journeys. Allocated spaces are provided on the understanding that people with mobility aids have priority access to them. To ensure maximum access to mobility aid users, access paths, manoeuvring areas and allocated spaces are required to be as clear and functional as practicable. Further clarity is also </w:t>
      </w:r>
      <w:r>
        <w:lastRenderedPageBreak/>
        <w:t>needed to ensure that customers are informed that allocated spaces are priority for people using mobility aids.</w:t>
      </w:r>
    </w:p>
    <w:p w14:paraId="0FE886D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6688A4DD" w14:textId="77777777" w:rsidR="00046C30" w:rsidRPr="008F7EAB" w:rsidRDefault="00046C30" w:rsidP="00046C30">
      <w:r>
        <w:t>The following option was agreed by transport ministers in the Stage 1 Decision Regulation Impact Statement.</w:t>
      </w:r>
    </w:p>
    <w:p w14:paraId="2329A12E" w14:textId="31A09D10" w:rsidR="00046C30" w:rsidRPr="008F7EAB" w:rsidRDefault="00046C30" w:rsidP="00046C30">
      <w:pPr>
        <w:pStyle w:val="Caption"/>
      </w:pPr>
      <w:bookmarkStart w:id="730" w:name="_Toc139969333"/>
      <w:r w:rsidRPr="008F7EAB">
        <w:t xml:space="preserve">Table </w:t>
      </w:r>
      <w:fldSimple w:instr=" SEQ Table \* ARABIC ">
        <w:r w:rsidR="00DC26AC">
          <w:rPr>
            <w:noProof/>
          </w:rPr>
          <w:t>175</w:t>
        </w:r>
      </w:fldSimple>
      <w:r w:rsidRPr="008F7EAB">
        <w:rPr>
          <w:noProof/>
        </w:rPr>
        <w:t>:</w:t>
      </w:r>
      <w:r>
        <w:t xml:space="preserve"> Preferred option for Allocated spaces</w:t>
      </w:r>
      <w:bookmarkEnd w:id="73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189A0135"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F1934F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5116D46"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2D7139BB"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72CFB82"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r>
              <w:br/>
            </w:r>
            <w:r>
              <w:rPr>
                <w:rFonts w:ascii="Calibri" w:eastAsia="Calibri" w:hAnsi="Calibri" w:cs="Times New Roman"/>
              </w:rPr>
              <w:t>sub-option 3</w:t>
            </w:r>
          </w:p>
        </w:tc>
        <w:tc>
          <w:tcPr>
            <w:tcW w:w="6840" w:type="dxa"/>
          </w:tcPr>
          <w:p w14:paraId="43B99F57" w14:textId="77777777" w:rsidR="00046C30" w:rsidRPr="006F0CE5" w:rsidRDefault="08D050C4" w:rsidP="08D050C4">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8D050C4">
              <w:rPr>
                <w:rFonts w:ascii="Calibri" w:eastAsia="Calibri" w:hAnsi="Calibri" w:cs="Times New Roman"/>
              </w:rPr>
              <w:t>The Transport Standards will be amended to provide a balance of mandatory prescriptive and performance requirements for access paths, manoeuvring areas and allocated spaces in conveyances, including:</w:t>
            </w:r>
          </w:p>
          <w:p w14:paraId="4322A2C6" w14:textId="77777777" w:rsidR="00046C30"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Vertical dimensions of access paths, manoeuvring areas and allocated spaces</w:t>
            </w:r>
          </w:p>
          <w:p w14:paraId="22CB5B6D"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Access path ‘swept path’ dimensions</w:t>
            </w:r>
          </w:p>
          <w:p w14:paraId="6E7F21BD"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Objects permitted to intrude into the vertical space</w:t>
            </w:r>
          </w:p>
          <w:p w14:paraId="1E3E31E5"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Use of allocated space for other purposes</w:t>
            </w:r>
          </w:p>
          <w:p w14:paraId="530CD6C3" w14:textId="77777777" w:rsidR="00046C30" w:rsidRPr="00E271D5"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Co-location of access paths, manoeuvring areas and allocated spaces</w:t>
            </w:r>
          </w:p>
          <w:p w14:paraId="2E97D600" w14:textId="77777777" w:rsidR="00046C30" w:rsidRPr="00E271D5"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Informing other passengers of allocated space priority</w:t>
            </w:r>
          </w:p>
          <w:p w14:paraId="11F98BB4" w14:textId="77777777" w:rsidR="00046C30" w:rsidRPr="009301B9" w:rsidRDefault="00046C30" w:rsidP="008877FC">
            <w:pPr>
              <w:spacing w:before="120" w:after="120"/>
              <w:cnfStyle w:val="000000100000" w:firstRow="0" w:lastRow="0" w:firstColumn="0" w:lastColumn="0" w:oddVBand="0" w:evenVBand="0" w:oddHBand="1" w:evenHBand="0" w:firstRowFirstColumn="0" w:firstRowLastColumn="0" w:lastRowFirstColumn="0" w:lastRowLastColumn="0"/>
              <w:rPr>
                <w:color w:val="202124"/>
              </w:rPr>
            </w:pPr>
            <w:r>
              <w:rPr>
                <w:rFonts w:cs="Segoe UI"/>
              </w:rPr>
              <w:t>The Transport Standards Guidelines would be updated to reflect the Transport Standards amendments</w:t>
            </w:r>
            <w:r>
              <w:rPr>
                <w:color w:val="202124"/>
              </w:rPr>
              <w:t xml:space="preserve">. </w:t>
            </w:r>
          </w:p>
        </w:tc>
      </w:tr>
    </w:tbl>
    <w:p w14:paraId="6BC07D6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29769F3" w14:textId="77777777" w:rsidR="00046C30" w:rsidRDefault="00046C30" w:rsidP="00046C30">
      <w:pPr>
        <w:rPr>
          <w:rFonts w:cs="Calibri"/>
          <w:color w:val="000000" w:themeColor="text1"/>
        </w:rPr>
      </w:pPr>
      <w:r>
        <w:t xml:space="preserve">There is potential overlap but no contradiction between Stage 1 </w:t>
      </w:r>
      <w:r w:rsidRPr="00E271D5">
        <w:rPr>
          <w:i/>
          <w:iCs/>
        </w:rPr>
        <w:t>Chapter 4 Allocated spaces in transit</w:t>
      </w:r>
      <w:r w:rsidRPr="006A6A05">
        <w:t xml:space="preserve"> and </w:t>
      </w:r>
      <w:r w:rsidRPr="00D30977">
        <w:t xml:space="preserve">Stage 2 </w:t>
      </w:r>
      <w:r>
        <w:t xml:space="preserve">Chapter </w:t>
      </w:r>
      <w:r w:rsidRPr="00D30977">
        <w:rPr>
          <w:i/>
          <w:iCs/>
        </w:rPr>
        <w:t>52 Grabrails in allocated spaces.</w:t>
      </w:r>
      <w:r w:rsidRPr="00D30977">
        <w:t xml:space="preserve"> </w:t>
      </w:r>
      <w:r w:rsidRPr="00207F3A">
        <w:t>Grabrails</w:t>
      </w:r>
      <w:r>
        <w:t xml:space="preserve"> could be used as Stage 2 passive restraints on the aisle side of an allocated space if they </w:t>
      </w:r>
      <w:r w:rsidRPr="00F31AA7">
        <w:t xml:space="preserve">conform to </w:t>
      </w:r>
      <w:r>
        <w:t xml:space="preserve">the Stage 1 proposal for conformance </w:t>
      </w:r>
      <w:r w:rsidRPr="169A030C">
        <w:rPr>
          <w:rFonts w:cs="Calibri"/>
          <w:color w:val="000000" w:themeColor="text1"/>
        </w:rPr>
        <w:t xml:space="preserve">AS/NZS ISO 10865.1-2015. If used in this way grabrails would constitute lateral excursion barriers as per requirements of AS/NZS ISO 10865.1-2015 and would not therefore be required to conform to AS1428.1.  </w:t>
      </w:r>
    </w:p>
    <w:p w14:paraId="15C87C9A"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4760D3F2" w14:textId="77777777" w:rsidR="00046C30" w:rsidRDefault="00046C30" w:rsidP="00046C30">
      <w:pPr>
        <w:rPr>
          <w:rFonts w:cs="Calibri"/>
          <w:color w:val="081E3E"/>
          <w:sz w:val="36"/>
          <w:szCs w:val="36"/>
        </w:rPr>
      </w:pPr>
      <w:r w:rsidRPr="006A1047">
        <w:t>The preferred option will be implemented through amendments to the Transport Standards and Guidelines. Operators and providers will be required to meet the new Transport Standards requirements prospectively with a trigger mechanism.</w:t>
      </w:r>
    </w:p>
    <w:p w14:paraId="68AFC700"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31" w:name="_Toc130912582"/>
      <w:bookmarkStart w:id="732" w:name="_Toc130914481"/>
      <w:bookmarkStart w:id="733" w:name="_Toc132381967"/>
      <w:bookmarkStart w:id="734" w:name="_Toc140239776"/>
      <w:r>
        <w:rPr>
          <w:rFonts w:ascii="Calibri" w:eastAsia="Calibri" w:hAnsi="Calibri" w:cs="Calibri"/>
          <w:color w:val="081E3E"/>
          <w:kern w:val="12"/>
          <w:sz w:val="36"/>
          <w:szCs w:val="36"/>
        </w:rPr>
        <w:t>Digital information screens</w:t>
      </w:r>
      <w:bookmarkEnd w:id="731"/>
      <w:bookmarkEnd w:id="732"/>
      <w:bookmarkEnd w:id="733"/>
      <w:bookmarkEnd w:id="734"/>
    </w:p>
    <w:p w14:paraId="3A722DE8" w14:textId="77777777" w:rsidR="00046C30" w:rsidRDefault="08D050C4" w:rsidP="08D050C4">
      <w:pPr>
        <w:rPr>
          <w:rFonts w:ascii="Calibri" w:eastAsia="Calibri" w:hAnsi="Calibri" w:cs="Times New Roman"/>
          <w:color w:val="000000" w:themeColor="text1"/>
        </w:rPr>
      </w:pPr>
      <w:r>
        <w:t xml:space="preserve">Section 27.1 of the Transport Standards currently provides that ‘general information about transport services must be accessible to all passengers’. </w:t>
      </w:r>
      <w:r w:rsidRPr="08D050C4">
        <w:rPr>
          <w:rFonts w:ascii="Calibri" w:eastAsia="Calibri" w:hAnsi="Calibri" w:cs="Times New Roman"/>
          <w:color w:val="000000" w:themeColor="text1"/>
        </w:rPr>
        <w:t>The Transport Standards do not include specific requirements for digital displays. Operators and providers are increasingly utilising digital information channels to provide static and dynamic information to customers. As digital display technology has been widely adopted since the introduction of the Transport Standards, there is often uncertainty around what is required to be delivered to meet the needs of people with disability or to comply with the Transport Standards. Other requirements are clear, but are considered to be inappropriate or technically unfeasible when applied to digital displays.</w:t>
      </w:r>
    </w:p>
    <w:p w14:paraId="4957EE21"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Preferred option</w:t>
      </w:r>
    </w:p>
    <w:p w14:paraId="4D574174" w14:textId="77777777" w:rsidR="00046C30" w:rsidRPr="008F7EAB" w:rsidRDefault="00046C30" w:rsidP="00046C30">
      <w:r>
        <w:t>The following option was agreed by transport ministers in the Stage 1 Decision Regulation Impact Statement.</w:t>
      </w:r>
    </w:p>
    <w:p w14:paraId="2776D456" w14:textId="13D0F297" w:rsidR="00046C30" w:rsidRPr="008F7EAB" w:rsidRDefault="00046C30" w:rsidP="00046C30">
      <w:pPr>
        <w:pStyle w:val="Caption"/>
      </w:pPr>
      <w:bookmarkStart w:id="735" w:name="_Toc139969334"/>
      <w:r w:rsidRPr="008F7EAB">
        <w:t xml:space="preserve">Table </w:t>
      </w:r>
      <w:fldSimple w:instr=" SEQ Table \* ARABIC ">
        <w:r w:rsidR="00DC26AC">
          <w:rPr>
            <w:noProof/>
          </w:rPr>
          <w:t>176</w:t>
        </w:r>
      </w:fldSimple>
      <w:r w:rsidRPr="008F7EAB">
        <w:rPr>
          <w:noProof/>
        </w:rPr>
        <w:t>:</w:t>
      </w:r>
      <w:r>
        <w:t xml:space="preserve"> Preferred option for Digital information screens</w:t>
      </w:r>
      <w:bookmarkEnd w:id="73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36923E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14BCAEE0"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58D93BB"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4015F10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39447BD"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5A90F52D"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proposes where display screens are used on transport infrastructure, premises and conveyances, they must meet prescribed requirements for:</w:t>
            </w:r>
          </w:p>
          <w:p w14:paraId="061A9F2F"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Luminance</w:t>
            </w:r>
          </w:p>
          <w:p w14:paraId="46598DC3" w14:textId="77777777" w:rsidR="00046C30" w:rsidRDefault="08D050C4"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Polarisation</w:t>
            </w:r>
          </w:p>
          <w:p w14:paraId="74A05AD0"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w:t>
            </w:r>
          </w:p>
          <w:p w14:paraId="46C8C9C2"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Font and typeface</w:t>
            </w:r>
          </w:p>
          <w:p w14:paraId="1FF0FC68"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Display requirements</w:t>
            </w:r>
          </w:p>
          <w:p w14:paraId="7B0FEEF4"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w:t>
            </w:r>
          </w:p>
          <w:p w14:paraId="2D4F0A4B"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Display requirements</w:t>
            </w:r>
          </w:p>
          <w:p w14:paraId="4C4A9844" w14:textId="77777777" w:rsidR="00046C30"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Glare</w:t>
            </w:r>
          </w:p>
          <w:p w14:paraId="64C04B4F" w14:textId="77777777" w:rsidR="00046C30" w:rsidRPr="004109F4" w:rsidRDefault="00046C30" w:rsidP="008877FC">
            <w:pPr>
              <w:cnfStyle w:val="000000100000" w:firstRow="0" w:lastRow="0" w:firstColumn="0" w:lastColumn="0" w:oddVBand="0" w:evenVBand="0" w:oddHBand="1" w:evenHBand="0" w:firstRowFirstColumn="0" w:firstRowLastColumn="0" w:lastRowFirstColumn="0" w:lastRowLastColumn="0"/>
            </w:pPr>
            <w:r>
              <w:rPr>
                <w:rFonts w:cs="Segoe UI"/>
              </w:rPr>
              <w:t>The Transport Standards Guidelines and Whole Journey Guide would be updated to reflect the Transport Standards amendments</w:t>
            </w:r>
            <w:r>
              <w:rPr>
                <w:color w:val="202124"/>
              </w:rPr>
              <w:t>.</w:t>
            </w:r>
          </w:p>
        </w:tc>
      </w:tr>
    </w:tbl>
    <w:p w14:paraId="24CCD03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605CC809" w14:textId="77777777" w:rsidR="00046C30" w:rsidRDefault="00046C30" w:rsidP="00046C30">
      <w:r>
        <w:t xml:space="preserve">There is potential overlap but no contradiction between Stage 1 </w:t>
      </w:r>
      <w:r>
        <w:rPr>
          <w:i/>
        </w:rPr>
        <w:t xml:space="preserve">Chapter 5 Digital Information Screens </w:t>
      </w:r>
      <w:r>
        <w:t xml:space="preserve">and Stage 2 </w:t>
      </w:r>
      <w:r>
        <w:rPr>
          <w:i/>
        </w:rPr>
        <w:t>Chapter</w:t>
      </w:r>
      <w:r>
        <w:t xml:space="preserve"> </w:t>
      </w:r>
      <w:r w:rsidRPr="001B6C05">
        <w:rPr>
          <w:i/>
          <w:iCs/>
        </w:rPr>
        <w:t>22 Mobile web systems</w:t>
      </w:r>
      <w:r>
        <w:rPr>
          <w:iCs/>
        </w:rPr>
        <w:t xml:space="preserve">. Stage 2 </w:t>
      </w:r>
      <w:r>
        <w:rPr>
          <w:i/>
          <w:iCs/>
        </w:rPr>
        <w:t>Chapter 22</w:t>
      </w:r>
      <w:r>
        <w:t xml:space="preserve"> covers how information is to be displayed on the screens of mobile devices such as smartphones and tablets. It is not relevant to digital signs or screens on conveyances, premises or infrastructure. </w:t>
      </w:r>
    </w:p>
    <w:p w14:paraId="6272FD5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706E37BD"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4F5D49E4"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36" w:name="_Toc130912583"/>
      <w:bookmarkStart w:id="737" w:name="_Toc130914482"/>
      <w:bookmarkStart w:id="738" w:name="_Toc132381968"/>
      <w:bookmarkStart w:id="739" w:name="_Toc140239777"/>
      <w:r>
        <w:rPr>
          <w:rFonts w:ascii="Calibri" w:eastAsia="Calibri" w:hAnsi="Calibri" w:cs="Calibri"/>
          <w:color w:val="081E3E"/>
          <w:kern w:val="12"/>
          <w:sz w:val="36"/>
          <w:szCs w:val="36"/>
        </w:rPr>
        <w:t>Lifts</w:t>
      </w:r>
      <w:bookmarkEnd w:id="736"/>
      <w:bookmarkEnd w:id="737"/>
      <w:bookmarkEnd w:id="738"/>
      <w:bookmarkEnd w:id="739"/>
    </w:p>
    <w:p w14:paraId="48E88FF6" w14:textId="0B485C38" w:rsidR="00046C30" w:rsidRDefault="08D050C4" w:rsidP="00046C30">
      <w:r>
        <w:t>The Transport Standards require lifts to comply with Australian Standard AS1735.12 (1999) which is an outdated standard and is not aligned with requirements under other standards for lifts, such as those under the Premises Standards and the NCC. This misalignment limits of types of lifts that can be used at public transport premises and infrastructure, inhibits the installation of enhanced audible and visual accessibility features, and prevents harmonisation with the Premises Standards and the NCC.</w:t>
      </w:r>
    </w:p>
    <w:p w14:paraId="1CE7ABEF"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7EBBA1F3" w14:textId="77777777" w:rsidR="00046C30" w:rsidRPr="008F7EAB" w:rsidRDefault="00046C30" w:rsidP="00046C30">
      <w:r>
        <w:t>The following option was agreed by transport ministers in the Stage 1 Decision Regulation Impact Statement.</w:t>
      </w:r>
    </w:p>
    <w:p w14:paraId="7F40D4F8" w14:textId="035FC48E" w:rsidR="00046C30" w:rsidRPr="008F7EAB" w:rsidRDefault="00046C30" w:rsidP="00046C30">
      <w:pPr>
        <w:pStyle w:val="Caption"/>
      </w:pPr>
      <w:bookmarkStart w:id="740" w:name="_Toc139969335"/>
      <w:r w:rsidRPr="008F7EAB">
        <w:t xml:space="preserve">Table </w:t>
      </w:r>
      <w:fldSimple w:instr=" SEQ Table \* ARABIC ">
        <w:r w:rsidR="00DC26AC">
          <w:rPr>
            <w:noProof/>
          </w:rPr>
          <w:t>177</w:t>
        </w:r>
      </w:fldSimple>
      <w:r w:rsidRPr="008F7EAB">
        <w:rPr>
          <w:noProof/>
        </w:rPr>
        <w:t>:</w:t>
      </w:r>
      <w:r>
        <w:t xml:space="preserve"> Preferred option for Lifts</w:t>
      </w:r>
      <w:bookmarkEnd w:id="74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670C56D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75372B4C"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lastRenderedPageBreak/>
              <w:t>Option</w:t>
            </w:r>
          </w:p>
        </w:tc>
        <w:tc>
          <w:tcPr>
            <w:tcW w:w="6840" w:type="dxa"/>
            <w:shd w:val="clear" w:color="auto" w:fill="auto"/>
          </w:tcPr>
          <w:p w14:paraId="6084F087"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747D920"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F6D44BC"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7DF2C213"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requires:</w:t>
            </w:r>
          </w:p>
          <w:p w14:paraId="650C54AD"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Maintain Australian Standard AS1735.12 (1999) as the key standard except for the following accessibility enhancements:</w:t>
            </w:r>
          </w:p>
          <w:p w14:paraId="251961C4" w14:textId="3D141EBB"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 xml:space="preserve">Lift floor dimensions of not less than 1600 </w:t>
            </w:r>
            <w:r w:rsidR="009134C0" w:rsidRPr="007D162C">
              <w:t>millimetres</w:t>
            </w:r>
            <w:r w:rsidRPr="00516481">
              <w:t xml:space="preserve"> wide by a clear depth of 2000 </w:t>
            </w:r>
            <w:r w:rsidR="009134C0" w:rsidRPr="007D162C">
              <w:t>millimetres</w:t>
            </w:r>
            <w:r w:rsidRPr="00516481">
              <w:t xml:space="preserve"> to accommodate a stretcher.</w:t>
            </w:r>
          </w:p>
          <w:p w14:paraId="59C86BC7"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Automatic audible information within a lift to identify the level (or platform) each time the car stops as per AS1735.12 (1999).</w:t>
            </w:r>
          </w:p>
          <w:p w14:paraId="78DB8762"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Audible and visual indication at each lift landing to indicate the arrival of a lift car.</w:t>
            </w:r>
          </w:p>
          <w:p w14:paraId="18E5AF7E" w14:textId="77777777" w:rsidR="00046C30" w:rsidRPr="00516481"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Audible information and audible indication are provided in a range between 20 dB(A) and 80 dB(A) at a maximum frequency of 1,500 Hz.</w:t>
            </w:r>
          </w:p>
          <w:p w14:paraId="3E8A3609" w14:textId="77777777" w:rsidR="00046C30" w:rsidRPr="008C2E79" w:rsidRDefault="00046C30" w:rsidP="006F65FB">
            <w:pPr>
              <w:pStyle w:val="ListParagraph"/>
              <w:numPr>
                <w:ilvl w:val="0"/>
                <w:numId w:val="34"/>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516481">
              <w:t>Allow the use of inclined lifts and small sized, low speed automatic lifts in limited applications in alignment with the NCC and the Premises Standards.</w:t>
            </w:r>
          </w:p>
        </w:tc>
      </w:tr>
    </w:tbl>
    <w:p w14:paraId="7A618301"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09EBAA2A" w14:textId="200DE746" w:rsidR="00046C30" w:rsidRDefault="00046C30" w:rsidP="00046C30">
      <w:r>
        <w:t xml:space="preserve">There are conflicts between Stage 1, </w:t>
      </w:r>
      <w:r w:rsidRPr="003B3D82">
        <w:rPr>
          <w:i/>
          <w:iCs/>
        </w:rPr>
        <w:t xml:space="preserve">Chapter </w:t>
      </w:r>
      <w:r w:rsidR="00CC1F94">
        <w:rPr>
          <w:i/>
          <w:iCs/>
        </w:rPr>
        <w:t>6</w:t>
      </w:r>
      <w:r w:rsidRPr="003B3D82">
        <w:rPr>
          <w:i/>
          <w:iCs/>
        </w:rPr>
        <w:t xml:space="preserve"> Lifts</w:t>
      </w:r>
      <w:r>
        <w:t xml:space="preserve"> and Stage 2, </w:t>
      </w:r>
      <w:r w:rsidRPr="007A5304">
        <w:rPr>
          <w:i/>
          <w:iCs/>
        </w:rPr>
        <w:t>34. Lift specifications and enhancements</w:t>
      </w:r>
      <w:r>
        <w:t xml:space="preserve">.  The former retains AS1735.12 (1999) </w:t>
      </w:r>
      <w:r w:rsidRPr="0044518C">
        <w:rPr>
          <w:i/>
          <w:iCs/>
        </w:rPr>
        <w:t>Lifts, escalators and moving walks</w:t>
      </w:r>
      <w:r>
        <w:t xml:space="preserve"> as its primary reference while the latter proposes AS1735.12 (2020) as primary reference.  There is a conflict between Stage 1 </w:t>
      </w:r>
      <w:r w:rsidRPr="0099640D">
        <w:rPr>
          <w:i/>
          <w:iCs/>
        </w:rPr>
        <w:t xml:space="preserve">Chapter </w:t>
      </w:r>
      <w:r>
        <w:rPr>
          <w:i/>
          <w:iCs/>
        </w:rPr>
        <w:t>9:</w:t>
      </w:r>
      <w:r w:rsidRPr="0099640D">
        <w:rPr>
          <w:i/>
          <w:iCs/>
        </w:rPr>
        <w:t xml:space="preserve"> Lifts</w:t>
      </w:r>
      <w:r>
        <w:t xml:space="preserve"> and Stage 2, </w:t>
      </w:r>
      <w:r w:rsidRPr="0099640D">
        <w:rPr>
          <w:i/>
          <w:iCs/>
        </w:rPr>
        <w:t>18. Lifts: Audible wayfinding</w:t>
      </w:r>
      <w:r>
        <w:t>.  The former would require audio announcements when lifts stopped at more than two landings while the latter proposes audible wayfinding announcements at all landings. Further detail on how these conflicts are managed is outlined in the respective chapters.</w:t>
      </w:r>
    </w:p>
    <w:p w14:paraId="30EBB6D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051B946D" w14:textId="0ED7B779" w:rsidR="00CC1F94" w:rsidRDefault="00CC1F94" w:rsidP="00046C30">
      <w:pPr>
        <w:rPr>
          <w:rFonts w:ascii="Calibri" w:eastAsia="Calibri" w:hAnsi="Calibri" w:cs="Times New Roman"/>
          <w:color w:val="000000" w:themeColor="text1"/>
        </w:rPr>
      </w:pPr>
      <w:r>
        <w:rPr>
          <w:rFonts w:ascii="Calibri" w:eastAsia="Calibri" w:hAnsi="Calibri" w:cs="Times New Roman"/>
          <w:color w:val="000000" w:themeColor="text1"/>
        </w:rPr>
        <w:t xml:space="preserve">Stage 1, </w:t>
      </w:r>
      <w:r>
        <w:rPr>
          <w:rFonts w:ascii="Calibri" w:eastAsia="Calibri" w:hAnsi="Calibri" w:cs="Times New Roman"/>
          <w:i/>
          <w:color w:val="000000" w:themeColor="text1"/>
        </w:rPr>
        <w:t xml:space="preserve">Chapter 6 </w:t>
      </w:r>
      <w:r w:rsidRPr="00CC1F94">
        <w:rPr>
          <w:rFonts w:ascii="Calibri" w:eastAsia="Calibri" w:hAnsi="Calibri" w:cs="Times New Roman"/>
          <w:i/>
          <w:color w:val="000000" w:themeColor="text1"/>
        </w:rPr>
        <w:t>Lifts</w:t>
      </w:r>
      <w:r>
        <w:rPr>
          <w:rFonts w:ascii="Calibri" w:eastAsia="Calibri" w:hAnsi="Calibri" w:cs="Times New Roman"/>
          <w:color w:val="000000" w:themeColor="text1"/>
        </w:rPr>
        <w:t xml:space="preserve"> is superseded by Stage 2</w:t>
      </w:r>
      <w:r>
        <w:rPr>
          <w:rFonts w:ascii="Calibri" w:eastAsia="Calibri" w:hAnsi="Calibri" w:cs="Times New Roman"/>
          <w:i/>
          <w:color w:val="000000" w:themeColor="text1"/>
        </w:rPr>
        <w:t>, Chapters 34 and 18</w:t>
      </w:r>
      <w:r>
        <w:rPr>
          <w:rFonts w:ascii="Calibri" w:eastAsia="Calibri" w:hAnsi="Calibri" w:cs="Times New Roman"/>
          <w:color w:val="000000" w:themeColor="text1"/>
        </w:rPr>
        <w:t xml:space="preserve">. Consequently, there is no implementation approach required for Stage 1 </w:t>
      </w:r>
      <w:r>
        <w:rPr>
          <w:rFonts w:ascii="Calibri" w:eastAsia="Calibri" w:hAnsi="Calibri" w:cs="Times New Roman"/>
          <w:i/>
          <w:color w:val="000000" w:themeColor="text1"/>
        </w:rPr>
        <w:t>Chapter 6</w:t>
      </w:r>
      <w:r>
        <w:rPr>
          <w:rFonts w:ascii="Calibri" w:eastAsia="Calibri" w:hAnsi="Calibri" w:cs="Times New Roman"/>
          <w:color w:val="000000" w:themeColor="text1"/>
        </w:rPr>
        <w:t xml:space="preserve">. </w:t>
      </w:r>
    </w:p>
    <w:p w14:paraId="682F12E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41" w:name="_Toc130912584"/>
      <w:bookmarkStart w:id="742" w:name="_Toc130914483"/>
      <w:bookmarkStart w:id="743" w:name="_Toc132381969"/>
      <w:bookmarkStart w:id="744" w:name="_Toc140239778"/>
      <w:r>
        <w:rPr>
          <w:rFonts w:ascii="Calibri" w:eastAsia="Calibri" w:hAnsi="Calibri" w:cs="Calibri"/>
          <w:color w:val="081E3E"/>
          <w:kern w:val="12"/>
          <w:sz w:val="36"/>
          <w:szCs w:val="36"/>
        </w:rPr>
        <w:t>Website accessibility</w:t>
      </w:r>
      <w:bookmarkEnd w:id="741"/>
      <w:bookmarkEnd w:id="742"/>
      <w:bookmarkEnd w:id="743"/>
      <w:bookmarkEnd w:id="744"/>
    </w:p>
    <w:p w14:paraId="70F58481" w14:textId="77777777" w:rsidR="00046C30" w:rsidRDefault="00046C30" w:rsidP="00046C30">
      <w:r w:rsidRPr="00AD2161">
        <w:t xml:space="preserve">Transport operators and providers are increasingly using websites and other online systems to communicate service information to customers. The current Transport Standards do not reflect industry standards concerning minimum requirements for website accessibility. </w:t>
      </w:r>
    </w:p>
    <w:p w14:paraId="15E93F7A"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3034F37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7A6D6616" w14:textId="5018DDFE" w:rsidR="00046C30" w:rsidRPr="008F7EAB" w:rsidRDefault="00046C30" w:rsidP="00046C30">
      <w:pPr>
        <w:pStyle w:val="Caption"/>
      </w:pPr>
      <w:bookmarkStart w:id="745" w:name="_Toc139969336"/>
      <w:r w:rsidRPr="008F7EAB">
        <w:t xml:space="preserve">Table </w:t>
      </w:r>
      <w:fldSimple w:instr=" SEQ Table \* ARABIC ">
        <w:r w:rsidR="00DC26AC">
          <w:rPr>
            <w:noProof/>
          </w:rPr>
          <w:t>178</w:t>
        </w:r>
      </w:fldSimple>
      <w:r w:rsidRPr="008F7EAB">
        <w:rPr>
          <w:noProof/>
        </w:rPr>
        <w:t>:</w:t>
      </w:r>
      <w:r>
        <w:t xml:space="preserve"> Preferred option for Website accessibility</w:t>
      </w:r>
      <w:bookmarkEnd w:id="74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60D58F5"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1F240D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5AF6D9F"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248EAE4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91A93F0" w14:textId="77777777" w:rsidR="00046C30" w:rsidRPr="00946DC4" w:rsidRDefault="00046C30" w:rsidP="008877FC">
            <w:pPr>
              <w:rPr>
                <w:rFonts w:ascii="Calibri" w:eastAsia="Calibri" w:hAnsi="Calibri" w:cs="Times New Roman"/>
                <w:b w:val="0"/>
              </w:rPr>
            </w:pPr>
            <w:r>
              <w:rPr>
                <w:rFonts w:ascii="Calibri" w:eastAsia="Calibri" w:hAnsi="Calibri" w:cs="Times New Roman"/>
              </w:rPr>
              <w:t xml:space="preserve">Regulatory, </w:t>
            </w:r>
            <w:r>
              <w:br/>
            </w:r>
            <w:r>
              <w:rPr>
                <w:rFonts w:ascii="Calibri" w:eastAsia="Calibri" w:hAnsi="Calibri" w:cs="Times New Roman"/>
              </w:rPr>
              <w:t>Sub-option 3</w:t>
            </w:r>
          </w:p>
        </w:tc>
        <w:tc>
          <w:tcPr>
            <w:tcW w:w="6840" w:type="dxa"/>
          </w:tcPr>
          <w:p w14:paraId="5BAA0500" w14:textId="77777777" w:rsidR="00046C30" w:rsidRPr="005215AC" w:rsidRDefault="00046C30" w:rsidP="008877FC">
            <w:pPr>
              <w:cnfStyle w:val="000000100000" w:firstRow="0" w:lastRow="0" w:firstColumn="0" w:lastColumn="0" w:oddVBand="0" w:evenVBand="0" w:oddHBand="1" w:evenHBand="0" w:firstRowFirstColumn="0" w:firstRowLastColumn="0" w:lastRowFirstColumn="0" w:lastRowLastColumn="0"/>
            </w:pPr>
            <w:r>
              <w:t>The Transport Standards would specify that websites that provide information on public transport services must comply with WCAG Level 2.1 AA.</w:t>
            </w:r>
          </w:p>
        </w:tc>
      </w:tr>
    </w:tbl>
    <w:p w14:paraId="10C105D5"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580971A7" w14:textId="77777777" w:rsidR="00046C30" w:rsidRDefault="00046C30" w:rsidP="00046C30">
      <w:r>
        <w:t xml:space="preserve">There is some overlap but no contradiction between Stage 1, </w:t>
      </w:r>
      <w:r w:rsidRPr="0037352E">
        <w:rPr>
          <w:i/>
          <w:iCs/>
        </w:rPr>
        <w:t>Chapter 10: Website accessibility</w:t>
      </w:r>
      <w:r>
        <w:t xml:space="preserve"> and Stage 2, </w:t>
      </w:r>
      <w:r w:rsidRPr="0037352E">
        <w:rPr>
          <w:i/>
          <w:iCs/>
        </w:rPr>
        <w:t>5. Better communication of accessibility features</w:t>
      </w:r>
      <w:r>
        <w:rPr>
          <w:i/>
          <w:iCs/>
        </w:rPr>
        <w:t xml:space="preserve">. </w:t>
      </w:r>
      <w:r>
        <w:t xml:space="preserve">Stage 1 proposes a choice between WCAG 2.0 and WCAG 2.1 as the standard for web accessibility. Stage 2, </w:t>
      </w:r>
      <w:r w:rsidRPr="0037352E">
        <w:rPr>
          <w:i/>
          <w:iCs/>
        </w:rPr>
        <w:t>5. Better communication of accessibility features</w:t>
      </w:r>
      <w:r>
        <w:t xml:space="preserve"> is purely definitional and not affected by any conflict with Stage 1.</w:t>
      </w:r>
      <w:r w:rsidRPr="00E77B08">
        <w:t xml:space="preserve"> </w:t>
      </w:r>
    </w:p>
    <w:p w14:paraId="7D59F320" w14:textId="77777777" w:rsidR="00046C30" w:rsidRDefault="00046C30" w:rsidP="00046C30">
      <w:r>
        <w:t xml:space="preserve">There is some overlap but no contradiction between Stage 1, </w:t>
      </w:r>
      <w:r w:rsidRPr="0037352E">
        <w:rPr>
          <w:i/>
          <w:iCs/>
        </w:rPr>
        <w:t>Chapter 10: Website accessibility</w:t>
      </w:r>
      <w:r>
        <w:t xml:space="preserve"> and Stage 2, </w:t>
      </w:r>
      <w:r w:rsidRPr="0037352E">
        <w:rPr>
          <w:i/>
          <w:iCs/>
        </w:rPr>
        <w:t>22. Mobile web systems</w:t>
      </w:r>
      <w:r>
        <w:rPr>
          <w:i/>
          <w:iCs/>
        </w:rPr>
        <w:t xml:space="preserve">. </w:t>
      </w:r>
      <w:r>
        <w:t xml:space="preserve">Stage 1 proposes a choice between WCAG 2.0 and WCAG 2.1 as the standard for web accessibility. Stage 2, </w:t>
      </w:r>
      <w:r w:rsidRPr="0037352E">
        <w:rPr>
          <w:i/>
          <w:iCs/>
        </w:rPr>
        <w:t>22. Mobile web systems</w:t>
      </w:r>
      <w:r>
        <w:t xml:space="preserve"> only proposes WCAG 2.1, but this is purely for mobile technology on which WCAG 2.0 is silent.  Mobile technology apps would be captured by Stage 2 without compromising the options proposed for websites in Stage 1.  </w:t>
      </w:r>
    </w:p>
    <w:p w14:paraId="7ED0FC3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26807D2"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5C00CE4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46" w:name="_Toc130912585"/>
      <w:bookmarkStart w:id="747" w:name="_Toc130914484"/>
      <w:bookmarkStart w:id="748" w:name="_Toc132381970"/>
      <w:bookmarkStart w:id="749" w:name="_Toc140239779"/>
      <w:r>
        <w:rPr>
          <w:rFonts w:ascii="Calibri" w:eastAsia="Calibri" w:hAnsi="Calibri" w:cs="Calibri"/>
          <w:color w:val="081E3E"/>
          <w:kern w:val="12"/>
          <w:sz w:val="36"/>
          <w:szCs w:val="36"/>
        </w:rPr>
        <w:t>Communication during service disruption</w:t>
      </w:r>
      <w:bookmarkEnd w:id="746"/>
      <w:bookmarkEnd w:id="747"/>
      <w:bookmarkEnd w:id="748"/>
      <w:bookmarkEnd w:id="749"/>
    </w:p>
    <w:p w14:paraId="25F6E645" w14:textId="77777777" w:rsidR="00046C30" w:rsidRDefault="00046C30" w:rsidP="00046C30">
      <w:r w:rsidRPr="005C68E8">
        <w:t>Currently, the Transport Standards provide guidance on access to ‘general information’, but lack specific guidance on communication with passengers with disability during service disruptions. A lack of coordination of systems across jurisdictions often results in disparate communication systems at the operator level. The availability of information at unstaffed locations also creates challenges, especially when passengers are required to take alternative routes or transport modes. The traditional forms of communication, such as customer service announcements, are not always available.</w:t>
      </w:r>
    </w:p>
    <w:p w14:paraId="0BECA27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0204D1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423A8A94" w14:textId="521C411A" w:rsidR="00046C30" w:rsidRPr="00996EA4" w:rsidRDefault="00046C30" w:rsidP="00046C30">
      <w:pPr>
        <w:pStyle w:val="Caption"/>
      </w:pPr>
      <w:bookmarkStart w:id="750" w:name="_Toc139969337"/>
      <w:r w:rsidRPr="00996EA4">
        <w:t xml:space="preserve">Table </w:t>
      </w:r>
      <w:fldSimple w:instr=" SEQ Table \* ARABIC ">
        <w:r w:rsidR="00DC26AC">
          <w:rPr>
            <w:noProof/>
          </w:rPr>
          <w:t>179</w:t>
        </w:r>
      </w:fldSimple>
      <w:r w:rsidRPr="00996EA4">
        <w:t>: Preferred option for Communication during service disruption</w:t>
      </w:r>
      <w:bookmarkEnd w:id="75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759FC156"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5AE32914"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57ABD1E2"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500C313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0CC8F236"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1400BFBC"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 xml:space="preserve">Definitions for ‘planned’ and ‘unplanned’ disruptions would be incorporated into the Transport Standards. </w:t>
            </w:r>
          </w:p>
          <w:p w14:paraId="7BC85906" w14:textId="77777777" w:rsidR="00046C30" w:rsidRPr="00706510"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1359A5">
              <w:t xml:space="preserve">During planned disruptions, operators and providers must continue to provide information in a variety of formats that specifically communicate details of the disruption and alternate travel options. </w:t>
            </w:r>
            <w:r w:rsidRPr="00C50B41">
              <w:t>Information must not be provided solely through online platforms or channels.</w:t>
            </w:r>
            <w:r>
              <w:t xml:space="preserve"> </w:t>
            </w:r>
            <w:r w:rsidRPr="00C50B41">
              <w:t>Where information cannot be provided in an accessible format or in a timely manner, information may be provided through direct assistance.</w:t>
            </w:r>
            <w:r>
              <w:rPr>
                <w:iCs/>
              </w:rPr>
              <w:t xml:space="preserve"> These requirements do not apply in scenarios where control is transferred to emergency services or another third party, for example a fire evacuation, when communication and operational decisions are not within the control of transport operators and providers.</w:t>
            </w:r>
          </w:p>
        </w:tc>
      </w:tr>
    </w:tbl>
    <w:p w14:paraId="7EC801EF"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59FF258F" w14:textId="3EC36216" w:rsidR="00046C30" w:rsidRDefault="08D050C4" w:rsidP="00046C30">
      <w:r>
        <w:t xml:space="preserve">There some overlap but no duplication or contradiction between Stage 1, </w:t>
      </w:r>
      <w:r w:rsidRPr="08D050C4">
        <w:rPr>
          <w:i/>
          <w:iCs/>
        </w:rPr>
        <w:t>Chapter 11: Communication during service disruption</w:t>
      </w:r>
      <w:r>
        <w:t xml:space="preserve"> and Stage 2, </w:t>
      </w:r>
      <w:r w:rsidRPr="08D050C4">
        <w:rPr>
          <w:i/>
          <w:iCs/>
        </w:rPr>
        <w:t>6. Timely provision of information</w:t>
      </w:r>
      <w:r>
        <w:t xml:space="preserve">. Chapter 11 proposes performance-based outcomes of which one is direct assistance.  Stage 2, chapter 6 </w:t>
      </w:r>
      <w:r w:rsidR="0015000C">
        <w:t>compliments</w:t>
      </w:r>
      <w:r>
        <w:t xml:space="preserve"> Chapter 11 and permits direct assistance as per Chapter 11.  </w:t>
      </w:r>
    </w:p>
    <w:p w14:paraId="2C50C2FB"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154DD78" w14:textId="77777777" w:rsidR="00046C30" w:rsidRDefault="00046C30" w:rsidP="00046C30">
      <w:pPr>
        <w:tabs>
          <w:tab w:val="left" w:pos="284"/>
        </w:tabs>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5 years.</w:t>
      </w:r>
    </w:p>
    <w:p w14:paraId="1FC1069C"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51" w:name="_Toc130912586"/>
      <w:bookmarkStart w:id="752" w:name="_Toc130914485"/>
      <w:bookmarkStart w:id="753" w:name="_Toc132381971"/>
      <w:bookmarkStart w:id="754" w:name="_Toc140239780"/>
      <w:r>
        <w:rPr>
          <w:rFonts w:ascii="Calibri" w:eastAsia="Calibri" w:hAnsi="Calibri" w:cs="Calibri"/>
          <w:color w:val="081E3E"/>
          <w:kern w:val="12"/>
          <w:sz w:val="36"/>
          <w:szCs w:val="36"/>
        </w:rPr>
        <w:t>Gangways</w:t>
      </w:r>
      <w:bookmarkEnd w:id="751"/>
      <w:bookmarkEnd w:id="752"/>
      <w:bookmarkEnd w:id="753"/>
      <w:bookmarkEnd w:id="754"/>
    </w:p>
    <w:p w14:paraId="4B27431F" w14:textId="77777777" w:rsidR="00046C30" w:rsidRDefault="08D050C4" w:rsidP="00046C30">
      <w:r>
        <w:t>Gangways are ramps that connect to ferry pontoons which have unique design constraints imposed by the tidal environment. The Transport Standards do not adequately define or identify gangways. The Transport Standards define gangways as static ramps and walkways, referring to them in Part 6.5 as 'ramps connected to pontoon wharves'. The Transport Standards currently require that gangways have a gradient of at least 1:14 – that is, they may rise no more than 1cm for every 14cm of run. As a result, the Transport Standards do not recognise the cyclical alteration of gangway and treadplate slope, which makes full compliance with the cited standard impossible and creates several issues.</w:t>
      </w:r>
    </w:p>
    <w:p w14:paraId="3C46DBC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056AEB4B"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71D148FA" w14:textId="6BADD6B3" w:rsidR="00046C30" w:rsidRPr="008F7EAB" w:rsidRDefault="00046C30" w:rsidP="00046C30">
      <w:pPr>
        <w:pStyle w:val="Caption"/>
      </w:pPr>
      <w:bookmarkStart w:id="755" w:name="_Toc139969338"/>
      <w:r w:rsidRPr="008F7EAB">
        <w:t xml:space="preserve">Table </w:t>
      </w:r>
      <w:fldSimple w:instr=" SEQ Table \* ARABIC ">
        <w:r w:rsidR="00DC26AC">
          <w:rPr>
            <w:noProof/>
          </w:rPr>
          <w:t>180</w:t>
        </w:r>
      </w:fldSimple>
      <w:r w:rsidRPr="008F7EAB">
        <w:rPr>
          <w:noProof/>
        </w:rPr>
        <w:t>:</w:t>
      </w:r>
      <w:r>
        <w:t xml:space="preserve"> Preferred option for Gangways</w:t>
      </w:r>
      <w:bookmarkEnd w:id="75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E331FF7"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4E9898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0E4D7FF9"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38121F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1A5E1C87" w14:textId="77777777" w:rsidR="00046C30" w:rsidRPr="008F7EAB" w:rsidRDefault="00046C30" w:rsidP="008877FC">
            <w:pPr>
              <w:rPr>
                <w:rFonts w:ascii="Calibri" w:eastAsia="Calibri" w:hAnsi="Calibri" w:cs="Times New Roman"/>
              </w:rPr>
            </w:pPr>
            <w:r>
              <w:rPr>
                <w:rFonts w:ascii="Calibri" w:eastAsia="Calibri" w:hAnsi="Calibri" w:cs="Times New Roman"/>
              </w:rPr>
              <w:t>Regulatory with revisions</w:t>
            </w:r>
          </w:p>
        </w:tc>
        <w:tc>
          <w:tcPr>
            <w:tcW w:w="6840" w:type="dxa"/>
          </w:tcPr>
          <w:p w14:paraId="277919B2"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The regulatory option includes the following elements:</w:t>
            </w:r>
          </w:p>
          <w:p w14:paraId="6BDB9369"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Gangways to be defined as access paths</w:t>
            </w:r>
          </w:p>
          <w:p w14:paraId="61B30380"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 definition to be incorporated into the Transport Standards</w:t>
            </w:r>
          </w:p>
          <w:p w14:paraId="2B9A361E" w14:textId="77777777" w:rsidR="00046C30"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pPr>
            <w:r>
              <w:t>Gangway maximum gradients</w:t>
            </w:r>
          </w:p>
          <w:p w14:paraId="561AF6F6" w14:textId="77777777" w:rsidR="00046C30" w:rsidRPr="00137FB1" w:rsidRDefault="00046C30" w:rsidP="006F65FB">
            <w:pPr>
              <w:pStyle w:val="ListParagraph"/>
              <w:numPr>
                <w:ilvl w:val="0"/>
                <w:numId w:val="35"/>
              </w:numPr>
              <w:autoSpaceDE w:val="0"/>
              <w:autoSpaceDN w:val="0"/>
              <w:spacing w:after="4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t>Nationally consistent chart datum and tide tables</w:t>
            </w:r>
          </w:p>
        </w:tc>
      </w:tr>
    </w:tbl>
    <w:p w14:paraId="6C000DF0"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923A5E6" w14:textId="77777777" w:rsidR="00046C30" w:rsidRDefault="00046C30" w:rsidP="00046C30">
      <w:r>
        <w:t xml:space="preserve">There is no duplication between Stage 1, </w:t>
      </w:r>
      <w:r w:rsidRPr="00292882">
        <w:rPr>
          <w:i/>
          <w:iCs/>
        </w:rPr>
        <w:t>Chapter 12: Gangways</w:t>
      </w:r>
      <w:r>
        <w:t xml:space="preserve"> and Stage 2, </w:t>
      </w:r>
      <w:r w:rsidRPr="006F0BFA">
        <w:rPr>
          <w:i/>
          <w:iCs/>
        </w:rPr>
        <w:t>42. Removable gangway design—ferries</w:t>
      </w:r>
      <w:r>
        <w:t xml:space="preserve"> as Stage 1 is specific to fixed pontoon gangways while Stage 2 is specific to removable boarding gangways.  </w:t>
      </w:r>
    </w:p>
    <w:p w14:paraId="47A0502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6C30D691" w14:textId="77777777"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prospectively with a trigger mechanism.</w:t>
      </w:r>
    </w:p>
    <w:p w14:paraId="28A45B0F"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56" w:name="_Toc130912587"/>
      <w:bookmarkStart w:id="757" w:name="_Toc130914486"/>
      <w:bookmarkStart w:id="758" w:name="_Toc132381972"/>
      <w:bookmarkStart w:id="759" w:name="_Toc140239781"/>
      <w:r>
        <w:rPr>
          <w:rFonts w:ascii="Calibri" w:eastAsia="Calibri" w:hAnsi="Calibri" w:cs="Calibri"/>
          <w:color w:val="081E3E"/>
          <w:kern w:val="12"/>
          <w:sz w:val="36"/>
          <w:szCs w:val="36"/>
        </w:rPr>
        <w:lastRenderedPageBreak/>
        <w:t>Assistance animal toileting facilities</w:t>
      </w:r>
      <w:bookmarkEnd w:id="756"/>
      <w:bookmarkEnd w:id="757"/>
      <w:bookmarkEnd w:id="758"/>
      <w:bookmarkEnd w:id="759"/>
    </w:p>
    <w:p w14:paraId="444614F5" w14:textId="77777777" w:rsidR="00046C30" w:rsidRDefault="08D050C4" w:rsidP="00046C30">
      <w:r>
        <w:t>The DDA acknowledges that assistance animals can be used by people to alleviate the effects of their disability. Whilst the use of assistance animals can remove some barriers for people with disability, the lack of appropriate and conveniently located sites for these animals to be toileted poses a barrier that can deter or prevent travel on public transport. Also, the individuals utilising assistance animals will often need to venture away from their intended path of travel to locate an appropriate toileting area for their animal.</w:t>
      </w:r>
    </w:p>
    <w:p w14:paraId="4F9ED1EC"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1AE81930"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551B00BB" w14:textId="4A719A48" w:rsidR="00046C30" w:rsidRPr="008F7EAB" w:rsidRDefault="00046C30" w:rsidP="00046C30">
      <w:pPr>
        <w:pStyle w:val="Caption"/>
      </w:pPr>
      <w:bookmarkStart w:id="760" w:name="_Toc139969339"/>
      <w:r w:rsidRPr="008F7EAB">
        <w:t xml:space="preserve">Table </w:t>
      </w:r>
      <w:fldSimple w:instr=" SEQ Table \* ARABIC ">
        <w:r w:rsidR="00DC26AC">
          <w:rPr>
            <w:noProof/>
          </w:rPr>
          <w:t>181</w:t>
        </w:r>
      </w:fldSimple>
      <w:r w:rsidRPr="008F7EAB">
        <w:rPr>
          <w:noProof/>
        </w:rPr>
        <w:t>:</w:t>
      </w:r>
      <w:r>
        <w:t xml:space="preserve"> Preferred option for Assistance animal toileting facilities</w:t>
      </w:r>
      <w:bookmarkEnd w:id="76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32F16FA0"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7F7EBE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D222BA6"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7575DE3A"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3540B50"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7A42F31F" w14:textId="77777777" w:rsidR="00046C30" w:rsidRPr="004F7BF1" w:rsidRDefault="00046C30" w:rsidP="008877FC">
            <w:pPr>
              <w:cnfStyle w:val="000000100000" w:firstRow="0" w:lastRow="0" w:firstColumn="0" w:lastColumn="0" w:oddVBand="0" w:evenVBand="0" w:oddHBand="1" w:evenHBand="0" w:firstRowFirstColumn="0" w:firstRowLastColumn="0" w:lastRowFirstColumn="0" w:lastRowLastColumn="0"/>
            </w:pPr>
            <w:r>
              <w:t>The non-regulatory option would include a dedicated Section on assistance animal toileting areas in The Whole Journey Guide. This would expand on the ‘beyond compliance’ case study concerning Brisbane Airport in the current version of the guide. The guidance would include information about the location of safe and appropriate assistance animal toileting areas, design considerations and information provision.</w:t>
            </w:r>
          </w:p>
        </w:tc>
      </w:tr>
    </w:tbl>
    <w:p w14:paraId="45DB3B8D"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06885A08" w14:textId="392DF018" w:rsidR="00046C30" w:rsidRDefault="00046C30" w:rsidP="00046C30">
      <w:r>
        <w:t xml:space="preserve">There is no duplication between Stage 1, </w:t>
      </w:r>
      <w:r w:rsidRPr="004C6C16">
        <w:rPr>
          <w:i/>
          <w:iCs/>
        </w:rPr>
        <w:t>Chapter 13: Assistance animal toileting facilities</w:t>
      </w:r>
      <w:r>
        <w:t xml:space="preserve"> and Stage 2, </w:t>
      </w:r>
      <w:r w:rsidRPr="001979D2">
        <w:rPr>
          <w:i/>
          <w:iCs/>
        </w:rPr>
        <w:t>5. Better communication of accessibility features</w:t>
      </w:r>
      <w:r>
        <w:t xml:space="preserve"> as Stage 2 does not specify technical material</w:t>
      </w:r>
      <w:r w:rsidR="0015000C">
        <w:t>, it</w:t>
      </w:r>
      <w:r>
        <w:t xml:space="preserve"> only details how the facilities may be described and promoted.</w:t>
      </w:r>
    </w:p>
    <w:p w14:paraId="37F2952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70511ED5"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7318C285" w14:textId="77777777" w:rsidR="00046C30" w:rsidRDefault="00046C30" w:rsidP="00046C30">
      <w:pPr>
        <w:rPr>
          <w:rFonts w:ascii="Calibri" w:eastAsia="Calibri" w:hAnsi="Calibri" w:cs="Times New Roman"/>
          <w:color w:val="000000"/>
        </w:rPr>
      </w:pPr>
    </w:p>
    <w:p w14:paraId="17EB4CF3"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61" w:name="_Toc130912588"/>
      <w:bookmarkStart w:id="762" w:name="_Toc130914487"/>
      <w:bookmarkStart w:id="763" w:name="_Toc132381973"/>
      <w:bookmarkStart w:id="764" w:name="_Toc140239782"/>
      <w:r>
        <w:rPr>
          <w:rFonts w:ascii="Calibri" w:eastAsia="Calibri" w:hAnsi="Calibri" w:cs="Calibri"/>
          <w:color w:val="081E3E"/>
          <w:kern w:val="12"/>
          <w:sz w:val="36"/>
          <w:szCs w:val="36"/>
        </w:rPr>
        <w:t>Emergency egress</w:t>
      </w:r>
      <w:bookmarkEnd w:id="761"/>
      <w:bookmarkEnd w:id="762"/>
      <w:bookmarkEnd w:id="763"/>
      <w:bookmarkEnd w:id="764"/>
    </w:p>
    <w:p w14:paraId="38F3B7A8" w14:textId="77777777" w:rsidR="00046C30" w:rsidRDefault="00046C30" w:rsidP="00046C30">
      <w:r w:rsidRPr="00AD2161">
        <w:t>Emergency egress requirements for building premises are covered under the Premises Standards. However, the Premises Standards do not make provision for associated safety and technical issues relating to public transport infrastructure. The Transport Standards make no provisions for emergency egress from public transport infrastructure, premises or conveyances, and therefore, the provision of safe emergency egress is not well understood by all operators, designers and people with disability.</w:t>
      </w:r>
    </w:p>
    <w:p w14:paraId="78D97667"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49A04D78"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25C8DEC5" w14:textId="24136FAF" w:rsidR="00046C30" w:rsidRPr="008F7EAB" w:rsidRDefault="00046C30" w:rsidP="00046C30">
      <w:pPr>
        <w:pStyle w:val="Caption"/>
      </w:pPr>
      <w:bookmarkStart w:id="765" w:name="_Toc139969340"/>
      <w:r w:rsidRPr="008F7EAB">
        <w:t xml:space="preserve">Table </w:t>
      </w:r>
      <w:fldSimple w:instr=" SEQ Table \* ARABIC ">
        <w:r w:rsidR="00DC26AC">
          <w:rPr>
            <w:noProof/>
          </w:rPr>
          <w:t>182</w:t>
        </w:r>
      </w:fldSimple>
      <w:r w:rsidRPr="008F7EAB">
        <w:rPr>
          <w:noProof/>
        </w:rPr>
        <w:t>:</w:t>
      </w:r>
      <w:r>
        <w:t xml:space="preserve"> Preferred option for Emergency egress</w:t>
      </w:r>
      <w:bookmarkEnd w:id="76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1CD947F9"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616EDC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lastRenderedPageBreak/>
              <w:t>Option</w:t>
            </w:r>
          </w:p>
        </w:tc>
        <w:tc>
          <w:tcPr>
            <w:tcW w:w="6840" w:type="dxa"/>
            <w:shd w:val="clear" w:color="auto" w:fill="auto"/>
          </w:tcPr>
          <w:p w14:paraId="58ADC131"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47E16EE8"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6AAE6C2"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75638F5E" w14:textId="77777777" w:rsidR="00046C30" w:rsidRDefault="00046C30" w:rsidP="008877FC">
            <w:pPr>
              <w:spacing w:before="0" w:after="160"/>
              <w:cnfStyle w:val="000000100000" w:firstRow="0" w:lastRow="0" w:firstColumn="0" w:lastColumn="0" w:oddVBand="0" w:evenVBand="0" w:oddHBand="1" w:evenHBand="0" w:firstRowFirstColumn="0" w:firstRowLastColumn="0" w:lastRowFirstColumn="0" w:lastRowLastColumn="0"/>
              <w:rPr>
                <w:rFonts w:ascii="Calibri" w:hAnsi="Calibri"/>
                <w:b/>
                <w:bCs/>
              </w:rPr>
            </w:pPr>
            <w:r>
              <w:rPr>
                <w:rFonts w:ascii="Calibri" w:hAnsi="Calibri"/>
              </w:rPr>
              <w:t>The non-regulatory option will include guidance on emergency egress related to public transport infrastructure in The Whole Journey Guide</w:t>
            </w:r>
            <w:r>
              <w:rPr>
                <w:rFonts w:ascii="Calibri" w:hAnsi="Calibri"/>
                <w:b/>
                <w:bCs/>
              </w:rPr>
              <w:t xml:space="preserve">, </w:t>
            </w:r>
            <w:r w:rsidRPr="00E271D5">
              <w:rPr>
                <w:rFonts w:ascii="Calibri" w:hAnsi="Calibri"/>
                <w:bCs/>
              </w:rPr>
              <w:t>including:</w:t>
            </w:r>
          </w:p>
          <w:p w14:paraId="078002C3"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Passengers should have at least two accessible egress routes that lead away public transport facilities located within a road reserve.</w:t>
            </w:r>
          </w:p>
          <w:p w14:paraId="54F69ED2"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Consultation with local councils should be conducted, particularly where public transport infrastructure interfaces with council land.</w:t>
            </w:r>
          </w:p>
          <w:p w14:paraId="1437D009" w14:textId="77777777" w:rsidR="00046C30"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val="en" w:eastAsia="zh-TW"/>
              </w:rPr>
            </w:pPr>
            <w:r>
              <w:rPr>
                <w:lang w:val="en" w:eastAsia="zh-TW"/>
              </w:rPr>
              <w:t xml:space="preserve">Co-design processes should be conducted to ensure </w:t>
            </w:r>
            <w:r>
              <w:rPr>
                <w:lang w:eastAsia="zh-TW"/>
              </w:rPr>
              <w:t>that the needs of people with disability who may experience emergency situations have been considered</w:t>
            </w:r>
            <w:r>
              <w:rPr>
                <w:lang w:val="en" w:eastAsia="zh-TW"/>
              </w:rPr>
              <w:t>.</w:t>
            </w:r>
          </w:p>
          <w:p w14:paraId="3C349268" w14:textId="77777777" w:rsidR="00046C30" w:rsidRPr="00730D3C" w:rsidRDefault="00046C30" w:rsidP="006F65FB">
            <w:pPr>
              <w:pStyle w:val="ListParagraph"/>
              <w:numPr>
                <w:ilvl w:val="0"/>
                <w:numId w:val="31"/>
              </w:numPr>
              <w:autoSpaceDE w:val="0"/>
              <w:autoSpaceDN w:val="0"/>
              <w:spacing w:after="40"/>
              <w:cnfStyle w:val="000000100000" w:firstRow="0" w:lastRow="0" w:firstColumn="0" w:lastColumn="0" w:oddVBand="0" w:evenVBand="0" w:oddHBand="1" w:evenHBand="0" w:firstRowFirstColumn="0" w:firstRowLastColumn="0" w:lastRowFirstColumn="0" w:lastRowLastColumn="0"/>
              <w:rPr>
                <w:lang w:eastAsia="zh-TW"/>
              </w:rPr>
            </w:pPr>
            <w:r>
              <w:rPr>
                <w:lang w:eastAsia="zh-TW"/>
              </w:rPr>
              <w:t>Emergency services such as fire and police should have management procedures in place to address emergency egress at transport sites.</w:t>
            </w:r>
          </w:p>
        </w:tc>
      </w:tr>
    </w:tbl>
    <w:p w14:paraId="2E688CE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7BF34758" w14:textId="2910C012" w:rsidR="00046C30"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 xml:space="preserve">There are no interactions between this reform area and </w:t>
      </w:r>
      <w:r w:rsidR="0015000C">
        <w:rPr>
          <w:rFonts w:ascii="Calibri" w:eastAsia="Calibri" w:hAnsi="Calibri" w:cs="Times New Roman"/>
          <w:color w:val="000000" w:themeColor="text1"/>
        </w:rPr>
        <w:t>S</w:t>
      </w:r>
      <w:r w:rsidRPr="169A030C">
        <w:rPr>
          <w:rFonts w:ascii="Calibri" w:eastAsia="Calibri" w:hAnsi="Calibri" w:cs="Times New Roman"/>
          <w:color w:val="000000" w:themeColor="text1"/>
        </w:rPr>
        <w:t xml:space="preserve">tage 2 of the reform process. </w:t>
      </w:r>
    </w:p>
    <w:p w14:paraId="3F0506B6"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EDF44D1"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165FD175" w14:textId="77777777" w:rsidR="00046C30" w:rsidRPr="00D33181" w:rsidRDefault="00046C30" w:rsidP="00046C30">
      <w:pPr>
        <w:rPr>
          <w:rFonts w:ascii="Calibri" w:eastAsia="Calibri" w:hAnsi="Calibri" w:cs="Times New Roman"/>
          <w:color w:val="000000"/>
        </w:rPr>
      </w:pPr>
    </w:p>
    <w:p w14:paraId="74F32C93"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66" w:name="_Toc130912589"/>
      <w:bookmarkStart w:id="767" w:name="_Toc130914488"/>
      <w:bookmarkStart w:id="768" w:name="_Toc132381974"/>
      <w:bookmarkStart w:id="769" w:name="_Toc140239783"/>
      <w:r>
        <w:rPr>
          <w:rFonts w:ascii="Calibri" w:eastAsia="Calibri" w:hAnsi="Calibri" w:cs="Calibri"/>
          <w:color w:val="081E3E"/>
          <w:kern w:val="12"/>
          <w:sz w:val="36"/>
          <w:szCs w:val="36"/>
        </w:rPr>
        <w:t>Fit for purpose accessways</w:t>
      </w:r>
      <w:bookmarkEnd w:id="766"/>
      <w:bookmarkEnd w:id="767"/>
      <w:bookmarkEnd w:id="768"/>
      <w:bookmarkEnd w:id="769"/>
    </w:p>
    <w:p w14:paraId="3001F0A6" w14:textId="2A591BE6" w:rsidR="00046C30" w:rsidRDefault="00046C30" w:rsidP="00046C30">
      <w:r w:rsidRPr="000752D2">
        <w:t xml:space="preserve">The Transport Standards do not specify requirements for fit-for-purpose accessways. </w:t>
      </w:r>
      <w:r>
        <w:t>A</w:t>
      </w:r>
      <w:r w:rsidRPr="000752D2">
        <w:t xml:space="preserve"> fit</w:t>
      </w:r>
      <w:r w:rsidR="008E055D">
        <w:noBreakHyphen/>
      </w:r>
      <w:r w:rsidRPr="000752D2">
        <w:t>for</w:t>
      </w:r>
      <w:r w:rsidR="008E055D">
        <w:noBreakHyphen/>
      </w:r>
      <w:r w:rsidRPr="000752D2">
        <w:t>purpose accessway must have the capacity to allow for safe, timely egress of passengers from infrastructure or premises.</w:t>
      </w:r>
      <w:r>
        <w:t xml:space="preserve"> </w:t>
      </w:r>
      <w:r w:rsidRPr="000752D2">
        <w:t>People with mobility impairments have raised that when ramps or walkways are co located with stairs, they sometimes provide a path of travel inferior to the stairs that are designed to be the ‘main pedestrian traffic route/branch’.</w:t>
      </w:r>
    </w:p>
    <w:p w14:paraId="5579E3D9"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4026E9FA"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2FEAF61C" w14:textId="206516EB" w:rsidR="00046C30" w:rsidRPr="008F7EAB" w:rsidRDefault="00046C30" w:rsidP="00046C30">
      <w:pPr>
        <w:pStyle w:val="Caption"/>
      </w:pPr>
      <w:bookmarkStart w:id="770" w:name="_Toc139969341"/>
      <w:r w:rsidRPr="008F7EAB">
        <w:t xml:space="preserve">Table </w:t>
      </w:r>
      <w:fldSimple w:instr=" SEQ Table \* ARABIC ">
        <w:r w:rsidR="00DC26AC">
          <w:rPr>
            <w:noProof/>
          </w:rPr>
          <w:t>183</w:t>
        </w:r>
      </w:fldSimple>
      <w:r w:rsidRPr="008F7EAB">
        <w:rPr>
          <w:noProof/>
        </w:rPr>
        <w:t>:</w:t>
      </w:r>
      <w:r>
        <w:t xml:space="preserve"> Preferred option for Fit for purpose accessways</w:t>
      </w:r>
      <w:bookmarkEnd w:id="77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4FC4F11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63F0654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186AAEE9"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0956ACF"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162E8E2" w14:textId="77777777" w:rsidR="00046C30" w:rsidRPr="008F7EAB" w:rsidRDefault="00046C30" w:rsidP="008877FC">
            <w:pPr>
              <w:rPr>
                <w:rFonts w:ascii="Calibri" w:eastAsia="Calibri" w:hAnsi="Calibri" w:cs="Times New Roman"/>
              </w:rPr>
            </w:pPr>
            <w:r>
              <w:rPr>
                <w:rFonts w:ascii="Calibri" w:eastAsia="Calibri" w:hAnsi="Calibri" w:cs="Times New Roman"/>
              </w:rPr>
              <w:t>Non-regulatory</w:t>
            </w:r>
          </w:p>
        </w:tc>
        <w:tc>
          <w:tcPr>
            <w:tcW w:w="6840" w:type="dxa"/>
          </w:tcPr>
          <w:p w14:paraId="5A8D0FE6"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 xml:space="preserve">Information to be included in The </w:t>
            </w:r>
            <w:r>
              <w:rPr>
                <w:iCs/>
              </w:rPr>
              <w:t>Whole Journey Guide</w:t>
            </w:r>
            <w:r>
              <w:t xml:space="preserve"> will comprise the following:</w:t>
            </w:r>
          </w:p>
          <w:p w14:paraId="70A7D6AC"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 xml:space="preserve">Universal design principles </w:t>
            </w:r>
          </w:p>
          <w:p w14:paraId="71E388CE"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Access paths to have appropriate dimensions</w:t>
            </w:r>
          </w:p>
          <w:p w14:paraId="41043EA6"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Priority of access paths</w:t>
            </w:r>
          </w:p>
          <w:p w14:paraId="5AE42ADD" w14:textId="77777777" w:rsidR="00046C30" w:rsidRPr="00E271D5"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Prevention of misuse of access paths</w:t>
            </w:r>
          </w:p>
          <w:p w14:paraId="7E4D41D7" w14:textId="77777777" w:rsidR="00046C30"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E271D5">
              <w:t>Continuous accessible journey</w:t>
            </w:r>
          </w:p>
          <w:p w14:paraId="74E3C1F9" w14:textId="77777777" w:rsidR="00046C30" w:rsidRPr="008C2E79" w:rsidRDefault="00046C30" w:rsidP="006F65FB">
            <w:pPr>
              <w:pStyle w:val="ListParagraph"/>
              <w:numPr>
                <w:ilvl w:val="0"/>
                <w:numId w:val="36"/>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F50898">
              <w:t>Anticipating future demand</w:t>
            </w:r>
          </w:p>
        </w:tc>
      </w:tr>
    </w:tbl>
    <w:p w14:paraId="5F2F830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3CC39397" w14:textId="77777777" w:rsidR="00046C30" w:rsidRDefault="00046C30" w:rsidP="00046C30">
      <w:r>
        <w:t xml:space="preserve">There is no duplication or contradiction between Stage 1, </w:t>
      </w:r>
      <w:r w:rsidRPr="003443CC">
        <w:rPr>
          <w:i/>
          <w:iCs/>
        </w:rPr>
        <w:t>Chapter 15: Fit for purpose accessways</w:t>
      </w:r>
      <w:r>
        <w:t xml:space="preserve"> and Stage 2, </w:t>
      </w:r>
      <w:r w:rsidRPr="00961D02">
        <w:rPr>
          <w:i/>
          <w:iCs/>
        </w:rPr>
        <w:t>25.</w:t>
      </w:r>
      <w:r>
        <w:t xml:space="preserve"> </w:t>
      </w:r>
      <w:r w:rsidRPr="00961D02">
        <w:rPr>
          <w:i/>
          <w:iCs/>
        </w:rPr>
        <w:t>Continuous accessibility on access paths</w:t>
      </w:r>
      <w:r>
        <w:t xml:space="preserve">.  Stage 1 seeks priority for access paths over other pedestrian paths of travel while Stage 2 specifies where access paths are required.  </w:t>
      </w:r>
    </w:p>
    <w:p w14:paraId="3601EA16"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027E2CDB" w14:textId="77777777" w:rsidR="00046C30"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inclusion in a revised Whole Journey Guide.</w:t>
      </w:r>
    </w:p>
    <w:p w14:paraId="3D8B7F63" w14:textId="77777777" w:rsidR="00046C30" w:rsidRDefault="00046C30" w:rsidP="00046C30">
      <w:pPr>
        <w:rPr>
          <w:rFonts w:ascii="Calibri" w:eastAsia="Calibri" w:hAnsi="Calibri" w:cs="Times New Roman"/>
          <w:color w:val="000000"/>
        </w:rPr>
      </w:pPr>
    </w:p>
    <w:p w14:paraId="2BA2CACA"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71" w:name="_Toc130912590"/>
      <w:bookmarkStart w:id="772" w:name="_Toc130914489"/>
      <w:bookmarkStart w:id="773" w:name="_Toc132381975"/>
      <w:bookmarkStart w:id="774" w:name="_Toc140239784"/>
      <w:r>
        <w:rPr>
          <w:rFonts w:ascii="Calibri" w:eastAsia="Calibri" w:hAnsi="Calibri" w:cs="Calibri"/>
          <w:color w:val="081E3E"/>
          <w:kern w:val="12"/>
          <w:sz w:val="36"/>
          <w:szCs w:val="36"/>
        </w:rPr>
        <w:t>Wayfinding</w:t>
      </w:r>
      <w:bookmarkEnd w:id="771"/>
      <w:bookmarkEnd w:id="772"/>
      <w:bookmarkEnd w:id="773"/>
      <w:bookmarkEnd w:id="774"/>
    </w:p>
    <w:p w14:paraId="1F4A7F5A" w14:textId="77777777" w:rsidR="00046C30" w:rsidRPr="000752D2" w:rsidRDefault="00046C30" w:rsidP="00046C30">
      <w:r w:rsidRPr="000752D2">
        <w:t xml:space="preserve">People with disability have indicated the current Transport Standards do not provide adequate wayfinding requirements to assist people with a range of disabilities to independently and effectively navigate their way through transport related infrastructure and premises. </w:t>
      </w:r>
    </w:p>
    <w:p w14:paraId="08045C9E" w14:textId="77777777" w:rsidR="00046C30" w:rsidRPr="000752D2" w:rsidRDefault="00046C30" w:rsidP="00046C30">
      <w:r w:rsidRPr="000752D2">
        <w:t>Currently there is no single standard or guideline that offers a consistent, integrated approach to providing information for people with disability concerning wayfinding. Inconsistencies between the Transport Standards, the general provisions and Part H2 of the Premises Standards result in a lack of regulatory clarity.</w:t>
      </w:r>
    </w:p>
    <w:p w14:paraId="2A61C05D"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031D74A6"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1C10B503" w14:textId="6F6AF03E" w:rsidR="00046C30" w:rsidRPr="008F7EAB" w:rsidRDefault="00046C30" w:rsidP="00046C30">
      <w:pPr>
        <w:pStyle w:val="Caption"/>
      </w:pPr>
      <w:bookmarkStart w:id="775" w:name="_Toc139969342"/>
      <w:r w:rsidRPr="008F7EAB">
        <w:t xml:space="preserve">Table </w:t>
      </w:r>
      <w:fldSimple w:instr=" SEQ Table \* ARABIC ">
        <w:r w:rsidR="00DC26AC">
          <w:rPr>
            <w:noProof/>
          </w:rPr>
          <w:t>184</w:t>
        </w:r>
      </w:fldSimple>
      <w:r w:rsidRPr="008F7EAB">
        <w:rPr>
          <w:noProof/>
        </w:rPr>
        <w:t>:</w:t>
      </w:r>
      <w:r>
        <w:t xml:space="preserve"> Preferred option for Wayfinding</w:t>
      </w:r>
      <w:bookmarkEnd w:id="77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5557F34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47FCEA1E"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CAE49F4"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651FB2DE"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2A1DACC3"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4F797BDF" w14:textId="77777777" w:rsidR="00046C30" w:rsidRDefault="00046C30" w:rsidP="008877FC">
            <w:pPr>
              <w:spacing w:before="0" w:after="1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This option would make regulatory changes to the Transport Standards to address inconsistencies between the Transport Standards, the NCC and the Premises Standards in relation to a range of matters concerning wayfinding, including:</w:t>
            </w:r>
          </w:p>
          <w:p w14:paraId="0291FB59"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 xml:space="preserve">Replication of the current NCC clause D3.6 (signage), specification D3.6 (braille and tactile signs) and clause D3.8 (tactile indicators). </w:t>
            </w:r>
          </w:p>
          <w:p w14:paraId="356436EF"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Reference to Australian Standard AS1428.1 (2009) and AS/NZS1428.4.1 (2009) as the appropriate technical specification references for TGSIs to meet Transport Standards obligations.</w:t>
            </w:r>
          </w:p>
          <w:p w14:paraId="609C521B" w14:textId="77777777" w:rsidR="00046C30"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 xml:space="preserve">Luminance contrast for internal and external settings. </w:t>
            </w:r>
          </w:p>
          <w:p w14:paraId="6806BA23" w14:textId="77777777" w:rsidR="00046C30" w:rsidRPr="00E93F46" w:rsidRDefault="00046C30" w:rsidP="006F65FB">
            <w:pPr>
              <w:pStyle w:val="ListParagraph"/>
              <w:numPr>
                <w:ilvl w:val="0"/>
                <w:numId w:val="32"/>
              </w:numPr>
              <w:autoSpaceDE w:val="0"/>
              <w:autoSpaceDN w:val="0"/>
              <w:spacing w:after="40"/>
              <w:cnfStyle w:val="000000100000" w:firstRow="0" w:lastRow="0" w:firstColumn="0" w:lastColumn="0" w:oddVBand="0" w:evenVBand="0" w:oddHBand="1" w:evenHBand="0" w:firstRowFirstColumn="0" w:firstRowLastColumn="0" w:lastRowFirstColumn="0" w:lastRowLastColumn="0"/>
            </w:pPr>
            <w:r>
              <w:t>Location of TGSI placement at stairs.</w:t>
            </w:r>
          </w:p>
        </w:tc>
      </w:tr>
    </w:tbl>
    <w:p w14:paraId="5ECB6486" w14:textId="7BC23F5F" w:rsidR="000132CC" w:rsidRPr="00F55FEE" w:rsidRDefault="000132CC" w:rsidP="000132CC">
      <w:pPr>
        <w:pStyle w:val="Style5"/>
        <w:framePr w:wrap="around"/>
      </w:pPr>
      <w:r w:rsidRPr="00F55FEE">
        <w:t>N</w:t>
      </w:r>
      <w:r w:rsidRPr="00F55FEE">
        <w:rPr>
          <w:shd w:val="clear" w:color="auto" w:fill="FFFFFF"/>
        </w:rPr>
        <w:t xml:space="preserve">oting </w:t>
      </w:r>
      <w:r w:rsidRPr="00F55FEE">
        <w:t xml:space="preserve">AS1428.1 (2009) </w:t>
      </w:r>
      <w:r w:rsidRPr="00F55FEE">
        <w:rPr>
          <w:shd w:val="clear" w:color="auto" w:fill="FFFFFF"/>
        </w:rPr>
        <w:t xml:space="preserve">has now been superseded by </w:t>
      </w:r>
      <w:r w:rsidRPr="00F55FEE">
        <w:t xml:space="preserve">AS1428.1 (2021), reference to AS1428.1 (2009) </w:t>
      </w:r>
      <w:r>
        <w:t xml:space="preserve">clauses 8.1, 8.2 and 9 </w:t>
      </w:r>
      <w:r w:rsidRPr="00F55FEE">
        <w:rPr>
          <w:shd w:val="clear" w:color="auto" w:fill="FFFFFF"/>
        </w:rPr>
        <w:t>will be updated with the equivalent clause reference</w:t>
      </w:r>
      <w:r>
        <w:rPr>
          <w:shd w:val="clear" w:color="auto" w:fill="FFFFFF"/>
        </w:rPr>
        <w:t xml:space="preserve"> </w:t>
      </w:r>
      <w:r w:rsidRPr="00F55FEE">
        <w:rPr>
          <w:shd w:val="clear" w:color="auto" w:fill="FFFFFF"/>
        </w:rPr>
        <w:t xml:space="preserve">in </w:t>
      </w:r>
      <w:r w:rsidRPr="00F55FEE">
        <w:t>AS1428.1 (2021). There is no material change to the content of these updated Australian Standards clauses.</w:t>
      </w:r>
    </w:p>
    <w:p w14:paraId="0C1DECE8" w14:textId="1C066C86"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Interactions with Stage 2 Decision Regulation Impact Statement</w:t>
      </w:r>
    </w:p>
    <w:p w14:paraId="7316363A" w14:textId="77777777" w:rsidR="00046C30" w:rsidRDefault="00046C30" w:rsidP="00046C30">
      <w:r>
        <w:t xml:space="preserve">There is some overlap but no contradiction between Stage 1, </w:t>
      </w:r>
      <w:r w:rsidRPr="0017464B">
        <w:rPr>
          <w:i/>
          <w:iCs/>
        </w:rPr>
        <w:t>Chapter 16: Wayfinding</w:t>
      </w:r>
      <w:r>
        <w:t xml:space="preserve"> and Stage 2, </w:t>
      </w:r>
      <w:r w:rsidRPr="006406E4">
        <w:rPr>
          <w:i/>
          <w:iCs/>
        </w:rPr>
        <w:t>16. Braille and tactile lettering for signage</w:t>
      </w:r>
      <w:r w:rsidRPr="001851B8">
        <w:rPr>
          <w:i/>
          <w:iCs/>
        </w:rPr>
        <w:t>.</w:t>
      </w:r>
      <w:r>
        <w:t xml:space="preserve"> The Stage 2 proposal builds on Stage 1 rather than introducing any contradictions. There is some overlap but no contradiction between Stage 1, </w:t>
      </w:r>
      <w:r w:rsidRPr="0017464B">
        <w:rPr>
          <w:i/>
          <w:iCs/>
        </w:rPr>
        <w:t>Chapter 16: Wayfinding</w:t>
      </w:r>
      <w:r>
        <w:t xml:space="preserve"> and Stage 2, </w:t>
      </w:r>
      <w:r w:rsidRPr="001851B8">
        <w:rPr>
          <w:i/>
          <w:iCs/>
        </w:rPr>
        <w:t>36. Poles, objects and luminance contrast.</w:t>
      </w:r>
      <w:r>
        <w:t xml:space="preserve"> The Stage 2 proposal builds on Stage 1 rather than introducing any contradictions.  </w:t>
      </w:r>
    </w:p>
    <w:p w14:paraId="362B46E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Implementation approach</w:t>
      </w:r>
    </w:p>
    <w:p w14:paraId="354B10A9" w14:textId="77777777" w:rsidR="00046C30" w:rsidRPr="00601266" w:rsidRDefault="00046C30" w:rsidP="00046C30">
      <w:pPr>
        <w:rPr>
          <w:rFonts w:ascii="Calibri" w:eastAsia="Calibri" w:hAnsi="Calibri" w:cs="Times New Roman"/>
          <w:color w:val="000000" w:themeColor="text1"/>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10 years.</w:t>
      </w:r>
      <w:r>
        <w:br/>
      </w:r>
    </w:p>
    <w:p w14:paraId="1BCB04F4" w14:textId="77777777" w:rsidR="00046C30" w:rsidRPr="008F7EAB"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76" w:name="_Toc130912591"/>
      <w:bookmarkStart w:id="777" w:name="_Toc130914490"/>
      <w:bookmarkStart w:id="778" w:name="_Toc132381976"/>
      <w:bookmarkStart w:id="779" w:name="_Toc140239785"/>
      <w:r>
        <w:rPr>
          <w:rFonts w:ascii="Calibri" w:eastAsia="Calibri" w:hAnsi="Calibri" w:cs="Calibri"/>
          <w:color w:val="081E3E"/>
          <w:kern w:val="12"/>
          <w:sz w:val="36"/>
          <w:szCs w:val="36"/>
        </w:rPr>
        <w:t>Tactile ground surface indicators (TGSIs)</w:t>
      </w:r>
      <w:bookmarkEnd w:id="776"/>
      <w:bookmarkEnd w:id="777"/>
      <w:bookmarkEnd w:id="778"/>
      <w:bookmarkEnd w:id="779"/>
    </w:p>
    <w:p w14:paraId="5689CB26" w14:textId="77777777" w:rsidR="00046C30" w:rsidRPr="000752D2" w:rsidRDefault="00046C30" w:rsidP="00046C30">
      <w:r w:rsidRPr="000752D2">
        <w:t>The current Transport Standards do not include adequate requirements for directional tactile ground surface indicators (TGSIs) to assist people who are blind or have vision impairment to navigate through public transport precincts. This often leads to a poor understanding of what is required resulting in an inconsistent application or, in some instances, the absence of directional cues.</w:t>
      </w:r>
    </w:p>
    <w:p w14:paraId="7F4347B8"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Preferred option</w:t>
      </w:r>
    </w:p>
    <w:p w14:paraId="532352A8" w14:textId="77777777" w:rsidR="00046C30" w:rsidRPr="008F7EAB" w:rsidRDefault="00046C30" w:rsidP="00046C30">
      <w:pPr>
        <w:tabs>
          <w:tab w:val="left" w:pos="284"/>
        </w:tabs>
        <w:rPr>
          <w:rFonts w:ascii="Calibri" w:eastAsia="Calibri" w:hAnsi="Calibri" w:cs="Times New Roman"/>
          <w:color w:val="000000" w:themeColor="text1"/>
        </w:rPr>
      </w:pPr>
      <w:r w:rsidRPr="169A030C">
        <w:rPr>
          <w:rFonts w:ascii="Calibri" w:eastAsia="Calibri" w:hAnsi="Calibri" w:cs="Times New Roman"/>
          <w:color w:val="000000" w:themeColor="text1"/>
        </w:rPr>
        <w:t>The following option was agreed by transport ministers in the Stage 1 Decision Regulation Impact Statement.</w:t>
      </w:r>
    </w:p>
    <w:p w14:paraId="0D26D7C4" w14:textId="6062E1D0" w:rsidR="00046C30" w:rsidRPr="008F7EAB" w:rsidRDefault="00046C30" w:rsidP="00046C30">
      <w:pPr>
        <w:pStyle w:val="Caption"/>
      </w:pPr>
      <w:bookmarkStart w:id="780" w:name="_Toc139969343"/>
      <w:r w:rsidRPr="008F7EAB">
        <w:t xml:space="preserve">Table </w:t>
      </w:r>
      <w:fldSimple w:instr=" SEQ Table \* ARABIC ">
        <w:r w:rsidR="00DC26AC">
          <w:rPr>
            <w:noProof/>
          </w:rPr>
          <w:t>185</w:t>
        </w:r>
      </w:fldSimple>
      <w:r w:rsidRPr="008F7EAB">
        <w:rPr>
          <w:noProof/>
        </w:rPr>
        <w:t>:</w:t>
      </w:r>
      <w:r>
        <w:t xml:space="preserve"> Preferred option for Tactile ground surface indicators (TGSIs)</w:t>
      </w:r>
      <w:bookmarkEnd w:id="78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8F7EAB" w14:paraId="36575A9C"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63040CA"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4323CE8"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8F7EAB" w14:paraId="08B645A1"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03BF3B4" w14:textId="77777777" w:rsidR="00046C30" w:rsidRPr="008F7EAB" w:rsidRDefault="00046C30" w:rsidP="008877FC">
            <w:pPr>
              <w:rPr>
                <w:rFonts w:ascii="Calibri" w:eastAsia="Calibri" w:hAnsi="Calibri" w:cs="Times New Roman"/>
              </w:rPr>
            </w:pPr>
            <w:r>
              <w:rPr>
                <w:rFonts w:ascii="Calibri" w:eastAsia="Calibri" w:hAnsi="Calibri" w:cs="Times New Roman"/>
              </w:rPr>
              <w:t>Regulatory</w:t>
            </w:r>
          </w:p>
        </w:tc>
        <w:tc>
          <w:tcPr>
            <w:tcW w:w="6840" w:type="dxa"/>
          </w:tcPr>
          <w:p w14:paraId="270122D9" w14:textId="77777777" w:rsidR="00046C30" w:rsidRDefault="00046C30" w:rsidP="008877FC">
            <w:pPr>
              <w:cnfStyle w:val="000000100000" w:firstRow="0" w:lastRow="0" w:firstColumn="0" w:lastColumn="0" w:oddVBand="0" w:evenVBand="0" w:oddHBand="1" w:evenHBand="0" w:firstRowFirstColumn="0" w:firstRowLastColumn="0" w:lastRowFirstColumn="0" w:lastRowLastColumn="0"/>
            </w:pPr>
            <w:r>
              <w:t>This option would see content added to the Transport Standards to define the requirement for the use of directional TGSIs, adopting the requirements of AS1428.4.1:2009.</w:t>
            </w:r>
          </w:p>
          <w:p w14:paraId="71A2AC3B" w14:textId="77777777" w:rsidR="00046C30" w:rsidRPr="003757D5" w:rsidRDefault="00046C30" w:rsidP="008877FC">
            <w:pPr>
              <w:cnfStyle w:val="000000100000" w:firstRow="0" w:lastRow="0" w:firstColumn="0" w:lastColumn="0" w:oddVBand="0" w:evenVBand="0" w:oddHBand="1" w:evenHBand="0" w:firstRowFirstColumn="0" w:firstRowLastColumn="0" w:lastRowFirstColumn="0" w:lastRowLastColumn="0"/>
            </w:pPr>
            <w:r>
              <w:t xml:space="preserve">Changes will include design requirements and additional guidance on where it is expected that directional TGSIs may be used to assist vision impaired customers to navigate transport facilities in the absence of other wayfinding cues. These requirements would also establish where directional TGSIs are not required due to the potential to interfere with mobility aids or create confusion for people with vision impairment. </w:t>
            </w:r>
          </w:p>
        </w:tc>
      </w:tr>
    </w:tbl>
    <w:p w14:paraId="5399DE12"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t>Interactions with Stage 2 Decision Regulation Impact Statement</w:t>
      </w:r>
    </w:p>
    <w:p w14:paraId="50E9354D" w14:textId="77777777" w:rsidR="00046C30" w:rsidRDefault="00046C30" w:rsidP="00046C30">
      <w:r w:rsidRPr="00E77B08">
        <w:t xml:space="preserve">There is no duplication or contradiction between Stage 1, Chapter 17: Tactile ground surface indicators and Stage 2, 48. Accessible taxi ranks.  All refer to relevant clauses of AS1428.4.1-2009. </w:t>
      </w:r>
      <w:r>
        <w:t xml:space="preserve">There is no duplication or contradiction between Stage 1, </w:t>
      </w:r>
      <w:r w:rsidRPr="008907C9">
        <w:rPr>
          <w:i/>
          <w:iCs/>
        </w:rPr>
        <w:t>Chapter 17: Tactile ground surface indicators</w:t>
      </w:r>
      <w:r>
        <w:t xml:space="preserve"> and Stage 2, </w:t>
      </w:r>
      <w:r w:rsidRPr="008907C9">
        <w:rPr>
          <w:i/>
          <w:iCs/>
        </w:rPr>
        <w:t>49. Accessible passenger loading zones on-street.</w:t>
      </w:r>
      <w:r>
        <w:t xml:space="preserve">  All refer to relevant clauses of AS1428.4.1-2009.</w:t>
      </w:r>
    </w:p>
    <w:p w14:paraId="1DAE9FDE" w14:textId="77777777" w:rsidR="00046C30" w:rsidRPr="008F7EAB"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169A030C">
        <w:rPr>
          <w:rFonts w:ascii="Calibri" w:eastAsia="Times New Roman" w:hAnsi="Calibri" w:cs="Times New Roman"/>
          <w:b/>
          <w:color w:val="49515C"/>
          <w:sz w:val="26"/>
          <w:szCs w:val="26"/>
        </w:rPr>
        <w:lastRenderedPageBreak/>
        <w:t>Implementation approach</w:t>
      </w:r>
    </w:p>
    <w:p w14:paraId="4F37D9C5" w14:textId="1C3BAC39" w:rsidR="00046C30" w:rsidRDefault="00046C30" w:rsidP="00046C30">
      <w:pPr>
        <w:rPr>
          <w:rFonts w:ascii="Calibri" w:eastAsia="Calibri" w:hAnsi="Calibri" w:cs="Calibri"/>
          <w:color w:val="081E3E"/>
          <w:sz w:val="36"/>
          <w:szCs w:val="36"/>
        </w:rPr>
      </w:pPr>
      <w:r w:rsidRPr="169A030C">
        <w:rPr>
          <w:rFonts w:ascii="Calibri" w:eastAsia="Calibri" w:hAnsi="Calibri" w:cs="Times New Roman"/>
          <w:color w:val="000000" w:themeColor="text1"/>
        </w:rPr>
        <w:t>The preferred option will be implemented through amendments to the Transport Standards and Guidelines. Operators and providers will be required to meet the new Transport Standards requirements retrospectively with a compliance schedule timing of 10 years.</w:t>
      </w:r>
    </w:p>
    <w:p w14:paraId="2CAA3767"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81" w:name="_Toc130912592"/>
      <w:bookmarkStart w:id="782" w:name="_Toc130914491"/>
      <w:bookmarkStart w:id="783" w:name="_Toc132381977"/>
      <w:bookmarkStart w:id="784" w:name="_Toc140239786"/>
      <w:r w:rsidRPr="007D162C">
        <w:rPr>
          <w:rFonts w:ascii="Calibri" w:eastAsia="Calibri" w:hAnsi="Calibri" w:cs="Calibri"/>
          <w:color w:val="081E3E"/>
          <w:kern w:val="12"/>
          <w:sz w:val="36"/>
          <w:szCs w:val="36"/>
        </w:rPr>
        <w:t>Passenger loading areas</w:t>
      </w:r>
      <w:bookmarkEnd w:id="781"/>
      <w:bookmarkEnd w:id="782"/>
      <w:bookmarkEnd w:id="783"/>
      <w:bookmarkEnd w:id="784"/>
    </w:p>
    <w:p w14:paraId="191C4648" w14:textId="77777777" w:rsidR="00046C30" w:rsidRPr="007D162C" w:rsidRDefault="00046C30" w:rsidP="00046C30">
      <w:r w:rsidRPr="007D162C">
        <w:t>The Transport Standards facilitate the delivery of accessible facilities and infrastructure. However, the provisions do not extend to enabling passengers to safely arrive, depart, unload, load and move throughout the public transport precincts via passenger loading areas. Environments with insufficient amenity for passengers to feel safe can limit their participation in the community.</w:t>
      </w:r>
    </w:p>
    <w:p w14:paraId="6CC10627"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441609BE"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1C80965E" w14:textId="53E074AE" w:rsidR="00046C30" w:rsidRPr="007D162C" w:rsidRDefault="00046C30" w:rsidP="00046C30">
      <w:pPr>
        <w:pStyle w:val="Caption"/>
      </w:pPr>
      <w:bookmarkStart w:id="785" w:name="_Toc139969344"/>
      <w:r w:rsidRPr="007D162C">
        <w:t xml:space="preserve">Table </w:t>
      </w:r>
      <w:fldSimple w:instr=" SEQ Table \* ARABIC ">
        <w:r w:rsidR="00DC26AC">
          <w:rPr>
            <w:noProof/>
          </w:rPr>
          <w:t>186</w:t>
        </w:r>
      </w:fldSimple>
      <w:r w:rsidRPr="007D162C">
        <w:rPr>
          <w:noProof/>
        </w:rPr>
        <w:t>:</w:t>
      </w:r>
      <w:r w:rsidRPr="007D162C">
        <w:t xml:space="preserve"> Preferred option for Passenger loading areas</w:t>
      </w:r>
      <w:bookmarkEnd w:id="78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208596DD"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0C154D8C"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84CAC95"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33BD675D"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FF961BE" w14:textId="77777777" w:rsidR="00046C30" w:rsidRPr="007D162C" w:rsidRDefault="00046C30" w:rsidP="008877FC">
            <w:pPr>
              <w:rPr>
                <w:rFonts w:ascii="Calibri" w:eastAsia="Calibri" w:hAnsi="Calibri" w:cs="Times New Roman"/>
                <w:b w:val="0"/>
              </w:rPr>
            </w:pPr>
            <w:r w:rsidRPr="007D162C">
              <w:rPr>
                <w:rFonts w:ascii="Calibri" w:eastAsia="Calibri" w:hAnsi="Calibri" w:cs="Times New Roman"/>
              </w:rPr>
              <w:t>Regulatory,</w:t>
            </w:r>
            <w:r w:rsidRPr="007D162C">
              <w:br/>
            </w:r>
            <w:r w:rsidRPr="007D162C">
              <w:rPr>
                <w:rFonts w:ascii="Calibri" w:eastAsia="Calibri" w:hAnsi="Calibri" w:cs="Times New Roman"/>
              </w:rPr>
              <w:t>sub-option 1</w:t>
            </w:r>
          </w:p>
        </w:tc>
        <w:tc>
          <w:tcPr>
            <w:tcW w:w="6840" w:type="dxa"/>
          </w:tcPr>
          <w:p w14:paraId="5D279E79"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pPr>
            <w:r w:rsidRPr="007D162C">
              <w:t>The regulatory option will provide more specific detail on accessible passenger loading areas, including:</w:t>
            </w:r>
          </w:p>
          <w:p w14:paraId="53F769BD"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Defining passenger loading areas</w:t>
            </w:r>
          </w:p>
          <w:p w14:paraId="55A05312"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 xml:space="preserve">Specific access provisions </w:t>
            </w:r>
          </w:p>
          <w:p w14:paraId="029FCA76"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Design</w:t>
            </w:r>
          </w:p>
          <w:p w14:paraId="4726BA14"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The number of taxi rank spaces which must be accessible (the first and last taxi rank space must be accessible)</w:t>
            </w:r>
          </w:p>
        </w:tc>
      </w:tr>
    </w:tbl>
    <w:p w14:paraId="043319F4" w14:textId="77777777" w:rsidR="00046C30" w:rsidRPr="007D162C" w:rsidRDefault="00046C30" w:rsidP="00046C30">
      <w:r w:rsidRPr="007D162C">
        <w:br/>
        <w:t>Please note the Stage 1 Decision RIS included an editorial error in section 5.15.4 regarding the preferred sub-option for the number of taxi rank spaces which must be accessible. Sub-option 1 is the preferred sub-option for this reform area (the correct preferred option is included in the summary table and the regulatory option analysis).</w:t>
      </w:r>
    </w:p>
    <w:p w14:paraId="37775DD6"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7957BD6B" w14:textId="77777777" w:rsidR="00046C30" w:rsidRPr="007D162C" w:rsidRDefault="00046C30" w:rsidP="00046C30">
      <w:r w:rsidRPr="007D162C">
        <w:t>There is no duplication or contradiction between Stage 1, Chapter 15: Passenger loading areas and Stage 2, 49. Accessible passenger loading zones on-street.</w:t>
      </w:r>
    </w:p>
    <w:p w14:paraId="360ABA8B" w14:textId="77777777" w:rsidR="00046C30" w:rsidRPr="007D162C" w:rsidRDefault="00046C30" w:rsidP="00046C30">
      <w:r w:rsidRPr="007D162C">
        <w:t xml:space="preserve">The two proposals refer to loading zones in two discrete and different locations. Stage 1 refers to loading zones in the vicinity of transport nodes, such as train station or airport car parking while Stage 2 refers to loading zones on public streets. </w:t>
      </w:r>
    </w:p>
    <w:p w14:paraId="54A325F6" w14:textId="77777777" w:rsidR="00046C30" w:rsidRPr="007D162C" w:rsidRDefault="00046C30" w:rsidP="00046C30">
      <w:r w:rsidRPr="007D162C">
        <w:t>The design requirements for the number of accessible spaces recommended in Stage 1, Chapter 15 and Stage 2, Chapters 48 and 49 align.</w:t>
      </w:r>
    </w:p>
    <w:p w14:paraId="11F42271"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5DD9F4E2" w14:textId="77777777" w:rsidR="00046C30" w:rsidRPr="007D162C" w:rsidRDefault="00046C30" w:rsidP="00046C30">
      <w:pPr>
        <w:rPr>
          <w:rFonts w:ascii="Calibri" w:eastAsia="Calibri" w:hAnsi="Calibri" w:cs="Calibri"/>
          <w:color w:val="081E3E"/>
          <w:sz w:val="36"/>
          <w:szCs w:val="36"/>
        </w:rPr>
      </w:pPr>
      <w:r w:rsidRPr="007D162C">
        <w:rPr>
          <w:rFonts w:ascii="Calibri" w:eastAsia="Calibri" w:hAnsi="Calibri" w:cs="Times New Roman"/>
          <w:color w:val="000000" w:themeColor="text1"/>
        </w:rPr>
        <w:t xml:space="preserve">The preferred option will be implemented through amendments to the Transport Standards and Guidelines. Operators and providers will be required to meet the new Transport Standards </w:t>
      </w:r>
      <w:r w:rsidRPr="007D162C">
        <w:rPr>
          <w:rFonts w:ascii="Calibri" w:eastAsia="Calibri" w:hAnsi="Calibri" w:cs="Times New Roman"/>
          <w:color w:val="000000" w:themeColor="text1"/>
        </w:rPr>
        <w:lastRenderedPageBreak/>
        <w:t>requirements retrospectively with a compliance schedule timing of 10 years.</w:t>
      </w:r>
      <w:r w:rsidRPr="007D162C">
        <w:br/>
      </w:r>
    </w:p>
    <w:p w14:paraId="0D9465E9"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86" w:name="_Toc130912593"/>
      <w:bookmarkStart w:id="787" w:name="_Toc130914492"/>
      <w:bookmarkStart w:id="788" w:name="_Toc132381978"/>
      <w:bookmarkStart w:id="789" w:name="_Toc140239787"/>
      <w:r w:rsidRPr="007D162C">
        <w:rPr>
          <w:rFonts w:ascii="Calibri" w:eastAsia="Calibri" w:hAnsi="Calibri" w:cs="Calibri"/>
          <w:color w:val="081E3E"/>
          <w:kern w:val="12"/>
          <w:sz w:val="36"/>
          <w:szCs w:val="36"/>
        </w:rPr>
        <w:t>Provision of information in multiple formats</w:t>
      </w:r>
      <w:bookmarkEnd w:id="786"/>
      <w:bookmarkEnd w:id="787"/>
      <w:bookmarkEnd w:id="788"/>
      <w:bookmarkEnd w:id="789"/>
    </w:p>
    <w:p w14:paraId="11164D07" w14:textId="77777777" w:rsidR="00046C30" w:rsidRPr="007D162C" w:rsidRDefault="00046C30" w:rsidP="00046C30">
      <w:r w:rsidRPr="007D162C">
        <w:t>Public transport operators and providers are increasingly using websites, smartphone applications (apps) and online systems to communicate either static or dynamic service information to customers. The Transport Standards do not provide clarity for operators and providers about what their obligations are in relation to providing information about transport services, nor do they provide certainty for people with disability that information will be available in multiple formats other than online systems and apps.</w:t>
      </w:r>
    </w:p>
    <w:p w14:paraId="1F95AD8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4C2FFA46"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67A13987" w14:textId="065FA7E2" w:rsidR="00046C30" w:rsidRPr="007D162C" w:rsidRDefault="00046C30" w:rsidP="00046C30">
      <w:pPr>
        <w:pStyle w:val="Caption"/>
      </w:pPr>
      <w:bookmarkStart w:id="790" w:name="_Toc139969345"/>
      <w:r w:rsidRPr="007D162C">
        <w:t xml:space="preserve">Table </w:t>
      </w:r>
      <w:fldSimple w:instr=" SEQ Table \* ARABIC ">
        <w:r w:rsidR="00DC26AC">
          <w:rPr>
            <w:noProof/>
          </w:rPr>
          <w:t>187</w:t>
        </w:r>
      </w:fldSimple>
      <w:r w:rsidRPr="007D162C">
        <w:rPr>
          <w:noProof/>
        </w:rPr>
        <w:t>:</w:t>
      </w:r>
      <w:r w:rsidRPr="007D162C">
        <w:t xml:space="preserve"> Preferred option for Provision of information in multiple formats</w:t>
      </w:r>
      <w:bookmarkEnd w:id="790"/>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501FEDF3"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2F28D1AD"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4C00A753"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77A9D679"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73F85219" w14:textId="77777777" w:rsidR="00046C30" w:rsidRPr="007D162C" w:rsidRDefault="00046C30" w:rsidP="008877FC">
            <w:pPr>
              <w:rPr>
                <w:rFonts w:ascii="Calibri" w:eastAsia="Calibri" w:hAnsi="Calibri" w:cs="Times New Roman"/>
              </w:rPr>
            </w:pPr>
            <w:r w:rsidRPr="007D162C">
              <w:rPr>
                <w:rFonts w:ascii="Calibri" w:eastAsia="Calibri" w:hAnsi="Calibri" w:cs="Times New Roman"/>
              </w:rPr>
              <w:t>Regulatory with revisions</w:t>
            </w:r>
          </w:p>
        </w:tc>
        <w:tc>
          <w:tcPr>
            <w:tcW w:w="6840" w:type="dxa"/>
          </w:tcPr>
          <w:p w14:paraId="18728C95"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pPr>
            <w:r w:rsidRPr="007D162C">
              <w:t>Mandatory performance elements would be included in the Transport Standards which includes requirements for the provision of information in multiple formats and the types of transport information this would be applicable to as a minimum. These include:</w:t>
            </w:r>
          </w:p>
          <w:p w14:paraId="7D880193" w14:textId="77777777" w:rsidR="00046C30" w:rsidRPr="007D162C" w:rsidRDefault="00046C30" w:rsidP="006F65FB">
            <w:pPr>
              <w:pStyle w:val="ListParagraph"/>
              <w:numPr>
                <w:ilvl w:val="0"/>
                <w:numId w:val="33"/>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General information for transport services cannot solely be provided in an online format such as a website.</w:t>
            </w:r>
          </w:p>
          <w:p w14:paraId="65B14F40" w14:textId="77777777" w:rsidR="00046C30" w:rsidRPr="007D162C" w:rsidRDefault="00046C30" w:rsidP="006F65FB">
            <w:pPr>
              <w:pStyle w:val="ListParagraph"/>
              <w:numPr>
                <w:ilvl w:val="0"/>
                <w:numId w:val="33"/>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General information includes but is not limited to timetables, routes, fare, payment methods, next stop information, next service information.</w:t>
            </w:r>
          </w:p>
          <w:p w14:paraId="5E3A24FD" w14:textId="77777777" w:rsidR="00046C30" w:rsidRPr="007D162C" w:rsidRDefault="00046C30" w:rsidP="006F65FB">
            <w:pPr>
              <w:pStyle w:val="ListParagraph"/>
              <w:numPr>
                <w:ilvl w:val="0"/>
                <w:numId w:val="40"/>
              </w:numPr>
              <w:autoSpaceDE w:val="0"/>
              <w:autoSpaceDN w:val="0"/>
              <w:spacing w:after="40"/>
              <w:cnfStyle w:val="000000100000" w:firstRow="0" w:lastRow="0" w:firstColumn="0" w:lastColumn="0" w:oddVBand="0" w:evenVBand="0" w:oddHBand="1" w:evenHBand="0" w:firstRowFirstColumn="0" w:firstRowLastColumn="0" w:lastRowFirstColumn="0" w:lastRowLastColumn="0"/>
            </w:pPr>
            <w:r w:rsidRPr="007D162C">
              <w:t>The Transport Standards Guidelines would be amended to reflect and provide further advice on the new requirements</w:t>
            </w:r>
          </w:p>
        </w:tc>
      </w:tr>
    </w:tbl>
    <w:p w14:paraId="4995D49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140AAA8F" w14:textId="77777777" w:rsidR="00046C30" w:rsidRPr="007D162C" w:rsidRDefault="00046C30" w:rsidP="00046C30">
      <w:r w:rsidRPr="007D162C">
        <w:t xml:space="preserve">There is no contradiction between Stage 1, </w:t>
      </w:r>
      <w:r w:rsidRPr="003640D8">
        <w:rPr>
          <w:i/>
        </w:rPr>
        <w:t xml:space="preserve">Chapter 19: Provision of information in multiple formats and Stage 2, 5. Better communication of accessibility features, 6. Timely provision of information, 7. Real time communication </w:t>
      </w:r>
      <w:r w:rsidRPr="003640D8">
        <w:t>and</w:t>
      </w:r>
      <w:r w:rsidRPr="003640D8">
        <w:rPr>
          <w:i/>
        </w:rPr>
        <w:t xml:space="preserve"> 9. Hearing augmentation on conveyances</w:t>
      </w:r>
      <w:r w:rsidRPr="007D162C">
        <w:t xml:space="preserve">. Stage 1 further establishes a general right to information that already exists in DSAPT.  Stage 2 expands on Stage 1 by proposing uniform terminology, timely provision, real time communication and audio alternatives. </w:t>
      </w:r>
    </w:p>
    <w:p w14:paraId="783DFEC5"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7D63CF10" w14:textId="269E7EC4" w:rsidR="00046C30" w:rsidRPr="007D162C" w:rsidRDefault="00046C30" w:rsidP="00046C30">
      <w:pPr>
        <w:rPr>
          <w:rFonts w:ascii="Calibri" w:eastAsia="Calibri" w:hAnsi="Calibri" w:cs="Calibri"/>
          <w:color w:val="081E3E"/>
          <w:sz w:val="36"/>
          <w:szCs w:val="36"/>
        </w:rPr>
      </w:pPr>
      <w:r w:rsidRPr="007D162C">
        <w:rPr>
          <w:rFonts w:ascii="Calibri" w:eastAsia="Calibri" w:hAnsi="Calibri" w:cs="Times New Roman"/>
          <w:color w:val="000000"/>
        </w:rPr>
        <w:t>The preferred option will be implemented through amendments to the Transport Standards and Guidelines. Operators and providers will be required to meet the new Transport Standards requirements retrospectively with a compliance schedule timing of 5 year</w:t>
      </w:r>
      <w:r w:rsidR="00DD4D81">
        <w:rPr>
          <w:rFonts w:ascii="Calibri" w:eastAsia="Calibri" w:hAnsi="Calibri" w:cs="Times New Roman"/>
          <w:color w:val="000000"/>
        </w:rPr>
        <w:t xml:space="preserve">s. This provides operators and providers with 5 years to ensure processes meet these requirements. </w:t>
      </w:r>
      <w:r w:rsidRPr="007D162C">
        <w:rPr>
          <w:rFonts w:ascii="Calibri" w:eastAsia="Calibri" w:hAnsi="Calibri" w:cs="Calibri"/>
          <w:color w:val="081E3E"/>
          <w:kern w:val="12"/>
          <w:sz w:val="36"/>
          <w:szCs w:val="36"/>
        </w:rPr>
        <w:br/>
      </w:r>
    </w:p>
    <w:p w14:paraId="790B909F" w14:textId="77777777" w:rsidR="00046C30" w:rsidRPr="007D162C" w:rsidRDefault="00046C30" w:rsidP="006F65FB">
      <w:pPr>
        <w:keepNext/>
        <w:numPr>
          <w:ilvl w:val="0"/>
          <w:numId w:val="38"/>
        </w:numPr>
        <w:suppressAutoHyphens/>
        <w:spacing w:before="160" w:after="80"/>
        <w:ind w:left="851" w:hanging="851"/>
        <w:outlineLvl w:val="2"/>
        <w:rPr>
          <w:rFonts w:ascii="Calibri" w:eastAsia="Calibri" w:hAnsi="Calibri" w:cs="Calibri"/>
          <w:color w:val="081E3E"/>
          <w:sz w:val="36"/>
          <w:szCs w:val="36"/>
        </w:rPr>
      </w:pPr>
      <w:bookmarkStart w:id="791" w:name="_Toc130912594"/>
      <w:bookmarkStart w:id="792" w:name="_Toc130914493"/>
      <w:bookmarkStart w:id="793" w:name="_Toc132381979"/>
      <w:bookmarkStart w:id="794" w:name="_Toc140239788"/>
      <w:r w:rsidRPr="007D162C">
        <w:rPr>
          <w:rFonts w:ascii="Calibri" w:eastAsia="Calibri" w:hAnsi="Calibri" w:cs="Calibri"/>
          <w:color w:val="081E3E"/>
          <w:kern w:val="12"/>
          <w:sz w:val="36"/>
          <w:szCs w:val="36"/>
        </w:rPr>
        <w:lastRenderedPageBreak/>
        <w:t>Australian Standards and definitional amendments</w:t>
      </w:r>
      <w:bookmarkEnd w:id="791"/>
      <w:bookmarkEnd w:id="792"/>
      <w:bookmarkEnd w:id="793"/>
      <w:bookmarkEnd w:id="794"/>
    </w:p>
    <w:p w14:paraId="4BB80EAF" w14:textId="77777777" w:rsidR="00046C30" w:rsidRPr="007D162C" w:rsidRDefault="00046C30" w:rsidP="00046C30">
      <w:r w:rsidRPr="007D162C">
        <w:t>A number of references to Australian Standards in the Transport Standards have been superseded by the release of new and updated Australian Standards. The aim of this reform is to update the Transport Standards to:</w:t>
      </w:r>
    </w:p>
    <w:p w14:paraId="6F183134" w14:textId="77777777" w:rsidR="00046C30" w:rsidRPr="007D162C" w:rsidRDefault="00046C30" w:rsidP="006F65FB">
      <w:pPr>
        <w:pStyle w:val="ListParagraph"/>
        <w:numPr>
          <w:ilvl w:val="0"/>
          <w:numId w:val="37"/>
        </w:numPr>
        <w:autoSpaceDE w:val="0"/>
        <w:autoSpaceDN w:val="0"/>
        <w:spacing w:before="80" w:after="40"/>
      </w:pPr>
      <w:r w:rsidRPr="007D162C">
        <w:t>Reference more current Australian Standards in a manner that imparts either no change in material outcome or only minor material changes.</w:t>
      </w:r>
    </w:p>
    <w:p w14:paraId="0E248BBC" w14:textId="77777777" w:rsidR="00046C30" w:rsidRPr="007D162C" w:rsidRDefault="08D050C4" w:rsidP="006F65FB">
      <w:pPr>
        <w:pStyle w:val="ListParagraph"/>
        <w:numPr>
          <w:ilvl w:val="0"/>
          <w:numId w:val="37"/>
        </w:numPr>
        <w:autoSpaceDE w:val="0"/>
        <w:autoSpaceDN w:val="0"/>
        <w:spacing w:before="80" w:after="40"/>
      </w:pPr>
      <w:r w:rsidRPr="007D162C">
        <w:t>Align the Transport Standards with the Premises Standards where this gives favourable outcomes and achieves consistency.</w:t>
      </w:r>
    </w:p>
    <w:p w14:paraId="2B1157E1" w14:textId="4894E728" w:rsidR="00046C30" w:rsidRPr="007D162C" w:rsidRDefault="08D050C4" w:rsidP="006F65FB">
      <w:pPr>
        <w:pStyle w:val="ListParagraph"/>
        <w:numPr>
          <w:ilvl w:val="0"/>
          <w:numId w:val="37"/>
        </w:numPr>
        <w:autoSpaceDE w:val="0"/>
        <w:autoSpaceDN w:val="0"/>
        <w:spacing w:before="80" w:after="40"/>
      </w:pPr>
      <w:r w:rsidRPr="007D162C">
        <w:t>Harmonise language with the</w:t>
      </w:r>
      <w:r w:rsidR="003640D8">
        <w:t xml:space="preserve"> DDA.</w:t>
      </w:r>
    </w:p>
    <w:p w14:paraId="53652F80"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Preferred option</w:t>
      </w:r>
    </w:p>
    <w:p w14:paraId="6BDC1664"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The following option was agreed by transport ministers in the Stage 1 Decision Regulation Impact Statement.</w:t>
      </w:r>
    </w:p>
    <w:p w14:paraId="7553F2CF" w14:textId="052FEFB6" w:rsidR="00046C30" w:rsidRPr="007D162C" w:rsidRDefault="00046C30" w:rsidP="00046C30">
      <w:pPr>
        <w:pStyle w:val="Caption"/>
      </w:pPr>
      <w:bookmarkStart w:id="795" w:name="_Toc139969346"/>
      <w:r w:rsidRPr="007D162C">
        <w:t xml:space="preserve">Table </w:t>
      </w:r>
      <w:fldSimple w:instr=" SEQ Table \* ARABIC ">
        <w:r w:rsidR="00DC26AC">
          <w:rPr>
            <w:noProof/>
          </w:rPr>
          <w:t>188</w:t>
        </w:r>
      </w:fldSimple>
      <w:r w:rsidRPr="007D162C">
        <w:rPr>
          <w:noProof/>
        </w:rPr>
        <w:t>:</w:t>
      </w:r>
      <w:r w:rsidRPr="007D162C">
        <w:t xml:space="preserve"> Preferred option for Australian Standards and definitional amendments</w:t>
      </w:r>
      <w:bookmarkEnd w:id="795"/>
    </w:p>
    <w:tbl>
      <w:tblPr>
        <w:tblStyle w:val="DefaultTable1"/>
        <w:tblW w:w="9072" w:type="dxa"/>
        <w:tblLook w:val="04A0" w:firstRow="1" w:lastRow="0" w:firstColumn="1" w:lastColumn="0" w:noHBand="0" w:noVBand="1"/>
        <w:tblCaption w:val="Reform options for equivalent access"/>
        <w:tblDescription w:val="This table provides a description of each of the options for this reform area. Status quo, non-regulatory and regulatory."/>
      </w:tblPr>
      <w:tblGrid>
        <w:gridCol w:w="2232"/>
        <w:gridCol w:w="6840"/>
      </w:tblGrid>
      <w:tr w:rsidR="00046C30" w:rsidRPr="007D162C" w14:paraId="46F1FB3E" w14:textId="77777777" w:rsidTr="08D050C4">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2" w:type="dxa"/>
            <w:shd w:val="clear" w:color="auto" w:fill="auto"/>
          </w:tcPr>
          <w:p w14:paraId="3096F266" w14:textId="77777777" w:rsidR="00046C30" w:rsidRPr="00666DE9" w:rsidRDefault="00046C30" w:rsidP="008877FC">
            <w:pPr>
              <w:rPr>
                <w:rFonts w:ascii="Calibri" w:eastAsia="Calibri" w:hAnsi="Calibri" w:cs="Times New Roman"/>
                <w:color w:val="auto"/>
              </w:rPr>
            </w:pPr>
            <w:r w:rsidRPr="00666DE9">
              <w:rPr>
                <w:rFonts w:ascii="Calibri" w:eastAsia="Calibri" w:hAnsi="Calibri" w:cs="Times New Roman"/>
                <w:color w:val="auto"/>
              </w:rPr>
              <w:t>Option</w:t>
            </w:r>
          </w:p>
        </w:tc>
        <w:tc>
          <w:tcPr>
            <w:tcW w:w="6840" w:type="dxa"/>
            <w:shd w:val="clear" w:color="auto" w:fill="auto"/>
          </w:tcPr>
          <w:p w14:paraId="29DE0EFE" w14:textId="77777777" w:rsidR="00046C30" w:rsidRPr="00666DE9" w:rsidRDefault="00046C30" w:rsidP="008877FC">
            <w:pP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auto"/>
              </w:rPr>
            </w:pPr>
            <w:r w:rsidRPr="00666DE9">
              <w:rPr>
                <w:rFonts w:ascii="Calibri" w:eastAsia="Calibri" w:hAnsi="Calibri" w:cs="Times New Roman"/>
                <w:color w:val="auto"/>
              </w:rPr>
              <w:t>Description</w:t>
            </w:r>
          </w:p>
        </w:tc>
      </w:tr>
      <w:tr w:rsidR="00046C30" w:rsidRPr="007D162C" w14:paraId="053B6265"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C40529D" w14:textId="77777777" w:rsidR="00046C30" w:rsidRPr="007D162C" w:rsidRDefault="00046C30" w:rsidP="008877FC">
            <w:pPr>
              <w:rPr>
                <w:rFonts w:ascii="Calibri" w:eastAsia="Calibri" w:hAnsi="Calibri" w:cs="Times New Roman"/>
              </w:rPr>
            </w:pPr>
            <w:r w:rsidRPr="007D162C">
              <w:rPr>
                <w:rFonts w:ascii="Calibri" w:eastAsia="Calibri" w:hAnsi="Calibri" w:cs="Times New Roman"/>
              </w:rPr>
              <w:t>Support all 32 regulatory amendments</w:t>
            </w:r>
          </w:p>
        </w:tc>
        <w:tc>
          <w:tcPr>
            <w:tcW w:w="6840" w:type="dxa"/>
          </w:tcPr>
          <w:p w14:paraId="5AAE29C0"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The Transport Standards will be updated to reference all 32 relevant Australian Standards</w:t>
            </w:r>
          </w:p>
          <w:p w14:paraId="668486FC" w14:textId="77777777" w:rsidR="00046C30" w:rsidRPr="007D162C" w:rsidRDefault="00046C30" w:rsidP="008877FC">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D162C">
              <w:rPr>
                <w:rFonts w:ascii="Calibri" w:eastAsia="Calibri" w:hAnsi="Calibri" w:cs="Times New Roman"/>
              </w:rPr>
              <w:t>Submissions supported consolidating Section 21.2 and Section 21.3 to improve clarity.</w:t>
            </w:r>
          </w:p>
        </w:tc>
      </w:tr>
    </w:tbl>
    <w:p w14:paraId="523A5EEF"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Interactions with Stage 2 Decision Regulation Impact Statement</w:t>
      </w:r>
    </w:p>
    <w:p w14:paraId="2458D10A" w14:textId="77777777" w:rsidR="00046C30" w:rsidRPr="007D162C" w:rsidRDefault="00046C30" w:rsidP="00046C30">
      <w:pPr>
        <w:tabs>
          <w:tab w:val="left" w:pos="284"/>
        </w:tabs>
        <w:rPr>
          <w:rFonts w:ascii="Calibri" w:eastAsia="Calibri" w:hAnsi="Calibri" w:cs="Times New Roman"/>
          <w:color w:val="000000" w:themeColor="text1"/>
        </w:rPr>
      </w:pPr>
      <w:r w:rsidRPr="007D162C">
        <w:rPr>
          <w:rFonts w:ascii="Calibri" w:eastAsia="Calibri" w:hAnsi="Calibri" w:cs="Times New Roman"/>
          <w:color w:val="000000" w:themeColor="text1"/>
        </w:rPr>
        <w:t xml:space="preserve">There are no interactions between this reform area and stage 2 of the reform process. </w:t>
      </w:r>
    </w:p>
    <w:p w14:paraId="7E583AC8" w14:textId="77777777" w:rsidR="00046C30" w:rsidRPr="007D162C" w:rsidRDefault="00046C30" w:rsidP="00046C30">
      <w:pPr>
        <w:keepNext/>
        <w:keepLines/>
        <w:tabs>
          <w:tab w:val="left" w:pos="284"/>
        </w:tabs>
        <w:spacing w:before="240"/>
        <w:outlineLvl w:val="3"/>
        <w:rPr>
          <w:rFonts w:ascii="Calibri" w:eastAsia="Times New Roman" w:hAnsi="Calibri" w:cs="Times New Roman"/>
          <w:b/>
          <w:color w:val="49515C"/>
          <w:sz w:val="26"/>
          <w:szCs w:val="26"/>
        </w:rPr>
      </w:pPr>
      <w:r w:rsidRPr="007D162C">
        <w:rPr>
          <w:rFonts w:ascii="Calibri" w:eastAsia="Times New Roman" w:hAnsi="Calibri" w:cs="Times New Roman"/>
          <w:b/>
          <w:color w:val="49515C"/>
          <w:sz w:val="26"/>
          <w:szCs w:val="26"/>
        </w:rPr>
        <w:t>Implementation approach</w:t>
      </w:r>
    </w:p>
    <w:p w14:paraId="19D3F5CE" w14:textId="6EB9F9CF" w:rsidR="00046C30" w:rsidRPr="007D162C" w:rsidRDefault="00046C30" w:rsidP="00046C30">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rPr>
        <w:t xml:space="preserve">The preferred </w:t>
      </w:r>
      <w:r w:rsidR="008E055D">
        <w:rPr>
          <w:rFonts w:ascii="Calibri" w:eastAsia="Calibri" w:hAnsi="Calibri" w:cs="Times New Roman"/>
          <w:color w:val="000000" w:themeColor="text1"/>
        </w:rPr>
        <w:t>options</w:t>
      </w:r>
      <w:r w:rsidRPr="007D162C">
        <w:rPr>
          <w:rFonts w:ascii="Calibri" w:eastAsia="Calibri" w:hAnsi="Calibri" w:cs="Times New Roman"/>
          <w:color w:val="000000" w:themeColor="text1"/>
        </w:rPr>
        <w:t xml:space="preserve"> will be implemented through amendments to the Transport Standards</w:t>
      </w:r>
      <w:bookmarkEnd w:id="708"/>
      <w:r w:rsidR="008E055D">
        <w:rPr>
          <w:rFonts w:ascii="Calibri" w:eastAsia="Calibri" w:hAnsi="Calibri" w:cs="Times New Roman"/>
          <w:color w:val="000000" w:themeColor="text1"/>
        </w:rPr>
        <w:t>. Table</w:t>
      </w:r>
      <w:r w:rsidR="004F6E27">
        <w:rPr>
          <w:rFonts w:ascii="Calibri" w:eastAsia="Calibri" w:hAnsi="Calibri" w:cs="Times New Roman"/>
          <w:color w:val="000000" w:themeColor="text1"/>
        </w:rPr>
        <w:t> </w:t>
      </w:r>
      <w:r w:rsidR="008E055D">
        <w:rPr>
          <w:rFonts w:ascii="Calibri" w:eastAsia="Calibri" w:hAnsi="Calibri" w:cs="Times New Roman"/>
          <w:color w:val="000000" w:themeColor="text1"/>
        </w:rPr>
        <w:t>176 in the Implementation chapter details the implementation arrangements for all 32 relevant Australian Standards.</w:t>
      </w:r>
    </w:p>
    <w:p w14:paraId="7389B015" w14:textId="27EC6562" w:rsidR="003640D8" w:rsidRDefault="003640D8">
      <w:pPr>
        <w:spacing w:line="259" w:lineRule="auto"/>
        <w:rPr>
          <w:rFonts w:ascii="Calibri" w:eastAsia="Calibri" w:hAnsi="Calibri" w:cs="Times New Roman"/>
          <w:color w:val="000000"/>
          <w:lang w:val="en-AU"/>
        </w:rPr>
      </w:pPr>
      <w:r>
        <w:rPr>
          <w:rFonts w:ascii="Calibri" w:eastAsia="Calibri" w:hAnsi="Calibri" w:cs="Times New Roman"/>
          <w:color w:val="000000"/>
          <w:lang w:val="en-AU"/>
        </w:rPr>
        <w:br w:type="page"/>
      </w:r>
    </w:p>
    <w:p w14:paraId="0BF12123" w14:textId="727C917C" w:rsidR="00457629" w:rsidRPr="007D162C" w:rsidRDefault="00457629" w:rsidP="00666DE9">
      <w:pPr>
        <w:pStyle w:val="Heading2"/>
        <w:numPr>
          <w:ilvl w:val="0"/>
          <w:numId w:val="30"/>
        </w:numPr>
        <w:ind w:hanging="720"/>
      </w:pPr>
      <w:bookmarkStart w:id="796" w:name="_Toc140239789"/>
      <w:r w:rsidRPr="007D162C">
        <w:lastRenderedPageBreak/>
        <w:t>Implementation approach</w:t>
      </w:r>
      <w:bookmarkEnd w:id="709"/>
      <w:bookmarkEnd w:id="796"/>
    </w:p>
    <w:p w14:paraId="3C90E6B9" w14:textId="77777777" w:rsidR="00457629" w:rsidRPr="007D162C" w:rsidRDefault="00457629" w:rsidP="00457629">
      <w:pPr>
        <w:pStyle w:val="Heading4"/>
        <w:tabs>
          <w:tab w:val="left" w:pos="284"/>
        </w:tabs>
      </w:pPr>
      <w:r w:rsidRPr="007D162C">
        <w:t>Issue</w:t>
      </w:r>
    </w:p>
    <w:p w14:paraId="1DF02B17" w14:textId="7F77C918"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This chapter considers the implementation arrangements for the package of reforms to the Transport Standards (stages 1 and 2). Implementation arrangements are required for both </w:t>
      </w:r>
      <w:r w:rsidR="169A030C" w:rsidRPr="007D162C">
        <w:rPr>
          <w:rFonts w:ascii="Calibri" w:eastAsia="Calibri" w:hAnsi="Calibri" w:cs="Times New Roman"/>
          <w:color w:val="000000" w:themeColor="text1"/>
          <w:lang w:val="en-AU"/>
        </w:rPr>
        <w:t>non</w:t>
      </w:r>
      <w:r w:rsidR="004F6E27">
        <w:rPr>
          <w:rFonts w:ascii="Calibri" w:eastAsia="Calibri" w:hAnsi="Calibri" w:cs="Times New Roman"/>
          <w:color w:val="000000" w:themeColor="text1"/>
          <w:lang w:val="en-AU"/>
        </w:rPr>
        <w:t>-</w:t>
      </w:r>
      <w:r w:rsidR="169A030C" w:rsidRPr="007D162C">
        <w:rPr>
          <w:rFonts w:ascii="Calibri" w:eastAsia="Calibri" w:hAnsi="Calibri" w:cs="Times New Roman"/>
          <w:color w:val="000000" w:themeColor="text1"/>
          <w:lang w:val="en-AU"/>
        </w:rPr>
        <w:t>regulatory</w:t>
      </w:r>
      <w:r w:rsidRPr="007D162C">
        <w:rPr>
          <w:rFonts w:ascii="Calibri" w:eastAsia="Calibri" w:hAnsi="Calibri" w:cs="Times New Roman"/>
          <w:color w:val="000000" w:themeColor="text1"/>
          <w:lang w:val="en-AU"/>
        </w:rPr>
        <w:t xml:space="preserve"> and regulatory preferred options.</w:t>
      </w:r>
    </w:p>
    <w:p w14:paraId="21B1C9B4" w14:textId="77777777"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If Transport Ministers decide to implement new regulatory requirements in the Transport Standards, public transport operators and providers must comply with them. Amendments to the Transport Standards will set out what requirements will apply, and how and when they will apply. </w:t>
      </w:r>
    </w:p>
    <w:p w14:paraId="3C93C8A5" w14:textId="6DC8E4E4"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Transport Ministers may also agree to a range of non-regulatory options. The non-regulatory options propose the provision of guidance, or improvements to existing guidance, to encourage greater accessibility. This guidance may be provided through the Disability Standards for Accessible Public Transport Guidelines 2004 (No. 3) and/or The Whole Journey Guide: A guide for thinking beyond compliance to create accessible public transport journeys (Whole Journey Guide). These supporting documents assist operators and providers with planning, designing, implementing and delivering public transport services to provide accessible and non-discriminatory public transport services.</w:t>
      </w:r>
    </w:p>
    <w:p w14:paraId="0C853C02" w14:textId="77777777" w:rsidR="00457629" w:rsidRPr="007D162C" w:rsidRDefault="00457629" w:rsidP="00457629">
      <w:pPr>
        <w:tabs>
          <w:tab w:val="left" w:pos="284"/>
        </w:tabs>
        <w:suppressAutoHyphens/>
        <w:spacing w:before="160" w:after="80"/>
        <w:rPr>
          <w:rFonts w:ascii="Calibri" w:eastAsia="Times New Roman" w:hAnsi="Calibri" w:cs="Times New Roman"/>
          <w:b/>
          <w:color w:val="081E3E"/>
          <w:lang w:val="en-AU"/>
        </w:rPr>
      </w:pPr>
      <w:bookmarkStart w:id="797" w:name="_Hlk122079195"/>
      <w:r w:rsidRPr="007D162C">
        <w:rPr>
          <w:rFonts w:ascii="Calibri" w:eastAsia="Calibri" w:hAnsi="Calibri" w:cs="Times New Roman"/>
          <w:color w:val="000000" w:themeColor="text1"/>
          <w:lang w:val="en-AU"/>
        </w:rPr>
        <w:t>It is not the intention to amend, remove or alter the existing requirements for compliance in Schedule 1 of the Transport Standards. These options will not provide existing assets with any additional time to comply with the current requirements of the Transport Standards.</w:t>
      </w:r>
      <w:bookmarkEnd w:id="797"/>
    </w:p>
    <w:p w14:paraId="6E5BD8F0" w14:textId="77777777" w:rsidR="00457629" w:rsidRPr="007D162C" w:rsidRDefault="00457629" w:rsidP="00457629">
      <w:pPr>
        <w:pStyle w:val="Heading4"/>
        <w:tabs>
          <w:tab w:val="left" w:pos="284"/>
        </w:tabs>
      </w:pPr>
      <w:r w:rsidRPr="007D162C">
        <w:t>Implementation of preferred regulatory options</w:t>
      </w:r>
    </w:p>
    <w:p w14:paraId="549E6293" w14:textId="1F7E429B"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Chapter 6</w:t>
      </w:r>
      <w:r w:rsidR="0087049B">
        <w:rPr>
          <w:rFonts w:ascii="Calibri" w:eastAsia="Calibri" w:hAnsi="Calibri" w:cs="Times New Roman"/>
          <w:color w:val="000000" w:themeColor="text1"/>
          <w:lang w:val="en-AU"/>
        </w:rPr>
        <w:t>2</w:t>
      </w:r>
      <w:r w:rsidRPr="007D162C">
        <w:rPr>
          <w:rFonts w:ascii="Calibri" w:eastAsia="Calibri" w:hAnsi="Calibri" w:cs="Times New Roman"/>
          <w:color w:val="000000" w:themeColor="text1"/>
          <w:lang w:val="en-AU"/>
        </w:rPr>
        <w:t xml:space="preserve"> of the Consultation RIS outlined proposed options for implementation of preferred regulatory options. The following is a summary of these options. Full details are provided at Attachment A.</w:t>
      </w:r>
    </w:p>
    <w:p w14:paraId="5B38971D" w14:textId="59D34AC5" w:rsidR="00457629" w:rsidRPr="007D162C" w:rsidRDefault="00457629" w:rsidP="00457629">
      <w:pPr>
        <w:pStyle w:val="Tablefigureheading"/>
      </w:pPr>
      <w:bookmarkStart w:id="798" w:name="_Toc122446492"/>
      <w:bookmarkStart w:id="799" w:name="_Toc139969347"/>
      <w:bookmarkStart w:id="800" w:name="_Hlk130828502"/>
      <w:r w:rsidRPr="007D162C">
        <w:t xml:space="preserve">Table </w:t>
      </w:r>
      <w:fldSimple w:instr=" SEQ Table \* ARABIC ">
        <w:r w:rsidR="00DC26AC">
          <w:rPr>
            <w:noProof/>
          </w:rPr>
          <w:t>189</w:t>
        </w:r>
      </w:fldSimple>
      <w:r w:rsidRPr="007D162C">
        <w:t>: Reform options for implementation</w:t>
      </w:r>
      <w:bookmarkEnd w:id="798"/>
      <w:bookmarkEnd w:id="799"/>
    </w:p>
    <w:tbl>
      <w:tblPr>
        <w:tblStyle w:val="DefaultTable1"/>
        <w:tblW w:w="9072" w:type="dxa"/>
        <w:tblLook w:val="04A0" w:firstRow="1" w:lastRow="0" w:firstColumn="1" w:lastColumn="0" w:noHBand="0" w:noVBand="1"/>
        <w:tblCaption w:val="Reform options for boarding ramp and removable gangway definitions"/>
        <w:tblDescription w:val="This table provides a description of each of the options for this reform area. Status quo, non-regulatory and regulatory."/>
      </w:tblPr>
      <w:tblGrid>
        <w:gridCol w:w="2232"/>
        <w:gridCol w:w="6840"/>
      </w:tblGrid>
      <w:tr w:rsidR="00E8506F" w:rsidRPr="007D162C" w14:paraId="058E9F3E" w14:textId="77777777" w:rsidTr="08D050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bookmarkEnd w:id="800"/>
          <w:p w14:paraId="250A1B17" w14:textId="77777777" w:rsidR="00E8506F" w:rsidRPr="007D162C" w:rsidRDefault="00E8506F" w:rsidP="00F66F50">
            <w:pPr>
              <w:pStyle w:val="Tablerowcolumnheading"/>
              <w:keepNext/>
              <w:tabs>
                <w:tab w:val="left" w:pos="284"/>
              </w:tabs>
              <w:rPr>
                <w:rFonts w:asciiTheme="minorHAnsi" w:hAnsiTheme="minorHAnsi"/>
                <w:b/>
                <w:sz w:val="22"/>
                <w:szCs w:val="22"/>
              </w:rPr>
            </w:pPr>
            <w:r w:rsidRPr="007D162C">
              <w:rPr>
                <w:b/>
                <w:sz w:val="22"/>
                <w:szCs w:val="22"/>
              </w:rPr>
              <w:t>Option</w:t>
            </w:r>
          </w:p>
        </w:tc>
        <w:tc>
          <w:tcPr>
            <w:tcW w:w="6840" w:type="dxa"/>
          </w:tcPr>
          <w:p w14:paraId="0FBDF5E2" w14:textId="77777777" w:rsidR="00E8506F" w:rsidRPr="007D162C" w:rsidRDefault="00E8506F" w:rsidP="00F66F50">
            <w:pPr>
              <w:pStyle w:val="Tablerowcolumnheading"/>
              <w:keepNext/>
              <w:tabs>
                <w:tab w:val="left" w:pos="284"/>
              </w:tabs>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rPr>
            </w:pPr>
            <w:r w:rsidRPr="007D162C">
              <w:rPr>
                <w:rFonts w:asciiTheme="minorHAnsi" w:hAnsiTheme="minorHAnsi"/>
                <w:b/>
                <w:sz w:val="22"/>
                <w:szCs w:val="22"/>
              </w:rPr>
              <w:t>Description</w:t>
            </w:r>
          </w:p>
        </w:tc>
      </w:tr>
      <w:tr w:rsidR="00E8506F" w:rsidRPr="007D162C" w14:paraId="23ADB596" w14:textId="77777777" w:rsidTr="08D0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4B7FD395" w14:textId="77777777" w:rsidR="00E8506F" w:rsidRPr="007D162C" w:rsidRDefault="00E8506F" w:rsidP="00F66F50">
            <w:pPr>
              <w:pStyle w:val="Tabletext"/>
              <w:tabs>
                <w:tab w:val="left" w:pos="284"/>
              </w:tabs>
              <w:rPr>
                <w:rFonts w:asciiTheme="minorHAnsi" w:hAnsiTheme="minorHAnsi" w:cstheme="minorBidi"/>
                <w:b w:val="0"/>
                <w:sz w:val="22"/>
                <w:szCs w:val="22"/>
              </w:rPr>
            </w:pPr>
            <w:r w:rsidRPr="007D162C">
              <w:rPr>
                <w:rFonts w:asciiTheme="minorHAnsi" w:hAnsiTheme="minorHAnsi" w:cstheme="minorBidi"/>
                <w:b w:val="0"/>
                <w:sz w:val="22"/>
                <w:szCs w:val="22"/>
              </w:rPr>
              <w:t>Status Quo</w:t>
            </w:r>
          </w:p>
        </w:tc>
        <w:tc>
          <w:tcPr>
            <w:tcW w:w="6840" w:type="dxa"/>
          </w:tcPr>
          <w:p w14:paraId="01E4CE9A" w14:textId="77777777" w:rsidR="00E8506F" w:rsidRPr="007D162C" w:rsidRDefault="00E8506F" w:rsidP="00E8506F">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Transport Standards would continue to determine compliance requirements of assets using the following three factors:</w:t>
            </w:r>
          </w:p>
          <w:p w14:paraId="41D6AAC2" w14:textId="77777777" w:rsidR="00E8506F"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pPr>
            <w:r w:rsidRPr="007D162C">
              <w:t>Attachment A – Whether an asset in ‘new’</w:t>
            </w:r>
          </w:p>
          <w:p w14:paraId="6361B2E3" w14:textId="77777777" w:rsidR="008B55F3"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rPr>
                <w:lang w:eastAsia="en-US"/>
              </w:rPr>
            </w:pPr>
            <w:r w:rsidRPr="007D162C">
              <w:t>Attachment B – Whether an asset is ‘existing’ and the provisions at Transport Standards, section 32.1 Effect and application of these Standards are not met.</w:t>
            </w:r>
          </w:p>
          <w:p w14:paraId="36189A36" w14:textId="77777777" w:rsidR="008B55F3" w:rsidRPr="007D162C" w:rsidRDefault="008B55F3" w:rsidP="008B55F3">
            <w:pPr>
              <w:pStyle w:val="Listparagraphbullets"/>
              <w:spacing w:after="0"/>
              <w:cnfStyle w:val="000000100000" w:firstRow="0" w:lastRow="0" w:firstColumn="0" w:lastColumn="0" w:oddVBand="0" w:evenVBand="0" w:oddHBand="1" w:evenHBand="0" w:firstRowFirstColumn="0" w:firstRowLastColumn="0" w:lastRowFirstColumn="0" w:lastRowLastColumn="0"/>
            </w:pPr>
            <w:r w:rsidRPr="007D162C">
              <w:t>Attachment C – Whether an asset is ‘existing’ and one or more of the provisions set out in Transport Standards, section 32.1 are met.</w:t>
            </w:r>
          </w:p>
          <w:p w14:paraId="68E0EB19" w14:textId="77777777" w:rsidR="008B55F3" w:rsidRPr="007D162C" w:rsidRDefault="008B55F3" w:rsidP="008B55F3">
            <w:pPr>
              <w:cnfStyle w:val="000000100000" w:firstRow="0" w:lastRow="0" w:firstColumn="0" w:lastColumn="0" w:oddVBand="0" w:evenVBand="0" w:oddHBand="1" w:evenHBand="0" w:firstRowFirstColumn="0" w:firstRowLastColumn="0" w:lastRowFirstColumn="0" w:lastRowLastColumn="0"/>
              <w:rPr>
                <w:lang w:val="en-AU"/>
              </w:rPr>
            </w:pPr>
            <w:r w:rsidRPr="007D162C">
              <w:rPr>
                <w:lang w:val="en-AU"/>
              </w:rPr>
              <w:t>The definition of new and existing assets is benchmarked to the date at which the current version of the Transport Standards came into effect. That is, whether an asset is in service before or after 2002.</w:t>
            </w:r>
          </w:p>
          <w:p w14:paraId="17A803FD" w14:textId="77777777" w:rsidR="00E8506F" w:rsidRPr="007D162C" w:rsidRDefault="00E8506F" w:rsidP="00F66F50">
            <w:pPr>
              <w:cnfStyle w:val="000000100000" w:firstRow="0" w:lastRow="0" w:firstColumn="0" w:lastColumn="0" w:oddVBand="0" w:evenVBand="0" w:oddHBand="1" w:evenHBand="0" w:firstRowFirstColumn="0" w:firstRowLastColumn="0" w:lastRowFirstColumn="0" w:lastRowLastColumn="0"/>
            </w:pPr>
            <w:r w:rsidRPr="007D162C">
              <w:t>The Transport Standards would remain unchanged and no new or updated guidance would be issued.</w:t>
            </w:r>
          </w:p>
        </w:tc>
      </w:tr>
      <w:tr w:rsidR="00E8506F" w:rsidRPr="007D162C" w14:paraId="7937CD39" w14:textId="77777777" w:rsidTr="08D050C4">
        <w:tc>
          <w:tcPr>
            <w:cnfStyle w:val="001000000000" w:firstRow="0" w:lastRow="0" w:firstColumn="1" w:lastColumn="0" w:oddVBand="0" w:evenVBand="0" w:oddHBand="0" w:evenHBand="0" w:firstRowFirstColumn="0" w:firstRowLastColumn="0" w:lastRowFirstColumn="0" w:lastRowLastColumn="0"/>
            <w:tcW w:w="2232" w:type="dxa"/>
          </w:tcPr>
          <w:p w14:paraId="5A1C0991" w14:textId="77777777" w:rsidR="00E8506F" w:rsidRPr="007D162C" w:rsidRDefault="00E8506F" w:rsidP="00F66F50">
            <w:pPr>
              <w:pStyle w:val="Tabletext"/>
              <w:rPr>
                <w:rFonts w:asciiTheme="minorHAnsi" w:hAnsiTheme="minorHAnsi" w:cstheme="minorBidi"/>
                <w:b w:val="0"/>
                <w:sz w:val="22"/>
                <w:szCs w:val="22"/>
              </w:rPr>
            </w:pPr>
            <w:r w:rsidRPr="007D162C">
              <w:rPr>
                <w:rFonts w:asciiTheme="minorHAnsi" w:hAnsiTheme="minorHAnsi" w:cstheme="minorBidi"/>
                <w:b w:val="0"/>
                <w:sz w:val="22"/>
                <w:szCs w:val="22"/>
              </w:rPr>
              <w:t>Regulatory</w:t>
            </w:r>
          </w:p>
        </w:tc>
        <w:tc>
          <w:tcPr>
            <w:tcW w:w="6840" w:type="dxa"/>
          </w:tcPr>
          <w:p w14:paraId="00A7E3DC"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t>There are 3 regulatory options proposed:</w:t>
            </w:r>
          </w:p>
          <w:p w14:paraId="43DD1CC7"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rPr>
            </w:pPr>
            <w:r w:rsidRPr="007D162C">
              <w:rPr>
                <w:b/>
              </w:rPr>
              <w:t>Option 1</w:t>
            </w:r>
          </w:p>
          <w:p w14:paraId="3A52E2A0" w14:textId="27C1245C" w:rsidR="008B55F3" w:rsidRPr="003640D8" w:rsidRDefault="008B55F3" w:rsidP="003640D8">
            <w:pPr>
              <w:cnfStyle w:val="000000000000" w:firstRow="0" w:lastRow="0" w:firstColumn="0" w:lastColumn="0" w:oddVBand="0" w:evenVBand="0" w:oddHBand="0" w:evenHBand="0" w:firstRowFirstColumn="0" w:firstRowLastColumn="0" w:lastRowFirstColumn="0" w:lastRowLastColumn="0"/>
              <w:rPr>
                <w:color w:val="auto"/>
              </w:rPr>
            </w:pPr>
            <w:r w:rsidRPr="007D162C">
              <w:rPr>
                <w:color w:val="auto"/>
              </w:rPr>
              <w:lastRenderedPageBreak/>
              <w:t>Existing assets would need to comply with new regulatory requirements based on a new compliance schedule. Compliance target dates for individual sections of the Transport Standards would be developed with stakeholders.</w:t>
            </w:r>
          </w:p>
          <w:p w14:paraId="18CCE49A"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rPr>
            </w:pPr>
            <w:r w:rsidRPr="007D162C">
              <w:rPr>
                <w:b/>
              </w:rPr>
              <w:t>Option 2</w:t>
            </w:r>
          </w:p>
          <w:p w14:paraId="076A9E92"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t>Existing assets would need to comply with new regulatory requirements based on a new compliance schedule. Compliance target dates for transport assets (e.g. trams, bus stops, taxi ranks, websites and digital information etc.) be developed with stakeholders.</w:t>
            </w:r>
          </w:p>
          <w:p w14:paraId="20520A7A" w14:textId="77777777" w:rsidR="008B55F3" w:rsidRPr="007D162C" w:rsidRDefault="008B55F3" w:rsidP="008B55F3">
            <w:pPr>
              <w:cnfStyle w:val="000000000000" w:firstRow="0" w:lastRow="0" w:firstColumn="0" w:lastColumn="0" w:oddVBand="0" w:evenVBand="0" w:oddHBand="0" w:evenHBand="0" w:firstRowFirstColumn="0" w:firstRowLastColumn="0" w:lastRowFirstColumn="0" w:lastRowLastColumn="0"/>
              <w:rPr>
                <w:b/>
                <w:color w:val="auto"/>
              </w:rPr>
            </w:pPr>
            <w:r w:rsidRPr="007D162C">
              <w:rPr>
                <w:b/>
                <w:color w:val="auto"/>
              </w:rPr>
              <w:t>Option 3</w:t>
            </w:r>
          </w:p>
          <w:p w14:paraId="0668B015" w14:textId="77777777" w:rsidR="00E8506F" w:rsidRPr="007D162C" w:rsidRDefault="008B55F3" w:rsidP="008B55F3">
            <w:pPr>
              <w:cnfStyle w:val="000000000000" w:firstRow="0" w:lastRow="0" w:firstColumn="0" w:lastColumn="0" w:oddVBand="0" w:evenVBand="0" w:oddHBand="0" w:evenHBand="0" w:firstRowFirstColumn="0" w:firstRowLastColumn="0" w:lastRowFirstColumn="0" w:lastRowLastColumn="0"/>
            </w:pPr>
            <w:r w:rsidRPr="007D162C">
              <w:rPr>
                <w:color w:val="auto"/>
              </w:rPr>
              <w:t>Existing assets would only need to comply with new regulatory requirements when certain circumstances are met, triggering compliance obligations with the new requirements.</w:t>
            </w:r>
          </w:p>
        </w:tc>
      </w:tr>
    </w:tbl>
    <w:p w14:paraId="6CC8FB5D" w14:textId="77777777" w:rsidR="00550EAE" w:rsidRPr="007D162C" w:rsidRDefault="00550EAE" w:rsidP="00550EAE"/>
    <w:p w14:paraId="75602222" w14:textId="77777777" w:rsidR="00457629" w:rsidRPr="007D162C" w:rsidRDefault="00457629" w:rsidP="00550EAE">
      <w:pPr>
        <w:pStyle w:val="Heading4"/>
        <w:tabs>
          <w:tab w:val="left" w:pos="284"/>
        </w:tabs>
      </w:pPr>
      <w:r w:rsidRPr="007D162C">
        <w:t>Analysis of submissions</w:t>
      </w:r>
    </w:p>
    <w:p w14:paraId="040A5C3B" w14:textId="77777777" w:rsidR="00457629" w:rsidRPr="007D162C" w:rsidRDefault="00457629" w:rsidP="00550EAE">
      <w:pPr>
        <w:pStyle w:val="Heading5"/>
      </w:pPr>
      <w:r w:rsidRPr="007D162C">
        <w:t>Status quo</w:t>
      </w:r>
    </w:p>
    <w:p w14:paraId="1C80E9E0"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lang w:val="en-AU"/>
        </w:rPr>
        <w:t>Schedule 1 of the Transport Standards sets percentage compliance targets and dates for different categories of requirements</w:t>
      </w:r>
      <w:r w:rsidR="008B55F3" w:rsidRPr="007D162C">
        <w:rPr>
          <w:rFonts w:ascii="Calibri" w:eastAsia="Calibri" w:hAnsi="Calibri" w:cs="Times New Roman"/>
          <w:color w:val="000000"/>
          <w:lang w:val="en-AU"/>
        </w:rPr>
        <w:t xml:space="preserve">. </w:t>
      </w:r>
      <w:r w:rsidRPr="007D162C">
        <w:rPr>
          <w:rFonts w:ascii="Calibri" w:eastAsia="Calibri" w:hAnsi="Calibri" w:cs="Times New Roman"/>
          <w:color w:val="000000"/>
          <w:lang w:val="en-AU"/>
        </w:rPr>
        <w:t xml:space="preserve">In the compliance schedule, </w:t>
      </w:r>
      <w:r w:rsidR="008B55F3" w:rsidRPr="007D162C">
        <w:rPr>
          <w:rFonts w:ascii="Calibri" w:eastAsia="Calibri" w:hAnsi="Calibri" w:cs="Times New Roman"/>
          <w:color w:val="000000"/>
          <w:lang w:val="en-AU"/>
        </w:rPr>
        <w:t>most</w:t>
      </w:r>
      <w:r w:rsidRPr="007D162C">
        <w:rPr>
          <w:rFonts w:ascii="Calibri" w:eastAsia="Calibri" w:hAnsi="Calibri" w:cs="Times New Roman"/>
          <w:color w:val="000000"/>
          <w:lang w:val="en-AU"/>
        </w:rPr>
        <w:t xml:space="preserve"> public transport assets are required to be fully compliant with current requirements by 2022</w:t>
      </w:r>
      <w:r w:rsidRPr="007D162C">
        <w:rPr>
          <w:rFonts w:ascii="Calibri" w:eastAsia="Calibri" w:hAnsi="Calibri" w:cs="Times New Roman"/>
          <w:color w:val="000000"/>
          <w:vertAlign w:val="superscript"/>
          <w:lang w:val="en-AU"/>
        </w:rPr>
        <w:footnoteReference w:id="16"/>
      </w:r>
      <w:r w:rsidRPr="007D162C">
        <w:rPr>
          <w:rFonts w:ascii="Calibri" w:eastAsia="Calibri" w:hAnsi="Calibri" w:cs="Times New Roman"/>
          <w:color w:val="000000"/>
          <w:lang w:val="en-AU"/>
        </w:rPr>
        <w:t xml:space="preserve"> – before any new regulatory requirements will come into effect. </w:t>
      </w:r>
    </w:p>
    <w:p w14:paraId="1898F0D2"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 current compliance schedule does not allow for implementation or compliance of any new regulatory requirements following the cessation of the current schedule dates. Therefore, using the current compliance schedule for implementing the reforms is not feasible. </w:t>
      </w:r>
    </w:p>
    <w:p w14:paraId="3E5B75D7"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Where any new regulatory amendments are made to the Transport Standards, a new implementation approach must be embedded into the Transport Standards to enable the application of those new regulatory requirements.</w:t>
      </w:r>
    </w:p>
    <w:p w14:paraId="55C492DE" w14:textId="77777777" w:rsidR="00457629" w:rsidRPr="007D162C" w:rsidRDefault="00457629" w:rsidP="00550EAE">
      <w:pPr>
        <w:pStyle w:val="Heading5"/>
      </w:pPr>
      <w:r w:rsidRPr="007D162C">
        <w:t>Non-regulatory</w:t>
      </w:r>
    </w:p>
    <w:p w14:paraId="71433FB6" w14:textId="6F472FDC"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 Consultation RIS did not seek feedback on how operators and providers would be encouraged through guidance. The Consultation RIS proposes using the Transport Standards Guidelines and the Whole Journey Guide to provide guidance and encourage operators and providers to take up the guidance. </w:t>
      </w:r>
      <w:r w:rsidR="003640D8">
        <w:rPr>
          <w:rFonts w:ascii="Calibri" w:eastAsia="Times New Roman" w:hAnsi="Calibri" w:cs="Calibri"/>
          <w:color w:val="000000" w:themeColor="text1"/>
          <w:lang w:eastAsia="en-AU"/>
        </w:rPr>
        <w:t>The Department</w:t>
      </w:r>
      <w:r w:rsidRPr="007D162C">
        <w:rPr>
          <w:rFonts w:ascii="Calibri" w:eastAsia="Times New Roman" w:hAnsi="Calibri" w:cs="Calibri"/>
          <w:color w:val="000000" w:themeColor="text1"/>
          <w:lang w:eastAsia="en-AU"/>
        </w:rPr>
        <w:t xml:space="preserve"> sought feedback on how stakeholders have interacted with the whole journey guide and how it can be improved. This feedback will be used to inform how guidance is provided through an updated </w:t>
      </w:r>
      <w:r w:rsidR="004F6E27">
        <w:rPr>
          <w:rFonts w:ascii="Calibri" w:eastAsia="Times New Roman" w:hAnsi="Calibri" w:cs="Calibri"/>
          <w:color w:val="000000" w:themeColor="text1"/>
          <w:lang w:eastAsia="en-AU"/>
        </w:rPr>
        <w:t>W</w:t>
      </w:r>
      <w:r w:rsidRPr="007D162C">
        <w:rPr>
          <w:rFonts w:ascii="Calibri" w:eastAsia="Times New Roman" w:hAnsi="Calibri" w:cs="Calibri"/>
          <w:color w:val="000000" w:themeColor="text1"/>
          <w:lang w:eastAsia="en-AU"/>
        </w:rPr>
        <w:t xml:space="preserve">hole </w:t>
      </w:r>
      <w:r w:rsidR="004F6E27">
        <w:rPr>
          <w:rFonts w:ascii="Calibri" w:eastAsia="Times New Roman" w:hAnsi="Calibri" w:cs="Calibri"/>
          <w:color w:val="000000" w:themeColor="text1"/>
          <w:lang w:eastAsia="en-AU"/>
        </w:rPr>
        <w:t>J</w:t>
      </w:r>
      <w:r w:rsidRPr="007D162C">
        <w:rPr>
          <w:rFonts w:ascii="Calibri" w:eastAsia="Times New Roman" w:hAnsi="Calibri" w:cs="Calibri"/>
          <w:color w:val="000000" w:themeColor="text1"/>
          <w:lang w:eastAsia="en-AU"/>
        </w:rPr>
        <w:t xml:space="preserve">ourney </w:t>
      </w:r>
      <w:r w:rsidR="004F6E27">
        <w:rPr>
          <w:rFonts w:ascii="Calibri" w:eastAsia="Times New Roman" w:hAnsi="Calibri" w:cs="Calibri"/>
          <w:color w:val="000000" w:themeColor="text1"/>
          <w:lang w:eastAsia="en-AU"/>
        </w:rPr>
        <w:t>G</w:t>
      </w:r>
      <w:r w:rsidRPr="007D162C">
        <w:rPr>
          <w:rFonts w:ascii="Calibri" w:eastAsia="Times New Roman" w:hAnsi="Calibri" w:cs="Calibri"/>
          <w:color w:val="000000" w:themeColor="text1"/>
          <w:lang w:eastAsia="en-AU"/>
        </w:rPr>
        <w:t xml:space="preserve">uide. </w:t>
      </w:r>
    </w:p>
    <w:p w14:paraId="3BF02CFE" w14:textId="531720A8" w:rsidR="00550EAE" w:rsidRPr="007D162C" w:rsidRDefault="00457629" w:rsidP="00550EAE">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Where the guidance relates to requirements in the Transport Standards, </w:t>
      </w:r>
      <w:r w:rsidR="00A43AE9">
        <w:rPr>
          <w:rFonts w:ascii="Calibri" w:eastAsia="Times New Roman" w:hAnsi="Calibri" w:cs="Calibri"/>
          <w:color w:val="000000" w:themeColor="text1"/>
          <w:lang w:eastAsia="en-AU"/>
        </w:rPr>
        <w:t>it</w:t>
      </w:r>
      <w:r w:rsidRPr="007D162C">
        <w:rPr>
          <w:rFonts w:ascii="Calibri" w:eastAsia="Times New Roman" w:hAnsi="Calibri" w:cs="Calibri"/>
          <w:color w:val="000000" w:themeColor="text1"/>
          <w:lang w:eastAsia="en-AU"/>
        </w:rPr>
        <w:t xml:space="preserve"> will be included in the Transport Standards Guidelines. Where guidance does not relate to requirements in the Transport Standards, it will be included in an amended Whole Journey Guide. </w:t>
      </w:r>
    </w:p>
    <w:p w14:paraId="07FADA21" w14:textId="77777777" w:rsidR="00457629" w:rsidRPr="007D162C" w:rsidRDefault="00457629" w:rsidP="00550EAE">
      <w:pPr>
        <w:pStyle w:val="Heading5"/>
      </w:pPr>
      <w:r w:rsidRPr="007D162C">
        <w:lastRenderedPageBreak/>
        <w:t xml:space="preserve">Regulatory option 1 </w:t>
      </w:r>
    </w:p>
    <w:p w14:paraId="3D8ECCE6"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Option 1 was the most widely supported option for individuals, people with disability and disability organisations who expressed a preference for one of the options presented. One-third of submissions from this stakeholder group expressed support for option 1. Of these submissions, half noted that the requirements should be applied retrospectively to ensure public transport operators and providers are obliged to implement the requirements, rather than waiting on complaints from public transport users or a major refurbishment of relevant transport assets to trigger compliance. </w:t>
      </w:r>
    </w:p>
    <w:p w14:paraId="2A577424"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Over half of the submissions from individuals, people with disability and disability organisations raised disappointment and frustration with the lack of progress towards implementing the existing requirements in the Transport Standards. Submissions noted that any amendments to the</w:t>
      </w:r>
      <w:r w:rsidRPr="007D162C">
        <w:rPr>
          <w:rFonts w:ascii="Calibri" w:eastAsia="Times New Roman" w:hAnsi="Calibri" w:cs="Calibri"/>
          <w:color w:val="000000" w:themeColor="text1"/>
          <w:lang w:val="en-AU" w:eastAsia="en-AU"/>
        </w:rPr>
        <w:t xml:space="preserve"> </w:t>
      </w:r>
      <w:r w:rsidRPr="007D162C">
        <w:rPr>
          <w:rFonts w:ascii="Calibri" w:eastAsia="Times New Roman" w:hAnsi="Calibri" w:cs="Calibri"/>
          <w:color w:val="000000" w:themeColor="text1"/>
          <w:lang w:eastAsia="en-AU"/>
        </w:rPr>
        <w:t xml:space="preserve">Transport Standards, including target dates for compliance with any new requirements, risked further delays in upgrading assets to comply with existing requirements. </w:t>
      </w:r>
    </w:p>
    <w:p w14:paraId="780F41B9" w14:textId="77777777" w:rsidR="00457629" w:rsidRPr="007D162C" w:rsidRDefault="08D050C4" w:rsidP="08D050C4">
      <w:pPr>
        <w:shd w:val="clear" w:color="auto" w:fill="FFFFFF" w:themeFill="background1"/>
        <w:suppressAutoHyphens/>
        <w:spacing w:before="160"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No industry stakeholders expressed support for option 1. One government stakeholder expressed support for option 1, noting that a compliance mechanism would allow for the highest level of compliance achievable if 100% compliance cannot be practically achieved (e.g. due to topographical constraints). Although expressing support for option 3, another government submission noted the benefits of a compliance schedule (i.e. option 1 or 2) are that the approach provides greater certainty for people with disability, and operators and providers, as it prescribes what requirements need to be implemented and the applicable compliance dates. </w:t>
      </w:r>
    </w:p>
    <w:p w14:paraId="7C593C55" w14:textId="77777777" w:rsidR="00550EAE" w:rsidRPr="007D162C" w:rsidRDefault="08D050C4" w:rsidP="08D050C4">
      <w:pPr>
        <w:shd w:val="clear" w:color="auto" w:fill="FFFFFF" w:themeFill="background1"/>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However, over 40 per cent of industry stakeholders, and over 15 per cent of government stakeholders indicated compliance targets have promoted a piecemeal and fragmented approach to compliance, and created uncertainty for operators and providers, as well as public transport users. One submission outlined that uncertainty stemmed from a lack of clarity regarding how compliance targets are calculated. One industry submission outlined that both option 1 and 2 do not consider prioritisation models developed by operators and providers. Another industry submission similarly noted that the current milestone approach outlined in the Transport Standards schedule fails to recognise the funding required over the twenty-year schedule timeline and that option 1 would promote a similar approach that thinned resources and would lead to inconsistent outcomes with no overall improvement to accessibility. </w:t>
      </w:r>
    </w:p>
    <w:p w14:paraId="066C78E7" w14:textId="77777777" w:rsidR="00457629" w:rsidRPr="007D162C" w:rsidRDefault="00457629" w:rsidP="00550EAE">
      <w:pPr>
        <w:pStyle w:val="Heading5"/>
      </w:pPr>
      <w:r w:rsidRPr="007D162C">
        <w:t xml:space="preserve">Regulatory option 2 </w:t>
      </w:r>
    </w:p>
    <w:p w14:paraId="0A66D850"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One quarter of submissions from individuals, people with disability and disability organisations expressed support for option 2. One of these submissions noted that option 2 would ensure all elements of a public transport asset are compatible, while avoiding delays to some elements being caused by complexities in adjacent areas. This submission noted that retaining the current final compliance date of 2032 would be desirable and enforcement mechanisms should also be built into the Transport Standards to encourage compliance with target dates. </w:t>
      </w:r>
    </w:p>
    <w:p w14:paraId="268536DA" w14:textId="613AC41A"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As with option 1, some submissions raised concerns this option may lead to further delays to assets upgrades that do not reflect existing requirements in the Transport Standards (assets include conveyances (for example trains and buses), premises and infrastructure (for example train stations and bus stops), fixtures and fittings (for example signs and seating) and information</w:t>
      </w:r>
      <w:r w:rsidR="004F6E27">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It was noted that ‘difficult' assets that have not been upgraded would re-enter a large pool of assets requiring upgrades and would continue to be untouched until the easier work is complete. </w:t>
      </w:r>
    </w:p>
    <w:p w14:paraId="5F960F1A"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One submission from a government stakeholder expressed support for option 2, noting it provided clear target dates and allows for entire vehicles to be upgraded at once, rather than a piecemeal replacement of parts occasioned through the proposed implementation approach outlined in option 1. This submission considered option 1 as a costlier approach for providers to implement. However, in line with some submissions received from individuals, people with disability and disability organisations, the submission noted that without enforcement of target dates, it is unlikely that there will be a consistent adoption of the Transport Standards across providers. It was noted that option 2 could result in outcomes not being achieved and existing barriers for accessing public transport continuing. Although expressing support for option 3, another government submission noted the benefits of a compliance schedule (i.e. option 1 or 2) are that it provides greater certainty for people with disability, operators and providers, as it prescribes what requirements need to be implemented and the applicable compliance dates.</w:t>
      </w:r>
    </w:p>
    <w:p w14:paraId="1ACE4458" w14:textId="77777777" w:rsidR="00457629" w:rsidRPr="007D162C" w:rsidRDefault="00457629" w:rsidP="00550EAE">
      <w:pPr>
        <w:pStyle w:val="Heading5"/>
      </w:pPr>
      <w:r w:rsidRPr="007D162C">
        <w:t>Regulatory option 3</w:t>
      </w:r>
    </w:p>
    <w:p w14:paraId="7620AD05" w14:textId="77777777" w:rsidR="00457629" w:rsidRPr="007D162C" w:rsidRDefault="08D050C4" w:rsidP="08D050C4">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No submissions from individuals, people with disability and disability organisations expressed support for option 3. Two submissions from individuals, people with disability and disability organisations expressed strong opposition to this option and viewed it as an incentive to not upgrade assets, effectively rendering the Transport Standards as opt-in and resulting in insufficient progress on legacy infrastructure and conveyances. One government submission expressed similar concern, that without target dates the pace of upgrades to existing assets may be reduced.</w:t>
      </w:r>
    </w:p>
    <w:p w14:paraId="5E9A9CD7" w14:textId="69DB76E9" w:rsidR="00457629" w:rsidRPr="007D162C" w:rsidRDefault="08D050C4" w:rsidP="08D050C4">
      <w:pPr>
        <w:shd w:val="clear" w:color="auto" w:fill="FFFFFF" w:themeFill="background1"/>
        <w:suppressAutoHyphens/>
        <w:spacing w:before="160" w:after="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All submissions from industry stakeholders supported option 3. These submissions noted that option 3 would allow for prioritising and funding of upgrades to be coordinated with other works (e.g. road corridor upgrades, development), ensure accessibility upgrades are high impact and more considered, and avoiding the complexity and costs associated with regulating existing assets. It was noted</w:t>
      </w:r>
      <w:r w:rsidR="006A5C1D">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however</w:t>
      </w:r>
      <w:r w:rsidR="006A5C1D">
        <w:rPr>
          <w:rFonts w:ascii="Calibri" w:eastAsia="Times New Roman" w:hAnsi="Calibri" w:cs="Calibri"/>
          <w:color w:val="000000" w:themeColor="text1"/>
          <w:lang w:eastAsia="en-AU"/>
        </w:rPr>
        <w:t>,</w:t>
      </w:r>
      <w:r w:rsidRPr="007D162C">
        <w:rPr>
          <w:rFonts w:ascii="Calibri" w:eastAsia="Times New Roman" w:hAnsi="Calibri" w:cs="Calibri"/>
          <w:color w:val="000000" w:themeColor="text1"/>
          <w:lang w:eastAsia="en-AU"/>
        </w:rPr>
        <w:t xml:space="preserve"> that triggers must be clearly articulated and transitional rules should apply where construction or significant upgrades have commenced.</w:t>
      </w:r>
    </w:p>
    <w:p w14:paraId="6C7FC00A"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Funding was raised as a concern by industry and the reason for the slow rate of improved accessibility of public transport. One submission noted that adopting a schedule approach similar to the Transport Standards, where timeframes and percentages are stipulated, may not be the most beneficial for all stakeholders. One submission noted that option 1 is reasonable to propose and may result in greater improvements to accessibility in a shorter timeframe, if appropriate funding is provided to operators. However, if there is no intention to provide operators and providers with additional funding, option 3 was preferred.</w:t>
      </w:r>
    </w:p>
    <w:p w14:paraId="7BF73AF6" w14:textId="0DB738E5"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t xml:space="preserve">There were divergent views across government and industry about whether compliance should be implemented on an end-of-life basis or allow for retrospective application or retrofitting where an asset undergoes refurbishment or upgrade. One-third of submissions from industry and government noted that progressive compliance as new assets are purchased or built was more aligned with other sectors, such as the building industry, as reflected in the </w:t>
      </w:r>
      <w:r w:rsidR="00A43AE9">
        <w:rPr>
          <w:rFonts w:ascii="Calibri" w:eastAsia="Times New Roman" w:hAnsi="Calibri" w:cs="Calibri"/>
          <w:color w:val="000000" w:themeColor="text1"/>
          <w:lang w:eastAsia="en-AU"/>
        </w:rPr>
        <w:t xml:space="preserve">NCC </w:t>
      </w:r>
      <w:r w:rsidRPr="007D162C">
        <w:rPr>
          <w:rFonts w:ascii="Calibri" w:eastAsia="Times New Roman" w:hAnsi="Calibri" w:cs="Calibri"/>
          <w:color w:val="000000" w:themeColor="text1"/>
          <w:lang w:eastAsia="en-AU"/>
        </w:rPr>
        <w:t>and the Premises Standards. While some acknowledged the positive social and customer outcomes in retrospective application, it was complex, costly and resource intensive. It was noted that implementation on an end-of-life basis, in line with option 3, would ensure that all assets are captured, and that appropriate funding can be planned to rectify all deficiencies, rather than achieving easy wins and postponing needed improvements. Some noted that the cost of including the new requirements into a new build is considerably lower than upgrading existing facilities and if retrospective application is considered, additional funding should be provided.</w:t>
      </w:r>
    </w:p>
    <w:p w14:paraId="569DEEF8" w14:textId="77777777" w:rsidR="00457629" w:rsidRPr="007D162C" w:rsidRDefault="00457629" w:rsidP="00457629">
      <w:pPr>
        <w:suppressAutoHyphens/>
        <w:spacing w:before="160" w:after="80"/>
        <w:rPr>
          <w:rFonts w:ascii="Calibri" w:eastAsia="Times New Roman" w:hAnsi="Calibri" w:cs="Calibri"/>
          <w:color w:val="000000" w:themeColor="text1"/>
          <w:lang w:eastAsia="en-AU"/>
        </w:rPr>
      </w:pPr>
      <w:r w:rsidRPr="007D162C">
        <w:rPr>
          <w:rFonts w:ascii="Calibri" w:eastAsia="Times New Roman" w:hAnsi="Calibri" w:cs="Calibri"/>
          <w:color w:val="000000" w:themeColor="text1"/>
          <w:lang w:eastAsia="en-AU"/>
        </w:rPr>
        <w:lastRenderedPageBreak/>
        <w:t xml:space="preserve">Others recommended requirements also apply to existing assets and that requiring assets to be compliant when they undergo substantial refurbishment or alteration is clear, easy to understand and provides surety and confidence to people with disability, operators, and providers. It was also noted that if there was also a final date for compliance for all assets, there would be an incentive to work on existing assets, removing the risk that existing assets would not be upgraded or refurbished. </w:t>
      </w:r>
    </w:p>
    <w:p w14:paraId="03E586D3" w14:textId="77777777" w:rsidR="00457629" w:rsidRPr="007D162C" w:rsidRDefault="00457629" w:rsidP="00550EAE">
      <w:pPr>
        <w:pStyle w:val="Heading4"/>
      </w:pPr>
      <w:r w:rsidRPr="007D162C">
        <w:t>Preferred option</w:t>
      </w:r>
    </w:p>
    <w:p w14:paraId="17720141"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Informed by the outcomes of consultation, impacts, cost and outcomes analysis above, the preferred option is a </w:t>
      </w:r>
      <w:r w:rsidRPr="007D162C">
        <w:rPr>
          <w:rFonts w:ascii="Calibri" w:eastAsia="Calibri" w:hAnsi="Calibri" w:cs="Times New Roman"/>
          <w:b/>
          <w:color w:val="000000" w:themeColor="text1"/>
          <w:lang w:val="en-AU"/>
        </w:rPr>
        <w:t>fit-for-purpose hybrid approach</w:t>
      </w:r>
      <w:r w:rsidRPr="007D162C">
        <w:rPr>
          <w:rFonts w:ascii="Calibri" w:eastAsia="Calibri" w:hAnsi="Calibri" w:cs="Times New Roman"/>
          <w:color w:val="000000" w:themeColor="text1"/>
          <w:lang w:val="en-AU"/>
        </w:rPr>
        <w:t xml:space="preserve"> to implementation</w:t>
      </w:r>
      <w:r w:rsidRPr="007D162C">
        <w:rPr>
          <w:rFonts w:ascii="Calibri" w:eastAsia="Calibri" w:hAnsi="Calibri" w:cs="Times New Roman"/>
          <w:b/>
          <w:color w:val="000000" w:themeColor="text1"/>
          <w:lang w:val="en-AU"/>
        </w:rPr>
        <w:t xml:space="preserve"> </w:t>
      </w:r>
      <w:r w:rsidRPr="007D162C">
        <w:rPr>
          <w:rFonts w:ascii="Calibri" w:eastAsia="Calibri" w:hAnsi="Calibri" w:cs="Times New Roman"/>
          <w:color w:val="000000" w:themeColor="text1"/>
          <w:lang w:val="en-AU"/>
        </w:rPr>
        <w:t xml:space="preserve">of the preferred regulatory options. </w:t>
      </w:r>
    </w:p>
    <w:p w14:paraId="0BA6E1B9" w14:textId="77777777" w:rsidR="00457629" w:rsidRPr="007D162C" w:rsidRDefault="08D050C4" w:rsidP="00457629">
      <w:pPr>
        <w:suppressAutoHyphens/>
        <w:spacing w:before="160" w:after="80"/>
        <w:rPr>
          <w:rFonts w:ascii="Calibri" w:eastAsia="Calibri" w:hAnsi="Calibri" w:cs="Calibri"/>
          <w:lang w:val="en-AU"/>
        </w:rPr>
      </w:pPr>
      <w:r w:rsidRPr="007D162C">
        <w:rPr>
          <w:rFonts w:ascii="Calibri" w:eastAsia="Calibri" w:hAnsi="Calibri" w:cs="Times New Roman"/>
          <w:color w:val="000000" w:themeColor="text1"/>
          <w:lang w:val="en-AU"/>
        </w:rPr>
        <w:t xml:space="preserve">Consultation highlighted a hybrid approach to implementation is likely to better meet the objectives of the reform, while being cognisant of implementation barriers and difficulties faced by providers and operators. </w:t>
      </w:r>
      <w:r w:rsidRPr="007D162C">
        <w:rPr>
          <w:rFonts w:ascii="Calibri" w:eastAsia="Calibri" w:hAnsi="Calibri" w:cs="Calibri"/>
          <w:lang w:val="en-AU"/>
        </w:rPr>
        <w:t>Across stakeholder groups, many submissions noted concerns about the effectiveness of the current implementation approach in the Transport Standards and that a blanket approach to implementation of any new requirements</w:t>
      </w:r>
      <w:r w:rsidRPr="007D162C">
        <w:rPr>
          <w:rFonts w:ascii="Calibri" w:eastAsia="Calibri" w:hAnsi="Calibri" w:cs="Calibri"/>
          <w:b/>
          <w:bCs/>
          <w:lang w:val="en-AU"/>
        </w:rPr>
        <w:t xml:space="preserve"> </w:t>
      </w:r>
      <w:r w:rsidRPr="007D162C">
        <w:rPr>
          <w:rFonts w:ascii="Calibri" w:eastAsia="Calibri" w:hAnsi="Calibri" w:cs="Calibri"/>
          <w:lang w:val="en-AU"/>
        </w:rPr>
        <w:t>may constrain the provision of several reform areas.</w:t>
      </w:r>
      <w:r w:rsidRPr="007D162C">
        <w:rPr>
          <w:rFonts w:ascii="Calibri" w:eastAsia="Calibri" w:hAnsi="Calibri" w:cs="Calibri"/>
          <w:color w:val="FFFFFF" w:themeColor="background1"/>
          <w:lang w:val="en-AU"/>
        </w:rPr>
        <w:t xml:space="preserve"> </w:t>
      </w:r>
    </w:p>
    <w:p w14:paraId="1C2E3825" w14:textId="291807CC" w:rsidR="00457629" w:rsidRPr="007D162C" w:rsidRDefault="00457629" w:rsidP="00457629">
      <w:pPr>
        <w:tabs>
          <w:tab w:val="left" w:pos="2694"/>
        </w:tabs>
        <w:autoSpaceDE w:val="0"/>
        <w:autoSpaceDN w:val="0"/>
        <w:adjustRightInd w:val="0"/>
        <w:spacing w:before="160" w:after="120"/>
        <w:rPr>
          <w:rFonts w:ascii="Calibri" w:eastAsia="Calibri" w:hAnsi="Calibri" w:cs="Calibri"/>
          <w:lang w:val="en-AU"/>
        </w:rPr>
      </w:pPr>
      <w:r w:rsidRPr="007D162C">
        <w:rPr>
          <w:rFonts w:ascii="Calibri" w:eastAsia="Calibri" w:hAnsi="Calibri" w:cs="Times New Roman"/>
          <w:color w:val="000000" w:themeColor="text1"/>
          <w:lang w:val="en-AU"/>
        </w:rPr>
        <w:t>Two submissions from disability stakeholders expressly indicated support for a hybrid approach, recognising this would allow consideration of each reform ar</w:t>
      </w:r>
      <w:r w:rsidRPr="007D162C">
        <w:rPr>
          <w:rFonts w:ascii="Calibri" w:eastAsia="Calibri" w:hAnsi="Calibri" w:cs="Times New Roman"/>
          <w:lang w:val="en-AU"/>
        </w:rPr>
        <w:t xml:space="preserve">ea against the principle that people with a disability must benefit from reforms as soon as possible. These </w:t>
      </w:r>
      <w:r w:rsidRPr="007D162C">
        <w:rPr>
          <w:rFonts w:ascii="Calibri" w:eastAsia="Calibri" w:hAnsi="Calibri" w:cs="Times New Roman"/>
          <w:color w:val="000000" w:themeColor="text1"/>
          <w:lang w:val="en-AU"/>
        </w:rPr>
        <w:t>submissions noted there are benefits of a ‘trigger’ approac</w:t>
      </w:r>
      <w:r w:rsidRPr="007D162C">
        <w:rPr>
          <w:rFonts w:ascii="Calibri" w:eastAsia="Calibri" w:hAnsi="Calibri" w:cs="Times New Roman"/>
          <w:lang w:val="en-AU"/>
        </w:rPr>
        <w:t xml:space="preserve">h to the implementation of some reform areas as this approach would be less likely to lead to protracted consultations about timeframes and more likely to produce tangible and timely change. </w:t>
      </w:r>
      <w:r w:rsidR="006A5C1D">
        <w:rPr>
          <w:rFonts w:ascii="Calibri" w:eastAsia="Calibri" w:hAnsi="Calibri" w:cs="Times New Roman"/>
          <w:lang w:val="en-AU"/>
        </w:rPr>
        <w:t>L</w:t>
      </w:r>
      <w:r w:rsidRPr="007D162C">
        <w:rPr>
          <w:rFonts w:ascii="Calibri" w:eastAsia="Calibri" w:hAnsi="Calibri" w:cs="Times New Roman"/>
          <w:lang w:val="en-AU"/>
        </w:rPr>
        <w:t xml:space="preserve">ikewise, </w:t>
      </w:r>
      <w:r w:rsidRPr="007D162C">
        <w:rPr>
          <w:rFonts w:ascii="Calibri" w:eastAsia="Calibri" w:hAnsi="Calibri" w:cs="Calibri"/>
          <w:lang w:val="en-AU"/>
        </w:rPr>
        <w:t xml:space="preserve">submissions noted there were no convincing </w:t>
      </w:r>
      <w:r w:rsidR="00BC71D1" w:rsidRPr="007D162C">
        <w:rPr>
          <w:rFonts w:ascii="Calibri" w:eastAsia="Calibri" w:hAnsi="Calibri" w:cs="Calibri"/>
          <w:lang w:val="en-AU"/>
        </w:rPr>
        <w:t>reasons</w:t>
      </w:r>
      <w:r w:rsidRPr="007D162C">
        <w:rPr>
          <w:rFonts w:ascii="Calibri" w:eastAsia="Calibri" w:hAnsi="Calibri" w:cs="Calibri"/>
          <w:lang w:val="en-AU"/>
        </w:rPr>
        <w:t xml:space="preserve"> </w:t>
      </w:r>
      <w:r w:rsidR="006A5C1D">
        <w:rPr>
          <w:rFonts w:ascii="Calibri" w:eastAsia="Calibri" w:hAnsi="Calibri" w:cs="Calibri"/>
          <w:lang w:val="en-AU"/>
        </w:rPr>
        <w:t xml:space="preserve">why </w:t>
      </w:r>
      <w:r w:rsidRPr="007D162C">
        <w:rPr>
          <w:rFonts w:ascii="Calibri" w:eastAsia="Calibri" w:hAnsi="Calibri" w:cs="Calibri"/>
          <w:lang w:val="en-AU"/>
        </w:rPr>
        <w:t>some other reform areas could not be implemented almost immediately.</w:t>
      </w:r>
    </w:p>
    <w:p w14:paraId="342CB74A" w14:textId="77777777" w:rsidR="00457629" w:rsidRPr="007D162C" w:rsidRDefault="00457629" w:rsidP="00457629">
      <w:pPr>
        <w:suppressAutoHyphens/>
        <w:spacing w:before="160" w:after="80"/>
        <w:rPr>
          <w:rFonts w:ascii="Calibri" w:eastAsia="Calibri" w:hAnsi="Calibri" w:cs="Times New Roman"/>
          <w:lang w:val="en-AU"/>
        </w:rPr>
      </w:pPr>
      <w:r w:rsidRPr="007D162C">
        <w:rPr>
          <w:rFonts w:ascii="Calibri" w:eastAsia="Calibri" w:hAnsi="Calibri" w:cs="Times New Roman"/>
          <w:lang w:val="en-AU"/>
        </w:rPr>
        <w:t>Industry and government submissions similarly indicated that a blanket approach for all reform areas may not be appropriate. One submission from industry highlighted while some reform areas may need to be implemented over a longer period, other reform areas could deliver important outcomes for people with disability within a relatively short timeframe.</w:t>
      </w:r>
    </w:p>
    <w:p w14:paraId="32804F2D" w14:textId="29B5A850" w:rsidR="00457629" w:rsidRPr="007D162C" w:rsidRDefault="00457629" w:rsidP="08D050C4">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lang w:val="en-AU"/>
        </w:rPr>
        <w:t xml:space="preserve">Submissions across stakeholder groups indicated that flexibility is required in implementation of the reform areas. The results of consultation indicate a range of factors influence the preferred implementation approach </w:t>
      </w:r>
      <w:r w:rsidRPr="007D162C">
        <w:rPr>
          <w:rFonts w:ascii="Calibri" w:eastAsia="Calibri" w:hAnsi="Calibri" w:cs="Times New Roman"/>
          <w:color w:val="000000"/>
          <w:lang w:val="en-AU"/>
        </w:rPr>
        <w:t xml:space="preserve">relevant </w:t>
      </w:r>
      <w:r w:rsidR="006A5C1D">
        <w:rPr>
          <w:rFonts w:ascii="Calibri" w:eastAsia="Calibri" w:hAnsi="Calibri" w:cs="Times New Roman"/>
          <w:color w:val="000000"/>
          <w:lang w:val="en-AU"/>
        </w:rPr>
        <w:t>for</w:t>
      </w:r>
      <w:r w:rsidRPr="007D162C">
        <w:rPr>
          <w:rFonts w:ascii="Calibri" w:eastAsia="Calibri" w:hAnsi="Calibri" w:cs="Times New Roman"/>
          <w:color w:val="000000"/>
          <w:lang w:val="en-AU"/>
        </w:rPr>
        <w:t xml:space="preserve"> </w:t>
      </w:r>
      <w:r w:rsidR="00BC71D1" w:rsidRPr="007D162C">
        <w:rPr>
          <w:rFonts w:ascii="Calibri" w:eastAsia="Calibri" w:hAnsi="Calibri" w:cs="Times New Roman"/>
          <w:color w:val="000000"/>
          <w:lang w:val="en-AU"/>
        </w:rPr>
        <w:t>a</w:t>
      </w:r>
      <w:r w:rsidRPr="007D162C">
        <w:rPr>
          <w:rFonts w:ascii="Calibri" w:eastAsia="Calibri" w:hAnsi="Calibri" w:cs="Times New Roman"/>
          <w:color w:val="000000"/>
          <w:lang w:val="en-AU"/>
        </w:rPr>
        <w:t xml:space="preserve"> reform area. This includes the transport mode, age of assets, status of compliance, value of works, proportion of assets being </w:t>
      </w:r>
      <w:r w:rsidRPr="007D162C">
        <w:rPr>
          <w:rFonts w:ascii="Calibri" w:eastAsia="Calibri" w:hAnsi="Calibri" w:cs="Calibri"/>
          <w:color w:val="000000"/>
          <w:shd w:val="clear" w:color="auto" w:fill="FFFFFF"/>
          <w:lang w:val="en-AU"/>
        </w:rPr>
        <w:t>upgraded</w:t>
      </w:r>
      <w:r w:rsidRPr="007D162C">
        <w:rPr>
          <w:rFonts w:ascii="Calibri" w:eastAsia="Calibri" w:hAnsi="Calibri" w:cs="Times New Roman"/>
          <w:color w:val="000000"/>
          <w:lang w:val="en-AU"/>
        </w:rPr>
        <w:t xml:space="preserve">, the benefits of upgrading a portion of an asset, and </w:t>
      </w:r>
      <w:r w:rsidRPr="007D162C">
        <w:rPr>
          <w:rFonts w:ascii="Calibri" w:eastAsia="Calibri" w:hAnsi="Calibri" w:cs="Calibri"/>
          <w:color w:val="000000"/>
          <w:shd w:val="clear" w:color="auto" w:fill="FFFFFF"/>
          <w:lang w:val="en-AU"/>
        </w:rPr>
        <w:t>identifying priority areas for implementation based on their significance in producing improved customer outcomes</w:t>
      </w:r>
      <w:r w:rsidRPr="007D162C">
        <w:rPr>
          <w:rFonts w:ascii="Calibri" w:eastAsia="Calibri" w:hAnsi="Calibri" w:cs="Times New Roman"/>
          <w:color w:val="000000"/>
          <w:lang w:val="en-AU"/>
        </w:rPr>
        <w:t xml:space="preserve">. </w:t>
      </w:r>
    </w:p>
    <w:p w14:paraId="7F6A3B26" w14:textId="77777777" w:rsidR="00457629" w:rsidRPr="007D162C" w:rsidRDefault="00457629" w:rsidP="00550EAE">
      <w:pPr>
        <w:pStyle w:val="Heading5"/>
      </w:pPr>
      <w:r w:rsidRPr="007D162C">
        <w:t>Proposed hybrid implementation approach</w:t>
      </w:r>
    </w:p>
    <w:p w14:paraId="296C1DC9" w14:textId="77777777" w:rsidR="00457629" w:rsidRPr="007D162C" w:rsidRDefault="00457629" w:rsidP="00457629">
      <w:pPr>
        <w:tabs>
          <w:tab w:val="left" w:pos="284"/>
        </w:tabs>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Three options for each individual reform area are presented in the proposed hybrid implementation approach:</w:t>
      </w:r>
    </w:p>
    <w:p w14:paraId="33BF80F6"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t>On commencement -</w:t>
      </w:r>
      <w:r w:rsidRPr="007D162C">
        <w:rPr>
          <w:rFonts w:eastAsia="Calibri" w:cs="Times New Roman"/>
        </w:rPr>
        <w:t xml:space="preserve"> Where a preferred regulatory option is being applied on commencement this means it applies from the date the amendments to the Transport Standards come into force.</w:t>
      </w:r>
    </w:p>
    <w:p w14:paraId="54C32825"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t>Retrospectively with a compliance schedule -</w:t>
      </w:r>
      <w:r w:rsidRPr="007D162C">
        <w:rPr>
          <w:rFonts w:eastAsia="Calibri" w:cs="Times New Roman"/>
        </w:rPr>
        <w:t xml:space="preserve"> Where a preferred regulatory option is applied retrospectively with a compliance schedule this means it applies to all new public transport assets and all public transport assets that are currently in service in accordance with the dates in the compliance schedule.</w:t>
      </w:r>
    </w:p>
    <w:p w14:paraId="5DE7F7EB" w14:textId="77777777" w:rsidR="00457629" w:rsidRPr="007D162C" w:rsidRDefault="00457629" w:rsidP="00BC71D1">
      <w:pPr>
        <w:pStyle w:val="Listparagraphbullets"/>
        <w:spacing w:after="0"/>
        <w:rPr>
          <w:rFonts w:eastAsia="Calibri" w:cs="Times New Roman"/>
        </w:rPr>
      </w:pPr>
      <w:r w:rsidRPr="007D162C">
        <w:rPr>
          <w:rFonts w:eastAsia="Calibri" w:cs="Times New Roman"/>
          <w:b/>
        </w:rPr>
        <w:lastRenderedPageBreak/>
        <w:t>Prospectively with a trigger mechanism -</w:t>
      </w:r>
      <w:r w:rsidRPr="007D162C">
        <w:rPr>
          <w:rFonts w:eastAsia="Calibri" w:cs="Times New Roman"/>
        </w:rPr>
        <w:t xml:space="preserve"> Where a preferred regulatory option is being applied prospectively with a trigger mechanism this means it applies to all new public transport assets and will only apply to public transport assets that are currently in service if the asset is substantially upgraded.</w:t>
      </w:r>
    </w:p>
    <w:p w14:paraId="271EE277" w14:textId="4E45A2ED" w:rsidR="00457629" w:rsidRPr="007D162C" w:rsidRDefault="00457629" w:rsidP="00457629">
      <w:pPr>
        <w:tabs>
          <w:tab w:val="left" w:pos="284"/>
        </w:tabs>
        <w:suppressAutoHyphens/>
        <w:spacing w:before="240" w:after="24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In addition, there are </w:t>
      </w:r>
      <w:r w:rsidR="6647ED5F" w:rsidRPr="007D162C">
        <w:rPr>
          <w:rFonts w:ascii="Calibri" w:eastAsia="Calibri" w:hAnsi="Calibri" w:cs="Times New Roman"/>
          <w:color w:val="000000" w:themeColor="text1"/>
          <w:lang w:val="en-AU"/>
        </w:rPr>
        <w:t>three</w:t>
      </w:r>
      <w:r w:rsidRPr="007D162C">
        <w:rPr>
          <w:rFonts w:ascii="Calibri" w:eastAsia="Calibri" w:hAnsi="Calibri" w:cs="Times New Roman"/>
          <w:color w:val="000000" w:themeColor="text1"/>
          <w:lang w:val="en-AU"/>
        </w:rPr>
        <w:t xml:space="preserve"> ‘regulatory in-principle’ preferred options proposed in the Decision RIS: 15. Braille embossed printed specifications</w:t>
      </w:r>
      <w:r w:rsidR="6647ED5F" w:rsidRPr="007D162C">
        <w:rPr>
          <w:rFonts w:ascii="Calibri" w:eastAsia="Calibri" w:hAnsi="Calibri" w:cs="Times New Roman"/>
          <w:color w:val="000000" w:themeColor="text1"/>
          <w:lang w:val="en-AU"/>
        </w:rPr>
        <w:t>,</w:t>
      </w:r>
      <w:r w:rsidRPr="007D162C">
        <w:rPr>
          <w:rFonts w:ascii="Calibri" w:eastAsia="Calibri" w:hAnsi="Calibri" w:cs="Times New Roman"/>
          <w:color w:val="000000" w:themeColor="text1"/>
          <w:lang w:val="en-AU"/>
        </w:rPr>
        <w:t xml:space="preserve"> 16. Braille and tactile lettering for signage. </w:t>
      </w:r>
      <w:r w:rsidR="6647ED5F" w:rsidRPr="007D162C">
        <w:rPr>
          <w:rFonts w:ascii="Calibri" w:eastAsia="Calibri" w:hAnsi="Calibri" w:cs="Times New Roman"/>
          <w:color w:val="000000" w:themeColor="text1"/>
          <w:lang w:val="en-AU"/>
        </w:rPr>
        <w:t xml:space="preserve">and 42. Removeable gangway design – ferries. </w:t>
      </w:r>
      <w:r w:rsidRPr="007D162C">
        <w:rPr>
          <w:rFonts w:ascii="Calibri" w:eastAsia="Calibri" w:hAnsi="Calibri" w:cs="Times New Roman"/>
          <w:color w:val="000000" w:themeColor="text1"/>
          <w:lang w:val="en-AU"/>
        </w:rPr>
        <w:t xml:space="preserve">Detailed implementation arrangements for these reform areas are set out in their respective chapters. </w:t>
      </w:r>
    </w:p>
    <w:p w14:paraId="66E2BEE1" w14:textId="77777777" w:rsidR="00457629" w:rsidRPr="007D162C" w:rsidRDefault="00457629" w:rsidP="00457629">
      <w:pPr>
        <w:tabs>
          <w:tab w:val="left" w:pos="284"/>
        </w:tabs>
        <w:suppressAutoHyphens/>
        <w:spacing w:before="240" w:after="24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Where a preferred regulatory option relates to definitional changes or clarifies existing requirements and would not introduce new requirements or result in material change to the intent of the Transport Standards, the changes to the Transport Standards would apply on commencement.</w:t>
      </w:r>
    </w:p>
    <w:p w14:paraId="2FF3C1E1" w14:textId="7B25B85A" w:rsidR="00A43AE9" w:rsidRPr="007D162C" w:rsidRDefault="00457629" w:rsidP="00A43AE9">
      <w:pPr>
        <w:spacing w:before="120" w:after="120"/>
      </w:pPr>
      <w:r w:rsidRPr="007D162C">
        <w:t xml:space="preserve">The other preferred regulatory options were individually assessed, considering a body of evidence from consultation findings, the CBA developed by </w:t>
      </w:r>
      <w:r w:rsidR="00A43AE9">
        <w:t>PwC</w:t>
      </w:r>
      <w:r w:rsidRPr="007D162C">
        <w:t xml:space="preserve"> and findings from previous reviews of the Transport Standards to determine whether prospective implementation of the reform area, or retrospective implementation of the reform area was preferred. </w:t>
      </w:r>
    </w:p>
    <w:p w14:paraId="56FC9D60" w14:textId="77777777" w:rsidR="00550EAE" w:rsidRPr="007D162C" w:rsidRDefault="00457629" w:rsidP="00550EAE">
      <w:pPr>
        <w:spacing w:before="120" w:after="120"/>
      </w:pPr>
      <w:r w:rsidRPr="007D162C">
        <w:t>This assessment entailed a principles-based consideration of each preferred option, considering:</w:t>
      </w:r>
      <w:bookmarkStart w:id="801" w:name="_Hlk118190763"/>
    </w:p>
    <w:p w14:paraId="342E4A36" w14:textId="77777777" w:rsidR="00457629" w:rsidRPr="007D162C" w:rsidRDefault="00457629" w:rsidP="00550EAE">
      <w:pPr>
        <w:pStyle w:val="Listparagraphbullets"/>
        <w:spacing w:after="0"/>
        <w:rPr>
          <w:rFonts w:eastAsia="Calibri" w:cs="Times New Roman"/>
          <w:color w:val="000000" w:themeColor="text1"/>
          <w:lang w:eastAsia="en-US"/>
        </w:rPr>
      </w:pPr>
      <w:r w:rsidRPr="007D162C">
        <w:rPr>
          <w:rFonts w:eastAsia="Calibri" w:cs="Times New Roman"/>
          <w:color w:val="000000" w:themeColor="text1"/>
          <w:lang w:eastAsia="en-US"/>
        </w:rPr>
        <w:t>the significance of improved customer outcomes.</w:t>
      </w:r>
    </w:p>
    <w:p w14:paraId="6EE1C764" w14:textId="77777777" w:rsidR="00457629" w:rsidRPr="007D162C" w:rsidRDefault="00457629" w:rsidP="00550EAE">
      <w:pPr>
        <w:pStyle w:val="Listparagraphbullets"/>
        <w:spacing w:after="0"/>
        <w:rPr>
          <w:rFonts w:eastAsia="Calibri" w:cs="Times New Roman"/>
          <w:color w:val="000000" w:themeColor="text1"/>
          <w:lang w:eastAsia="en-US"/>
        </w:rPr>
      </w:pPr>
      <w:r w:rsidRPr="007D162C">
        <w:rPr>
          <w:rFonts w:eastAsia="Calibri" w:cs="Times New Roman"/>
          <w:color w:val="000000" w:themeColor="text1"/>
          <w:lang w:eastAsia="en-US"/>
        </w:rPr>
        <w:t>the difficulty or challenges associated with implementation of a new requirement for existing assets, including consideration of:</w:t>
      </w:r>
    </w:p>
    <w:p w14:paraId="66AB35FF" w14:textId="77777777" w:rsidR="00457629" w:rsidRPr="007D162C" w:rsidRDefault="00457629" w:rsidP="00BC71D1">
      <w:pPr>
        <w:pStyle w:val="Bullet2"/>
        <w:rPr>
          <w:sz w:val="22"/>
          <w:szCs w:val="22"/>
        </w:rPr>
      </w:pPr>
      <w:r w:rsidRPr="007D162C">
        <w:rPr>
          <w:sz w:val="22"/>
          <w:szCs w:val="22"/>
        </w:rPr>
        <w:t>whether the new requirements related to structural elements of a transport asset (for example stairs, toilets, doors, access paths), standalone fixtures or fittings, or minor modifications to existing assets.</w:t>
      </w:r>
    </w:p>
    <w:p w14:paraId="51435C6A" w14:textId="77777777" w:rsidR="00457629" w:rsidRPr="007D162C" w:rsidRDefault="00457629" w:rsidP="00BC71D1">
      <w:pPr>
        <w:pStyle w:val="Bullet2"/>
        <w:rPr>
          <w:sz w:val="22"/>
          <w:szCs w:val="22"/>
        </w:rPr>
      </w:pPr>
      <w:r w:rsidRPr="007D162C">
        <w:rPr>
          <w:sz w:val="22"/>
          <w:szCs w:val="22"/>
        </w:rPr>
        <w:t>whether design or space constraints make retrofitting existing assets to meet the requirements unfeasible.</w:t>
      </w:r>
    </w:p>
    <w:p w14:paraId="203D341D" w14:textId="77777777" w:rsidR="00457629" w:rsidRPr="007D162C" w:rsidRDefault="00457629" w:rsidP="00BC71D1">
      <w:pPr>
        <w:pStyle w:val="Bullet2"/>
        <w:rPr>
          <w:sz w:val="22"/>
          <w:szCs w:val="22"/>
        </w:rPr>
      </w:pPr>
      <w:r w:rsidRPr="007D162C">
        <w:rPr>
          <w:sz w:val="22"/>
          <w:szCs w:val="22"/>
        </w:rPr>
        <w:t>whether the significance or scale of upgrades, or the complexity of changes required to retrofit existing assets make implementing the requirements costly or unfeasible.</w:t>
      </w:r>
    </w:p>
    <w:p w14:paraId="6704FBB3" w14:textId="77777777" w:rsidR="00457629" w:rsidRPr="007D162C" w:rsidRDefault="00457629" w:rsidP="00BC71D1">
      <w:pPr>
        <w:pStyle w:val="Bullet2"/>
        <w:rPr>
          <w:sz w:val="22"/>
          <w:szCs w:val="22"/>
        </w:rPr>
      </w:pPr>
      <w:r w:rsidRPr="007D162C">
        <w:rPr>
          <w:sz w:val="22"/>
          <w:szCs w:val="22"/>
        </w:rPr>
        <w:t>the degree to which a new requirement is already being implemented by industry.</w:t>
      </w:r>
    </w:p>
    <w:bookmarkEnd w:id="801"/>
    <w:p w14:paraId="4538E096" w14:textId="329034BA" w:rsidR="00457629" w:rsidRPr="007D162C" w:rsidRDefault="00457629" w:rsidP="00457629">
      <w:pPr>
        <w:suppressAutoHyphens/>
        <w:spacing w:before="160" w:after="80"/>
      </w:pPr>
      <w:r w:rsidRPr="007D162C">
        <w:t>Based on this assessment</w:t>
      </w:r>
      <w:r w:rsidR="009705DE">
        <w:t xml:space="preserve"> the Department</w:t>
      </w:r>
      <w:r w:rsidRPr="007D162C">
        <w:t xml:space="preserve"> has identif</w:t>
      </w:r>
      <w:r w:rsidR="009705DE">
        <w:t>ied</w:t>
      </w:r>
      <w:r w:rsidRPr="007D162C">
        <w:t xml:space="preserve"> a preferred implementation approach for each of the preferred regulatory options in the Decision RIS. The incorporation of the implementation arrangements into the Transport Standards will be settled in the drafting process and it may be different to the structure of the existing Schedule 1.</w:t>
      </w:r>
    </w:p>
    <w:p w14:paraId="320CBD2D" w14:textId="77777777" w:rsidR="00457629" w:rsidRPr="007D162C" w:rsidRDefault="00457629" w:rsidP="00550EAE">
      <w:pPr>
        <w:pStyle w:val="Heading5"/>
      </w:pPr>
      <w:r w:rsidRPr="007D162C">
        <w:t>Implementation arrangements</w:t>
      </w:r>
    </w:p>
    <w:p w14:paraId="2DC2234B"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 xml:space="preserve">The implementation arrangements for the preferred regulatory options are outlined below. Stage 1 reforms are indicated with (S1) and stage 2 are indicated with (S2). </w:t>
      </w:r>
    </w:p>
    <w:p w14:paraId="0BD0B3B7"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on commencement</w:t>
      </w:r>
    </w:p>
    <w:p w14:paraId="548500A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25. Continuous accessibility on access paths (S2)</w:t>
      </w:r>
    </w:p>
    <w:p w14:paraId="094F46C7" w14:textId="77777777" w:rsidR="00BC2965" w:rsidRPr="007D162C" w:rsidRDefault="00BC2965"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37. Lighting (S2)</w:t>
      </w:r>
    </w:p>
    <w:p w14:paraId="415AE84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41. Boarding ramp and removeable gangway definitions (S2)</w:t>
      </w:r>
    </w:p>
    <w:p w14:paraId="578ED206"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lastRenderedPageBreak/>
        <w:t>47. Hail-and-ride boarding points on infrastructure (S2)</w:t>
      </w:r>
    </w:p>
    <w:p w14:paraId="1D1C1A48"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retrospective with a five-year implementation schedule</w:t>
      </w:r>
    </w:p>
    <w:p w14:paraId="5A28F76C"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 Staff training and communication (S1)</w:t>
      </w:r>
    </w:p>
    <w:p w14:paraId="70A8DE1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Priority Seating (S1)</w:t>
      </w:r>
    </w:p>
    <w:p w14:paraId="195C51B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8. Communication during service disruption (S1)</w:t>
      </w:r>
    </w:p>
    <w:p w14:paraId="05B70EE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16. Provision of information in multiple formats (S1)</w:t>
      </w:r>
    </w:p>
    <w:p w14:paraId="5AC47E3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Rideshare (S2) – raised registration number and response times</w:t>
      </w:r>
    </w:p>
    <w:p w14:paraId="3F2A5E24"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 Better communications of accessibility features (S2)</w:t>
      </w:r>
    </w:p>
    <w:p w14:paraId="576A6F5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6. Timely provision of information (S2)</w:t>
      </w:r>
    </w:p>
    <w:p w14:paraId="476FC73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17. Lifts: Braille and tactile information at lift landings (S2)</w:t>
      </w:r>
    </w:p>
    <w:p w14:paraId="2639586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27. Resting points (S2)</w:t>
      </w:r>
    </w:p>
    <w:p w14:paraId="01002FD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30. Allocated spaces and priority seating in waiting areas (S2)</w:t>
      </w:r>
    </w:p>
    <w:p w14:paraId="7F384A8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44. Mobility boarding points – identification of lead stops (S2)</w:t>
      </w:r>
    </w:p>
    <w:p w14:paraId="2D9128AB"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55. Appropriate seats on booked services (S2)</w:t>
      </w:r>
    </w:p>
    <w:p w14:paraId="34D1E989"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60. Doorway contrast (S2)</w:t>
      </w:r>
    </w:p>
    <w:p w14:paraId="73F8F632"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retrospective with a ten-year implementation schedule</w:t>
      </w:r>
    </w:p>
    <w:p w14:paraId="3109DCAB"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13. Wayfinding (S1)</w:t>
      </w:r>
    </w:p>
    <w:p w14:paraId="6263536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14. Tactile ground surface indicators (S1)</w:t>
      </w:r>
    </w:p>
    <w:p w14:paraId="1782801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15. Passenger loading zones (S1)</w:t>
      </w:r>
    </w:p>
    <w:p w14:paraId="0479A424"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48. Accessible taxi ranks (S2)</w:t>
      </w:r>
    </w:p>
    <w:p w14:paraId="499AB71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49. Accessible passenger loading zones on street (S2)</w:t>
      </w:r>
    </w:p>
    <w:p w14:paraId="4F6FE306"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50. Accessible parking spaces in infrastructure off-street carparks (S2)</w:t>
      </w:r>
    </w:p>
    <w:p w14:paraId="126530F4"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prospective with a trigger mechanism</w:t>
      </w:r>
    </w:p>
    <w:p w14:paraId="4F13B6F7"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 Allocated spaces (S1)</w:t>
      </w:r>
    </w:p>
    <w:p w14:paraId="425EEFA8"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5. Digital information screens (S1)</w:t>
      </w:r>
    </w:p>
    <w:p w14:paraId="4F1CD64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7. Website accessibility (S1)</w:t>
      </w:r>
    </w:p>
    <w:p w14:paraId="205517E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9. Gangways (S1)</w:t>
      </w:r>
    </w:p>
    <w:p w14:paraId="7B82653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 Rideshare (S2) – requirements that apply to accessible taxis</w:t>
      </w:r>
    </w:p>
    <w:p w14:paraId="5471AB3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8. Passenger location during journey (S2)</w:t>
      </w:r>
    </w:p>
    <w:p w14:paraId="27C2850C" w14:textId="6F6208EA"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11. Print size and format (S2)</w:t>
      </w:r>
    </w:p>
    <w:p w14:paraId="1EFCFE88" w14:textId="20A599F5" w:rsidR="00921CBC" w:rsidRPr="007D162C" w:rsidRDefault="00921CBC"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lastRenderedPageBreak/>
        <w:t>12. International symbol for access and deafness (S2)</w:t>
      </w:r>
    </w:p>
    <w:p w14:paraId="6C76E0F1"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13. Letter heights and luminance contrast of signs (S2)</w:t>
      </w:r>
    </w:p>
    <w:p w14:paraId="27A0779C"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14. Location of signs (S2)</w:t>
      </w:r>
    </w:p>
    <w:p w14:paraId="52197177"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18. Lifts: Audible wayfinding (S2)</w:t>
      </w:r>
    </w:p>
    <w:p w14:paraId="3522BB3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19. Lifts: Emergency communication systems in lift cars (S2)</w:t>
      </w:r>
    </w:p>
    <w:p w14:paraId="107631A3"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21. Information and communication technologies (ICT) procurement (S2)</w:t>
      </w:r>
    </w:p>
    <w:p w14:paraId="215AF43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b/>
          <w:color w:val="000000" w:themeColor="text1"/>
          <w:lang w:val="en-AU"/>
        </w:rPr>
      </w:pPr>
      <w:r w:rsidRPr="007D162C">
        <w:rPr>
          <w:rFonts w:ascii="Calibri" w:eastAsia="Calibri" w:hAnsi="Calibri" w:cs="Times New Roman"/>
          <w:color w:val="000000" w:themeColor="text1"/>
          <w:lang w:val="en-AU"/>
        </w:rPr>
        <w:t>22. Mobile web systems (S2)</w:t>
      </w:r>
    </w:p>
    <w:p w14:paraId="395785B9"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23. Accessible fare system elements (S2)</w:t>
      </w:r>
    </w:p>
    <w:p w14:paraId="6DB1D65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24. Doors on access paths (S2)</w:t>
      </w:r>
    </w:p>
    <w:p w14:paraId="5A7869B2"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28. Requirements for handrails in over-bridges and subways (S2)</w:t>
      </w:r>
    </w:p>
    <w:p w14:paraId="587BC461"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29. Location of fare system elements (S2)</w:t>
      </w:r>
    </w:p>
    <w:p w14:paraId="1F299A9A"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31. Accessible toilets with equal proportion of left- and right-hand configurations (S2)</w:t>
      </w:r>
    </w:p>
    <w:p w14:paraId="1A1CC5D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34. Lift specifications and enhancements (S2)</w:t>
      </w:r>
    </w:p>
    <w:p w14:paraId="5CDF6070" w14:textId="46E04401"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35. Specifications for escalators and inclined travelators (S2)</w:t>
      </w:r>
    </w:p>
    <w:p w14:paraId="53D74C57" w14:textId="77777777" w:rsidR="00AB61B9" w:rsidRPr="007D162C" w:rsidRDefault="00AB61B9" w:rsidP="08D050C4">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36. Poles, objects and luminance contrast (S2)</w:t>
      </w:r>
    </w:p>
    <w:p w14:paraId="00838886"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38. Signals and process for requesting boarding devices (S2)</w:t>
      </w:r>
    </w:p>
    <w:p w14:paraId="51193C5E"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40. Portable boarding ramp edge barriers (S2)</w:t>
      </w:r>
    </w:p>
    <w:p w14:paraId="502DCB20"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43. Nominated assistance boarding points (S2)</w:t>
      </w:r>
    </w:p>
    <w:p w14:paraId="07D65BED"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46. Bus, tram and light rail boarding points on infrastructure (S2)</w:t>
      </w:r>
    </w:p>
    <w:p w14:paraId="459149A5" w14:textId="65F2FEE8"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51. Gra</w:t>
      </w:r>
      <w:r w:rsidR="002D5ADA" w:rsidRPr="007D162C">
        <w:rPr>
          <w:rFonts w:ascii="Calibri" w:eastAsia="Calibri" w:hAnsi="Calibri" w:cs="Times New Roman"/>
          <w:color w:val="000000" w:themeColor="text1"/>
          <w:lang w:val="en-AU"/>
        </w:rPr>
        <w:t>b</w:t>
      </w:r>
      <w:r w:rsidRPr="007D162C">
        <w:rPr>
          <w:rFonts w:ascii="Calibri" w:eastAsia="Calibri" w:hAnsi="Calibri" w:cs="Times New Roman"/>
          <w:color w:val="000000" w:themeColor="text1"/>
          <w:lang w:val="en-AU"/>
        </w:rPr>
        <w:t>-rails on access paths (S2)</w:t>
      </w:r>
    </w:p>
    <w:p w14:paraId="71C321C5"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52. Grab-rails in allocated spaces (S2)</w:t>
      </w:r>
    </w:p>
    <w:p w14:paraId="65F372C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57. Stairs on trains (S2)</w:t>
      </w:r>
    </w:p>
    <w:p w14:paraId="47884CEF"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58. Stairs on ferries (S2)</w:t>
      </w:r>
    </w:p>
    <w:p w14:paraId="52FC4F94" w14:textId="77777777"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59. Stairs on buses (S2)</w:t>
      </w:r>
    </w:p>
    <w:p w14:paraId="3485CA0A" w14:textId="77777777" w:rsidR="00457629" w:rsidRPr="007D162C" w:rsidRDefault="00457629" w:rsidP="00BC71D1">
      <w:pPr>
        <w:pStyle w:val="Heading5"/>
        <w:keepLines/>
        <w:spacing w:before="240"/>
        <w:rPr>
          <w:rFonts w:asciiTheme="majorHAnsi" w:eastAsiaTheme="majorEastAsia" w:hAnsiTheme="majorHAnsi" w:cstheme="majorBidi"/>
          <w:color w:val="44546A" w:themeColor="text2"/>
          <w:sz w:val="22"/>
          <w:szCs w:val="22"/>
          <w:lang w:val="en-AU"/>
        </w:rPr>
      </w:pPr>
      <w:r w:rsidRPr="007D162C">
        <w:rPr>
          <w:rFonts w:asciiTheme="majorHAnsi" w:eastAsiaTheme="majorEastAsia" w:hAnsiTheme="majorHAnsi" w:cstheme="majorBidi"/>
          <w:color w:val="44546A" w:themeColor="text2"/>
          <w:kern w:val="0"/>
          <w:sz w:val="22"/>
          <w:szCs w:val="22"/>
          <w:lang w:val="en-AU"/>
        </w:rPr>
        <w:t>Regulatory – other implementation arrangements</w:t>
      </w:r>
    </w:p>
    <w:p w14:paraId="5921ADA7" w14:textId="1E4A1F6C" w:rsidR="00B54D35" w:rsidRPr="007D162C" w:rsidRDefault="00B54D35"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17. Australian Standards and definitional amendments (S1)</w:t>
      </w:r>
    </w:p>
    <w:p w14:paraId="0BA4C358" w14:textId="77777777" w:rsidR="00457629" w:rsidRPr="007D162C" w:rsidRDefault="00457629" w:rsidP="00457629">
      <w:pPr>
        <w:suppressAutoHyphens/>
        <w:autoSpaceDE w:val="0"/>
        <w:autoSpaceDN w:val="0"/>
        <w:adjustRightInd w:val="0"/>
        <w:spacing w:before="160" w:after="12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15. Braille embossed printed specifications (S2)</w:t>
      </w:r>
    </w:p>
    <w:p w14:paraId="4AE6B50D" w14:textId="09726F3B" w:rsidR="00457629" w:rsidRPr="007D162C"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16. Braille and tactile lettering for signage (S2)</w:t>
      </w:r>
    </w:p>
    <w:p w14:paraId="0621F345" w14:textId="54234BB8" w:rsidR="002D5ADA" w:rsidRPr="007D162C" w:rsidRDefault="002D5ADA"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42. Removeable gangway design – ferries (S2)</w:t>
      </w:r>
    </w:p>
    <w:p w14:paraId="0FBC8267" w14:textId="77777777" w:rsidR="00457629" w:rsidRPr="007D162C" w:rsidRDefault="00457629" w:rsidP="00457629">
      <w:pPr>
        <w:keepNext/>
        <w:keepLines/>
        <w:tabs>
          <w:tab w:val="left" w:pos="284"/>
        </w:tabs>
        <w:suppressAutoHyphens/>
        <w:spacing w:before="240"/>
        <w:outlineLvl w:val="3"/>
        <w:rPr>
          <w:rFonts w:ascii="Calibri" w:eastAsia="Times New Roman" w:hAnsi="Calibri" w:cs="Times New Roman"/>
          <w:b/>
          <w:color w:val="49515C"/>
          <w:sz w:val="26"/>
          <w:szCs w:val="26"/>
          <w:lang w:val="en-AU"/>
        </w:rPr>
      </w:pPr>
      <w:r w:rsidRPr="007D162C">
        <w:rPr>
          <w:rFonts w:ascii="Calibri" w:eastAsia="Times New Roman" w:hAnsi="Calibri" w:cs="Times New Roman"/>
          <w:b/>
          <w:color w:val="49515C"/>
          <w:sz w:val="26"/>
          <w:szCs w:val="26"/>
          <w:lang w:val="en-AU"/>
        </w:rPr>
        <w:lastRenderedPageBreak/>
        <w:t>Projects under construction and in planning at the commencement of the amendments</w:t>
      </w:r>
    </w:p>
    <w:p w14:paraId="4DE35241" w14:textId="2DE6A134" w:rsidR="00457629" w:rsidRPr="00457629" w:rsidRDefault="00457629" w:rsidP="00457629">
      <w:pPr>
        <w:suppressAutoHyphens/>
        <w:spacing w:before="160" w:after="80"/>
        <w:rPr>
          <w:rFonts w:ascii="Calibri" w:eastAsia="Calibri" w:hAnsi="Calibri" w:cs="Times New Roman"/>
          <w:color w:val="000000" w:themeColor="text1"/>
          <w:lang w:val="en-AU"/>
        </w:rPr>
      </w:pPr>
      <w:r w:rsidRPr="007D162C">
        <w:rPr>
          <w:rFonts w:ascii="Calibri" w:eastAsia="Calibri" w:hAnsi="Calibri" w:cs="Times New Roman"/>
          <w:color w:val="000000" w:themeColor="text1"/>
          <w:lang w:val="en-AU"/>
        </w:rPr>
        <w:t>At the commencement of the amendments to the Transport Standards there will be new public transport infrastructure, premises or conveyances under construction and existing public transport infrastructure, premises or conveyances undergoing substantial refurbishment. There will also be projects for new public transport infrastructure, premises and conveyance projects, or projects to substantially upgrade existing infrastructure, premises and conveyances, in the planning process. The implementation arrangements for these projects need</w:t>
      </w:r>
      <w:r w:rsidR="006A5C1D">
        <w:rPr>
          <w:rFonts w:ascii="Calibri" w:eastAsia="Calibri" w:hAnsi="Calibri" w:cs="Times New Roman"/>
          <w:color w:val="000000" w:themeColor="text1"/>
          <w:lang w:val="en-AU"/>
        </w:rPr>
        <w:t>s</w:t>
      </w:r>
      <w:r w:rsidRPr="007D162C">
        <w:rPr>
          <w:rFonts w:ascii="Calibri" w:eastAsia="Calibri" w:hAnsi="Calibri" w:cs="Times New Roman"/>
          <w:color w:val="000000" w:themeColor="text1"/>
          <w:lang w:val="en-AU"/>
        </w:rPr>
        <w:t xml:space="preserve"> to be specially considered to ensure that they are not delayed, or the cost increased, by the new requirements,</w:t>
      </w:r>
      <w:r w:rsidRPr="169A030C">
        <w:rPr>
          <w:rFonts w:ascii="Calibri" w:eastAsia="Calibri" w:hAnsi="Calibri" w:cs="Times New Roman"/>
          <w:color w:val="000000" w:themeColor="text1"/>
          <w:lang w:val="en-AU"/>
        </w:rPr>
        <w:t xml:space="preserve"> whilst ensuring that the new requirements are implemented where possible so that the benefits to people with disability can be realised.</w:t>
      </w:r>
    </w:p>
    <w:p w14:paraId="24D7613B" w14:textId="77777777" w:rsidR="00457629" w:rsidRPr="00BC71D1" w:rsidRDefault="00457629" w:rsidP="00425012">
      <w:pPr>
        <w:pStyle w:val="Heading6"/>
        <w:rPr>
          <w:lang w:val="en-AU"/>
        </w:rPr>
      </w:pPr>
      <w:r w:rsidRPr="00BC71D1">
        <w:rPr>
          <w:lang w:val="en-AU"/>
        </w:rPr>
        <w:t xml:space="preserve">Projects under </w:t>
      </w:r>
      <w:r w:rsidRPr="00425012">
        <w:t>construction</w:t>
      </w:r>
    </w:p>
    <w:p w14:paraId="75B9D133"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For projects under construction, transport operators or providers would not be required to implement the new prospective requirements and could proceed with implementing the existing requirements of the Transport Standards. In these situations, operators and providers would be encouraged to consider if any new prospective requirements could be adopted to deliver benefits to people with disability earlier. </w:t>
      </w:r>
    </w:p>
    <w:p w14:paraId="749B7747"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Infrastructure, premises and conveyances would still be required to meet any new requirements that are being implemented retrospectively in accordance with the new compliance schedule. </w:t>
      </w:r>
      <w:r w:rsidRPr="00457629">
        <w:rPr>
          <w:rFonts w:ascii="Calibri" w:eastAsia="Calibri" w:hAnsi="Calibri" w:cs="Times New Roman"/>
          <w:lang w:val="en-AU"/>
        </w:rPr>
        <w:t>Consideration could be given to implementing new retrospective requirements for projects under construction at the commencement of the new requirements to ensure required timeframes are met and to deliver benefits to people with disability earlier.</w:t>
      </w:r>
    </w:p>
    <w:p w14:paraId="0B3BD269" w14:textId="6864262D" w:rsidR="00457629" w:rsidRPr="00BC71D1" w:rsidRDefault="00457629" w:rsidP="00425012">
      <w:pPr>
        <w:pStyle w:val="Heading6"/>
        <w:rPr>
          <w:lang w:val="en-AU"/>
        </w:rPr>
      </w:pPr>
      <w:r w:rsidRPr="00BC71D1">
        <w:rPr>
          <w:lang w:val="en-AU"/>
        </w:rPr>
        <w:t xml:space="preserve">Projects in </w:t>
      </w:r>
      <w:r w:rsidRPr="00425012">
        <w:t>planning</w:t>
      </w:r>
    </w:p>
    <w:p w14:paraId="1103C41D"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For projects in the planning process, transport operators and providers would only be required to implement the new prospective requirements in the Transport Standards if the project has not reached the approval prior to issuing a tender stage (the exact timing and process for this is dependent on the procurement processes for each operator and provider). If the project was past this phase of the planning process (for example the approval to issue the tender had been granted), then operators and providers could proceed with implementing the existing requirements of the Transport Standards. Operators and providers would be encouraged to choose to implement the new prospective requirements if the project is past this phase where feasible to do so. If a project has not reached the approval prior to issuing a tender stage, the project would need to meet all the new prospective requirements of the Transport Standards. </w:t>
      </w:r>
    </w:p>
    <w:p w14:paraId="58874854" w14:textId="77777777" w:rsidR="00457629" w:rsidRPr="00457629" w:rsidRDefault="00457629" w:rsidP="00457629">
      <w:pPr>
        <w:suppressAutoHyphens/>
        <w:spacing w:before="160" w:after="80"/>
        <w:rPr>
          <w:rFonts w:ascii="Calibri" w:eastAsia="Calibri" w:hAnsi="Calibri" w:cs="Times New Roman"/>
          <w:lang w:val="en-AU"/>
        </w:rPr>
      </w:pPr>
      <w:r w:rsidRPr="00457629">
        <w:rPr>
          <w:rFonts w:ascii="Calibri" w:eastAsia="Calibri" w:hAnsi="Calibri" w:cs="Times New Roman"/>
          <w:lang w:val="en-AU"/>
        </w:rPr>
        <w:t>Infrastructure, premises and conveyances would still be required to meet any new requirements that are being implemented retrospectively in accordance with the new compliance schedule. Consideration could be given to implementing new retrospective requirements for projects in the planning phase at the commencement of the new requirements to ensure required timeframes are met and to deliver benefits to people with disability earlier.</w:t>
      </w:r>
    </w:p>
    <w:p w14:paraId="57D392D6" w14:textId="4A66630E" w:rsidR="00046C30" w:rsidRPr="00AD25E7" w:rsidRDefault="00046C30" w:rsidP="00AD25E7">
      <w:pPr>
        <w:pStyle w:val="Heading4"/>
      </w:pPr>
      <w:bookmarkStart w:id="802" w:name="_Toc127351815"/>
      <w:r w:rsidRPr="00AD25E7">
        <w:t>Stage 1 updated Australian Standards and other references</w:t>
      </w:r>
    </w:p>
    <w:p w14:paraId="607B8F89" w14:textId="1E80E1A4" w:rsidR="00046C30" w:rsidRDefault="00046C30" w:rsidP="00046C30">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Stage 1 Decision RIS identified the need to update referenced Australian Standards in the Transport Standards, align </w:t>
      </w:r>
      <w:r w:rsidR="00AD25E7" w:rsidRPr="169A030C">
        <w:rPr>
          <w:rFonts w:ascii="Calibri" w:eastAsia="Calibri" w:hAnsi="Calibri" w:cs="Times New Roman"/>
          <w:color w:val="000000" w:themeColor="text1"/>
          <w:lang w:val="en-AU"/>
        </w:rPr>
        <w:t xml:space="preserve">requirements with intersecting legislation, such as the Premises Standards and the National construction Code, and harmonise language in the Transport Standard with </w:t>
      </w:r>
      <w:r w:rsidR="00A43AE9">
        <w:rPr>
          <w:rFonts w:ascii="Calibri" w:eastAsia="Calibri" w:hAnsi="Calibri" w:cs="Times New Roman"/>
          <w:color w:val="000000" w:themeColor="text1"/>
          <w:lang w:val="en-AU"/>
        </w:rPr>
        <w:t>the DDA.</w:t>
      </w:r>
    </w:p>
    <w:p w14:paraId="59DC6759" w14:textId="71FA8F42" w:rsidR="00AD25E7" w:rsidRPr="00AD25E7" w:rsidRDefault="006C72DB" w:rsidP="00AD25E7">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lastRenderedPageBreak/>
        <w:t>The Stage 1 Decision RIS concluded before Standards Australia</w:t>
      </w:r>
      <w:r w:rsidR="00AD25E7" w:rsidRPr="169A030C">
        <w:rPr>
          <w:rFonts w:ascii="Calibri" w:eastAsia="Calibri" w:hAnsi="Calibri" w:cs="Times New Roman"/>
          <w:color w:val="000000" w:themeColor="text1"/>
          <w:lang w:val="en-AU"/>
        </w:rPr>
        <w:t xml:space="preserve"> published an update</w:t>
      </w:r>
      <w:r w:rsidRPr="169A030C">
        <w:rPr>
          <w:rFonts w:ascii="Calibri" w:eastAsia="Calibri" w:hAnsi="Calibri" w:cs="Times New Roman"/>
          <w:color w:val="000000" w:themeColor="text1"/>
          <w:lang w:val="en-AU"/>
        </w:rPr>
        <w:t xml:space="preserve"> </w:t>
      </w:r>
      <w:r w:rsidR="00AD25E7" w:rsidRPr="169A030C">
        <w:rPr>
          <w:rFonts w:ascii="Calibri" w:eastAsia="Calibri" w:hAnsi="Calibri" w:cs="Times New Roman"/>
          <w:color w:val="000000" w:themeColor="text1"/>
          <w:lang w:val="en-AU"/>
        </w:rPr>
        <w:t xml:space="preserve">to </w:t>
      </w:r>
      <w:r w:rsidRPr="169A030C">
        <w:rPr>
          <w:rFonts w:ascii="Calibri" w:eastAsia="Calibri" w:hAnsi="Calibri" w:cs="Times New Roman"/>
          <w:color w:val="000000" w:themeColor="text1"/>
          <w:lang w:val="en-AU"/>
        </w:rPr>
        <w:t xml:space="preserve">the most frequently referenced Australian Standard in the Transport Standards - Design for access and mobility </w:t>
      </w:r>
      <w:r w:rsidR="00AD25E7" w:rsidRPr="169A030C">
        <w:rPr>
          <w:rFonts w:ascii="Calibri" w:eastAsia="Calibri" w:hAnsi="Calibri" w:cs="Times New Roman"/>
          <w:color w:val="000000" w:themeColor="text1"/>
          <w:lang w:val="en-AU"/>
        </w:rPr>
        <w:t>AS 1428.</w:t>
      </w:r>
      <w:r w:rsidRPr="169A030C">
        <w:rPr>
          <w:rFonts w:ascii="Calibri" w:eastAsia="Calibri" w:hAnsi="Calibri" w:cs="Times New Roman"/>
          <w:color w:val="000000" w:themeColor="text1"/>
          <w:lang w:val="en-AU"/>
        </w:rPr>
        <w:t>1</w:t>
      </w:r>
      <w:r w:rsidR="00A43AE9">
        <w:rPr>
          <w:rFonts w:ascii="Calibri" w:eastAsia="Calibri" w:hAnsi="Calibri" w:cs="Times New Roman"/>
          <w:color w:val="000000" w:themeColor="text1"/>
          <w:lang w:val="en-AU"/>
        </w:rPr>
        <w:t xml:space="preserve"> (</w:t>
      </w:r>
      <w:r w:rsidR="00F66192">
        <w:rPr>
          <w:rFonts w:ascii="Calibri" w:eastAsia="Calibri" w:hAnsi="Calibri" w:cs="Times New Roman"/>
          <w:color w:val="000000" w:themeColor="text1"/>
          <w:lang w:val="en-AU"/>
        </w:rPr>
        <w:t>2021</w:t>
      </w:r>
      <w:r w:rsidR="00A43AE9">
        <w:rPr>
          <w:rFonts w:ascii="Calibri" w:eastAsia="Calibri" w:hAnsi="Calibri" w:cs="Times New Roman"/>
          <w:color w:val="000000" w:themeColor="text1"/>
          <w:lang w:val="en-AU"/>
        </w:rPr>
        <w:t>)</w:t>
      </w:r>
      <w:r w:rsidR="00AD25E7" w:rsidRPr="169A030C">
        <w:rPr>
          <w:rFonts w:ascii="Calibri" w:eastAsia="Calibri" w:hAnsi="Calibri" w:cs="Times New Roman"/>
          <w:color w:val="000000" w:themeColor="text1"/>
          <w:lang w:val="en-AU"/>
        </w:rPr>
        <w:t>.</w:t>
      </w:r>
      <w:r w:rsidRPr="169A030C">
        <w:rPr>
          <w:rFonts w:ascii="Calibri" w:eastAsia="Calibri" w:hAnsi="Calibri" w:cs="Times New Roman"/>
          <w:color w:val="000000" w:themeColor="text1"/>
          <w:lang w:val="en-AU"/>
        </w:rPr>
        <w:t xml:space="preserve"> The</w:t>
      </w:r>
      <w:r w:rsidR="00AD25E7" w:rsidRPr="169A030C">
        <w:rPr>
          <w:rFonts w:ascii="Calibri" w:eastAsia="Calibri" w:hAnsi="Calibri" w:cs="Times New Roman"/>
          <w:color w:val="000000" w:themeColor="text1"/>
          <w:lang w:val="en-AU"/>
        </w:rPr>
        <w:t xml:space="preserve"> updated standard consists of minor and clarifying amendments to the 2009 version of the standard and a new </w:t>
      </w:r>
      <w:r w:rsidR="00F66192">
        <w:rPr>
          <w:rFonts w:ascii="Calibri" w:eastAsia="Calibri" w:hAnsi="Calibri" w:cs="Times New Roman"/>
          <w:color w:val="000000" w:themeColor="text1"/>
          <w:lang w:val="en-AU"/>
        </w:rPr>
        <w:t>layout.</w:t>
      </w:r>
      <w:r w:rsidR="006A5C1D">
        <w:rPr>
          <w:rFonts w:ascii="Calibri" w:eastAsia="Calibri" w:hAnsi="Calibri" w:cs="Times New Roman"/>
          <w:color w:val="000000" w:themeColor="text1"/>
          <w:lang w:val="en-AU"/>
        </w:rPr>
        <w:t xml:space="preserve"> Therefore, the department proposed updating the Australian Standards reference to the 2021 version where there is no change.</w:t>
      </w:r>
    </w:p>
    <w:p w14:paraId="2CC14D1C" w14:textId="6DF19349" w:rsidR="006C72DB" w:rsidRPr="00D76964" w:rsidRDefault="006C72DB" w:rsidP="00D76964">
      <w:pPr>
        <w:pStyle w:val="Heading5"/>
      </w:pPr>
      <w:r w:rsidRPr="00D76964">
        <w:t xml:space="preserve">Stage 1 </w:t>
      </w:r>
      <w:r w:rsidR="00D76964" w:rsidRPr="00D76964">
        <w:t xml:space="preserve">Implementation of </w:t>
      </w:r>
      <w:r w:rsidRPr="00D76964">
        <w:t xml:space="preserve">Australian Standards </w:t>
      </w:r>
      <w:r w:rsidR="00D76964" w:rsidRPr="00D76964">
        <w:t>and other references</w:t>
      </w:r>
    </w:p>
    <w:p w14:paraId="26243F60" w14:textId="7535D180" w:rsidR="00D76964" w:rsidRDefault="00AD25E7" w:rsidP="00AD25E7">
      <w:pPr>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table below details </w:t>
      </w:r>
      <w:r w:rsidR="006C72DB" w:rsidRPr="169A030C">
        <w:rPr>
          <w:rFonts w:ascii="Calibri" w:eastAsia="Calibri" w:hAnsi="Calibri" w:cs="Times New Roman"/>
          <w:color w:val="000000" w:themeColor="text1"/>
          <w:lang w:val="en-AU"/>
        </w:rPr>
        <w:t>the updated</w:t>
      </w:r>
      <w:r w:rsidRPr="169A030C">
        <w:rPr>
          <w:rFonts w:ascii="Calibri" w:eastAsia="Calibri" w:hAnsi="Calibri" w:cs="Times New Roman"/>
          <w:color w:val="000000" w:themeColor="text1"/>
          <w:lang w:val="en-AU"/>
        </w:rPr>
        <w:t xml:space="preserve"> Stage 1 proposed amendments to referenced Australian Standards in the Transport Standards and </w:t>
      </w:r>
      <w:r w:rsidR="006C72DB" w:rsidRPr="169A030C">
        <w:rPr>
          <w:rFonts w:ascii="Calibri" w:eastAsia="Calibri" w:hAnsi="Calibri" w:cs="Times New Roman"/>
          <w:color w:val="000000" w:themeColor="text1"/>
          <w:lang w:val="en-AU"/>
        </w:rPr>
        <w:t xml:space="preserve">their </w:t>
      </w:r>
      <w:r w:rsidRPr="169A030C">
        <w:rPr>
          <w:rFonts w:ascii="Calibri" w:eastAsia="Calibri" w:hAnsi="Calibri" w:cs="Times New Roman"/>
          <w:color w:val="000000" w:themeColor="text1"/>
          <w:lang w:val="en-AU"/>
        </w:rPr>
        <w:t>implementation status.</w:t>
      </w:r>
      <w:r w:rsidR="006A5C1D">
        <w:rPr>
          <w:rFonts w:ascii="Calibri" w:eastAsia="Calibri" w:hAnsi="Calibri" w:cs="Times New Roman"/>
          <w:color w:val="000000" w:themeColor="text1"/>
          <w:lang w:val="en-AU"/>
        </w:rPr>
        <w:t xml:space="preserve"> Where a change between the existing Australian Standards reference and the new reference exists, prospective implementation has been chosen. Where there is no substantive change, on commencement implementation has been chosen.</w:t>
      </w:r>
    </w:p>
    <w:p w14:paraId="7761822C" w14:textId="7CA75FF5" w:rsidR="006C72DB" w:rsidRPr="006C72DB" w:rsidRDefault="006C72DB" w:rsidP="006C72DB">
      <w:pPr>
        <w:pStyle w:val="Tablefigureheading"/>
      </w:pPr>
      <w:r w:rsidRPr="00457629">
        <w:t xml:space="preserve">Table </w:t>
      </w:r>
      <w:r>
        <w:t>176</w:t>
      </w:r>
      <w:r w:rsidRPr="00457629">
        <w:t xml:space="preserve">: </w:t>
      </w:r>
      <w:r>
        <w:t>Updated Stage 1 Decision RIS Australian Standards and other references</w:t>
      </w:r>
    </w:p>
    <w:tbl>
      <w:tblPr>
        <w:tblStyle w:val="DefaultTable1"/>
        <w:tblW w:w="5000" w:type="pct"/>
        <w:tblLook w:val="0420" w:firstRow="1" w:lastRow="0" w:firstColumn="0" w:lastColumn="0" w:noHBand="0" w:noVBand="1"/>
        <w:tblCaption w:val="Table 2: Summary of stage 1 reform areas, confirmed options and implementation approach"/>
        <w:tblDescription w:val="This table lists all the reform area options confirmed in the Stage 1 Decision Regulation Impact Statement and corresponding implementation approach."/>
      </w:tblPr>
      <w:tblGrid>
        <w:gridCol w:w="6378"/>
        <w:gridCol w:w="2528"/>
      </w:tblGrid>
      <w:tr w:rsidR="006C72DB" w14:paraId="665FC124" w14:textId="77777777" w:rsidTr="08D050C4">
        <w:trPr>
          <w:cnfStyle w:val="100000000000" w:firstRow="1" w:lastRow="0" w:firstColumn="0" w:lastColumn="0" w:oddVBand="0" w:evenVBand="0" w:oddHBand="0" w:evenHBand="0" w:firstRowFirstColumn="0" w:firstRowLastColumn="0" w:lastRowFirstColumn="0" w:lastRowLastColumn="0"/>
          <w:tblHeader/>
        </w:trPr>
        <w:tc>
          <w:tcPr>
            <w:tcW w:w="3581" w:type="pct"/>
            <w:hideMark/>
          </w:tcPr>
          <w:p w14:paraId="5560B504" w14:textId="77777777" w:rsidR="006C72DB" w:rsidRDefault="006C72DB" w:rsidP="006C72DB">
            <w:r>
              <w:t>Proposed Stage 1 Decision RIS Australian Standards and other references</w:t>
            </w:r>
          </w:p>
        </w:tc>
        <w:tc>
          <w:tcPr>
            <w:tcW w:w="1419" w:type="pct"/>
          </w:tcPr>
          <w:p w14:paraId="7A0D2C0C" w14:textId="77777777" w:rsidR="006C72DB" w:rsidRDefault="006C72DB" w:rsidP="006C72DB">
            <w:r>
              <w:t xml:space="preserve">Implementation approach </w:t>
            </w:r>
          </w:p>
        </w:tc>
      </w:tr>
      <w:tr w:rsidR="006C72DB" w14:paraId="0805C9BD"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hideMark/>
          </w:tcPr>
          <w:p w14:paraId="02817ACB" w14:textId="77777777" w:rsidR="006C72DB" w:rsidRPr="00D76964" w:rsidRDefault="006C72DB" w:rsidP="006C72DB">
            <w:r w:rsidRPr="00D76964">
              <w:t>Minimum unobstructed width</w:t>
            </w:r>
          </w:p>
          <w:p w14:paraId="3C5062C3" w14:textId="4D0544BA" w:rsidR="006C72DB" w:rsidRPr="00FB57BD" w:rsidRDefault="00C15443" w:rsidP="006C72DB">
            <w:pPr>
              <w:rPr>
                <w:rFonts w:ascii="Calibri" w:eastAsia="Calibri" w:hAnsi="Calibri" w:cs="Times New Roman"/>
              </w:rPr>
            </w:pPr>
            <w:r>
              <w:t>Replace reference to AS1428.2 (1992) with text specifying dimensions</w:t>
            </w:r>
            <w:r w:rsidR="000A5CA4">
              <w:t>.</w:t>
            </w:r>
          </w:p>
        </w:tc>
        <w:tc>
          <w:tcPr>
            <w:tcW w:w="1419" w:type="pct"/>
          </w:tcPr>
          <w:p w14:paraId="72E9A257" w14:textId="77777777" w:rsidR="006C72DB" w:rsidRPr="00FB57BD" w:rsidRDefault="006C72DB" w:rsidP="006C72DB">
            <w:pPr>
              <w:rPr>
                <w:rFonts w:ascii="Calibri" w:eastAsia="Calibri" w:hAnsi="Calibri" w:cs="Times New Roman"/>
              </w:rPr>
            </w:pPr>
            <w:r w:rsidRPr="00D76964">
              <w:t>On commencement</w:t>
            </w:r>
          </w:p>
        </w:tc>
      </w:tr>
      <w:tr w:rsidR="006C72DB" w14:paraId="55D31F7C" w14:textId="77777777" w:rsidTr="08D050C4">
        <w:tc>
          <w:tcPr>
            <w:tcW w:w="3581" w:type="pct"/>
          </w:tcPr>
          <w:p w14:paraId="6118FAF3" w14:textId="77777777" w:rsidR="006C72DB" w:rsidRPr="00D76964" w:rsidRDefault="006C72DB" w:rsidP="006C72DB">
            <w:r w:rsidRPr="00D76964">
              <w:t>Circulation space for wheelchairs to turn in</w:t>
            </w:r>
          </w:p>
          <w:p w14:paraId="16602B53" w14:textId="77777777" w:rsidR="006C72DB" w:rsidRPr="00FB57BD" w:rsidRDefault="006C72DB" w:rsidP="006C72DB">
            <w:pPr>
              <w:rPr>
                <w:rFonts w:ascii="Calibri" w:eastAsia="Calibri" w:hAnsi="Calibri" w:cs="Times New Roman"/>
              </w:rPr>
            </w:pPr>
            <w:r w:rsidRPr="00D76964">
              <w:t>AS1428.1 (2021) Clause 3.5</w:t>
            </w:r>
          </w:p>
        </w:tc>
        <w:tc>
          <w:tcPr>
            <w:tcW w:w="1419" w:type="pct"/>
          </w:tcPr>
          <w:p w14:paraId="026AC9FA"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2124F953"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1F6BC39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Minimum width</w:t>
            </w:r>
          </w:p>
          <w:p w14:paraId="043A9B9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3.4</w:t>
            </w:r>
          </w:p>
        </w:tc>
        <w:tc>
          <w:tcPr>
            <w:tcW w:w="1419" w:type="pct"/>
          </w:tcPr>
          <w:p w14:paraId="5770E59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4280AB4C" w14:textId="77777777" w:rsidTr="08D050C4">
        <w:tc>
          <w:tcPr>
            <w:tcW w:w="3581" w:type="pct"/>
          </w:tcPr>
          <w:p w14:paraId="227D975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Slope of external boarding ramps</w:t>
            </w:r>
          </w:p>
          <w:p w14:paraId="47244C5C" w14:textId="6AF416A8" w:rsidR="006C72DB" w:rsidRPr="00FB57BD" w:rsidRDefault="000A5CA4" w:rsidP="006C72DB">
            <w:pPr>
              <w:rPr>
                <w:rFonts w:ascii="Calibri" w:eastAsia="Calibri" w:hAnsi="Calibri" w:cs="Times New Roman"/>
              </w:rPr>
            </w:pPr>
            <w:r>
              <w:t>Remove references to AS/NZS3856.1 (1998), AS1428.2 (1992) and AS1428.1 (2001). Retain requirements in text.</w:t>
            </w:r>
          </w:p>
        </w:tc>
        <w:tc>
          <w:tcPr>
            <w:tcW w:w="1419" w:type="pct"/>
          </w:tcPr>
          <w:p w14:paraId="56923824"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0DCCE5EC"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D3863D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International symbol of accessibility to be displayed</w:t>
            </w:r>
          </w:p>
          <w:p w14:paraId="575C0CA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1428.1 (2021). Refer to Clause 5.2.1(c).</w:t>
            </w:r>
          </w:p>
        </w:tc>
        <w:tc>
          <w:tcPr>
            <w:tcW w:w="1419" w:type="pct"/>
          </w:tcPr>
          <w:p w14:paraId="015DFD5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EDF9D72" w14:textId="77777777" w:rsidTr="08D050C4">
        <w:tc>
          <w:tcPr>
            <w:tcW w:w="3581" w:type="pct"/>
          </w:tcPr>
          <w:p w14:paraId="089D571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Abutment of surfaces</w:t>
            </w:r>
          </w:p>
          <w:p w14:paraId="1723EAB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Refer Clauses 4 and 4.2</w:t>
            </w:r>
          </w:p>
        </w:tc>
        <w:tc>
          <w:tcPr>
            <w:tcW w:w="1419" w:type="pct"/>
          </w:tcPr>
          <w:p w14:paraId="57F00AEA"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33F21B31"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3A7E5E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Slip resistance – premises and infrastructure</w:t>
            </w:r>
          </w:p>
          <w:p w14:paraId="6B2B66F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4.1 Note reference to SA HB 198 (2014) Table 3a and 3b.</w:t>
            </w:r>
          </w:p>
        </w:tc>
        <w:tc>
          <w:tcPr>
            <w:tcW w:w="1419" w:type="pct"/>
          </w:tcPr>
          <w:p w14:paraId="7B1A1DB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431F6BC8" w14:textId="77777777" w:rsidTr="08D050C4">
        <w:tc>
          <w:tcPr>
            <w:tcW w:w="3581" w:type="pct"/>
          </w:tcPr>
          <w:p w14:paraId="6A0A056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Slip resistance – conveyances</w:t>
            </w:r>
          </w:p>
          <w:p w14:paraId="1D7F5CF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Australian Design Rule 58 – Conveyances (slip and skid resistant surface requirements in conveyances)</w:t>
            </w:r>
          </w:p>
        </w:tc>
        <w:tc>
          <w:tcPr>
            <w:tcW w:w="1419" w:type="pct"/>
          </w:tcPr>
          <w:p w14:paraId="3A1E9AA5"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3B1CFEA0"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2776A83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Luminance contrast</w:t>
            </w:r>
          </w:p>
          <w:p w14:paraId="0E1FB6D9"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9 and Appendix B.</w:t>
            </w:r>
          </w:p>
          <w:p w14:paraId="71B6622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Retain stage 1 provision of additional text regarding luminance contrast and domed warning indicators.</w:t>
            </w:r>
          </w:p>
        </w:tc>
        <w:tc>
          <w:tcPr>
            <w:tcW w:w="1419" w:type="pct"/>
          </w:tcPr>
          <w:p w14:paraId="7CE011E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 xml:space="preserve">Prospective </w:t>
            </w:r>
          </w:p>
        </w:tc>
      </w:tr>
      <w:tr w:rsidR="006C72DB" w14:paraId="31E78E92" w14:textId="77777777" w:rsidTr="08D050C4">
        <w:tc>
          <w:tcPr>
            <w:tcW w:w="3581" w:type="pct"/>
          </w:tcPr>
          <w:p w14:paraId="6261234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Handrails on steps</w:t>
            </w:r>
          </w:p>
          <w:p w14:paraId="43925A5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Section 9</w:t>
            </w:r>
          </w:p>
        </w:tc>
        <w:tc>
          <w:tcPr>
            <w:tcW w:w="1419" w:type="pct"/>
          </w:tcPr>
          <w:p w14:paraId="60A1953F"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49024A22"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1B55341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lastRenderedPageBreak/>
              <w:t>Handrails above access paths</w:t>
            </w:r>
          </w:p>
          <w:p w14:paraId="2EBCCB1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9(d) and Figure 29</w:t>
            </w:r>
          </w:p>
        </w:tc>
        <w:tc>
          <w:tcPr>
            <w:tcW w:w="1419" w:type="pct"/>
          </w:tcPr>
          <w:p w14:paraId="1BC7548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4DE79C22" w14:textId="77777777" w:rsidTr="08D050C4">
        <w:tc>
          <w:tcPr>
            <w:tcW w:w="3581" w:type="pct"/>
          </w:tcPr>
          <w:p w14:paraId="77E2CFB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Grabrails</w:t>
            </w:r>
          </w:p>
          <w:p w14:paraId="5346B53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14</w:t>
            </w:r>
          </w:p>
        </w:tc>
        <w:tc>
          <w:tcPr>
            <w:tcW w:w="1419" w:type="pct"/>
          </w:tcPr>
          <w:p w14:paraId="5AA3830E"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19A6B2DB"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95D9B5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Doorways and Doors</w:t>
            </w:r>
          </w:p>
          <w:p w14:paraId="271D5464" w14:textId="7143C473"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xml:space="preserve">) Clause </w:t>
            </w:r>
            <w:r w:rsidR="000A5CA4">
              <w:rPr>
                <w:rFonts w:ascii="Calibri" w:eastAsia="Calibri" w:hAnsi="Calibri" w:cs="Times New Roman"/>
              </w:rPr>
              <w:t>13</w:t>
            </w:r>
          </w:p>
        </w:tc>
        <w:tc>
          <w:tcPr>
            <w:tcW w:w="1419" w:type="pct"/>
          </w:tcPr>
          <w:p w14:paraId="2B3B368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0F9B9B5A" w14:textId="77777777" w:rsidTr="08D050C4">
        <w:tc>
          <w:tcPr>
            <w:tcW w:w="3581" w:type="pct"/>
          </w:tcPr>
          <w:p w14:paraId="2B2833A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Weight activated doors and sensors</w:t>
            </w:r>
          </w:p>
          <w:p w14:paraId="405375EC" w14:textId="180F2CF5" w:rsidR="006C72DB" w:rsidRPr="00FB57BD" w:rsidRDefault="006C72DB" w:rsidP="006C72DB">
            <w:pPr>
              <w:rPr>
                <w:rFonts w:ascii="Calibri" w:eastAsia="Calibri" w:hAnsi="Calibri" w:cs="Times New Roman"/>
              </w:rPr>
            </w:pPr>
            <w:r w:rsidRPr="00FB57BD">
              <w:rPr>
                <w:rFonts w:ascii="Calibri" w:eastAsia="Calibri" w:hAnsi="Calibri" w:cs="Times New Roman"/>
              </w:rPr>
              <w:t>DSAPT reference to service animal to assi</w:t>
            </w:r>
            <w:r w:rsidRPr="00FB57BD">
              <w:rPr>
                <w:rFonts w:ascii="Calibri" w:eastAsia="Calibri" w:hAnsi="Calibri" w:cs="Times New Roman"/>
                <w:i/>
              </w:rPr>
              <w:t xml:space="preserve">stance animal </w:t>
            </w:r>
            <w:r w:rsidRPr="00FB57BD">
              <w:rPr>
                <w:rFonts w:ascii="Calibri" w:eastAsia="Calibri" w:hAnsi="Calibri" w:cs="Times New Roman"/>
              </w:rPr>
              <w:t>to align with th</w:t>
            </w:r>
            <w:r w:rsidR="006A1CDA">
              <w:rPr>
                <w:rFonts w:ascii="Calibri" w:eastAsia="Calibri" w:hAnsi="Calibri" w:cs="Times New Roman"/>
              </w:rPr>
              <w:t>e DDA.</w:t>
            </w:r>
          </w:p>
        </w:tc>
        <w:tc>
          <w:tcPr>
            <w:tcW w:w="1419" w:type="pct"/>
          </w:tcPr>
          <w:p w14:paraId="5CDFC529"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6E0BB160"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5FA37CE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Clear opening of doorways</w:t>
            </w:r>
          </w:p>
          <w:p w14:paraId="1DFC508A" w14:textId="5B0AF4D3"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3</w:t>
            </w:r>
            <w:r w:rsidRPr="00FB57BD">
              <w:rPr>
                <w:rFonts w:ascii="Calibri" w:eastAsia="Calibri" w:hAnsi="Calibri" w:cs="Times New Roman"/>
              </w:rPr>
              <w:t>.2</w:t>
            </w:r>
          </w:p>
        </w:tc>
        <w:tc>
          <w:tcPr>
            <w:tcW w:w="1419" w:type="pct"/>
          </w:tcPr>
          <w:p w14:paraId="73AA79B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71A0F69E" w14:textId="77777777" w:rsidTr="08D050C4">
        <w:tc>
          <w:tcPr>
            <w:tcW w:w="3581" w:type="pct"/>
          </w:tcPr>
          <w:p w14:paraId="51A098B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Stairways</w:t>
            </w:r>
          </w:p>
          <w:p w14:paraId="190EE95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Clauses 8.1 and 8.2</w:t>
            </w:r>
          </w:p>
        </w:tc>
        <w:tc>
          <w:tcPr>
            <w:tcW w:w="1419" w:type="pct"/>
          </w:tcPr>
          <w:p w14:paraId="6C1B628F"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Prospective</w:t>
            </w:r>
          </w:p>
        </w:tc>
      </w:tr>
      <w:tr w:rsidR="006C72DB" w14:paraId="5201854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721F02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Accessible unisex toilet</w:t>
            </w:r>
          </w:p>
          <w:p w14:paraId="7C07D406" w14:textId="17E38DF0"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5</w:t>
            </w:r>
          </w:p>
        </w:tc>
        <w:tc>
          <w:tcPr>
            <w:tcW w:w="1419" w:type="pct"/>
          </w:tcPr>
          <w:p w14:paraId="535DD6AD"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52FB2D56" w14:textId="77777777" w:rsidTr="08D050C4">
        <w:tc>
          <w:tcPr>
            <w:tcW w:w="3581" w:type="pct"/>
          </w:tcPr>
          <w:p w14:paraId="1F632494"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Requirements for accessible toilets</w:t>
            </w:r>
          </w:p>
          <w:p w14:paraId="397EFA30" w14:textId="02C726D7" w:rsidR="006C72DB" w:rsidRPr="00FB57BD" w:rsidRDefault="006C72DB" w:rsidP="006C72DB">
            <w:pPr>
              <w:rPr>
                <w:rFonts w:ascii="Calibri" w:eastAsia="Calibri" w:hAnsi="Calibri" w:cs="Times New Roman"/>
              </w:rPr>
            </w:pPr>
            <w:r w:rsidRPr="00FB57BD">
              <w:rPr>
                <w:rFonts w:ascii="Calibri" w:eastAsia="Calibri" w:hAnsi="Calibri" w:cs="Times New Roman"/>
              </w:rPr>
              <w:t>AS1428.1 (20</w:t>
            </w:r>
            <w:r w:rsidR="000A5CA4">
              <w:rPr>
                <w:rFonts w:ascii="Calibri" w:eastAsia="Calibri" w:hAnsi="Calibri" w:cs="Times New Roman"/>
              </w:rPr>
              <w:t>09</w:t>
            </w:r>
            <w:r w:rsidRPr="00FB57BD">
              <w:rPr>
                <w:rFonts w:ascii="Calibri" w:eastAsia="Calibri" w:hAnsi="Calibri" w:cs="Times New Roman"/>
              </w:rPr>
              <w:t>) Clause 1</w:t>
            </w:r>
            <w:r w:rsidR="000A5CA4">
              <w:rPr>
                <w:rFonts w:ascii="Calibri" w:eastAsia="Calibri" w:hAnsi="Calibri" w:cs="Times New Roman"/>
              </w:rPr>
              <w:t>5</w:t>
            </w:r>
            <w:r w:rsidRPr="00FB57BD">
              <w:rPr>
                <w:rFonts w:ascii="Calibri" w:eastAsia="Calibri" w:hAnsi="Calibri" w:cs="Times New Roman"/>
              </w:rPr>
              <w:t>.2.1</w:t>
            </w:r>
            <w:r w:rsidR="000A5CA4">
              <w:rPr>
                <w:rFonts w:ascii="Calibri" w:eastAsia="Calibri" w:hAnsi="Calibri" w:cs="Times New Roman"/>
              </w:rPr>
              <w:t>0</w:t>
            </w:r>
            <w:r w:rsidRPr="00FB57BD">
              <w:rPr>
                <w:rFonts w:ascii="Calibri" w:eastAsia="Calibri" w:hAnsi="Calibri" w:cs="Times New Roman"/>
              </w:rPr>
              <w:t xml:space="preserve"> and Figure 38.</w:t>
            </w:r>
          </w:p>
        </w:tc>
        <w:tc>
          <w:tcPr>
            <w:tcW w:w="1419" w:type="pct"/>
          </w:tcPr>
          <w:p w14:paraId="5750D4A9"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 xml:space="preserve">Prospective </w:t>
            </w:r>
          </w:p>
        </w:tc>
      </w:tr>
      <w:tr w:rsidR="006C72DB" w14:paraId="7D0AE57E"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0907233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International symbols</w:t>
            </w:r>
          </w:p>
          <w:p w14:paraId="71DDFEA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ISO 7001 (2007)</w:t>
            </w:r>
          </w:p>
        </w:tc>
        <w:tc>
          <w:tcPr>
            <w:tcW w:w="1419" w:type="pct"/>
          </w:tcPr>
          <w:p w14:paraId="6C7FC73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701F67C3" w14:textId="77777777" w:rsidTr="08D050C4">
        <w:tc>
          <w:tcPr>
            <w:tcW w:w="3581" w:type="pct"/>
          </w:tcPr>
          <w:p w14:paraId="2613027E"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Location tactile ground surface indicators</w:t>
            </w:r>
          </w:p>
          <w:p w14:paraId="42536F0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2.3.3, 2.4, 2.5 and 2.6</w:t>
            </w:r>
          </w:p>
        </w:tc>
        <w:tc>
          <w:tcPr>
            <w:tcW w:w="1419" w:type="pct"/>
          </w:tcPr>
          <w:p w14:paraId="15D6E517"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Prospective</w:t>
            </w:r>
          </w:p>
        </w:tc>
      </w:tr>
      <w:tr w:rsidR="006C72DB" w14:paraId="5CFAE6DB"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7FDC9DD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Tactile ground surface indicators</w:t>
            </w:r>
          </w:p>
          <w:p w14:paraId="4D9F766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ASNZ1428.1 (2009) Clause 2.2, 2.3.1, 2.3.2, and 3.2.1</w:t>
            </w:r>
          </w:p>
        </w:tc>
        <w:tc>
          <w:tcPr>
            <w:tcW w:w="1419" w:type="pct"/>
          </w:tcPr>
          <w:p w14:paraId="798E23A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F12DA01" w14:textId="77777777" w:rsidTr="08D050C4">
        <w:tc>
          <w:tcPr>
            <w:tcW w:w="3581" w:type="pct"/>
          </w:tcPr>
          <w:p w14:paraId="20773F1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at accessible bus boarding point</w:t>
            </w:r>
          </w:p>
          <w:p w14:paraId="19BC45E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15.2</w:t>
            </w:r>
          </w:p>
        </w:tc>
        <w:tc>
          <w:tcPr>
            <w:tcW w:w="1419" w:type="pct"/>
          </w:tcPr>
          <w:p w14:paraId="66D25BA6" w14:textId="77777777" w:rsidR="006C72DB" w:rsidRPr="00FB57BD" w:rsidRDefault="006C72DB" w:rsidP="006C72DB">
            <w:pPr>
              <w:rPr>
                <w:rFonts w:ascii="Calibri" w:eastAsia="Calibri" w:hAnsi="Calibri" w:cs="Times New Roman"/>
                <w:color w:val="auto"/>
              </w:rPr>
            </w:pPr>
            <w:r w:rsidRPr="00FB57BD">
              <w:rPr>
                <w:rFonts w:ascii="Calibri" w:eastAsia="Calibri" w:hAnsi="Calibri" w:cs="Times New Roman"/>
                <w:color w:val="auto"/>
              </w:rPr>
              <w:t>On commencement</w:t>
            </w:r>
          </w:p>
        </w:tc>
      </w:tr>
      <w:tr w:rsidR="006C72DB" w14:paraId="2015BE65"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0142250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at rail stations</w:t>
            </w:r>
          </w:p>
          <w:p w14:paraId="6192DD5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3.4</w:t>
            </w:r>
          </w:p>
        </w:tc>
        <w:tc>
          <w:tcPr>
            <w:tcW w:w="1419" w:type="pct"/>
          </w:tcPr>
          <w:p w14:paraId="5A418EF2"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2B390C89" w14:textId="77777777" w:rsidTr="08D050C4">
        <w:tc>
          <w:tcPr>
            <w:tcW w:w="3581" w:type="pct"/>
          </w:tcPr>
          <w:p w14:paraId="7D35F26B"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Instalment tactile ground surface indicators at wharves</w:t>
            </w:r>
          </w:p>
          <w:p w14:paraId="19A1E8E3"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ASNZ1428.4.1 (2009) Clause 3.5</w:t>
            </w:r>
          </w:p>
        </w:tc>
        <w:tc>
          <w:tcPr>
            <w:tcW w:w="1419" w:type="pct"/>
          </w:tcPr>
          <w:p w14:paraId="7370033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1AFB036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6A2A16F"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Controls</w:t>
            </w:r>
          </w:p>
          <w:p w14:paraId="68180BF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10.4</w:t>
            </w:r>
          </w:p>
        </w:tc>
        <w:tc>
          <w:tcPr>
            <w:tcW w:w="1419" w:type="pct"/>
          </w:tcPr>
          <w:p w14:paraId="7D90117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68C6E430" w14:textId="77777777" w:rsidTr="08D050C4">
        <w:tc>
          <w:tcPr>
            <w:tcW w:w="3581" w:type="pct"/>
          </w:tcPr>
          <w:p w14:paraId="2ABE8C5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Passenger-operated devices for opening and closing doors</w:t>
            </w:r>
          </w:p>
          <w:p w14:paraId="6B19C99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 xml:space="preserve">AS1428.1 (2021) Clause 10.4 and 11. Retain stage 1 reference to add luminance contrast requirements, to better define controls for power </w:t>
            </w:r>
            <w:r w:rsidRPr="00FB57BD">
              <w:rPr>
                <w:rFonts w:ascii="Calibri" w:eastAsia="Calibri" w:hAnsi="Calibri" w:cs="Times New Roman"/>
              </w:rPr>
              <w:lastRenderedPageBreak/>
              <w:t>operated doors and manual door opening forces, and to align with the Premises Standards</w:t>
            </w:r>
          </w:p>
        </w:tc>
        <w:tc>
          <w:tcPr>
            <w:tcW w:w="1419" w:type="pct"/>
          </w:tcPr>
          <w:p w14:paraId="5758126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lastRenderedPageBreak/>
              <w:t>On commencement</w:t>
            </w:r>
          </w:p>
        </w:tc>
      </w:tr>
      <w:tr w:rsidR="006C72DB" w14:paraId="3CE476F9"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312CFF6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Location of passenger-operated controls for opening and locking doors</w:t>
            </w:r>
          </w:p>
          <w:p w14:paraId="264FA0F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10.4.3</w:t>
            </w:r>
          </w:p>
        </w:tc>
        <w:tc>
          <w:tcPr>
            <w:tcW w:w="1419" w:type="pct"/>
          </w:tcPr>
          <w:p w14:paraId="57DFB9B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Prospective</w:t>
            </w:r>
          </w:p>
        </w:tc>
      </w:tr>
      <w:tr w:rsidR="006C72DB" w14:paraId="074A2F65" w14:textId="77777777" w:rsidTr="08D050C4">
        <w:tc>
          <w:tcPr>
            <w:tcW w:w="3581" w:type="pct"/>
          </w:tcPr>
          <w:p w14:paraId="23B511F7"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Signal devices for conveyances that stop on request</w:t>
            </w:r>
          </w:p>
          <w:p w14:paraId="747EEC98"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Clauses 10.4 and 11</w:t>
            </w:r>
          </w:p>
        </w:tc>
        <w:tc>
          <w:tcPr>
            <w:tcW w:w="1419" w:type="pct"/>
          </w:tcPr>
          <w:p w14:paraId="44478871"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57812175"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4408EF16"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Circulation space in front of vending machines</w:t>
            </w:r>
          </w:p>
          <w:p w14:paraId="25C8FE14"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AS1428.1 (2021) Clause 3.5</w:t>
            </w:r>
          </w:p>
        </w:tc>
        <w:tc>
          <w:tcPr>
            <w:tcW w:w="1419" w:type="pct"/>
          </w:tcPr>
          <w:p w14:paraId="2AC80C00"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05FF9A93" w14:textId="77777777" w:rsidTr="08D050C4">
        <w:tc>
          <w:tcPr>
            <w:tcW w:w="3581" w:type="pct"/>
          </w:tcPr>
          <w:p w14:paraId="0FED6DF5" w14:textId="77777777" w:rsidR="006C72DB" w:rsidRPr="00FB57BD" w:rsidRDefault="08D050C4" w:rsidP="08D050C4">
            <w:pPr>
              <w:rPr>
                <w:rFonts w:ascii="Calibri" w:eastAsia="Calibri" w:hAnsi="Calibri" w:cs="Times New Roman"/>
              </w:rPr>
            </w:pPr>
            <w:r w:rsidRPr="08D050C4">
              <w:rPr>
                <w:rFonts w:ascii="Calibri" w:eastAsia="Calibri" w:hAnsi="Calibri" w:cs="Times New Roman"/>
              </w:rPr>
              <w:t>Location of carers, assistants and service animals</w:t>
            </w:r>
          </w:p>
          <w:p w14:paraId="70E309A5" w14:textId="2E8DC38A" w:rsidR="006C72DB" w:rsidRPr="00FB57BD" w:rsidRDefault="006C72DB" w:rsidP="006C72DB">
            <w:pPr>
              <w:rPr>
                <w:rFonts w:ascii="Calibri" w:eastAsia="Calibri" w:hAnsi="Calibri" w:cs="Times New Roman"/>
              </w:rPr>
            </w:pPr>
            <w:r w:rsidRPr="00FB57BD">
              <w:rPr>
                <w:rFonts w:ascii="Calibri" w:eastAsia="Calibri" w:hAnsi="Calibri" w:cs="Times New Roman"/>
              </w:rPr>
              <w:t>DSAPT reference to service animal changed to assistance animal to align with th</w:t>
            </w:r>
            <w:r w:rsidR="006A1CDA">
              <w:rPr>
                <w:rFonts w:ascii="Calibri" w:eastAsia="Calibri" w:hAnsi="Calibri" w:cs="Times New Roman"/>
              </w:rPr>
              <w:t>e DDA</w:t>
            </w:r>
          </w:p>
        </w:tc>
        <w:tc>
          <w:tcPr>
            <w:tcW w:w="1419" w:type="pct"/>
          </w:tcPr>
          <w:p w14:paraId="50F5EFDC"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r w:rsidR="006C72DB" w14:paraId="1DC1DCB7" w14:textId="77777777" w:rsidTr="08D050C4">
        <w:trPr>
          <w:cnfStyle w:val="000000100000" w:firstRow="0" w:lastRow="0" w:firstColumn="0" w:lastColumn="0" w:oddVBand="0" w:evenVBand="0" w:oddHBand="1" w:evenHBand="0" w:firstRowFirstColumn="0" w:firstRowLastColumn="0" w:lastRowFirstColumn="0" w:lastRowLastColumn="0"/>
        </w:trPr>
        <w:tc>
          <w:tcPr>
            <w:tcW w:w="3581" w:type="pct"/>
          </w:tcPr>
          <w:p w14:paraId="39D9B01A"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Information to be provided about vacating priority seating</w:t>
            </w:r>
          </w:p>
          <w:p w14:paraId="6F459FD9" w14:textId="2E7AEBDF" w:rsidR="006C72DB" w:rsidRPr="00FB57BD" w:rsidRDefault="006C72DB" w:rsidP="006C72DB">
            <w:pPr>
              <w:rPr>
                <w:rFonts w:ascii="Calibri" w:eastAsia="Calibri" w:hAnsi="Calibri" w:cs="Times New Roman"/>
              </w:rPr>
            </w:pPr>
            <w:r w:rsidRPr="00FB57BD">
              <w:rPr>
                <w:rFonts w:ascii="Calibri" w:eastAsia="Calibri" w:hAnsi="Calibri" w:cs="Times New Roman"/>
              </w:rPr>
              <w:t>Amend heading to include allocated spaces to better clarify the intent of the text in th</w:t>
            </w:r>
            <w:r w:rsidR="006A1CDA">
              <w:rPr>
                <w:rFonts w:ascii="Calibri" w:eastAsia="Calibri" w:hAnsi="Calibri" w:cs="Times New Roman"/>
              </w:rPr>
              <w:t>e DDA</w:t>
            </w:r>
          </w:p>
        </w:tc>
        <w:tc>
          <w:tcPr>
            <w:tcW w:w="1419" w:type="pct"/>
          </w:tcPr>
          <w:p w14:paraId="5D122FD5" w14:textId="77777777" w:rsidR="006C72DB" w:rsidRPr="00FB57BD" w:rsidRDefault="006C72DB" w:rsidP="006C72DB">
            <w:pPr>
              <w:rPr>
                <w:rFonts w:ascii="Calibri" w:eastAsia="Calibri" w:hAnsi="Calibri" w:cs="Times New Roman"/>
              </w:rPr>
            </w:pPr>
            <w:r w:rsidRPr="00FB57BD">
              <w:rPr>
                <w:rFonts w:ascii="Calibri" w:eastAsia="Calibri" w:hAnsi="Calibri" w:cs="Times New Roman"/>
              </w:rPr>
              <w:t>On commencement</w:t>
            </w:r>
          </w:p>
        </w:tc>
      </w:tr>
    </w:tbl>
    <w:p w14:paraId="452B344A" w14:textId="77777777" w:rsidR="006C72DB" w:rsidRPr="00AD25E7" w:rsidRDefault="006C72DB" w:rsidP="00AD25E7">
      <w:pPr>
        <w:rPr>
          <w:rFonts w:ascii="Calibri" w:eastAsia="Calibri" w:hAnsi="Calibri" w:cs="Times New Roman"/>
          <w:color w:val="000000"/>
          <w:lang w:val="en-AU"/>
        </w:rPr>
      </w:pPr>
    </w:p>
    <w:p w14:paraId="7A4642AD" w14:textId="77777777" w:rsidR="00F022F6" w:rsidRDefault="00F022F6">
      <w:pPr>
        <w:spacing w:line="259" w:lineRule="auto"/>
        <w:rPr>
          <w:rFonts w:ascii="Calibri" w:eastAsia="Calibri" w:hAnsi="Calibri" w:cs="Calibri"/>
          <w:b/>
          <w:color w:val="595959"/>
          <w:kern w:val="12"/>
          <w:sz w:val="32"/>
          <w:szCs w:val="32"/>
        </w:rPr>
      </w:pPr>
      <w:r>
        <w:br w:type="page"/>
      </w:r>
    </w:p>
    <w:p w14:paraId="2511CA37" w14:textId="293EF916" w:rsidR="00457629" w:rsidRPr="00BC71D1" w:rsidRDefault="00457629" w:rsidP="00666DE9">
      <w:pPr>
        <w:pStyle w:val="Heading2"/>
        <w:numPr>
          <w:ilvl w:val="0"/>
          <w:numId w:val="30"/>
        </w:numPr>
        <w:ind w:hanging="720"/>
      </w:pPr>
      <w:bookmarkStart w:id="803" w:name="_Toc140239790"/>
      <w:r w:rsidRPr="00BC71D1">
        <w:lastRenderedPageBreak/>
        <w:t>Evaluation</w:t>
      </w:r>
      <w:bookmarkEnd w:id="802"/>
      <w:bookmarkEnd w:id="803"/>
    </w:p>
    <w:p w14:paraId="368776D3" w14:textId="77777777" w:rsidR="00457629" w:rsidRPr="00457629"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The preferred options will be evaluated following implementation to test their effectiveness, efficiency, and ongoing relevance. The five-yearly statutory review will be the mechanism used for the evaluation. Section 34 of the Transport Standards requires the requires the Minister administering the </w:t>
      </w:r>
      <w:r w:rsidRPr="169A030C">
        <w:rPr>
          <w:rFonts w:ascii="Calibri" w:eastAsia="Calibri" w:hAnsi="Calibri" w:cs="Times New Roman"/>
          <w:i/>
          <w:color w:val="000000" w:themeColor="text1"/>
          <w:lang w:val="en-AU"/>
        </w:rPr>
        <w:t>National Land Transport Act 2014</w:t>
      </w:r>
      <w:r w:rsidRPr="169A030C">
        <w:rPr>
          <w:rFonts w:ascii="Calibri" w:eastAsia="Calibri" w:hAnsi="Calibri" w:cs="Times New Roman"/>
          <w:color w:val="000000" w:themeColor="text1"/>
          <w:lang w:val="en-AU"/>
        </w:rPr>
        <w:t>, in consultation with the Attorney-General, to review the efficiency and effectiveness of the Transport Standards every five years. Reviews must include:</w:t>
      </w:r>
    </w:p>
    <w:p w14:paraId="05E64423" w14:textId="77777777" w:rsidR="00BC71D1" w:rsidRDefault="00457629" w:rsidP="00BC71D1">
      <w:pPr>
        <w:pStyle w:val="Listparagraphbullets"/>
        <w:spacing w:after="0"/>
      </w:pPr>
      <w:r w:rsidRPr="00BC71D1">
        <w:t>whether discrimination has been removed as far as possible, according to the requirements for</w:t>
      </w:r>
      <w:r w:rsidR="00BC71D1" w:rsidRPr="00BC71D1">
        <w:t xml:space="preserve"> </w:t>
      </w:r>
      <w:r w:rsidRPr="00BC71D1">
        <w:t>compliance set out in Schedule 1 (Target dates for compliance)</w:t>
      </w:r>
    </w:p>
    <w:p w14:paraId="6DD0B121" w14:textId="77777777" w:rsidR="00457629" w:rsidRPr="00BC71D1" w:rsidRDefault="00457629" w:rsidP="00BC71D1">
      <w:pPr>
        <w:pStyle w:val="Listparagraphbullets"/>
        <w:spacing w:after="0"/>
      </w:pPr>
      <w:r w:rsidRPr="169A030C">
        <w:rPr>
          <w:rFonts w:eastAsia="Calibri" w:cs="Times New Roman"/>
          <w:color w:val="000000" w:themeColor="text1"/>
        </w:rPr>
        <w:t>any necessary amendments to the Transport Standards.</w:t>
      </w:r>
    </w:p>
    <w:p w14:paraId="7A282496" w14:textId="6EE777EF" w:rsidR="006F3CEC" w:rsidRDefault="00457629" w:rsidP="00457629">
      <w:pPr>
        <w:suppressAutoHyphens/>
        <w:spacing w:before="160" w:after="80"/>
        <w:rPr>
          <w:rFonts w:ascii="Calibri" w:eastAsia="Calibri" w:hAnsi="Calibri" w:cs="Times New Roman"/>
          <w:color w:val="000000" w:themeColor="text1"/>
          <w:lang w:val="en-AU"/>
        </w:rPr>
      </w:pPr>
      <w:r w:rsidRPr="169A030C">
        <w:rPr>
          <w:rFonts w:ascii="Calibri" w:eastAsia="Calibri" w:hAnsi="Calibri" w:cs="Times New Roman"/>
          <w:color w:val="000000" w:themeColor="text1"/>
          <w:lang w:val="en-AU"/>
        </w:rPr>
        <w:t xml:space="preserve">Utilising an existing mechanism for the evaluation of the preferred options will reduce the consultation burden on people with disability and operators and providers. Even though the statutory review requirement is focused on the regulatory requirements of the Transport Standards, review of The Whole Journey Guide will be incorporated into the review process to capture evaluation of </w:t>
      </w:r>
      <w:r w:rsidR="169A030C" w:rsidRPr="169A030C">
        <w:rPr>
          <w:rFonts w:ascii="Calibri" w:eastAsia="Calibri" w:hAnsi="Calibri" w:cs="Times New Roman"/>
          <w:color w:val="000000" w:themeColor="text1"/>
          <w:lang w:val="en-AU"/>
        </w:rPr>
        <w:t>non</w:t>
      </w:r>
      <w:r w:rsidR="00FD6292">
        <w:rPr>
          <w:rFonts w:ascii="Calibri" w:eastAsia="Calibri" w:hAnsi="Calibri" w:cs="Times New Roman"/>
          <w:color w:val="000000" w:themeColor="text1"/>
          <w:lang w:val="en-AU"/>
        </w:rPr>
        <w:t>-</w:t>
      </w:r>
      <w:r w:rsidR="169A030C" w:rsidRPr="169A030C">
        <w:rPr>
          <w:rFonts w:ascii="Calibri" w:eastAsia="Calibri" w:hAnsi="Calibri" w:cs="Times New Roman"/>
          <w:color w:val="000000" w:themeColor="text1"/>
          <w:lang w:val="en-AU"/>
        </w:rPr>
        <w:t>regulatory</w:t>
      </w:r>
      <w:r w:rsidRPr="169A030C">
        <w:rPr>
          <w:rFonts w:ascii="Calibri" w:eastAsia="Calibri" w:hAnsi="Calibri" w:cs="Times New Roman"/>
          <w:color w:val="000000" w:themeColor="text1"/>
          <w:lang w:val="en-AU"/>
        </w:rPr>
        <w:t xml:space="preserve"> preferred options.</w:t>
      </w:r>
      <w:bookmarkEnd w:id="710"/>
    </w:p>
    <w:p w14:paraId="527DA9C5" w14:textId="76897EFE" w:rsidR="00600B26" w:rsidRDefault="00F022F6" w:rsidP="00F022F6">
      <w:pPr>
        <w:spacing w:line="259" w:lineRule="auto"/>
        <w:sectPr w:rsidR="00600B26" w:rsidSect="00094004">
          <w:headerReference w:type="default" r:id="rId31"/>
          <w:endnotePr>
            <w:numFmt w:val="decimal"/>
          </w:endnotePr>
          <w:pgSz w:w="11906" w:h="16838"/>
          <w:pgMar w:top="1440" w:right="1440" w:bottom="1440" w:left="1560" w:header="708" w:footer="0" w:gutter="0"/>
          <w:cols w:space="708"/>
          <w:docGrid w:linePitch="360"/>
        </w:sectPr>
      </w:pPr>
      <w:r w:rsidRPr="007D162C">
        <w:t>The first statutory review that will occur after the preferred options are implemented is scheduled to commence in late 2027. This will allow people with disability and operators and providers to have a few years of experience with those preferred options that have been implemented at that time post implementation. The regular 5-yearly review cycle will allow other reforms to be progressively evaluated as they are implemented</w:t>
      </w:r>
    </w:p>
    <w:p w14:paraId="19031562" w14:textId="197377CD" w:rsidR="00094004" w:rsidRPr="00D163AC" w:rsidRDefault="00094004" w:rsidP="00600B26">
      <w:pPr>
        <w:pStyle w:val="Heading2"/>
      </w:pPr>
      <w:bookmarkStart w:id="804" w:name="_Toc127351817"/>
      <w:bookmarkStart w:id="805" w:name="_Toc140239791"/>
      <w:r w:rsidRPr="00D163AC">
        <w:lastRenderedPageBreak/>
        <w:t>Appendix A—Detailed reform options</w:t>
      </w:r>
      <w:bookmarkEnd w:id="804"/>
      <w:bookmarkEnd w:id="805"/>
    </w:p>
    <w:p w14:paraId="26581649" w14:textId="77777777" w:rsidR="00094004" w:rsidRDefault="00094004" w:rsidP="00094004">
      <w:r>
        <w:t xml:space="preserve">The reform options listed in this appendix are as seen in the Stage 2 Consultation RIS. In some cases, the options have been refined in this Decision Regulation Impact Statement following feedback received in consultation. </w:t>
      </w:r>
    </w:p>
    <w:p w14:paraId="07B50803" w14:textId="24B8E8E0" w:rsidR="00094004" w:rsidRDefault="00094004" w:rsidP="006F65FB">
      <w:pPr>
        <w:pStyle w:val="Heading3"/>
        <w:numPr>
          <w:ilvl w:val="0"/>
          <w:numId w:val="66"/>
        </w:numPr>
        <w:ind w:left="567" w:hanging="567"/>
      </w:pPr>
      <w:bookmarkStart w:id="806" w:name="_Toc127351819"/>
      <w:bookmarkStart w:id="807" w:name="_Toc130914497"/>
      <w:bookmarkStart w:id="808" w:name="_Toc140239792"/>
      <w:r>
        <w:t>Reporting</w:t>
      </w:r>
      <w:bookmarkEnd w:id="806"/>
      <w:bookmarkEnd w:id="807"/>
      <w:bookmarkEnd w:id="808"/>
    </w:p>
    <w:p w14:paraId="47011143" w14:textId="77777777" w:rsidR="00094004" w:rsidRDefault="00094004" w:rsidP="00094004">
      <w:pPr>
        <w:pStyle w:val="Heading4"/>
      </w:pPr>
      <w:r>
        <w:t>Status quo</w:t>
      </w:r>
    </w:p>
    <w:p w14:paraId="0F001DB2" w14:textId="77777777" w:rsidR="00094004" w:rsidRDefault="00094004" w:rsidP="00094004">
      <w:r>
        <w:t>No changes would be made. There would continue to be no provisions or guidance for reporting compliance with the Transport Standards.</w:t>
      </w:r>
    </w:p>
    <w:p w14:paraId="127FEDCA" w14:textId="77777777" w:rsidR="00094004" w:rsidRDefault="00094004" w:rsidP="00094004">
      <w:pPr>
        <w:pStyle w:val="Heading4"/>
      </w:pPr>
      <w:r>
        <w:t>Non-regulatory: Self-reporting against compliance plans</w:t>
      </w:r>
    </w:p>
    <w:p w14:paraId="50D213BB" w14:textId="77777777" w:rsidR="00094004" w:rsidRPr="00D75023" w:rsidRDefault="00094004" w:rsidP="00094004">
      <w:pPr>
        <w:keepNext/>
      </w:pPr>
      <w:r w:rsidRPr="00D75023">
        <w:t>The Australian Government would, through guidance, encourage operators and providers to:</w:t>
      </w:r>
    </w:p>
    <w:p w14:paraId="264BD35D" w14:textId="77777777" w:rsidR="00094004" w:rsidRPr="00D75023" w:rsidRDefault="00094004" w:rsidP="00F934C4">
      <w:pPr>
        <w:pStyle w:val="Listparagraphbullets"/>
      </w:pPr>
      <w:r w:rsidRPr="00D75023">
        <w:t>publish plans on compliance with the Transport Standards and</w:t>
      </w:r>
    </w:p>
    <w:p w14:paraId="45F855E0" w14:textId="77777777" w:rsidR="00094004" w:rsidRPr="00D75023" w:rsidRDefault="00094004" w:rsidP="00F934C4">
      <w:pPr>
        <w:pStyle w:val="Listparagraphbullets"/>
      </w:pPr>
      <w:r w:rsidRPr="00D75023">
        <w:t>publish progress reports based on their compliance against these plans.</w:t>
      </w:r>
    </w:p>
    <w:p w14:paraId="630349F7" w14:textId="77777777" w:rsidR="00094004" w:rsidRDefault="00094004" w:rsidP="00094004">
      <w:r w:rsidRPr="00097442">
        <w:t>Compliance plans would outline compliance data for new or upgraded assets, set out target dates for when existing non-compliant assets will reach compliance and provide strategies for how operators and providers will achieve this. Compliance plans should also establish feedback processes and reports to enable the public to provide input on the compliance plans.</w:t>
      </w:r>
    </w:p>
    <w:p w14:paraId="10396F89" w14:textId="77777777" w:rsidR="00094004" w:rsidRDefault="00094004" w:rsidP="00094004">
      <w:r w:rsidRPr="00097442">
        <w:t xml:space="preserve">Progress reports </w:t>
      </w:r>
      <w:r>
        <w:t xml:space="preserve">should </w:t>
      </w:r>
      <w:r w:rsidRPr="00097442">
        <w:t>be published at regular intervals between the publication of compliance plans, to update the public on how operators and providers have progressed towards meeting the compliance plan targets.</w:t>
      </w:r>
    </w:p>
    <w:p w14:paraId="06789657" w14:textId="77777777" w:rsidR="00094004" w:rsidRPr="00097442" w:rsidRDefault="00094004" w:rsidP="00094004">
      <w:r w:rsidRPr="00097442">
        <w:t>To do this, the Australian Government would develop guidance for what data and information should be included in the compliance plans and progress reports, and what format compliance plans and progress reports should be published in. Guidance would be developed in consultation with state and territory governments, operators and providers and the disability community.</w:t>
      </w:r>
    </w:p>
    <w:p w14:paraId="5B2C4A97" w14:textId="77777777" w:rsidR="00094004" w:rsidRPr="00D75023" w:rsidRDefault="00094004" w:rsidP="00094004">
      <w:pPr>
        <w:keepNext/>
        <w:spacing w:after="120"/>
      </w:pPr>
      <w:r w:rsidRPr="00D75023">
        <w:t>Components of this guidance may include:</w:t>
      </w:r>
    </w:p>
    <w:p w14:paraId="4D366B88" w14:textId="77777777" w:rsidR="00094004" w:rsidRPr="00D75023" w:rsidRDefault="00094004" w:rsidP="00F934C4">
      <w:pPr>
        <w:pStyle w:val="Listparagraphbullets"/>
      </w:pPr>
      <w:r w:rsidRPr="00D75023">
        <w:t>consistent definition of terms</w:t>
      </w:r>
    </w:p>
    <w:p w14:paraId="3BC810BB" w14:textId="77777777" w:rsidR="00094004" w:rsidRPr="00D75023" w:rsidRDefault="00094004" w:rsidP="00F934C4">
      <w:pPr>
        <w:pStyle w:val="Listparagraphbullets"/>
      </w:pPr>
      <w:r w:rsidRPr="00D75023">
        <w:t>frequency of renewing compliance plans and providing compliance reports</w:t>
      </w:r>
    </w:p>
    <w:p w14:paraId="0536A4FD" w14:textId="77777777" w:rsidR="00094004" w:rsidRPr="00D75023" w:rsidRDefault="00094004" w:rsidP="00F934C4">
      <w:pPr>
        <w:pStyle w:val="Listparagraphbullets"/>
      </w:pPr>
      <w:r w:rsidRPr="00D75023">
        <w:t>templates to support national consistency in reporting</w:t>
      </w:r>
    </w:p>
    <w:p w14:paraId="1C64233A" w14:textId="77777777" w:rsidR="00094004" w:rsidRPr="00D75023" w:rsidRDefault="00094004" w:rsidP="00F934C4">
      <w:pPr>
        <w:pStyle w:val="Listparagraphbullets"/>
      </w:pPr>
      <w:r w:rsidRPr="00D75023">
        <w:t>guidance on how compliance plans and reporting could be published, ensuring they meet accessibility requirements</w:t>
      </w:r>
    </w:p>
    <w:p w14:paraId="48A82D14" w14:textId="77777777" w:rsidR="00094004" w:rsidRPr="00D75023" w:rsidRDefault="00094004" w:rsidP="00F934C4">
      <w:pPr>
        <w:pStyle w:val="Listparagraphbullets"/>
      </w:pPr>
      <w:r w:rsidRPr="00D75023">
        <w:t>how data will be used.</w:t>
      </w:r>
    </w:p>
    <w:p w14:paraId="76D63D44" w14:textId="77777777" w:rsidR="00094004" w:rsidRPr="00097442" w:rsidRDefault="00094004" w:rsidP="00094004">
      <w:r w:rsidRPr="00097442">
        <w:t xml:space="preserve">The guidance would allow for scalability, recognising that public transport operators and providers have different </w:t>
      </w:r>
      <w:r>
        <w:t>capacity</w:t>
      </w:r>
      <w:r w:rsidRPr="00097442">
        <w:t xml:space="preserve"> to develop and implement compliance plans and progress reports.</w:t>
      </w:r>
    </w:p>
    <w:p w14:paraId="13F95437" w14:textId="77777777" w:rsidR="00094004" w:rsidRPr="00B73183" w:rsidRDefault="00094004" w:rsidP="00094004">
      <w:r w:rsidRPr="00097442">
        <w:t>The Australian Government may provide a central repository of published compliance plans and progress reports.</w:t>
      </w:r>
    </w:p>
    <w:p w14:paraId="5F2074DB" w14:textId="77777777" w:rsidR="00094004" w:rsidRDefault="00094004" w:rsidP="00094004">
      <w:pPr>
        <w:pStyle w:val="Heading4"/>
      </w:pPr>
      <w:r>
        <w:t>Regulatory: mandatory reporting on assets</w:t>
      </w:r>
    </w:p>
    <w:p w14:paraId="7B2FDC35" w14:textId="77777777" w:rsidR="00094004" w:rsidRPr="00D75023" w:rsidRDefault="00094004" w:rsidP="00094004">
      <w:pPr>
        <w:spacing w:after="120"/>
      </w:pPr>
      <w:r w:rsidRPr="00D75023">
        <w:t>The Australian Government would work with state and territory governments, operators and providers and the disability community to:</w:t>
      </w:r>
    </w:p>
    <w:p w14:paraId="761FD79C" w14:textId="77777777" w:rsidR="00094004" w:rsidRPr="00D75023" w:rsidRDefault="00094004" w:rsidP="00F934C4">
      <w:pPr>
        <w:pStyle w:val="Listparagraphbullets"/>
      </w:pPr>
      <w:r w:rsidRPr="00D75023">
        <w:t>develop a national compliance reporting framework (the framework) and</w:t>
      </w:r>
    </w:p>
    <w:p w14:paraId="3E9F6D57" w14:textId="77777777" w:rsidR="00094004" w:rsidRPr="00D75023" w:rsidRDefault="00094004" w:rsidP="00F934C4">
      <w:pPr>
        <w:pStyle w:val="Listparagraphbullets"/>
      </w:pPr>
      <w:r w:rsidRPr="00D75023">
        <w:lastRenderedPageBreak/>
        <w:t>establish a database to receive and store compliance data for all public transport assets.</w:t>
      </w:r>
    </w:p>
    <w:p w14:paraId="05326B37" w14:textId="77777777" w:rsidR="00094004" w:rsidRPr="00D75023" w:rsidRDefault="00094004" w:rsidP="00094004">
      <w:pPr>
        <w:spacing w:after="120"/>
      </w:pPr>
      <w:r w:rsidRPr="00D75023">
        <w:t>The framework could include information on, but not be limited to:</w:t>
      </w:r>
    </w:p>
    <w:p w14:paraId="7A47D0D4" w14:textId="77777777" w:rsidR="00094004" w:rsidRPr="00D75023" w:rsidRDefault="00094004" w:rsidP="00F934C4">
      <w:pPr>
        <w:pStyle w:val="Listparagraphbullets"/>
      </w:pPr>
      <w:r w:rsidRPr="00D75023">
        <w:t>the purpose and methodology of data collection</w:t>
      </w:r>
    </w:p>
    <w:p w14:paraId="30234988" w14:textId="77777777" w:rsidR="00094004" w:rsidRPr="00D75023" w:rsidRDefault="00094004" w:rsidP="00F934C4">
      <w:pPr>
        <w:pStyle w:val="Listparagraphbullets"/>
      </w:pPr>
      <w:r w:rsidRPr="00D75023">
        <w:t>responsibilities for data collection and collation, incorporating scalability considerations of responsible reporting entities</w:t>
      </w:r>
    </w:p>
    <w:p w14:paraId="54C8AB44" w14:textId="77777777" w:rsidR="00094004" w:rsidRPr="00D75023" w:rsidRDefault="00094004" w:rsidP="00F934C4">
      <w:pPr>
        <w:pStyle w:val="Listparagraphbullets"/>
      </w:pPr>
      <w:r w:rsidRPr="00D75023">
        <w:t>responsibilities for data storage and dissemination (if required)</w:t>
      </w:r>
    </w:p>
    <w:p w14:paraId="315F26C5" w14:textId="77777777" w:rsidR="00094004" w:rsidRPr="00D75023" w:rsidRDefault="00094004" w:rsidP="00F934C4">
      <w:pPr>
        <w:pStyle w:val="Listparagraphbullets"/>
      </w:pPr>
      <w:r w:rsidRPr="00D75023">
        <w:t>how data will be stored and used, including the potential publication of data</w:t>
      </w:r>
    </w:p>
    <w:p w14:paraId="2A5F2FF4" w14:textId="77777777" w:rsidR="00094004" w:rsidRPr="00D75023" w:rsidRDefault="00094004" w:rsidP="00F934C4">
      <w:pPr>
        <w:pStyle w:val="Listparagraphbullets"/>
      </w:pPr>
      <w:r w:rsidRPr="00D75023">
        <w:t>the scope of aspects / elements of the Transport Standards to be measured</w:t>
      </w:r>
    </w:p>
    <w:p w14:paraId="20BF7C0F" w14:textId="77777777" w:rsidR="00094004" w:rsidRPr="00D75023" w:rsidRDefault="00094004" w:rsidP="00F934C4">
      <w:pPr>
        <w:pStyle w:val="Listparagraphbullets"/>
      </w:pPr>
      <w:r w:rsidRPr="00D75023">
        <w:t>consistent definitions of terms</w:t>
      </w:r>
    </w:p>
    <w:p w14:paraId="6D070BCF" w14:textId="77777777" w:rsidR="00094004" w:rsidRPr="00D75023" w:rsidRDefault="00094004" w:rsidP="00F934C4">
      <w:pPr>
        <w:pStyle w:val="Listparagraphbullets"/>
      </w:pPr>
      <w:r w:rsidRPr="00D75023">
        <w:t>frequency of reporting</w:t>
      </w:r>
    </w:p>
    <w:p w14:paraId="425D0587" w14:textId="77777777" w:rsidR="00094004" w:rsidRPr="00D75023" w:rsidRDefault="00094004" w:rsidP="00F934C4">
      <w:pPr>
        <w:pStyle w:val="Listparagraphbullets"/>
      </w:pPr>
      <w:r w:rsidRPr="00D75023">
        <w:t>guidance on how to achieve consistent and / or comparable data</w:t>
      </w:r>
    </w:p>
    <w:p w14:paraId="05A9D34E" w14:textId="77777777" w:rsidR="00094004" w:rsidRPr="00D75023" w:rsidRDefault="00094004" w:rsidP="00F934C4">
      <w:pPr>
        <w:pStyle w:val="Listparagraphbullets"/>
      </w:pPr>
      <w:r w:rsidRPr="00D75023">
        <w:t>guidance on how to use the framework.</w:t>
      </w:r>
    </w:p>
    <w:p w14:paraId="5F1C00D8" w14:textId="77777777" w:rsidR="00094004" w:rsidRPr="00D75023" w:rsidRDefault="00094004" w:rsidP="00094004">
      <w:pPr>
        <w:keepNext/>
        <w:spacing w:after="120"/>
      </w:pPr>
      <w:r w:rsidRPr="00D75023">
        <w:t>The framework would require operators and providers to:</w:t>
      </w:r>
    </w:p>
    <w:p w14:paraId="5059506F" w14:textId="77777777" w:rsidR="00094004" w:rsidRPr="00D75023" w:rsidRDefault="00094004" w:rsidP="00F934C4">
      <w:pPr>
        <w:pStyle w:val="Listparagraphbullets"/>
      </w:pPr>
      <w:r w:rsidRPr="00D75023">
        <w:t>report identification information for an asset and whether it is compliant with the prescriptive standards or not</w:t>
      </w:r>
    </w:p>
    <w:p w14:paraId="0D6F96BB" w14:textId="77777777" w:rsidR="00094004" w:rsidRPr="00D75023" w:rsidRDefault="00094004" w:rsidP="00F934C4">
      <w:pPr>
        <w:pStyle w:val="Listparagraphbullets"/>
      </w:pPr>
      <w:r w:rsidRPr="00D75023">
        <w:t>report any cases where the assets do not meet the select prescriptive standards in the Transport Standards, and how the asset meets the requirements of the Transport Standards through unjustifiable hardship, direct assistance or equivalent access.</w:t>
      </w:r>
    </w:p>
    <w:p w14:paraId="0CF646B3" w14:textId="77777777" w:rsidR="00094004" w:rsidRPr="00D75023" w:rsidRDefault="00094004" w:rsidP="00094004">
      <w:r w:rsidRPr="00D75023">
        <w:t>The Australian Government would work with state and territory governments and operators and providers to incrementally expand the scope of the reporting regulations, with the aim to eventually cover all standards and to improve the quality of data being reported.</w:t>
      </w:r>
    </w:p>
    <w:p w14:paraId="5F02EE6F" w14:textId="77777777" w:rsidR="00094004" w:rsidRPr="00D75023" w:rsidRDefault="00094004" w:rsidP="00094004">
      <w:r w:rsidRPr="00D75023">
        <w:t>To assist with the development of the framework there are three proposed regulatory approaches for determining the scope of which assets would be reported on under the framework.</w:t>
      </w:r>
    </w:p>
    <w:p w14:paraId="0E81F504" w14:textId="77777777" w:rsidR="00094004" w:rsidRPr="00295B1B" w:rsidRDefault="00094004" w:rsidP="00094004">
      <w:pPr>
        <w:pStyle w:val="Heading6"/>
      </w:pPr>
      <w:r w:rsidRPr="00295B1B">
        <w:t>Option 1 Report compliance on new or substantially refurbished or upgraded assets only</w:t>
      </w:r>
    </w:p>
    <w:p w14:paraId="2AA14204" w14:textId="77777777" w:rsidR="00094004" w:rsidRDefault="00094004" w:rsidP="00094004">
      <w:r w:rsidRPr="00097442">
        <w:t xml:space="preserve">Report data </w:t>
      </w:r>
      <w:r w:rsidRPr="00097442">
        <w:rPr>
          <w:b/>
        </w:rPr>
        <w:t>for all new or substantially refurbished / upgraded conveyances, infrastructure and premises</w:t>
      </w:r>
      <w:r w:rsidRPr="00097442">
        <w:t xml:space="preserve"> (except premises to which the Premises Standards apply)</w:t>
      </w:r>
      <w:r>
        <w:t xml:space="preserve"> that are brought into use for public transport service in line with Transport Standards section 32.1 Effect and application of these Standards.</w:t>
      </w:r>
    </w:p>
    <w:p w14:paraId="076E69B3" w14:textId="77777777" w:rsidR="00094004" w:rsidRDefault="00094004" w:rsidP="00094004">
      <w:r w:rsidRPr="00B64CF3">
        <w:t xml:space="preserve">Operators and providers would only need to report on assets that meet the circumstances set out in </w:t>
      </w:r>
      <w:r>
        <w:t>Transport Standards s</w:t>
      </w:r>
      <w:r w:rsidRPr="00B64CF3">
        <w:t>ection 32.1</w:t>
      </w:r>
      <w:r>
        <w:t xml:space="preserve"> </w:t>
      </w:r>
      <w:r w:rsidRPr="000204B8">
        <w:t>Effect and application of these Standards</w:t>
      </w:r>
      <w:r w:rsidRPr="00806003">
        <w:t xml:space="preserve">. That is, </w:t>
      </w:r>
      <w:r w:rsidRPr="00A86E0A">
        <w:t xml:space="preserve">where </w:t>
      </w:r>
      <w:r w:rsidRPr="00FE69EE">
        <w:t xml:space="preserve">an asset </w:t>
      </w:r>
      <w:r w:rsidRPr="00EC5D37">
        <w:t>meets one of</w:t>
      </w:r>
      <w:r>
        <w:t xml:space="preserve"> the conditions in s</w:t>
      </w:r>
      <w:r w:rsidRPr="00C53FC4">
        <w:t xml:space="preserve">ection 32.1, </w:t>
      </w:r>
      <w:r w:rsidRPr="00277D87">
        <w:t xml:space="preserve">operators and providers will be </w:t>
      </w:r>
      <w:r w:rsidRPr="00B64CF3">
        <w:t xml:space="preserve">required to report compliance of the asset against the </w:t>
      </w:r>
      <w:r>
        <w:t>Transport Standards</w:t>
      </w:r>
      <w:r w:rsidRPr="00B64CF3">
        <w:t>.</w:t>
      </w:r>
    </w:p>
    <w:p w14:paraId="31D9AE20" w14:textId="77777777" w:rsidR="00094004" w:rsidRPr="00097442" w:rsidRDefault="00094004" w:rsidP="00094004">
      <w:pPr>
        <w:ind w:left="1134" w:hanging="567"/>
        <w:rPr>
          <w:b/>
        </w:rPr>
      </w:pPr>
      <w:r w:rsidRPr="00097442">
        <w:rPr>
          <w:b/>
        </w:rPr>
        <w:t xml:space="preserve">32.1 </w:t>
      </w:r>
      <w:r>
        <w:rPr>
          <w:b/>
        </w:rPr>
        <w:tab/>
      </w:r>
      <w:r w:rsidRPr="00097442">
        <w:rPr>
          <w:b/>
        </w:rPr>
        <w:t>Effect and application of these Standards</w:t>
      </w:r>
    </w:p>
    <w:p w14:paraId="06F9E103" w14:textId="77777777" w:rsidR="00094004" w:rsidRPr="00097442" w:rsidRDefault="00094004" w:rsidP="00094004">
      <w:pPr>
        <w:ind w:left="1134"/>
        <w:rPr>
          <w:b/>
        </w:rPr>
      </w:pPr>
      <w:r w:rsidRPr="00097442">
        <w:t xml:space="preserve">These Standards apply, on and from the date they come into effect under section 31 of the </w:t>
      </w:r>
      <w:r w:rsidRPr="00FF3A2C">
        <w:rPr>
          <w:i/>
        </w:rPr>
        <w:t>Disability Discrimination Act 1992</w:t>
      </w:r>
      <w:r w:rsidRPr="00097442">
        <w:t>, to:</w:t>
      </w:r>
    </w:p>
    <w:p w14:paraId="3B39EC55" w14:textId="77777777" w:rsidR="00094004" w:rsidRPr="00097442" w:rsidRDefault="00094004" w:rsidP="00094004">
      <w:pPr>
        <w:ind w:left="1701" w:hanging="567"/>
        <w:rPr>
          <w:b/>
        </w:rPr>
      </w:pPr>
      <w:r w:rsidRPr="00097442">
        <w:t>(a)</w:t>
      </w:r>
      <w:r w:rsidRPr="00097442">
        <w:tab/>
        <w:t>public transport services provided with:</w:t>
      </w:r>
    </w:p>
    <w:p w14:paraId="382C5438" w14:textId="77777777" w:rsidR="00094004" w:rsidRPr="00097442" w:rsidRDefault="00094004" w:rsidP="00094004">
      <w:pPr>
        <w:ind w:left="2268" w:hanging="567"/>
        <w:rPr>
          <w:b/>
        </w:rPr>
      </w:pPr>
      <w:r w:rsidRPr="00097442">
        <w:t>(i)</w:t>
      </w:r>
      <w:r w:rsidRPr="00097442">
        <w:tab/>
        <w:t>newly constructed premises or infrastructure; or</w:t>
      </w:r>
    </w:p>
    <w:p w14:paraId="17A7ABEF" w14:textId="77777777" w:rsidR="00094004" w:rsidRPr="00097442" w:rsidRDefault="00094004" w:rsidP="00094004">
      <w:pPr>
        <w:ind w:left="2268" w:hanging="567"/>
        <w:rPr>
          <w:b/>
        </w:rPr>
      </w:pPr>
      <w:r w:rsidRPr="00097442">
        <w:t>(ii)</w:t>
      </w:r>
      <w:r w:rsidRPr="00097442">
        <w:tab/>
        <w:t>conveyances entering service after these Standards come into effect; or</w:t>
      </w:r>
    </w:p>
    <w:p w14:paraId="167B9D29" w14:textId="77777777" w:rsidR="00094004" w:rsidRPr="00097442" w:rsidRDefault="00094004" w:rsidP="00094004">
      <w:pPr>
        <w:ind w:left="2268" w:hanging="567"/>
        <w:rPr>
          <w:b/>
        </w:rPr>
      </w:pPr>
      <w:r w:rsidRPr="00097442">
        <w:t>(iii)</w:t>
      </w:r>
      <w:r w:rsidRPr="00097442">
        <w:tab/>
        <w:t>premises, infrastructure or conveyances that have undergone substantial refurbishment or alteration; or</w:t>
      </w:r>
    </w:p>
    <w:p w14:paraId="1F48DD40" w14:textId="77777777" w:rsidR="00094004" w:rsidRPr="00097442" w:rsidRDefault="00094004" w:rsidP="00094004">
      <w:pPr>
        <w:ind w:left="2268" w:hanging="567"/>
        <w:rPr>
          <w:b/>
        </w:rPr>
      </w:pPr>
      <w:r w:rsidRPr="00097442">
        <w:t>(iv)</w:t>
      </w:r>
      <w:r w:rsidRPr="00097442">
        <w:tab/>
        <w:t>additional or replacement equipment in premises and infrastructure or on conveyances; and</w:t>
      </w:r>
    </w:p>
    <w:p w14:paraId="495CB24C" w14:textId="77777777" w:rsidR="00094004" w:rsidRPr="00097442" w:rsidRDefault="00094004" w:rsidP="00094004">
      <w:pPr>
        <w:ind w:left="1701" w:hanging="567"/>
        <w:rPr>
          <w:b/>
        </w:rPr>
      </w:pPr>
      <w:r w:rsidRPr="00097442">
        <w:lastRenderedPageBreak/>
        <w:t>(b)</w:t>
      </w:r>
      <w:r w:rsidRPr="00097442">
        <w:tab/>
        <w:t>new or revised ancillary services that are provided as an adjunct to the public transport operation; and</w:t>
      </w:r>
    </w:p>
    <w:p w14:paraId="0430E37B" w14:textId="77777777" w:rsidR="00094004" w:rsidRDefault="00094004" w:rsidP="00094004">
      <w:pPr>
        <w:ind w:left="1701" w:hanging="567"/>
      </w:pPr>
      <w:r w:rsidRPr="00097442">
        <w:t>(c)</w:t>
      </w:r>
      <w:r w:rsidRPr="00097442">
        <w:tab/>
        <w:t>new or updated information provided to the public.</w:t>
      </w:r>
    </w:p>
    <w:p w14:paraId="62939F4D" w14:textId="77777777" w:rsidR="00094004" w:rsidRDefault="00094004" w:rsidP="00094004">
      <w:pPr>
        <w:ind w:left="567"/>
      </w:pPr>
      <w:r>
        <w:t>This section pertains to conveyance, premises and infrastructure.</w:t>
      </w:r>
    </w:p>
    <w:p w14:paraId="545340F6" w14:textId="77777777" w:rsidR="00094004" w:rsidRPr="00D75023" w:rsidRDefault="00094004" w:rsidP="00094004">
      <w:r w:rsidRPr="00D75023">
        <w:t>Reporting requirements in the Transport Standards only apply to assets regulated by the Transport Standards.</w:t>
      </w:r>
    </w:p>
    <w:p w14:paraId="18EFFE1A" w14:textId="77777777" w:rsidR="00094004" w:rsidRPr="00D75023" w:rsidRDefault="00094004" w:rsidP="00094004">
      <w:pPr>
        <w:rPr>
          <w:b/>
        </w:rPr>
      </w:pPr>
      <w:r w:rsidRPr="00D75023">
        <w:t>For example:</w:t>
      </w:r>
    </w:p>
    <w:p w14:paraId="49F3F207" w14:textId="77777777" w:rsidR="00094004" w:rsidRPr="00D75023" w:rsidRDefault="00094004" w:rsidP="00F934C4">
      <w:pPr>
        <w:pStyle w:val="Listparagraphbullets"/>
      </w:pPr>
      <w:r w:rsidRPr="00D75023">
        <w:t>Where a train platform is substantially upgraded, this would trigger compliance reporting. An operator or provider would need to identify the elements of the Transport Standards that cover the train platform and provide data on the level of compliance with the prescriptive standards of these elements in the Transport Standards.</w:t>
      </w:r>
    </w:p>
    <w:p w14:paraId="2E98D46E" w14:textId="77777777" w:rsidR="00094004" w:rsidRPr="00D75023" w:rsidRDefault="00094004" w:rsidP="00F934C4">
      <w:pPr>
        <w:pStyle w:val="Listparagraphbullets"/>
      </w:pPr>
      <w:r w:rsidRPr="00D75023">
        <w:t>An operator or provider would not need to provide data on the level of compliance with the Transport Standards where assets are not covered by the Transport Standards, such as a toilet on a train platform. Toilets on train platforms are required to comply with the Premises Standards rather than the Transport Standards. As such, an operator and provider would not need to report on how the toilet meets compliance requirements under the Transport Standards.</w:t>
      </w:r>
    </w:p>
    <w:p w14:paraId="381A4A4A" w14:textId="77777777" w:rsidR="00094004" w:rsidRDefault="00094004" w:rsidP="00094004">
      <w:pPr>
        <w:pStyle w:val="Heading6"/>
      </w:pPr>
      <w:r w:rsidRPr="005D76C4">
        <w:t>Option 2</w:t>
      </w:r>
      <w:r>
        <w:t xml:space="preserve"> </w:t>
      </w:r>
      <w:r w:rsidRPr="005D76C4">
        <w:t xml:space="preserve">Report </w:t>
      </w:r>
      <w:r w:rsidRPr="00FC2322">
        <w:t>compliance</w:t>
      </w:r>
      <w:r w:rsidRPr="005D76C4">
        <w:t xml:space="preserve"> data on new or substantially refurbished and upgraded assets AND all assets for select sections of the Transport Standards only</w:t>
      </w:r>
    </w:p>
    <w:p w14:paraId="63A0D9EA" w14:textId="77777777" w:rsidR="00094004" w:rsidRPr="00D75023" w:rsidRDefault="00094004" w:rsidP="00094004">
      <w:pPr>
        <w:keepNext/>
        <w:spacing w:line="254" w:lineRule="auto"/>
      </w:pPr>
      <w:r w:rsidRPr="00D75023">
        <w:t>Report data for:</w:t>
      </w:r>
    </w:p>
    <w:p w14:paraId="2CD4C877" w14:textId="77777777" w:rsidR="00094004" w:rsidRPr="00D75023" w:rsidRDefault="00094004" w:rsidP="00F934C4">
      <w:pPr>
        <w:pStyle w:val="Listparagraphbullets"/>
      </w:pPr>
      <w:r w:rsidRPr="00D75023">
        <w:t>All new or substantially refurbished / upgraded conveyances, infrastructure and premises (except premises to which the Premises Standards apply) that are brought into use for public transport service in line with section 32.1.</w:t>
      </w:r>
    </w:p>
    <w:p w14:paraId="7A1B4AA1" w14:textId="77777777" w:rsidR="00094004" w:rsidRPr="00D75023" w:rsidRDefault="00094004" w:rsidP="00F934C4">
      <w:pPr>
        <w:pStyle w:val="Listparagraphbullets"/>
      </w:pPr>
      <w:r w:rsidRPr="00D75023">
        <w:t>Specific parts or sections in the Transport Standards (for example Parts 8, 11, 17 and sections 9.1 and 16.1 etc.).</w:t>
      </w:r>
    </w:p>
    <w:p w14:paraId="040AF4AF" w14:textId="77777777" w:rsidR="00094004" w:rsidRPr="00D75023" w:rsidRDefault="00094004" w:rsidP="00094004">
      <w:pPr>
        <w:spacing w:line="254" w:lineRule="auto"/>
      </w:pPr>
      <w:r w:rsidRPr="00D75023">
        <w:t>Transport operators and providers would be required to report the level of compliance of their assets against certain parts or sections of the Transport Standards (not the entire Transport Standards). Applicable sections or parts of the Transport Standards would be identified through consultation with stakeholders during development of the compliance reporting framework.</w:t>
      </w:r>
    </w:p>
    <w:p w14:paraId="33598A28" w14:textId="77777777" w:rsidR="00094004" w:rsidRDefault="00094004" w:rsidP="00094004">
      <w:pPr>
        <w:pStyle w:val="Heading6"/>
      </w:pPr>
      <w:r w:rsidRPr="00D75023">
        <w:t>Option 3 Report compliance data on new or substantially refurbished</w:t>
      </w:r>
      <w:r w:rsidRPr="005D76C4">
        <w:t xml:space="preserve"> and upgraded assets AND for specific assets only</w:t>
      </w:r>
    </w:p>
    <w:p w14:paraId="0D15FD4C" w14:textId="77777777" w:rsidR="00094004" w:rsidRPr="00D75023" w:rsidRDefault="00094004" w:rsidP="00094004">
      <w:pPr>
        <w:spacing w:line="254" w:lineRule="auto"/>
      </w:pPr>
      <w:r w:rsidRPr="00D75023">
        <w:t>Report data for:</w:t>
      </w:r>
    </w:p>
    <w:p w14:paraId="1FA2FB24" w14:textId="77777777" w:rsidR="00094004" w:rsidRPr="00D75023" w:rsidRDefault="00094004" w:rsidP="00F934C4">
      <w:pPr>
        <w:pStyle w:val="Listparagraphbullets"/>
      </w:pPr>
      <w:r w:rsidRPr="00D75023">
        <w:t>All new or substantially refurbished / upgraded conveyances, infrastructure and premises (except premises to which the Premises Standards apply) that are brought into use for public transport service in line with section 32.1.</w:t>
      </w:r>
    </w:p>
    <w:p w14:paraId="4A896633" w14:textId="77777777" w:rsidR="00094004" w:rsidRPr="00D75023" w:rsidRDefault="00094004" w:rsidP="00F934C4">
      <w:pPr>
        <w:pStyle w:val="Listparagraphbullets"/>
      </w:pPr>
      <w:r w:rsidRPr="00D75023">
        <w:t>Specific transport assets covered under the Transport Standards (for example trams, bus stops, taxi ranks, websites and digital information etc.).</w:t>
      </w:r>
    </w:p>
    <w:p w14:paraId="14228F5E" w14:textId="77777777" w:rsidR="00094004" w:rsidRPr="00097442" w:rsidRDefault="00094004" w:rsidP="00094004">
      <w:pPr>
        <w:spacing w:line="254" w:lineRule="auto"/>
      </w:pPr>
      <w:r w:rsidRPr="00D75023">
        <w:t>Transport operators and providers would be required to report the level of compliance of each transport asset by reporting the extent that each asset meets the relevant prescriptive requirements of the Transport Standards. This may not include all transport assets or cover all sections of the Transport Standards.</w:t>
      </w:r>
      <w:r>
        <w:t xml:space="preserve"> </w:t>
      </w:r>
      <w:r w:rsidRPr="00097442">
        <w:t>Applicable assets would be identified through consultation with stakeholders during development of the compliance reporting framework.</w:t>
      </w:r>
    </w:p>
    <w:p w14:paraId="0CE2BEA7" w14:textId="77777777" w:rsidR="00094004" w:rsidRDefault="00094004" w:rsidP="00094004">
      <w:pPr>
        <w:spacing w:line="254" w:lineRule="auto"/>
      </w:pPr>
      <w:r w:rsidRPr="00097442">
        <w:lastRenderedPageBreak/>
        <w:t xml:space="preserve">For example, </w:t>
      </w:r>
      <w:r>
        <w:t>a</w:t>
      </w:r>
      <w:r w:rsidRPr="00097442">
        <w:t xml:space="preserve">n operator or provider may need to </w:t>
      </w:r>
      <w:r>
        <w:t>report</w:t>
      </w:r>
      <w:r w:rsidRPr="00097442">
        <w:t xml:space="preserve"> the extent that </w:t>
      </w:r>
      <w:r>
        <w:t>their buses</w:t>
      </w:r>
      <w:r w:rsidRPr="00097442">
        <w:t xml:space="preserve"> compl</w:t>
      </w:r>
      <w:r>
        <w:t>y</w:t>
      </w:r>
      <w:r w:rsidRPr="00097442">
        <w:t xml:space="preserve"> with the prescriptive requirements that relate to </w:t>
      </w:r>
      <w:r>
        <w:t>buses</w:t>
      </w:r>
      <w:r w:rsidRPr="00097442">
        <w:t xml:space="preserve"> in the </w:t>
      </w:r>
      <w:r>
        <w:t>Transport Standards rather than reporting individual compliance on handrails, allocated spaces or manoeuvring areas that are components of a bus.</w:t>
      </w:r>
    </w:p>
    <w:p w14:paraId="71B8B44D" w14:textId="4CB9E356" w:rsidR="00094004" w:rsidRDefault="00094004" w:rsidP="006F65FB">
      <w:pPr>
        <w:pStyle w:val="Heading3"/>
        <w:numPr>
          <w:ilvl w:val="0"/>
          <w:numId w:val="66"/>
        </w:numPr>
        <w:ind w:left="567" w:hanging="567"/>
      </w:pPr>
      <w:bookmarkStart w:id="809" w:name="_Toc127351820"/>
      <w:bookmarkStart w:id="810" w:name="_Toc130914498"/>
      <w:bookmarkStart w:id="811" w:name="_Toc140239793"/>
      <w:r>
        <w:t>Equivalent access</w:t>
      </w:r>
      <w:bookmarkEnd w:id="809"/>
      <w:bookmarkEnd w:id="810"/>
      <w:bookmarkEnd w:id="811"/>
    </w:p>
    <w:p w14:paraId="55E9F18C" w14:textId="77777777" w:rsidR="00094004" w:rsidRDefault="00094004" w:rsidP="00094004">
      <w:pPr>
        <w:pStyle w:val="Heading4"/>
      </w:pPr>
      <w:r>
        <w:t>Status quo</w:t>
      </w:r>
    </w:p>
    <w:p w14:paraId="0AE46034" w14:textId="77777777" w:rsidR="00094004" w:rsidRDefault="00094004" w:rsidP="00094004">
      <w:pPr>
        <w:keepNext/>
      </w:pPr>
      <w:r w:rsidRPr="005A1D17">
        <w:t>Transport Standards sections 1.16 and 33.3 Equivalent access, would remain unchanged and no guidance would be issued.</w:t>
      </w:r>
    </w:p>
    <w:p w14:paraId="764B6448" w14:textId="77777777" w:rsidR="00094004" w:rsidRPr="005A1D17" w:rsidRDefault="00094004" w:rsidP="00094004">
      <w:pPr>
        <w:keepNext/>
      </w:pPr>
      <w:r w:rsidRPr="005A1D17">
        <w:t>The definition for equivalent access is provided at Division 1.2 Meaning of important terms, section 1.16:</w:t>
      </w:r>
    </w:p>
    <w:p w14:paraId="4553239B" w14:textId="77777777" w:rsidR="00094004" w:rsidRPr="00097442" w:rsidRDefault="00094004" w:rsidP="00094004">
      <w:pPr>
        <w:keepNext/>
        <w:spacing w:after="120"/>
        <w:ind w:left="1134" w:hanging="567"/>
        <w:rPr>
          <w:b/>
        </w:rPr>
      </w:pPr>
      <w:r w:rsidRPr="00097442">
        <w:rPr>
          <w:b/>
        </w:rPr>
        <w:t>1.16</w:t>
      </w:r>
      <w:r w:rsidRPr="00097442">
        <w:rPr>
          <w:b/>
        </w:rPr>
        <w:tab/>
        <w:t>Equivalent access</w:t>
      </w:r>
    </w:p>
    <w:p w14:paraId="2189B81E" w14:textId="77777777" w:rsidR="00094004" w:rsidRPr="009B6A42" w:rsidRDefault="00094004" w:rsidP="00094004">
      <w:pPr>
        <w:spacing w:after="120"/>
        <w:ind w:left="1134" w:hanging="567"/>
      </w:pPr>
      <w:r w:rsidRPr="00097442">
        <w:t>(1)</w:t>
      </w:r>
      <w:r w:rsidRPr="00097442">
        <w:tab/>
        <w:t>Equivalent access is a process, often involving the provision of direct assistance, under which an operator or provider is permitted to vary the equipment or facilities that give access to a public transport service, so long as an equivalent standard of amenity, availability, comfort, convenience, dignity, price and safety is maintained.</w:t>
      </w:r>
    </w:p>
    <w:p w14:paraId="3B692353" w14:textId="77777777" w:rsidR="00094004" w:rsidRPr="00097442" w:rsidRDefault="00094004" w:rsidP="00094004">
      <w:pPr>
        <w:ind w:left="1134" w:hanging="567"/>
        <w:rPr>
          <w:b/>
        </w:rPr>
      </w:pPr>
      <w:r w:rsidRPr="00097442">
        <w:t>(2)</w:t>
      </w:r>
      <w:r w:rsidRPr="00097442">
        <w:tab/>
        <w:t>Equivalent access does not include a segregated or parallel service.</w:t>
      </w:r>
    </w:p>
    <w:p w14:paraId="4B7D0B7B" w14:textId="77777777" w:rsidR="00094004" w:rsidRPr="00097442" w:rsidRDefault="00094004" w:rsidP="00094004">
      <w:pPr>
        <w:keepNext/>
        <w:rPr>
          <w:b/>
        </w:rPr>
      </w:pPr>
      <w:r w:rsidRPr="00097442">
        <w:t xml:space="preserve">Compliance </w:t>
      </w:r>
      <w:r>
        <w:t xml:space="preserve">with </w:t>
      </w:r>
      <w:r w:rsidRPr="00097442">
        <w:t xml:space="preserve">the </w:t>
      </w:r>
      <w:r>
        <w:t>Transport Standards</w:t>
      </w:r>
      <w:r w:rsidRPr="00097442">
        <w:t xml:space="preserve"> may be achieved through equivalent access, </w:t>
      </w:r>
      <w:r>
        <w:t>as per s</w:t>
      </w:r>
      <w:r w:rsidRPr="00097442">
        <w:t>ection 33.3</w:t>
      </w:r>
      <w:r w:rsidRPr="007120B9">
        <w:t xml:space="preserve"> Equivalent access</w:t>
      </w:r>
      <w:r>
        <w:t>:</w:t>
      </w:r>
    </w:p>
    <w:p w14:paraId="172E4FD8" w14:textId="77777777" w:rsidR="00094004" w:rsidRPr="00097442" w:rsidRDefault="00094004" w:rsidP="00094004">
      <w:pPr>
        <w:spacing w:after="120"/>
        <w:ind w:left="1134" w:hanging="567"/>
        <w:rPr>
          <w:b/>
        </w:rPr>
      </w:pPr>
      <w:r w:rsidRPr="00097442">
        <w:rPr>
          <w:b/>
        </w:rPr>
        <w:t>33.3</w:t>
      </w:r>
      <w:r w:rsidRPr="00097442">
        <w:rPr>
          <w:b/>
        </w:rPr>
        <w:tab/>
        <w:t>Equivalent access</w:t>
      </w:r>
    </w:p>
    <w:p w14:paraId="66B9C2FF" w14:textId="77777777" w:rsidR="00094004" w:rsidRPr="009B6A42" w:rsidRDefault="00094004" w:rsidP="00094004">
      <w:pPr>
        <w:spacing w:after="120"/>
        <w:ind w:left="1134" w:hanging="567"/>
      </w:pPr>
      <w:r w:rsidRPr="00097442">
        <w:t>(1)</w:t>
      </w:r>
      <w:r w:rsidRPr="00097442">
        <w:tab/>
        <w:t>Compliance with these Standards may be achieved by:</w:t>
      </w:r>
    </w:p>
    <w:p w14:paraId="7F7A8CF2" w14:textId="77777777" w:rsidR="00094004" w:rsidRPr="00097442" w:rsidRDefault="00094004" w:rsidP="00094004">
      <w:pPr>
        <w:spacing w:after="120"/>
        <w:ind w:left="1701" w:hanging="567"/>
        <w:rPr>
          <w:b/>
        </w:rPr>
      </w:pPr>
      <w:r w:rsidRPr="00097442">
        <w:t>(a)</w:t>
      </w:r>
      <w:r w:rsidRPr="00097442">
        <w:tab/>
        <w:t>applying relevant specifications in these Standards before the target dates; or</w:t>
      </w:r>
    </w:p>
    <w:p w14:paraId="1B7E17BA" w14:textId="77777777" w:rsidR="00094004" w:rsidRPr="00097442" w:rsidRDefault="00094004" w:rsidP="00094004">
      <w:pPr>
        <w:spacing w:after="120"/>
        <w:ind w:left="1701" w:hanging="567"/>
        <w:rPr>
          <w:b/>
        </w:rPr>
      </w:pPr>
      <w:r w:rsidRPr="00097442">
        <w:t>(b)</w:t>
      </w:r>
      <w:r w:rsidRPr="00097442">
        <w:tab/>
        <w:t>using methods, equipment and facilities that provide alternative means of access to the public transport service concerned (but not using separate or parallel services) with equivalence of amenity, availability, comfort, convenience, dignity, price and safety.</w:t>
      </w:r>
    </w:p>
    <w:p w14:paraId="4F60FF21" w14:textId="77777777" w:rsidR="00094004" w:rsidRPr="009B6A42" w:rsidRDefault="00094004" w:rsidP="00094004">
      <w:pPr>
        <w:ind w:left="1134" w:hanging="567"/>
      </w:pPr>
      <w:r w:rsidRPr="00097442">
        <w:t>(2)</w:t>
      </w:r>
      <w:r w:rsidRPr="00097442">
        <w:tab/>
        <w:t>This may include direct assistance over and above th</w:t>
      </w:r>
      <w:r>
        <w:t xml:space="preserve">at required simply to </w:t>
      </w:r>
      <w:r w:rsidRPr="00097442">
        <w:t>overcome discrimination.</w:t>
      </w:r>
    </w:p>
    <w:p w14:paraId="5728768B" w14:textId="77777777" w:rsidR="00094004" w:rsidRDefault="00094004" w:rsidP="00094004">
      <w:pPr>
        <w:pStyle w:val="Heading4"/>
      </w:pPr>
      <w:r>
        <w:t>Non-regulatory option</w:t>
      </w:r>
    </w:p>
    <w:p w14:paraId="46589F5E" w14:textId="77777777" w:rsidR="00094004" w:rsidRDefault="00094004" w:rsidP="00094004">
      <w:r w:rsidRPr="00097442">
        <w:t xml:space="preserve">The Australian Government would develop web-based </w:t>
      </w:r>
      <w:r>
        <w:t>re</w:t>
      </w:r>
      <w:r w:rsidRPr="00097442">
        <w:t>pository of equivalent access successfully applied by operators and providers.</w:t>
      </w:r>
    </w:p>
    <w:p w14:paraId="50E6B011" w14:textId="77777777" w:rsidR="00094004" w:rsidRDefault="00094004" w:rsidP="00094004">
      <w:r w:rsidRPr="00097442">
        <w:t xml:space="preserve">The </w:t>
      </w:r>
      <w:r>
        <w:t>re</w:t>
      </w:r>
      <w:r w:rsidRPr="00097442">
        <w:t xml:space="preserve">pository would provide a central collection point for examples of the application of equivalent access to inform stakeholders (i.e. other operators and providers) of possible applications in their own settings. The </w:t>
      </w:r>
      <w:r>
        <w:t>re</w:t>
      </w:r>
      <w:r w:rsidRPr="00097442">
        <w:t>pository would also inform the disability community of where and how equivalent access is applied.</w:t>
      </w:r>
    </w:p>
    <w:p w14:paraId="3CFD4AA0" w14:textId="77777777" w:rsidR="00094004" w:rsidRPr="00097442" w:rsidRDefault="00094004" w:rsidP="00094004">
      <w:r w:rsidRPr="00097442">
        <w:t>The onus for providing examples would rest with operators and providers. Examples may include (but are not limited):</w:t>
      </w:r>
    </w:p>
    <w:p w14:paraId="5C24BCC8" w14:textId="77777777" w:rsidR="00094004" w:rsidRPr="00710607" w:rsidRDefault="00094004" w:rsidP="00F934C4">
      <w:pPr>
        <w:pStyle w:val="Listparagraphbullets"/>
      </w:pPr>
      <w:r w:rsidRPr="00710607">
        <w:t>The cohorts / groups that were involved in the process.</w:t>
      </w:r>
    </w:p>
    <w:p w14:paraId="086B2AA3" w14:textId="77777777" w:rsidR="00094004" w:rsidRPr="00710607" w:rsidRDefault="00094004" w:rsidP="00F934C4">
      <w:pPr>
        <w:pStyle w:val="Listparagraphbullets"/>
      </w:pPr>
      <w:r w:rsidRPr="00710607">
        <w:t>Details surrounding processes where stakeholders reached agreement on the meanings of the equivalent access terms.</w:t>
      </w:r>
    </w:p>
    <w:p w14:paraId="124F6ADC" w14:textId="77777777" w:rsidR="00094004" w:rsidRPr="00710607" w:rsidRDefault="00094004" w:rsidP="00F934C4">
      <w:pPr>
        <w:pStyle w:val="Listparagraphbullets"/>
      </w:pPr>
      <w:r w:rsidRPr="00710607">
        <w:t>The steps and tools used throughout the process to reach the agreed solution.</w:t>
      </w:r>
    </w:p>
    <w:p w14:paraId="0BC343E1" w14:textId="77777777" w:rsidR="00094004" w:rsidRPr="00710607" w:rsidRDefault="00094004" w:rsidP="00F934C4">
      <w:pPr>
        <w:pStyle w:val="Listparagraphbullets"/>
      </w:pPr>
      <w:r w:rsidRPr="00710607">
        <w:lastRenderedPageBreak/>
        <w:t>Any other relevant documentation which would provide the community the confidence that the agreed outcomes were the result of a ro</w:t>
      </w:r>
      <w:r>
        <w:t>bust equivalent access process.</w:t>
      </w:r>
    </w:p>
    <w:p w14:paraId="5D0FCCED" w14:textId="77777777" w:rsidR="00094004" w:rsidRDefault="00094004" w:rsidP="00094004">
      <w:r w:rsidRPr="00710607">
        <w:t>The scalability of examples provided would depend on the size and complexity of the process involved. Documentation surrounding larger processes, involving substantial cost would be expected to be more extensive and detailed than documentation surrounding smaller processes.</w:t>
      </w:r>
    </w:p>
    <w:p w14:paraId="42359729" w14:textId="77777777" w:rsidR="00094004" w:rsidRPr="00710607" w:rsidRDefault="00094004" w:rsidP="00094004">
      <w:r w:rsidRPr="00710607">
        <w:t>The website would contain a disclaimer advising that the examples provided had not been legally tested and were not endorsed by governments.</w:t>
      </w:r>
    </w:p>
    <w:p w14:paraId="1CF4CB6D" w14:textId="77777777" w:rsidR="00094004" w:rsidRDefault="00094004" w:rsidP="00094004">
      <w:r w:rsidRPr="00710607">
        <w:t>Guidance would be provided in the Transport Standards Guidelines and / or The Whole Journey Guide to assist operators and providers in using and navigating the repository.</w:t>
      </w:r>
    </w:p>
    <w:p w14:paraId="762CCBAB" w14:textId="77777777" w:rsidR="00094004" w:rsidRDefault="00094004" w:rsidP="00094004">
      <w:pPr>
        <w:pStyle w:val="Heading4"/>
      </w:pPr>
      <w:r>
        <w:t>Regulatory option</w:t>
      </w:r>
    </w:p>
    <w:p w14:paraId="2F8E4C5E" w14:textId="77777777" w:rsidR="00094004" w:rsidRPr="00097442" w:rsidRDefault="00094004" w:rsidP="00094004">
      <w:r w:rsidRPr="00097442">
        <w:t xml:space="preserve">The </w:t>
      </w:r>
      <w:r>
        <w:t>Transport Standards</w:t>
      </w:r>
      <w:r w:rsidRPr="00097442">
        <w:t xml:space="preserve"> would be amended to include </w:t>
      </w:r>
      <w:r>
        <w:t xml:space="preserve">a </w:t>
      </w:r>
      <w:r w:rsidRPr="00097442">
        <w:t xml:space="preserve">new </w:t>
      </w:r>
      <w:r>
        <w:t xml:space="preserve">alternative approach </w:t>
      </w:r>
      <w:r w:rsidRPr="00097442">
        <w:t>for equivalent access</w:t>
      </w:r>
      <w:r>
        <w:t>, such as a performance solution process</w:t>
      </w:r>
      <w:r w:rsidRPr="00097442">
        <w:t>.</w:t>
      </w:r>
      <w:r>
        <w:t xml:space="preserve"> If an alternative approach is agreed by Transport Ministers, a</w:t>
      </w:r>
      <w:r w:rsidRPr="00097442">
        <w:t>n appropriate peer review, certification mechanism and certification body</w:t>
      </w:r>
      <w:r>
        <w:t xml:space="preserve"> would need to be developed. This would be developed in consultation with the disability community, state and territory governments and the transport industry.</w:t>
      </w:r>
    </w:p>
    <w:p w14:paraId="011485B3" w14:textId="77777777" w:rsidR="00094004" w:rsidRPr="00097442" w:rsidRDefault="00094004" w:rsidP="00094004">
      <w:r w:rsidRPr="00097442">
        <w:t xml:space="preserve">This </w:t>
      </w:r>
      <w:r>
        <w:t xml:space="preserve">alternative process </w:t>
      </w:r>
      <w:r w:rsidRPr="00097442">
        <w:t>would include co-design and consultation with the disability community and set out certification methods to provide operators and providers with legal certainty and assurance that an alternative solution is fit for purpose and not discriminatory.</w:t>
      </w:r>
    </w:p>
    <w:p w14:paraId="0B59C573" w14:textId="77777777" w:rsidR="00094004" w:rsidRDefault="00094004" w:rsidP="00094004">
      <w:pPr>
        <w:spacing w:after="240"/>
      </w:pPr>
      <w:r>
        <w:t>The proposed process could be similar to the performance solution process utilised under the National Construction Code (NCC). A performance solution provides a tailored solution to meet the intended objective of performance requirements, must comply with these requirements and be verified by an assessment method.</w:t>
      </w:r>
      <w:r>
        <w:rPr>
          <w:rStyle w:val="FootnoteReference"/>
        </w:rPr>
        <w:footnoteReference w:id="17"/>
      </w:r>
    </w:p>
    <w:p w14:paraId="0DF880B5" w14:textId="77777777" w:rsidR="00094004" w:rsidRDefault="00094004" w:rsidP="00094004">
      <w:r>
        <w:t>Many of the NCC performance requirements that relate to accessibility could be modified to align with the Transport Standards, as well as developing new additional, more specific, performance requirements to address Transport Standards requirements not covered in the NCC (e.g. infrastructure, conveyances, connections between transport nodes, rest points, boarding areas, lighting, fixtures and fittings, fare gates, ticketing, information, etc.).</w:t>
      </w:r>
    </w:p>
    <w:p w14:paraId="116E5A04" w14:textId="77777777" w:rsidR="00094004" w:rsidRDefault="00094004" w:rsidP="00094004">
      <w:r w:rsidRPr="00E209FA">
        <w:t>A process suitable for the development of performance solutions under the Transport Standards could include the following:</w:t>
      </w:r>
    </w:p>
    <w:p w14:paraId="517FF467" w14:textId="77777777" w:rsidR="00094004" w:rsidRPr="00E209FA" w:rsidRDefault="00094004" w:rsidP="00F934C4">
      <w:pPr>
        <w:pStyle w:val="Listparagraphbullets"/>
      </w:pPr>
      <w:r w:rsidRPr="00E209FA">
        <w:t>Prepare a performance-based design brief (a document developed in collaboration with key stakeholders) that will be used as the platform upon which the proposed design is constructed.</w:t>
      </w:r>
    </w:p>
    <w:p w14:paraId="34CFE44E" w14:textId="77777777" w:rsidR="00094004" w:rsidRDefault="00094004" w:rsidP="00F934C4">
      <w:pPr>
        <w:pStyle w:val="Listparagraphbullets"/>
      </w:pPr>
      <w:r w:rsidRPr="00710607">
        <w:t>Carry out analysis and co-design that includes consultation with relevant stakeholders, including the disability community</w:t>
      </w:r>
      <w:r>
        <w:t>.</w:t>
      </w:r>
    </w:p>
    <w:p w14:paraId="26764E11" w14:textId="77777777" w:rsidR="00094004" w:rsidRDefault="00094004" w:rsidP="00F934C4">
      <w:pPr>
        <w:pStyle w:val="Listparagraphbullets"/>
      </w:pPr>
      <w:r w:rsidRPr="00710607">
        <w:t>Evaluate results</w:t>
      </w:r>
      <w:r>
        <w:t>.</w:t>
      </w:r>
    </w:p>
    <w:p w14:paraId="239DB1D4" w14:textId="77777777" w:rsidR="00094004" w:rsidRDefault="00094004" w:rsidP="00F934C4">
      <w:pPr>
        <w:pStyle w:val="Listparagraphbullets"/>
      </w:pPr>
      <w:r w:rsidRPr="00710607">
        <w:t>Prepare draft report</w:t>
      </w:r>
      <w:r>
        <w:t>.</w:t>
      </w:r>
    </w:p>
    <w:p w14:paraId="73BBC8B6" w14:textId="77777777" w:rsidR="00094004" w:rsidRDefault="00094004" w:rsidP="00F934C4">
      <w:pPr>
        <w:pStyle w:val="Listparagraphbullets"/>
      </w:pPr>
      <w:r w:rsidRPr="00710607">
        <w:t>Peer review draft report</w:t>
      </w:r>
      <w:r>
        <w:t>.</w:t>
      </w:r>
    </w:p>
    <w:p w14:paraId="060FDEE3" w14:textId="77777777" w:rsidR="00094004" w:rsidRPr="00710607" w:rsidRDefault="00094004" w:rsidP="00F934C4">
      <w:pPr>
        <w:pStyle w:val="Listparagraphbullets"/>
      </w:pPr>
      <w:r w:rsidRPr="00710607">
        <w:t>Prepare final report</w:t>
      </w:r>
      <w:r>
        <w:t>.</w:t>
      </w:r>
    </w:p>
    <w:p w14:paraId="29E66C2E" w14:textId="77777777" w:rsidR="00094004" w:rsidRDefault="00094004" w:rsidP="00F934C4">
      <w:pPr>
        <w:pStyle w:val="Listparagraphbullets"/>
      </w:pPr>
      <w:r w:rsidRPr="00710607">
        <w:t>Certify the process.</w:t>
      </w:r>
    </w:p>
    <w:p w14:paraId="07D0DFA8" w14:textId="77777777" w:rsidR="00094004" w:rsidRPr="00710607" w:rsidRDefault="00094004" w:rsidP="00094004">
      <w:r w:rsidRPr="00710607">
        <w:lastRenderedPageBreak/>
        <w:t>This process builds on the NCC performances requirements and is suitable for developing simple and complex performance solutions. This is achieved by requiring stakeholders to collaborate and develop an agreed pathway for the design process to follow in order to produce an acceptable outcome.</w:t>
      </w:r>
    </w:p>
    <w:p w14:paraId="7320D352" w14:textId="77777777" w:rsidR="00094004" w:rsidRDefault="00094004" w:rsidP="00094004">
      <w:r w:rsidRPr="00710607">
        <w:t>The detail and depth of analysis to support a performance solution should reflect the complexity and impact of the solution. Larger performance solution projects would require more comprehensive consultation and co-design to that of smaller performance solution projects.</w:t>
      </w:r>
    </w:p>
    <w:p w14:paraId="4D57DFD5" w14:textId="77777777" w:rsidR="00094004" w:rsidRPr="00710607" w:rsidRDefault="00094004" w:rsidP="00094004">
      <w:r w:rsidRPr="00710607">
        <w:t>Performance solution reports should be prepared by access professionals with appropriate expertise and qualifications in accessibility, building compliance and public transport to ensure appropriate accessibility outcomes are achieved. In conjunction with public transport operators and providers and members of the disability community, the access professionals would be required to:</w:t>
      </w:r>
    </w:p>
    <w:p w14:paraId="3F32CFB6" w14:textId="77777777" w:rsidR="00094004" w:rsidRPr="00710607" w:rsidRDefault="00094004" w:rsidP="00F934C4">
      <w:pPr>
        <w:pStyle w:val="Listparagraphbullets"/>
      </w:pPr>
      <w:r w:rsidRPr="00710607">
        <w:t>document the performance requirement to be achieved</w:t>
      </w:r>
    </w:p>
    <w:p w14:paraId="1B575116" w14:textId="77777777" w:rsidR="00094004" w:rsidRPr="00710607" w:rsidRDefault="00094004" w:rsidP="00F934C4">
      <w:pPr>
        <w:pStyle w:val="Listparagraphbullets"/>
      </w:pPr>
      <w:r w:rsidRPr="00710607">
        <w:t>document the performance solution process undertaken to achieve the requirement</w:t>
      </w:r>
    </w:p>
    <w:p w14:paraId="7FCE75E8" w14:textId="77777777" w:rsidR="00094004" w:rsidRPr="00710607" w:rsidRDefault="00094004" w:rsidP="00F934C4">
      <w:pPr>
        <w:pStyle w:val="Listparagraphbullets"/>
      </w:pPr>
      <w:r w:rsidRPr="00710607">
        <w:t>demonstrate how co-design and consultation with the disability community was incorporated into the process steps.</w:t>
      </w:r>
    </w:p>
    <w:p w14:paraId="2E8E38F9" w14:textId="77777777" w:rsidR="00094004" w:rsidRPr="00710607" w:rsidRDefault="00094004" w:rsidP="00094004">
      <w:r w:rsidRPr="00710607">
        <w:t>An appropriate peer review, certification mechanism and certification body would be required to validate the performance solution process. This is to ensure the integrity of the process and appropriate accessibility outcomes are achieved with consistent decision making.</w:t>
      </w:r>
    </w:p>
    <w:p w14:paraId="212C6D51" w14:textId="77777777" w:rsidR="00094004" w:rsidRDefault="00094004" w:rsidP="00094004">
      <w:r w:rsidRPr="00710607">
        <w:t>Under a proposed new process, operators and providers could utilise their own accessibility experts to peer review the performance solution reports or seek an independent expert to undertake the peer review process on their behalf.</w:t>
      </w:r>
    </w:p>
    <w:p w14:paraId="406A937E" w14:textId="77777777" w:rsidR="00094004" w:rsidRDefault="00094004" w:rsidP="00094004">
      <w:r w:rsidRPr="00710607">
        <w:t>Additionally, a process for final certification would need to be developed. This may be achieved through establishing new certification bodies (such as a national body to oversee certification processes), utilising existing bodies (such as accessibility reference groups or technical committees) or through a process based on state and territory governments nominating an appropriate existing jurisdictional body to certify performance solutions.</w:t>
      </w:r>
    </w:p>
    <w:p w14:paraId="53A92529" w14:textId="77777777" w:rsidR="00094004" w:rsidRPr="00710607" w:rsidRDefault="00094004" w:rsidP="00094004">
      <w:r w:rsidRPr="00710607">
        <w:t>Certification bodies would need to have flexibility in their terms of reference and governance processes to allow for scalability of performance solutions.</w:t>
      </w:r>
    </w:p>
    <w:p w14:paraId="1B036E50" w14:textId="77777777" w:rsidR="00094004" w:rsidRPr="00481B47" w:rsidRDefault="00094004" w:rsidP="00094004"/>
    <w:p w14:paraId="6DABB36C" w14:textId="761C4454" w:rsidR="00094004" w:rsidRDefault="00094004" w:rsidP="006F65FB">
      <w:pPr>
        <w:pStyle w:val="Heading3"/>
        <w:numPr>
          <w:ilvl w:val="0"/>
          <w:numId w:val="66"/>
        </w:numPr>
        <w:ind w:left="567" w:hanging="567"/>
      </w:pPr>
      <w:bookmarkStart w:id="812" w:name="_Toc127351821"/>
      <w:bookmarkStart w:id="813" w:name="_Toc130914499"/>
      <w:bookmarkStart w:id="814" w:name="_Toc140239794"/>
      <w:r>
        <w:t>Rideshare</w:t>
      </w:r>
      <w:bookmarkEnd w:id="812"/>
      <w:bookmarkEnd w:id="813"/>
      <w:bookmarkEnd w:id="814"/>
    </w:p>
    <w:p w14:paraId="6F0F378F" w14:textId="77777777" w:rsidR="00094004" w:rsidRDefault="00094004" w:rsidP="00094004">
      <w:pPr>
        <w:pStyle w:val="Heading4"/>
      </w:pPr>
      <w:r>
        <w:t>Status quo</w:t>
      </w:r>
    </w:p>
    <w:p w14:paraId="35D35692" w14:textId="77777777" w:rsidR="00094004" w:rsidRDefault="00094004" w:rsidP="00094004">
      <w:r w:rsidRPr="00A1004D">
        <w:t xml:space="preserve">Transport Standards Division 1.2, Meaning of important terms, would remain unchanged and no </w:t>
      </w:r>
      <w:r>
        <w:t>Guidance</w:t>
      </w:r>
      <w:r w:rsidRPr="00A1004D">
        <w:t xml:space="preserve"> would be issued.</w:t>
      </w:r>
    </w:p>
    <w:p w14:paraId="07ACEEFE"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1.12 </w:t>
      </w:r>
      <w:r w:rsidRPr="00097442">
        <w:rPr>
          <w:rFonts w:asciiTheme="minorHAnsi" w:hAnsiTheme="minorHAnsi" w:cstheme="minorHAnsi"/>
          <w:b/>
          <w:sz w:val="22"/>
        </w:rPr>
        <w:tab/>
        <w:t>Conveyance</w:t>
      </w:r>
    </w:p>
    <w:p w14:paraId="1059327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(1)</w:t>
      </w:r>
      <w:r w:rsidRPr="00097442">
        <w:rPr>
          <w:rFonts w:asciiTheme="minorHAnsi" w:hAnsiTheme="minorHAnsi" w:cstheme="minorHAnsi"/>
          <w:sz w:val="22"/>
        </w:rPr>
        <w:tab/>
        <w:t>A </w:t>
      </w:r>
      <w:r w:rsidRPr="00097442">
        <w:rPr>
          <w:rFonts w:asciiTheme="minorHAnsi" w:hAnsiTheme="minorHAnsi" w:cstheme="minorHAnsi"/>
          <w:bCs/>
          <w:sz w:val="22"/>
        </w:rPr>
        <w:t>conveyance</w:t>
      </w:r>
      <w:r w:rsidRPr="00097442">
        <w:rPr>
          <w:rFonts w:asciiTheme="minorHAnsi" w:hAnsiTheme="minorHAnsi" w:cstheme="minorHAnsi"/>
          <w:sz w:val="22"/>
        </w:rPr>
        <w:t> includes any of the following, to the extent that they are used to provide a public transport service:</w:t>
      </w:r>
    </w:p>
    <w:p w14:paraId="48F278F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aircraft;</w:t>
      </w:r>
    </w:p>
    <w:p w14:paraId="1917853B"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buses or coaches;</w:t>
      </w:r>
    </w:p>
    <w:p w14:paraId="365EF8AF"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ferries;</w:t>
      </w:r>
    </w:p>
    <w:p w14:paraId="747719A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taxis;</w:t>
      </w:r>
    </w:p>
    <w:p w14:paraId="182011D5"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trains, trams, light rail, monorails, rack railways;</w:t>
      </w:r>
    </w:p>
    <w:p w14:paraId="2158DD17" w14:textId="77777777" w:rsidR="00094004" w:rsidRPr="00097442" w:rsidRDefault="00094004" w:rsidP="006F65FB">
      <w:pPr>
        <w:pStyle w:val="Leg3SecSubsec11"/>
        <w:numPr>
          <w:ilvl w:val="0"/>
          <w:numId w:val="67"/>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lastRenderedPageBreak/>
        <w:t>any other rolling stock, vehicle or vessel classified as public transport within its jurisdiction by regulation or administrative action of any Government in Australia.</w:t>
      </w:r>
    </w:p>
    <w:p w14:paraId="6926847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i/>
          <w:sz w:val="22"/>
        </w:rPr>
      </w:pPr>
      <w:r w:rsidRPr="00097442">
        <w:rPr>
          <w:rFonts w:asciiTheme="minorHAnsi" w:hAnsiTheme="minorHAnsi" w:cstheme="minorHAnsi"/>
          <w:sz w:val="22"/>
        </w:rPr>
        <w:t>(2)</w:t>
      </w:r>
      <w:r w:rsidRPr="00097442">
        <w:rPr>
          <w:rFonts w:asciiTheme="minorHAnsi" w:hAnsiTheme="minorHAnsi" w:cstheme="minorHAnsi"/>
          <w:sz w:val="22"/>
        </w:rPr>
        <w:tab/>
        <w:t xml:space="preserve">A </w:t>
      </w:r>
      <w:r w:rsidRPr="00097442">
        <w:rPr>
          <w:rFonts w:asciiTheme="minorHAnsi" w:hAnsiTheme="minorHAnsi" w:cstheme="minorHAnsi"/>
          <w:bCs/>
          <w:sz w:val="22"/>
        </w:rPr>
        <w:t>conveyance</w:t>
      </w:r>
      <w:r w:rsidRPr="00097442">
        <w:rPr>
          <w:rFonts w:asciiTheme="minorHAnsi" w:hAnsiTheme="minorHAnsi" w:cstheme="minorHAnsi"/>
          <w:sz w:val="22"/>
        </w:rPr>
        <w:t> does not include the following:</w:t>
      </w:r>
    </w:p>
    <w:p w14:paraId="05B56DAE" w14:textId="77777777" w:rsidR="00094004" w:rsidRPr="00097442" w:rsidRDefault="00094004" w:rsidP="006F65FB">
      <w:pPr>
        <w:pStyle w:val="Leg3SecSubsec11"/>
        <w:numPr>
          <w:ilvl w:val="0"/>
          <w:numId w:val="68"/>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charter boats (including water taxis);</w:t>
      </w:r>
    </w:p>
    <w:p w14:paraId="1C3D5D84" w14:textId="77777777" w:rsidR="00094004" w:rsidRPr="00097442" w:rsidRDefault="00094004" w:rsidP="006F65FB">
      <w:pPr>
        <w:pStyle w:val="Leg3SecSubsec11"/>
        <w:numPr>
          <w:ilvl w:val="0"/>
          <w:numId w:val="68"/>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limousines (including chauffeured hire cars);</w:t>
      </w:r>
    </w:p>
    <w:p w14:paraId="7939585B" w14:textId="77777777" w:rsidR="00094004" w:rsidRDefault="00094004" w:rsidP="006F65FB">
      <w:pPr>
        <w:pStyle w:val="Leg3SecSubsec11"/>
        <w:numPr>
          <w:ilvl w:val="0"/>
          <w:numId w:val="68"/>
        </w:numPr>
        <w:tabs>
          <w:tab w:val="clear" w:pos="425"/>
          <w:tab w:val="clear" w:pos="850"/>
          <w:tab w:val="clear" w:pos="1276"/>
        </w:tabs>
        <w:spacing w:after="240"/>
        <w:ind w:left="1701" w:hanging="567"/>
        <w:rPr>
          <w:rFonts w:asciiTheme="minorHAnsi" w:hAnsiTheme="minorHAnsi" w:cstheme="minorHAnsi"/>
          <w:bCs/>
          <w:sz w:val="22"/>
        </w:rPr>
      </w:pPr>
      <w:r w:rsidRPr="00097442">
        <w:rPr>
          <w:rFonts w:asciiTheme="minorHAnsi" w:hAnsiTheme="minorHAnsi" w:cstheme="minorHAnsi"/>
          <w:bCs/>
          <w:sz w:val="22"/>
        </w:rPr>
        <w:t>self</w:t>
      </w:r>
      <w:r w:rsidRPr="00097442">
        <w:rPr>
          <w:rFonts w:asciiTheme="minorHAnsi" w:hAnsiTheme="minorHAnsi" w:cstheme="minorHAnsi"/>
          <w:bCs/>
          <w:sz w:val="22"/>
        </w:rPr>
        <w:noBreakHyphen/>
        <w:t>drive rental cars.</w:t>
      </w:r>
    </w:p>
    <w:p w14:paraId="27FF9F3C" w14:textId="77777777" w:rsidR="00094004" w:rsidRPr="00097442" w:rsidRDefault="00094004" w:rsidP="00094004">
      <w:pPr>
        <w:pStyle w:val="Leg3SecSubsec11"/>
        <w:tabs>
          <w:tab w:val="clear" w:pos="425"/>
          <w:tab w:val="clear" w:pos="850"/>
          <w:tab w:val="clear" w:pos="1276"/>
        </w:tabs>
        <w:ind w:left="1134" w:hanging="567"/>
        <w:rPr>
          <w:rFonts w:asciiTheme="minorHAnsi" w:hAnsiTheme="minorHAnsi" w:cstheme="minorHAnsi"/>
          <w:b/>
          <w:sz w:val="22"/>
        </w:rPr>
      </w:pPr>
      <w:r w:rsidRPr="00097442">
        <w:rPr>
          <w:rFonts w:asciiTheme="minorHAnsi" w:hAnsiTheme="minorHAnsi" w:cstheme="minorHAnsi"/>
          <w:b/>
          <w:sz w:val="22"/>
        </w:rPr>
        <w:t xml:space="preserve">1.23 </w:t>
      </w:r>
      <w:r w:rsidRPr="00097442">
        <w:rPr>
          <w:rFonts w:asciiTheme="minorHAnsi" w:hAnsiTheme="minorHAnsi" w:cstheme="minorHAnsi"/>
          <w:b/>
          <w:sz w:val="22"/>
        </w:rPr>
        <w:tab/>
        <w:t>Public Transport Service</w:t>
      </w:r>
    </w:p>
    <w:p w14:paraId="148C8429" w14:textId="77777777" w:rsidR="00094004" w:rsidRDefault="00094004" w:rsidP="00094004">
      <w:pPr>
        <w:ind w:left="1134" w:hanging="567"/>
        <w:rPr>
          <w:rFonts w:cstheme="minorHAnsi"/>
        </w:rPr>
      </w:pPr>
      <w:r w:rsidRPr="00097442">
        <w:rPr>
          <w:rFonts w:cstheme="minorHAnsi"/>
        </w:rPr>
        <w:t xml:space="preserve">(1) </w:t>
      </w:r>
      <w:r w:rsidRPr="00097442">
        <w:rPr>
          <w:rFonts w:cstheme="minorHAnsi"/>
        </w:rPr>
        <w:tab/>
        <w:t>A Public transport service</w:t>
      </w:r>
      <w:r w:rsidRPr="00097442">
        <w:rPr>
          <w:rFonts w:cstheme="minorHAnsi"/>
          <w:i/>
        </w:rPr>
        <w:t xml:space="preserve"> </w:t>
      </w:r>
      <w:r w:rsidRPr="00097442">
        <w:rPr>
          <w:rFonts w:cstheme="minorHAnsi"/>
        </w:rPr>
        <w:t>is an enterprise that conveys members of the public by land, water or air.</w:t>
      </w:r>
    </w:p>
    <w:p w14:paraId="6DB6D7AF" w14:textId="77777777" w:rsidR="00094004" w:rsidRPr="00097442" w:rsidRDefault="00094004" w:rsidP="00094004">
      <w:pPr>
        <w:ind w:left="1134" w:hanging="567"/>
        <w:rPr>
          <w:rFonts w:cstheme="minorHAnsi"/>
        </w:rPr>
      </w:pPr>
      <w:r w:rsidRPr="00097442">
        <w:rPr>
          <w:rFonts w:cstheme="minorHAnsi"/>
        </w:rPr>
        <w:t xml:space="preserve">(2) </w:t>
      </w:r>
      <w:r w:rsidRPr="00097442">
        <w:rPr>
          <w:rFonts w:cstheme="minorHAnsi"/>
        </w:rPr>
        <w:tab/>
        <w:t>A public transport service</w:t>
      </w:r>
      <w:r w:rsidRPr="00097442">
        <w:rPr>
          <w:rFonts w:cstheme="minorHAnsi"/>
          <w:i/>
        </w:rPr>
        <w:t xml:space="preserve"> </w:t>
      </w:r>
      <w:r w:rsidRPr="00097442">
        <w:rPr>
          <w:rFonts w:cstheme="minorHAnsi"/>
        </w:rPr>
        <w:t>includes:</w:t>
      </w:r>
    </w:p>
    <w:p w14:paraId="1A7D36A8" w14:textId="77777777" w:rsidR="00094004" w:rsidRPr="00097442" w:rsidRDefault="00094004" w:rsidP="006F65FB">
      <w:pPr>
        <w:pStyle w:val="Leg3SecSubsec11"/>
        <w:numPr>
          <w:ilvl w:val="0"/>
          <w:numId w:val="69"/>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community transport conveyances that are funded or subsidised by charity or public money and that offers services to the public and;</w:t>
      </w:r>
    </w:p>
    <w:p w14:paraId="50A69C07" w14:textId="77777777" w:rsidR="00094004" w:rsidRPr="00097442" w:rsidRDefault="00094004" w:rsidP="006F65FB">
      <w:pPr>
        <w:pStyle w:val="Leg3SecSubsec11"/>
        <w:numPr>
          <w:ilvl w:val="0"/>
          <w:numId w:val="69"/>
        </w:numPr>
        <w:tabs>
          <w:tab w:val="clear" w:pos="425"/>
          <w:tab w:val="clear" w:pos="850"/>
          <w:tab w:val="clear" w:pos="1276"/>
        </w:tabs>
        <w:ind w:left="1701" w:hanging="567"/>
        <w:rPr>
          <w:rFonts w:asciiTheme="minorHAnsi" w:hAnsiTheme="minorHAnsi" w:cstheme="minorHAnsi"/>
          <w:bCs/>
          <w:sz w:val="22"/>
        </w:rPr>
      </w:pPr>
      <w:r w:rsidRPr="00097442">
        <w:rPr>
          <w:rFonts w:asciiTheme="minorHAnsi" w:hAnsiTheme="minorHAnsi" w:cstheme="minorHAnsi"/>
          <w:bCs/>
          <w:sz w:val="22"/>
        </w:rPr>
        <w:t>foreign aircraft and vessels that carry passengers to, from, or in Australia and that offer services to the public</w:t>
      </w:r>
    </w:p>
    <w:p w14:paraId="22BC9FF2" w14:textId="77777777" w:rsidR="00094004" w:rsidRDefault="00094004" w:rsidP="00094004">
      <w:pPr>
        <w:ind w:left="1134" w:hanging="567"/>
        <w:rPr>
          <w:rFonts w:cstheme="minorHAnsi"/>
          <w:bCs/>
        </w:rPr>
      </w:pPr>
      <w:r w:rsidRPr="00097442">
        <w:rPr>
          <w:rFonts w:cstheme="minorHAnsi"/>
          <w:bCs/>
        </w:rPr>
        <w:t>(3)</w:t>
      </w:r>
      <w:r w:rsidRPr="00097442">
        <w:rPr>
          <w:rFonts w:cstheme="minorHAnsi"/>
          <w:bCs/>
        </w:rPr>
        <w:tab/>
        <w:t xml:space="preserve">A </w:t>
      </w:r>
      <w:r w:rsidRPr="00097442">
        <w:rPr>
          <w:rFonts w:cstheme="minorHAnsi"/>
        </w:rPr>
        <w:t>public transport service does not include a service that provides adventure travel, except to the extent that the service operates to move the public from one location to another distant location.</w:t>
      </w:r>
    </w:p>
    <w:p w14:paraId="3950D3DE" w14:textId="77777777" w:rsidR="00094004" w:rsidRDefault="00094004" w:rsidP="00094004">
      <w:pPr>
        <w:pStyle w:val="Heading4"/>
      </w:pPr>
      <w:r>
        <w:t>Non-regulatory option</w:t>
      </w:r>
    </w:p>
    <w:p w14:paraId="6CDCB407" w14:textId="77777777" w:rsidR="00094004" w:rsidRPr="00097442" w:rsidRDefault="00094004" w:rsidP="00094004">
      <w:pPr>
        <w:keepLines/>
      </w:pPr>
      <w:r w:rsidRPr="00097442">
        <w:t xml:space="preserve">Through guidance and an education campaign this option will provide advice on requirements of transport services to ensure conveyances are compliant with the </w:t>
      </w:r>
      <w:r>
        <w:t xml:space="preserve">Transport Standards. This guidance would encourage future transport modes to </w:t>
      </w:r>
      <w:r w:rsidRPr="00097442">
        <w:t>consider accessibility requirements during the design of their services</w:t>
      </w:r>
      <w:r>
        <w:t xml:space="preserve"> to ensure these services are Transport Standards compliant when entering the Australian market</w:t>
      </w:r>
      <w:r w:rsidRPr="00097442">
        <w:t>.</w:t>
      </w:r>
    </w:p>
    <w:p w14:paraId="69F35C36" w14:textId="77777777" w:rsidR="00094004" w:rsidRDefault="00094004" w:rsidP="00094004">
      <w:r>
        <w:rPr>
          <w:rFonts w:cstheme="minorHAnsi"/>
        </w:rPr>
        <w:t xml:space="preserve">Given the similarities between the services provided by taxis and rideshare, </w:t>
      </w:r>
      <w:r>
        <w:t>g</w:t>
      </w:r>
      <w:r w:rsidRPr="00097442">
        <w:t xml:space="preserve">uidance would be provided in the </w:t>
      </w:r>
      <w:r>
        <w:t>Transport Standards</w:t>
      </w:r>
      <w:r w:rsidRPr="00097442">
        <w:t xml:space="preserve"> Guidelines and / or The Whole Journey Guide to include requirements for services that provide taxi travel </w:t>
      </w:r>
      <w:r>
        <w:t xml:space="preserve">(such as rideshare) </w:t>
      </w:r>
      <w:r w:rsidRPr="00097442">
        <w:t>und</w:t>
      </w:r>
      <w:r w:rsidRPr="005C0ECD">
        <w:t xml:space="preserve">er the </w:t>
      </w:r>
      <w:r>
        <w:t>Transport Standards.</w:t>
      </w:r>
      <w:r w:rsidRPr="005C0ECD">
        <w:t xml:space="preserve"> </w:t>
      </w:r>
      <w:r w:rsidRPr="00097442">
        <w:t>Advice would also raise awareness of areas where operators and providers can improve the accessibility of their services.</w:t>
      </w:r>
    </w:p>
    <w:p w14:paraId="38258492" w14:textId="77777777" w:rsidR="00094004" w:rsidRPr="00EE08D6" w:rsidRDefault="00094004" w:rsidP="00094004">
      <w:r w:rsidRPr="00EE08D6">
        <w:t>Specific guidance may include the following:</w:t>
      </w:r>
    </w:p>
    <w:p w14:paraId="125B9FAC" w14:textId="77777777" w:rsidR="00094004" w:rsidRDefault="00094004" w:rsidP="00F934C4">
      <w:pPr>
        <w:pStyle w:val="Listparagraphbullets"/>
      </w:pPr>
      <w:r w:rsidRPr="00EE08D6">
        <w:t>Rideshare conveyances without a taxi registration number may potentially comply with Transport Standards section 17.7, Taxi registration numbers, by instead providing the vehicle’s registration number in raised lettering.</w:t>
      </w:r>
    </w:p>
    <w:p w14:paraId="600939A9" w14:textId="77777777" w:rsidR="00094004" w:rsidRDefault="00094004" w:rsidP="00F934C4">
      <w:pPr>
        <w:pStyle w:val="Listparagraphbullets"/>
      </w:pPr>
      <w:r w:rsidRPr="00EE08D6">
        <w:t>Booking platforms for taxi travel services should ensure response times for accessible vehicles are the same as for other conveyances providing taxi travel.</w:t>
      </w:r>
    </w:p>
    <w:p w14:paraId="5CF600BA" w14:textId="77777777" w:rsidR="00094004" w:rsidRPr="00EE08D6" w:rsidRDefault="00094004" w:rsidP="00F934C4">
      <w:pPr>
        <w:pStyle w:val="Listparagraphbullets"/>
      </w:pPr>
      <w:r w:rsidRPr="00EE08D6">
        <w:t>Accessible rideshare conveyances may comply with the requirements for accessible taxis.</w:t>
      </w:r>
    </w:p>
    <w:p w14:paraId="6486D4D5" w14:textId="77777777" w:rsidR="00094004" w:rsidRPr="00EE08D6" w:rsidRDefault="00094004" w:rsidP="00F934C4">
      <w:pPr>
        <w:pStyle w:val="Listparagraphbullets"/>
      </w:pPr>
      <w:r w:rsidRPr="00EE08D6">
        <w:t>Rideshare conveyances may comply with all other requirements for conveyances in the Transport Standards and rideshare operators should comply with any other requirements related to the provision of public transport.</w:t>
      </w:r>
    </w:p>
    <w:p w14:paraId="239FD37C" w14:textId="77777777" w:rsidR="00094004" w:rsidRPr="00EE08D6" w:rsidRDefault="00094004" w:rsidP="00F934C4">
      <w:pPr>
        <w:pStyle w:val="Listparagraphbullets"/>
      </w:pPr>
      <w:r w:rsidRPr="00EE08D6">
        <w:t>Booking and payment platforms must be accessible.</w:t>
      </w:r>
    </w:p>
    <w:p w14:paraId="4581094C" w14:textId="77777777" w:rsidR="00094004" w:rsidRPr="00EE08D6" w:rsidRDefault="00094004" w:rsidP="00F934C4">
      <w:pPr>
        <w:pStyle w:val="Listparagraphbullets"/>
      </w:pPr>
      <w:r w:rsidRPr="00EE08D6">
        <w:t>Including wheelchair accessible vehicles in the rideshare fleet will help to ensure their service is accessible to all passengers.</w:t>
      </w:r>
    </w:p>
    <w:p w14:paraId="024E8CDE" w14:textId="77777777" w:rsidR="00094004" w:rsidRPr="00EE08D6" w:rsidRDefault="00094004" w:rsidP="00094004">
      <w:r w:rsidRPr="00EE08D6">
        <w:t xml:space="preserve">An education campaign would be developed targeted at the rideshare sector, providing advice on their responsibilities under the DDA to eliminate discrimination as far as possible, and provide </w:t>
      </w:r>
      <w:r w:rsidRPr="00EE08D6">
        <w:lastRenderedPageBreak/>
        <w:t>clarity and certainty on their responsibilities to ensure compliance as a public transport operator and provider under the Transport Standards. The aim of the campaign will be to encourage rideshare operators to eliminate discrimination against people with disability and provide more accessible services.</w:t>
      </w:r>
    </w:p>
    <w:p w14:paraId="1A7ED57A" w14:textId="77777777" w:rsidR="00094004" w:rsidRDefault="00094004" w:rsidP="00094004">
      <w:pPr>
        <w:pStyle w:val="Heading4"/>
      </w:pPr>
      <w:r>
        <w:t>Regulatory option</w:t>
      </w:r>
    </w:p>
    <w:p w14:paraId="0ED05EFA" w14:textId="77777777" w:rsidR="00094004" w:rsidRPr="00EE08D6" w:rsidRDefault="00094004" w:rsidP="00094004">
      <w:r w:rsidRPr="00EE08D6">
        <w:t>The Transport Standards would be amended to ensure rideshare services are explicitly identified and ensure the current requirements for taxis are fit for purpose to apply to other services providing taxi travel.</w:t>
      </w:r>
    </w:p>
    <w:p w14:paraId="6AD84308" w14:textId="77777777" w:rsidR="00094004" w:rsidRPr="00EE08D6" w:rsidRDefault="00094004" w:rsidP="00094004">
      <w:r w:rsidRPr="00EE08D6">
        <w:t>Transport Standards Division 1.2, Meaning of important terms, would be amended to ensure rideshare is explicitly covered by the Transport Standards, including:</w:t>
      </w:r>
    </w:p>
    <w:p w14:paraId="05907C2D" w14:textId="77777777" w:rsidR="00094004" w:rsidRPr="00EE08D6" w:rsidRDefault="00094004" w:rsidP="00F934C4">
      <w:pPr>
        <w:pStyle w:val="Listparagraphbullets"/>
      </w:pPr>
      <w:r>
        <w:t>l</w:t>
      </w:r>
      <w:r w:rsidRPr="00EE08D6">
        <w:t>ist of conveyance at section 1.12, Conveyance</w:t>
      </w:r>
    </w:p>
    <w:p w14:paraId="12F87DFA" w14:textId="77777777" w:rsidR="00094004" w:rsidRPr="00EE08D6" w:rsidRDefault="00094004" w:rsidP="00F934C4">
      <w:pPr>
        <w:pStyle w:val="Listparagraphbullets"/>
      </w:pPr>
      <w:r>
        <w:t>d</w:t>
      </w:r>
      <w:r w:rsidRPr="00EE08D6">
        <w:t>efinition of public transport at section</w:t>
      </w:r>
      <w:r>
        <w:t xml:space="preserve"> 1.23, Public transport service.</w:t>
      </w:r>
    </w:p>
    <w:p w14:paraId="62059910" w14:textId="77777777" w:rsidR="00094004" w:rsidRPr="00EE08D6" w:rsidRDefault="00094004" w:rsidP="00094004">
      <w:r w:rsidRPr="00EE08D6">
        <w:t>Amendments to the definitions of conveyance and / or public transport service would be drafted to ensure rideshare is explicitly covered by the Transport Standards. Any amended definitions would not be overly prescriptive, to ensure any operator or provider of public transport entering the Australian market understands the requirements it must comply with.</w:t>
      </w:r>
    </w:p>
    <w:p w14:paraId="0BCDF254" w14:textId="77777777" w:rsidR="00094004" w:rsidRDefault="00094004" w:rsidP="00094004">
      <w:r w:rsidRPr="00EE08D6">
        <w:t>A</w:t>
      </w:r>
      <w:r w:rsidRPr="00EE08D6" w:rsidDel="004E6A08">
        <w:t>mendments to the applicability</w:t>
      </w:r>
      <w:r w:rsidRPr="00EE08D6">
        <w:t xml:space="preserve"> of sections of the Transport Standards for conveyances would also be updated to reflect these new definitions.</w:t>
      </w:r>
    </w:p>
    <w:p w14:paraId="76D62920" w14:textId="77777777" w:rsidR="00094004" w:rsidRPr="00EE08D6" w:rsidDel="00D85FBD" w:rsidRDefault="00094004" w:rsidP="00094004">
      <w:r w:rsidRPr="00EE08D6">
        <w:t xml:space="preserve">Transport Standards </w:t>
      </w:r>
      <w:r w:rsidRPr="00EE08D6" w:rsidDel="00D85FBD">
        <w:t xml:space="preserve">requirements that currently apply to ‘taxis’ </w:t>
      </w:r>
      <w:r w:rsidRPr="00EE08D6">
        <w:t xml:space="preserve">would also be amended </w:t>
      </w:r>
      <w:r w:rsidRPr="00EE08D6" w:rsidDel="00D85FBD">
        <w:t>to ensure they are fit for purpose in application to rideshare conveyances, including:</w:t>
      </w:r>
    </w:p>
    <w:p w14:paraId="10F49BB3" w14:textId="77777777" w:rsidR="00094004" w:rsidRDefault="00094004" w:rsidP="00F934C4">
      <w:pPr>
        <w:pStyle w:val="Listparagraphbullets"/>
      </w:pPr>
      <w:r w:rsidRPr="00EE08D6" w:rsidDel="00D85FBD">
        <w:t>Schedule 1, Target dates for compliance, Part 1, T</w:t>
      </w:r>
      <w:r w:rsidRPr="00EE08D6">
        <w:t>arget date</w:t>
      </w:r>
      <w:r>
        <w:t>—</w:t>
      </w:r>
      <w:r w:rsidRPr="00EE08D6">
        <w:t>31 December 2007, section 1.3</w:t>
      </w:r>
      <w:r w:rsidRPr="00EE08D6" w:rsidDel="00D85FBD">
        <w:t xml:space="preserve"> Responsibility, that provides response times for accessible vehicles.</w:t>
      </w:r>
    </w:p>
    <w:p w14:paraId="1305EB3C" w14:textId="77777777" w:rsidR="00094004" w:rsidRPr="00EE08D6" w:rsidDel="00D85FBD" w:rsidRDefault="00094004" w:rsidP="00F934C4">
      <w:pPr>
        <w:pStyle w:val="Listparagraphbullets"/>
      </w:pPr>
      <w:r w:rsidRPr="00EE08D6" w:rsidDel="00D85FBD">
        <w:t>Section 17.7, Taxi registration numbers, that provides for the placement of taxi registration numbers and would be broadened to require vehicle registration numbers for rideshare vehicles.</w:t>
      </w:r>
    </w:p>
    <w:p w14:paraId="651E2207" w14:textId="77777777" w:rsidR="00094004" w:rsidRDefault="00094004" w:rsidP="00094004">
      <w:r w:rsidRPr="00EE08D6">
        <w:t>Guidance would be provided in the Transport Standards Guidelines and / or The Whole Journey Guide to include advice ensure rideshare services are explicitly identified and the applicable requirements for taxi-travel are fit for purpose.</w:t>
      </w:r>
    </w:p>
    <w:p w14:paraId="500C6073" w14:textId="1F484729" w:rsidR="00094004" w:rsidRDefault="00094004" w:rsidP="006F65FB">
      <w:pPr>
        <w:pStyle w:val="Heading3"/>
        <w:numPr>
          <w:ilvl w:val="0"/>
          <w:numId w:val="66"/>
        </w:numPr>
        <w:ind w:left="567" w:hanging="567"/>
      </w:pPr>
      <w:bookmarkStart w:id="815" w:name="_Toc127351822"/>
      <w:bookmarkStart w:id="816" w:name="_Toc130914500"/>
      <w:bookmarkStart w:id="817" w:name="_Toc140239795"/>
      <w:r>
        <w:t>Dedicated school buses</w:t>
      </w:r>
      <w:bookmarkEnd w:id="815"/>
      <w:bookmarkEnd w:id="816"/>
      <w:bookmarkEnd w:id="817"/>
    </w:p>
    <w:p w14:paraId="05DD09ED" w14:textId="77777777" w:rsidR="00094004" w:rsidRPr="00170728" w:rsidRDefault="00094004" w:rsidP="00094004">
      <w:pPr>
        <w:pStyle w:val="Heading4"/>
      </w:pPr>
      <w:r>
        <w:t>Status quo</w:t>
      </w:r>
    </w:p>
    <w:p w14:paraId="0BD27D07"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w:t>
      </w:r>
      <w:r>
        <w:t>. Dedicated school buses would continue to be exempt from the following sections</w:t>
      </w:r>
      <w:r w:rsidRPr="00097442">
        <w:t>:</w:t>
      </w:r>
    </w:p>
    <w:p w14:paraId="2513244D" w14:textId="77777777" w:rsidR="00094004" w:rsidRPr="00097442" w:rsidRDefault="00094004" w:rsidP="00F934C4">
      <w:pPr>
        <w:pStyle w:val="Listparagraphbullets"/>
      </w:pPr>
      <w:r w:rsidRPr="00097442">
        <w:t>Section 1.13, Dedicated school bus and dedicated school bus service</w:t>
      </w:r>
    </w:p>
    <w:p w14:paraId="6A645EA2" w14:textId="77777777" w:rsidR="00094004" w:rsidRPr="00097442" w:rsidRDefault="00094004" w:rsidP="00F934C4">
      <w:pPr>
        <w:pStyle w:val="Listparagraphbullets"/>
      </w:pPr>
      <w:r w:rsidRPr="00097442">
        <w:t>Section 3.2, Access for passengers in wheelchairs, etc</w:t>
      </w:r>
    </w:p>
    <w:p w14:paraId="278F63B1" w14:textId="77777777" w:rsidR="00094004" w:rsidRPr="00097442" w:rsidRDefault="00094004" w:rsidP="00F934C4">
      <w:pPr>
        <w:pStyle w:val="Listparagraphbullets"/>
      </w:pPr>
      <w:r w:rsidRPr="00097442">
        <w:t>Section 6.2, Boarding ramps</w:t>
      </w:r>
    </w:p>
    <w:p w14:paraId="42F033EC" w14:textId="77777777" w:rsidR="00094004" w:rsidRPr="00097442" w:rsidRDefault="00094004" w:rsidP="00F934C4">
      <w:pPr>
        <w:pStyle w:val="Listparagraphbullets"/>
      </w:pPr>
      <w:r w:rsidRPr="00097442">
        <w:t>Section 6.3, Minimum allowable width</w:t>
      </w:r>
    </w:p>
    <w:p w14:paraId="1404CE89" w14:textId="77777777" w:rsidR="00094004" w:rsidRPr="00097442" w:rsidRDefault="00094004" w:rsidP="00F934C4">
      <w:pPr>
        <w:pStyle w:val="Listparagraphbullets"/>
      </w:pPr>
      <w:r w:rsidRPr="00097442">
        <w:t>Section 6.4, Slope of external boarding ramps</w:t>
      </w:r>
    </w:p>
    <w:p w14:paraId="17742388" w14:textId="77777777" w:rsidR="00094004" w:rsidRPr="00097442" w:rsidRDefault="00094004" w:rsidP="00F934C4">
      <w:pPr>
        <w:pStyle w:val="Listparagraphbullets"/>
      </w:pPr>
      <w:r w:rsidRPr="00097442">
        <w:t>Section 8.2, When boarding devices must be provided</w:t>
      </w:r>
    </w:p>
    <w:p w14:paraId="5D83D000" w14:textId="77777777" w:rsidR="00094004" w:rsidRPr="00097442" w:rsidRDefault="00094004" w:rsidP="00F934C4">
      <w:pPr>
        <w:pStyle w:val="Listparagraphbullets"/>
      </w:pPr>
      <w:r w:rsidRPr="00097442">
        <w:t>Section 8.3, Use of boarding devices</w:t>
      </w:r>
    </w:p>
    <w:p w14:paraId="24CF87AA" w14:textId="77777777" w:rsidR="00094004" w:rsidRPr="00097442" w:rsidRDefault="00094004" w:rsidP="00F934C4">
      <w:pPr>
        <w:pStyle w:val="Listparagraphbullets"/>
      </w:pPr>
      <w:r w:rsidRPr="00097442">
        <w:t>Section 8.4, Hail-and-ride services</w:t>
      </w:r>
    </w:p>
    <w:p w14:paraId="48943B4E" w14:textId="77777777" w:rsidR="00094004" w:rsidRPr="00097442" w:rsidRDefault="00094004" w:rsidP="00F934C4">
      <w:pPr>
        <w:pStyle w:val="Listparagraphbullets"/>
      </w:pPr>
      <w:r w:rsidRPr="00097442">
        <w:t>Section 8.5, Width and surface of boarding devices</w:t>
      </w:r>
    </w:p>
    <w:p w14:paraId="79B4022A" w14:textId="77777777" w:rsidR="00094004" w:rsidRPr="00097442" w:rsidRDefault="00094004" w:rsidP="00F934C4">
      <w:pPr>
        <w:pStyle w:val="Listparagraphbullets"/>
      </w:pPr>
      <w:r w:rsidRPr="00097442">
        <w:t>Section 8.6, Maximum load to be supported by boarding device</w:t>
      </w:r>
    </w:p>
    <w:p w14:paraId="09C3F581" w14:textId="77777777" w:rsidR="00094004" w:rsidRPr="00097442" w:rsidRDefault="00094004" w:rsidP="00F934C4">
      <w:pPr>
        <w:pStyle w:val="Listparagraphbullets"/>
      </w:pPr>
      <w:r w:rsidRPr="00097442">
        <w:lastRenderedPageBreak/>
        <w:t>Section 8.7, Signals requesting use of boarding device</w:t>
      </w:r>
    </w:p>
    <w:p w14:paraId="3DAE0D3C" w14:textId="77777777" w:rsidR="00094004" w:rsidRPr="00097442" w:rsidRDefault="00094004" w:rsidP="00F934C4">
      <w:pPr>
        <w:pStyle w:val="Listparagraphbullets"/>
      </w:pPr>
      <w:r w:rsidRPr="00097442">
        <w:t>Section 8.8, Notification by passenger of need for boarding device</w:t>
      </w:r>
    </w:p>
    <w:p w14:paraId="593E998D" w14:textId="77777777" w:rsidR="00094004" w:rsidRPr="00097442" w:rsidRDefault="00094004" w:rsidP="00F934C4">
      <w:pPr>
        <w:pStyle w:val="Listparagraphbullets"/>
      </w:pPr>
      <w:r w:rsidRPr="00097442">
        <w:t>Section 9.1, Minimum size for allocated space</w:t>
      </w:r>
    </w:p>
    <w:p w14:paraId="51959F7F" w14:textId="77777777" w:rsidR="00094004" w:rsidRPr="00097442" w:rsidRDefault="00094004" w:rsidP="00F934C4">
      <w:pPr>
        <w:pStyle w:val="Listparagraphbullets"/>
      </w:pPr>
      <w:r w:rsidRPr="00097442">
        <w:t>Section 9.4, Number of allocated spaces to be provided</w:t>
      </w:r>
      <w:r>
        <w:t>—</w:t>
      </w:r>
      <w:r w:rsidRPr="00097442">
        <w:t>buses</w:t>
      </w:r>
    </w:p>
    <w:p w14:paraId="7414ACD7" w14:textId="77777777" w:rsidR="00094004" w:rsidRPr="00097442" w:rsidRDefault="00094004" w:rsidP="00F934C4">
      <w:pPr>
        <w:pStyle w:val="Listparagraphbullets"/>
      </w:pPr>
      <w:r w:rsidRPr="00097442">
        <w:t>Section 9.7, Consolidation of allocated spaces</w:t>
      </w:r>
    </w:p>
    <w:p w14:paraId="5837AEE9" w14:textId="77777777" w:rsidR="00094004" w:rsidRPr="00097442" w:rsidRDefault="00094004" w:rsidP="00F934C4">
      <w:pPr>
        <w:pStyle w:val="Listparagraphbullets"/>
      </w:pPr>
      <w:r w:rsidRPr="00097442">
        <w:t>Section 9.9, Use of allocated spaces for other purposes</w:t>
      </w:r>
    </w:p>
    <w:p w14:paraId="6B3E15C1" w14:textId="77777777" w:rsidR="00094004" w:rsidRPr="00097442" w:rsidRDefault="00094004" w:rsidP="00F934C4">
      <w:pPr>
        <w:pStyle w:val="Listparagraphbullets"/>
      </w:pPr>
      <w:r w:rsidRPr="00097442">
        <w:t>Section 9.11, Movement of mobility aid in allocated space</w:t>
      </w:r>
    </w:p>
    <w:p w14:paraId="47D589A5" w14:textId="77777777" w:rsidR="00094004" w:rsidRPr="00097442" w:rsidRDefault="00094004" w:rsidP="00F934C4">
      <w:pPr>
        <w:pStyle w:val="Listparagraphbullets"/>
      </w:pPr>
      <w:r w:rsidRPr="00097442">
        <w:t>Section 10.1, Compliance with Australian Standard</w:t>
      </w:r>
    </w:p>
    <w:p w14:paraId="660E5495" w14:textId="77777777" w:rsidR="00094004" w:rsidRPr="00097442" w:rsidRDefault="00094004" w:rsidP="00F934C4">
      <w:pPr>
        <w:pStyle w:val="Listparagraphbullets"/>
      </w:pPr>
      <w:r w:rsidRPr="00097442">
        <w:t>Section 11.3, Handrails on steps</w:t>
      </w:r>
    </w:p>
    <w:p w14:paraId="4ECFC992" w14:textId="77777777" w:rsidR="00094004" w:rsidRPr="00097442" w:rsidRDefault="00094004" w:rsidP="00F934C4">
      <w:pPr>
        <w:pStyle w:val="Listparagraphbullets"/>
      </w:pPr>
      <w:r w:rsidRPr="00097442">
        <w:t>Section 11.4, Handrails above access paths</w:t>
      </w:r>
    </w:p>
    <w:p w14:paraId="1474C008" w14:textId="77777777" w:rsidR="00094004" w:rsidRPr="00097442" w:rsidRDefault="00094004" w:rsidP="00F934C4">
      <w:pPr>
        <w:pStyle w:val="Listparagraphbullets"/>
      </w:pPr>
      <w:r w:rsidRPr="00097442">
        <w:t>Section 11.5, Compliance with Australian Standard</w:t>
      </w:r>
    </w:p>
    <w:p w14:paraId="5DF7AC26" w14:textId="77777777" w:rsidR="00094004" w:rsidRPr="00097442" w:rsidRDefault="00094004" w:rsidP="00F934C4">
      <w:pPr>
        <w:pStyle w:val="Listparagraphbullets"/>
      </w:pPr>
      <w:r w:rsidRPr="00097442">
        <w:t>Section 11.6, Grabrails to be provided where fares are to be paid</w:t>
      </w:r>
    </w:p>
    <w:p w14:paraId="01942552" w14:textId="77777777" w:rsidR="00094004" w:rsidRPr="00097442" w:rsidRDefault="00094004" w:rsidP="00F934C4">
      <w:pPr>
        <w:pStyle w:val="Listparagraphbullets"/>
      </w:pPr>
      <w:r w:rsidRPr="00097442">
        <w:t>Section 11.7, Grabrails to be provided in allocated spaces</w:t>
      </w:r>
    </w:p>
    <w:p w14:paraId="2B686367" w14:textId="77777777" w:rsidR="00094004" w:rsidRPr="00097442" w:rsidRDefault="00094004" w:rsidP="00F934C4">
      <w:pPr>
        <w:pStyle w:val="Listparagraphbullets"/>
      </w:pPr>
      <w:r w:rsidRPr="00097442">
        <w:t>Section 12.1, Doors on access paths</w:t>
      </w:r>
    </w:p>
    <w:p w14:paraId="5EBA2B20" w14:textId="77777777" w:rsidR="00094004" w:rsidRPr="00097442" w:rsidRDefault="00094004" w:rsidP="00F934C4">
      <w:pPr>
        <w:pStyle w:val="Listparagraphbullets"/>
      </w:pPr>
      <w:r w:rsidRPr="00097442">
        <w:t>Section 12.4, Clear opening of doorways</w:t>
      </w:r>
    </w:p>
    <w:p w14:paraId="2715659F" w14:textId="77777777" w:rsidR="00094004" w:rsidRPr="00097442" w:rsidRDefault="00094004" w:rsidP="00F934C4">
      <w:pPr>
        <w:pStyle w:val="Listparagraphbullets"/>
      </w:pPr>
      <w:r w:rsidRPr="00097442">
        <w:t>Section 12.6, Automatic or power-assisted doors</w:t>
      </w:r>
    </w:p>
    <w:p w14:paraId="7AE851A3" w14:textId="77777777" w:rsidR="00094004" w:rsidRPr="00097442" w:rsidRDefault="00094004" w:rsidP="00F934C4">
      <w:pPr>
        <w:pStyle w:val="Listparagraphbullets"/>
      </w:pPr>
      <w:r w:rsidRPr="00097442">
        <w:t>Section 14.1, Stairs not to be sole means of access</w:t>
      </w:r>
    </w:p>
    <w:p w14:paraId="3D90C1FE" w14:textId="77777777" w:rsidR="00094004" w:rsidRPr="00097442" w:rsidRDefault="00094004" w:rsidP="00F934C4">
      <w:pPr>
        <w:pStyle w:val="Listparagraphbullets"/>
      </w:pPr>
      <w:r w:rsidRPr="00097442">
        <w:t>Section 14.4, Compliance with Australian Design Rule 58</w:t>
      </w:r>
      <w:r>
        <w:t>—</w:t>
      </w:r>
      <w:r w:rsidRPr="00097442">
        <w:t>conveyances</w:t>
      </w:r>
      <w:r>
        <w:t>.</w:t>
      </w:r>
    </w:p>
    <w:p w14:paraId="756EF6C6" w14:textId="77777777" w:rsidR="00094004" w:rsidRDefault="00094004" w:rsidP="00094004">
      <w:pPr>
        <w:pStyle w:val="Heading4"/>
      </w:pPr>
      <w:r>
        <w:t>Non-Regulatory option</w:t>
      </w:r>
    </w:p>
    <w:p w14:paraId="3CFE1167" w14:textId="77777777" w:rsidR="00094004" w:rsidRPr="00097442" w:rsidRDefault="00094004" w:rsidP="00094004">
      <w:r w:rsidRPr="00097442">
        <w:t xml:space="preserve">Guidance would be provided in the </w:t>
      </w:r>
      <w:r>
        <w:t>Transport Standards</w:t>
      </w:r>
      <w:r w:rsidRPr="00097442">
        <w:t xml:space="preserve"> Guidelines and / or The Whole Journey Guide for school bus operators and providers.</w:t>
      </w:r>
    </w:p>
    <w:p w14:paraId="79EE5F7A" w14:textId="77777777" w:rsidR="00094004" w:rsidRPr="00097442" w:rsidRDefault="00094004" w:rsidP="00094004">
      <w:pPr>
        <w:keepNext/>
      </w:pPr>
      <w:r w:rsidRPr="00097442">
        <w:t>Specific guidance may include the following:</w:t>
      </w:r>
    </w:p>
    <w:p w14:paraId="48D1BAF7" w14:textId="77777777" w:rsidR="00094004" w:rsidRPr="00097442" w:rsidRDefault="00094004" w:rsidP="00F934C4">
      <w:pPr>
        <w:pStyle w:val="Listparagraphbullets"/>
      </w:pPr>
      <w:r w:rsidRPr="00097442">
        <w:t xml:space="preserve">Emphasise that wherever possible, school bus services should be run using conveyances that are compliant with the </w:t>
      </w:r>
      <w:r>
        <w:t>Transport Standards</w:t>
      </w:r>
      <w:r w:rsidRPr="00097442">
        <w:t>.</w:t>
      </w:r>
    </w:p>
    <w:p w14:paraId="30FE6215" w14:textId="77777777" w:rsidR="00094004" w:rsidRPr="00097442" w:rsidRDefault="00094004" w:rsidP="00F934C4">
      <w:pPr>
        <w:pStyle w:val="Listparagraphbullets"/>
      </w:pPr>
      <w:r w:rsidRPr="00097442">
        <w:t xml:space="preserve">Provide advice that vehicles procured for school bus services should not be used to offer other public transport services unless they are compliant with the </w:t>
      </w:r>
      <w:r>
        <w:t>Transport Standards</w:t>
      </w:r>
      <w:r w:rsidRPr="00097442">
        <w:t>.</w:t>
      </w:r>
    </w:p>
    <w:p w14:paraId="2A059CFE" w14:textId="77777777" w:rsidR="00094004" w:rsidRDefault="00094004" w:rsidP="00F934C4">
      <w:pPr>
        <w:pStyle w:val="Listparagraphbullets"/>
      </w:pPr>
      <w:r w:rsidRPr="00097442">
        <w:t>Provide information and examples on potential equivalent access solutions to assist operators and the disability community to reach equivalent access solutions that meet the needs of all parties, without constituting a parallel service.</w:t>
      </w:r>
    </w:p>
    <w:p w14:paraId="34647C30" w14:textId="77777777" w:rsidR="00094004" w:rsidRPr="00097442" w:rsidRDefault="00094004" w:rsidP="00F934C4">
      <w:pPr>
        <w:pStyle w:val="Listparagraphbullets"/>
      </w:pPr>
      <w:r w:rsidRPr="00097442">
        <w:t xml:space="preserve">Educate operators and providers on the exemption from the </w:t>
      </w:r>
      <w:r>
        <w:t>Transport Standards</w:t>
      </w:r>
      <w:r w:rsidRPr="00097442">
        <w:t>, noting which requirements a school bus must comply with.</w:t>
      </w:r>
    </w:p>
    <w:p w14:paraId="0DFD14F5" w14:textId="77777777" w:rsidR="00094004" w:rsidRDefault="00094004" w:rsidP="00094004">
      <w:pPr>
        <w:pStyle w:val="Heading4"/>
      </w:pPr>
      <w:r>
        <w:t>Regulatory option</w:t>
      </w:r>
    </w:p>
    <w:p w14:paraId="4119B479" w14:textId="77777777" w:rsidR="00094004" w:rsidRDefault="00094004" w:rsidP="00094004">
      <w:r w:rsidRPr="00097442">
        <w:t xml:space="preserve">The </w:t>
      </w:r>
      <w:r>
        <w:t>Transport Standards</w:t>
      </w:r>
      <w:r w:rsidRPr="00097442">
        <w:t xml:space="preserve"> would be amended to provide better accessibility for students with disability on dedicated school buses. There are two regulatory options </w:t>
      </w:r>
      <w:r>
        <w:t>which propose to either remove some or all of the current dedicated school bus exemptions</w:t>
      </w:r>
      <w:r w:rsidRPr="00097442">
        <w:t>.</w:t>
      </w:r>
    </w:p>
    <w:p w14:paraId="122D6C03" w14:textId="77777777" w:rsidR="00094004" w:rsidRPr="00097442" w:rsidRDefault="00094004" w:rsidP="00094004">
      <w:r>
        <w:t>The outcome of this reform area will determine how any new regulatory requirements agreed throughout this reform process will apply to dedicated school buses.</w:t>
      </w:r>
    </w:p>
    <w:p w14:paraId="739571B3" w14:textId="77777777" w:rsidR="00094004" w:rsidRDefault="00094004" w:rsidP="00094004">
      <w:r w:rsidRPr="00097442">
        <w:t xml:space="preserve">Guidance would be provided in the </w:t>
      </w:r>
      <w:r>
        <w:t>Transport Standards</w:t>
      </w:r>
      <w:r w:rsidRPr="00097442">
        <w:t xml:space="preserve"> Guidelines and / or The Whole Journey Guide to reflect new requirements and provide advice on the new regulatory requirements.</w:t>
      </w:r>
    </w:p>
    <w:p w14:paraId="4737CC39" w14:textId="77777777" w:rsidR="00094004" w:rsidRPr="00295B1B" w:rsidRDefault="00094004" w:rsidP="00094004">
      <w:pPr>
        <w:pStyle w:val="Heading6"/>
      </w:pPr>
      <w:r w:rsidRPr="00295B1B">
        <w:t>Option 1 Remove dedicated school bus exemptions</w:t>
      </w:r>
    </w:p>
    <w:p w14:paraId="42A28BA3" w14:textId="77777777" w:rsidR="00094004" w:rsidRPr="00097442" w:rsidRDefault="00094004" w:rsidP="00094004">
      <w:r w:rsidRPr="00097442">
        <w:t xml:space="preserve">The </w:t>
      </w:r>
      <w:r>
        <w:t>Transport Standards</w:t>
      </w:r>
      <w:r w:rsidRPr="00097442">
        <w:t xml:space="preserve"> would be amended to remove exemptions for dedicated school buses.</w:t>
      </w:r>
    </w:p>
    <w:p w14:paraId="70D3B963" w14:textId="77777777" w:rsidR="00094004" w:rsidRPr="00BD0000" w:rsidRDefault="00094004" w:rsidP="00094004">
      <w:pPr>
        <w:spacing w:line="254" w:lineRule="auto"/>
      </w:pPr>
      <w:r>
        <w:lastRenderedPageBreak/>
        <w:t>Transport Standards s</w:t>
      </w:r>
      <w:r w:rsidRPr="00BD0000">
        <w:t>ection 1.13</w:t>
      </w:r>
      <w:r>
        <w:t>,</w:t>
      </w:r>
      <w:r w:rsidRPr="00BD0000">
        <w:t xml:space="preserve"> Dedicated school bus and dedicated school bus service</w:t>
      </w:r>
      <w:r>
        <w:t xml:space="preserve">, would be removed. </w:t>
      </w:r>
      <w:r w:rsidRPr="00BD0000">
        <w:t>This means there would be no distinction between dedicated school buses and other buses.</w:t>
      </w:r>
    </w:p>
    <w:p w14:paraId="057C0E9E" w14:textId="77777777" w:rsidR="00094004" w:rsidRPr="00BD0000" w:rsidRDefault="00094004" w:rsidP="00094004">
      <w:pPr>
        <w:spacing w:line="254" w:lineRule="auto"/>
      </w:pPr>
      <w:r>
        <w:t>The following s</w:t>
      </w:r>
      <w:r w:rsidRPr="00BD0000">
        <w:t>ection</w:t>
      </w:r>
      <w:r>
        <w:t>s</w:t>
      </w:r>
      <w:r w:rsidRPr="00BD0000">
        <w:t xml:space="preserve"> would be amended to remove the dedicated school buses exemption:</w:t>
      </w:r>
    </w:p>
    <w:p w14:paraId="03497C6C" w14:textId="77777777" w:rsidR="00094004" w:rsidRPr="00097442" w:rsidRDefault="00094004" w:rsidP="00F934C4">
      <w:pPr>
        <w:pStyle w:val="Listparagraphbullets"/>
      </w:pPr>
      <w:r w:rsidRPr="00097442">
        <w:t>Section 3.2, Access for passengers in wheelchairs, etc</w:t>
      </w:r>
    </w:p>
    <w:p w14:paraId="3536F77A" w14:textId="77777777" w:rsidR="00094004" w:rsidRPr="00097442" w:rsidRDefault="00094004" w:rsidP="00F934C4">
      <w:pPr>
        <w:pStyle w:val="Listparagraphbullets"/>
      </w:pPr>
      <w:r w:rsidRPr="00097442">
        <w:t>Section 6.2, Boarding ramps</w:t>
      </w:r>
    </w:p>
    <w:p w14:paraId="18C0DEAA" w14:textId="77777777" w:rsidR="00094004" w:rsidRPr="00097442" w:rsidRDefault="00094004" w:rsidP="00F934C4">
      <w:pPr>
        <w:pStyle w:val="Listparagraphbullets"/>
      </w:pPr>
      <w:r w:rsidRPr="00097442">
        <w:t>Section 6.3, Minimum allowable width</w:t>
      </w:r>
    </w:p>
    <w:p w14:paraId="3A2AD3FC" w14:textId="77777777" w:rsidR="00094004" w:rsidRPr="00097442" w:rsidRDefault="00094004" w:rsidP="00F934C4">
      <w:pPr>
        <w:pStyle w:val="Listparagraphbullets"/>
      </w:pPr>
      <w:r w:rsidRPr="00097442">
        <w:t>Section 6.4, Slope of external boarding ramps</w:t>
      </w:r>
    </w:p>
    <w:p w14:paraId="1813352E" w14:textId="77777777" w:rsidR="00094004" w:rsidRPr="00097442" w:rsidRDefault="00094004" w:rsidP="00F934C4">
      <w:pPr>
        <w:pStyle w:val="Listparagraphbullets"/>
      </w:pPr>
      <w:r w:rsidRPr="00097442">
        <w:t>Section 8.2, When boarding devices must be provided</w:t>
      </w:r>
    </w:p>
    <w:p w14:paraId="33EBD5E4" w14:textId="77777777" w:rsidR="00094004" w:rsidRPr="00097442" w:rsidRDefault="00094004" w:rsidP="00F934C4">
      <w:pPr>
        <w:pStyle w:val="Listparagraphbullets"/>
      </w:pPr>
      <w:r w:rsidRPr="00097442">
        <w:t>Section 8.3, Use of boarding devices</w:t>
      </w:r>
    </w:p>
    <w:p w14:paraId="79795DCC" w14:textId="77777777" w:rsidR="00094004" w:rsidRPr="00097442" w:rsidRDefault="00094004" w:rsidP="00F934C4">
      <w:pPr>
        <w:pStyle w:val="Listparagraphbullets"/>
      </w:pPr>
      <w:r w:rsidRPr="00097442">
        <w:t>Section 8.4, Hail-and-ride services</w:t>
      </w:r>
    </w:p>
    <w:p w14:paraId="4010505F" w14:textId="77777777" w:rsidR="00094004" w:rsidRPr="00097442" w:rsidRDefault="00094004" w:rsidP="00F934C4">
      <w:pPr>
        <w:pStyle w:val="Listparagraphbullets"/>
      </w:pPr>
      <w:r w:rsidRPr="00097442">
        <w:t>Section 8.5, Width and surface of boarding devices</w:t>
      </w:r>
    </w:p>
    <w:p w14:paraId="4CE830B1" w14:textId="77777777" w:rsidR="00094004" w:rsidRPr="00097442" w:rsidRDefault="00094004" w:rsidP="00F934C4">
      <w:pPr>
        <w:pStyle w:val="Listparagraphbullets"/>
      </w:pPr>
      <w:r w:rsidRPr="00097442">
        <w:t>Section 8.6, Maximum load to be supported by boarding device</w:t>
      </w:r>
    </w:p>
    <w:p w14:paraId="02A0CA86" w14:textId="77777777" w:rsidR="00094004" w:rsidRPr="00097442" w:rsidRDefault="00094004" w:rsidP="00F934C4">
      <w:pPr>
        <w:pStyle w:val="Listparagraphbullets"/>
      </w:pPr>
      <w:r w:rsidRPr="00097442">
        <w:t>Section 8.7, Signals requesting use of boarding device</w:t>
      </w:r>
    </w:p>
    <w:p w14:paraId="6D863072" w14:textId="77777777" w:rsidR="00094004" w:rsidRPr="00097442" w:rsidRDefault="00094004" w:rsidP="00F934C4">
      <w:pPr>
        <w:pStyle w:val="Listparagraphbullets"/>
      </w:pPr>
      <w:r w:rsidRPr="00097442">
        <w:t>Section 8.8, Notification by passenger of need for boarding device</w:t>
      </w:r>
    </w:p>
    <w:p w14:paraId="4FFD8757" w14:textId="77777777" w:rsidR="00094004" w:rsidRPr="00097442" w:rsidRDefault="00094004" w:rsidP="00F934C4">
      <w:pPr>
        <w:pStyle w:val="Listparagraphbullets"/>
      </w:pPr>
      <w:r w:rsidRPr="00097442">
        <w:t>Section 9.1, Minimum size for allocated space</w:t>
      </w:r>
    </w:p>
    <w:p w14:paraId="4C3E042C" w14:textId="77777777" w:rsidR="00094004" w:rsidRPr="00097442" w:rsidRDefault="00094004" w:rsidP="00F934C4">
      <w:pPr>
        <w:pStyle w:val="Listparagraphbullets"/>
      </w:pPr>
      <w:r w:rsidRPr="00097442">
        <w:t>Section 9.4, Number of allocated spaces to be provided</w:t>
      </w:r>
      <w:r>
        <w:t>—</w:t>
      </w:r>
      <w:r w:rsidRPr="00097442">
        <w:t>buses</w:t>
      </w:r>
    </w:p>
    <w:p w14:paraId="0232F796" w14:textId="77777777" w:rsidR="00094004" w:rsidRPr="00097442" w:rsidRDefault="00094004" w:rsidP="00F934C4">
      <w:pPr>
        <w:pStyle w:val="Listparagraphbullets"/>
      </w:pPr>
      <w:r w:rsidRPr="00097442">
        <w:t>Section 9.7, Consolidation of allocated spaces</w:t>
      </w:r>
    </w:p>
    <w:p w14:paraId="7850E2AC" w14:textId="77777777" w:rsidR="00094004" w:rsidRPr="00097442" w:rsidRDefault="00094004" w:rsidP="00F934C4">
      <w:pPr>
        <w:pStyle w:val="Listparagraphbullets"/>
      </w:pPr>
      <w:r w:rsidRPr="00097442">
        <w:t>Section 9.9, Use of allocated spaces for other purposes</w:t>
      </w:r>
    </w:p>
    <w:p w14:paraId="5214CEA1" w14:textId="77777777" w:rsidR="00094004" w:rsidRPr="00097442" w:rsidRDefault="00094004" w:rsidP="00F934C4">
      <w:pPr>
        <w:pStyle w:val="Listparagraphbullets"/>
      </w:pPr>
      <w:r w:rsidRPr="00097442">
        <w:t>Section 9.11, Movement of mobility aid in allocated space</w:t>
      </w:r>
    </w:p>
    <w:p w14:paraId="0347E7DC" w14:textId="77777777" w:rsidR="00094004" w:rsidRPr="00097442" w:rsidRDefault="00094004" w:rsidP="00F934C4">
      <w:pPr>
        <w:pStyle w:val="Listparagraphbullets"/>
      </w:pPr>
      <w:r w:rsidRPr="00097442">
        <w:t>Section 10.1, Compliance with Australian Standard</w:t>
      </w:r>
    </w:p>
    <w:p w14:paraId="78968F93" w14:textId="77777777" w:rsidR="00094004" w:rsidRPr="00097442" w:rsidRDefault="00094004" w:rsidP="00F934C4">
      <w:pPr>
        <w:pStyle w:val="Listparagraphbullets"/>
      </w:pPr>
      <w:r w:rsidRPr="00097442">
        <w:t>Section 11.3, Handrails on steps</w:t>
      </w:r>
    </w:p>
    <w:p w14:paraId="430F047F" w14:textId="77777777" w:rsidR="00094004" w:rsidRPr="00097442" w:rsidRDefault="00094004" w:rsidP="00F934C4">
      <w:pPr>
        <w:pStyle w:val="Listparagraphbullets"/>
      </w:pPr>
      <w:r w:rsidRPr="00097442">
        <w:t>Section 11.4, Handrails above access paths</w:t>
      </w:r>
    </w:p>
    <w:p w14:paraId="322C63EA" w14:textId="77777777" w:rsidR="00094004" w:rsidRPr="00097442" w:rsidRDefault="00094004" w:rsidP="00F934C4">
      <w:pPr>
        <w:pStyle w:val="Listparagraphbullets"/>
      </w:pPr>
      <w:r w:rsidRPr="00097442">
        <w:t>Section 11.5, Compliance with Australian Standard</w:t>
      </w:r>
    </w:p>
    <w:p w14:paraId="6C01D16F" w14:textId="77777777" w:rsidR="00094004" w:rsidRPr="00097442" w:rsidRDefault="00094004" w:rsidP="00F934C4">
      <w:pPr>
        <w:pStyle w:val="Listparagraphbullets"/>
      </w:pPr>
      <w:r w:rsidRPr="00097442">
        <w:t>Section 11.6, Grabrail to be provided where fares are to be paid</w:t>
      </w:r>
    </w:p>
    <w:p w14:paraId="1CCC8FD4" w14:textId="77777777" w:rsidR="00094004" w:rsidRPr="00097442" w:rsidRDefault="00094004" w:rsidP="00F934C4">
      <w:pPr>
        <w:pStyle w:val="Listparagraphbullets"/>
      </w:pPr>
      <w:r w:rsidRPr="00097442">
        <w:t>Section 11.7, Grabrails to be provided in allocated spaces</w:t>
      </w:r>
    </w:p>
    <w:p w14:paraId="6EB67F45" w14:textId="77777777" w:rsidR="00094004" w:rsidRPr="00097442" w:rsidRDefault="00094004" w:rsidP="00F934C4">
      <w:pPr>
        <w:pStyle w:val="Listparagraphbullets"/>
      </w:pPr>
      <w:r w:rsidRPr="00097442">
        <w:t>Section 12.1, Doors on access paths</w:t>
      </w:r>
    </w:p>
    <w:p w14:paraId="6A3D704D" w14:textId="77777777" w:rsidR="00094004" w:rsidRPr="00097442" w:rsidRDefault="00094004" w:rsidP="00F934C4">
      <w:pPr>
        <w:pStyle w:val="Listparagraphbullets"/>
      </w:pPr>
      <w:r w:rsidRPr="00097442">
        <w:t>Section 12.4, Clear opening of doorways</w:t>
      </w:r>
    </w:p>
    <w:p w14:paraId="520A2C16" w14:textId="77777777" w:rsidR="00094004" w:rsidRPr="00097442" w:rsidRDefault="00094004" w:rsidP="00F934C4">
      <w:pPr>
        <w:pStyle w:val="Listparagraphbullets"/>
      </w:pPr>
      <w:r w:rsidRPr="00097442">
        <w:t>Section 12.6, Automatic or power-assisted doors</w:t>
      </w:r>
    </w:p>
    <w:p w14:paraId="6B4A3A55" w14:textId="77777777" w:rsidR="00094004" w:rsidRPr="00097442" w:rsidRDefault="00094004" w:rsidP="00F934C4">
      <w:pPr>
        <w:pStyle w:val="Listparagraphbullets"/>
      </w:pPr>
      <w:r w:rsidRPr="00097442">
        <w:t>Section 14.1, Stairs not to be sole means of access</w:t>
      </w:r>
    </w:p>
    <w:p w14:paraId="19ACAFC4" w14:textId="77777777" w:rsidR="00094004" w:rsidRPr="00097442" w:rsidRDefault="00094004" w:rsidP="00F934C4">
      <w:pPr>
        <w:pStyle w:val="Listparagraphbullets"/>
      </w:pPr>
      <w:r w:rsidRPr="00097442">
        <w:t>Section 14.4, Compliance with Australian Design Rule 58</w:t>
      </w:r>
      <w:r>
        <w:t>—</w:t>
      </w:r>
      <w:r w:rsidRPr="00097442">
        <w:t>conveyances</w:t>
      </w:r>
      <w:r>
        <w:t>.</w:t>
      </w:r>
    </w:p>
    <w:p w14:paraId="10DFA070" w14:textId="77777777" w:rsidR="00094004" w:rsidRPr="00097442" w:rsidRDefault="00094004" w:rsidP="00094004">
      <w:r w:rsidRPr="00097442">
        <w:t xml:space="preserve">Any </w:t>
      </w:r>
      <w:r>
        <w:t xml:space="preserve">new regulatory requirements agreed through this process </w:t>
      </w:r>
      <w:r w:rsidRPr="00097442">
        <w:t>would not exempt dedicated school buses.</w:t>
      </w:r>
    </w:p>
    <w:p w14:paraId="6E1A9EEF" w14:textId="77777777" w:rsidR="00094004" w:rsidRPr="00097442" w:rsidRDefault="00094004" w:rsidP="00094004">
      <w:pPr>
        <w:pStyle w:val="Heading6"/>
      </w:pPr>
      <w:r w:rsidRPr="00097442">
        <w:t>Option 2</w:t>
      </w:r>
      <w:r>
        <w:t xml:space="preserve"> </w:t>
      </w:r>
      <w:r w:rsidRPr="00097442">
        <w:t>Principles for dedicated school bus services</w:t>
      </w:r>
    </w:p>
    <w:p w14:paraId="0E502426" w14:textId="77777777" w:rsidR="00094004" w:rsidRPr="00097442" w:rsidRDefault="00094004" w:rsidP="00094004">
      <w:r w:rsidRPr="00097442">
        <w:t xml:space="preserve">The </w:t>
      </w:r>
      <w:r>
        <w:t>Transport Standards</w:t>
      </w:r>
      <w:r w:rsidRPr="00097442">
        <w:t xml:space="preserve"> would be amended to include principles for dedicated school bus services.</w:t>
      </w:r>
    </w:p>
    <w:p w14:paraId="338779E2" w14:textId="77777777" w:rsidR="00094004" w:rsidRPr="00097442" w:rsidRDefault="00094004" w:rsidP="00094004">
      <w:r w:rsidRPr="00097442">
        <w:t>The following principles for dedicated school bus services would be adopted:</w:t>
      </w:r>
    </w:p>
    <w:p w14:paraId="6F5B8FCA" w14:textId="77777777" w:rsidR="00094004" w:rsidRPr="00097442" w:rsidRDefault="00094004" w:rsidP="00F934C4">
      <w:pPr>
        <w:pStyle w:val="Listparagraphbullets"/>
      </w:pPr>
      <w:r w:rsidRPr="00097442">
        <w:t>Dedicated school bus services must not discriminate and be such that accessible transport services are provided as required and where practical to do so.</w:t>
      </w:r>
    </w:p>
    <w:p w14:paraId="26A83D88" w14:textId="77777777" w:rsidR="00094004" w:rsidRPr="00097442" w:rsidRDefault="00094004" w:rsidP="00F934C4">
      <w:pPr>
        <w:pStyle w:val="Listparagraphbullets"/>
      </w:pPr>
      <w:r w:rsidRPr="00097442">
        <w:t>Fully accessible (low floor buses) are to be used for school services where appropriate, practical and available.</w:t>
      </w:r>
    </w:p>
    <w:p w14:paraId="1F4D5BB5" w14:textId="77777777" w:rsidR="00094004" w:rsidRPr="00097442" w:rsidRDefault="00094004" w:rsidP="00F934C4">
      <w:pPr>
        <w:pStyle w:val="Listparagraphbullets"/>
      </w:pPr>
      <w:r w:rsidRPr="00097442">
        <w:t xml:space="preserve">Where a low floor bus is used, it must be fully compliant </w:t>
      </w:r>
      <w:r>
        <w:t>with</w:t>
      </w:r>
      <w:r w:rsidRPr="00097442">
        <w:t xml:space="preserve"> the </w:t>
      </w:r>
      <w:r>
        <w:t>Transport Standards</w:t>
      </w:r>
      <w:r w:rsidRPr="00097442">
        <w:t>.</w:t>
      </w:r>
    </w:p>
    <w:p w14:paraId="75C3E54C" w14:textId="77777777" w:rsidR="00094004" w:rsidRPr="00097442" w:rsidRDefault="00094004" w:rsidP="00F934C4">
      <w:pPr>
        <w:pStyle w:val="Listparagraphbullets"/>
      </w:pPr>
      <w:r w:rsidRPr="00097442">
        <w:t>In areas where operational issues such as route accessibility, road terrain, or the need for added safety features such as seatbelts or rollover compliance dictate, then high floor buses can be used.</w:t>
      </w:r>
    </w:p>
    <w:p w14:paraId="77409DCD" w14:textId="77777777" w:rsidR="00094004" w:rsidRPr="00097442" w:rsidRDefault="00094004" w:rsidP="00F934C4">
      <w:pPr>
        <w:pStyle w:val="Listparagraphbullets"/>
      </w:pPr>
      <w:r w:rsidRPr="00097442">
        <w:t>In such areas where the need for access to on-board accessible features by passengers using mobility aids is determined, then an accessible high floor bus can be employed.</w:t>
      </w:r>
    </w:p>
    <w:p w14:paraId="04F2B1CB" w14:textId="77777777" w:rsidR="00094004" w:rsidRPr="00097442" w:rsidRDefault="00094004" w:rsidP="00F934C4">
      <w:pPr>
        <w:pStyle w:val="Listparagraphbullets"/>
      </w:pPr>
      <w:r w:rsidRPr="00097442">
        <w:lastRenderedPageBreak/>
        <w:t xml:space="preserve">Accessible high floor buses (such as high floor buses fitted with a hoist) meet the sections of the </w:t>
      </w:r>
      <w:r>
        <w:t>Transport Standards</w:t>
      </w:r>
      <w:r w:rsidRPr="00097442">
        <w:t xml:space="preserve"> covering access to on-board accessible features by passengers using mobility aids.</w:t>
      </w:r>
    </w:p>
    <w:p w14:paraId="6D9B7702" w14:textId="77777777" w:rsidR="00094004" w:rsidRPr="00097442" w:rsidRDefault="00094004" w:rsidP="00F934C4">
      <w:pPr>
        <w:pStyle w:val="Listparagraphbullets"/>
      </w:pPr>
      <w:r w:rsidRPr="00097442">
        <w:t>To support this process, the following would apply:</w:t>
      </w:r>
    </w:p>
    <w:p w14:paraId="003185C3" w14:textId="77777777" w:rsidR="00094004" w:rsidRPr="00097442" w:rsidRDefault="00094004" w:rsidP="00F934C4">
      <w:pPr>
        <w:pStyle w:val="Listparagraphbullets"/>
        <w:numPr>
          <w:ilvl w:val="1"/>
          <w:numId w:val="4"/>
        </w:numPr>
      </w:pPr>
      <w:r w:rsidRPr="00097442">
        <w:t>New high-floor, dedicated sch</w:t>
      </w:r>
      <w:r>
        <w:t>ool buses must comply with all s</w:t>
      </w:r>
      <w:r w:rsidRPr="00097442">
        <w:t xml:space="preserve">ections of the </w:t>
      </w:r>
      <w:r>
        <w:t>Transport Standards</w:t>
      </w:r>
      <w:r w:rsidRPr="00097442">
        <w:t xml:space="preserve"> except those </w:t>
      </w:r>
      <w:r>
        <w:t>s</w:t>
      </w:r>
      <w:r w:rsidRPr="00097442">
        <w:t>ections covering access to on-board accessible features by passengers using mobility aids.</w:t>
      </w:r>
    </w:p>
    <w:p w14:paraId="06E52B09" w14:textId="77777777" w:rsidR="00094004" w:rsidRPr="00097442" w:rsidRDefault="00094004" w:rsidP="00F934C4">
      <w:pPr>
        <w:pStyle w:val="Listparagraphbullets"/>
        <w:numPr>
          <w:ilvl w:val="1"/>
          <w:numId w:val="4"/>
        </w:numPr>
      </w:pPr>
      <w:r w:rsidRPr="00097442">
        <w:t>New high floor dedicated school buses must also be so configured that they are able to be retrofitted with a hoist and be able to provide access to on-board accessible features by passengers using mobility aids.</w:t>
      </w:r>
    </w:p>
    <w:p w14:paraId="20B0BDA8" w14:textId="77777777" w:rsidR="00094004" w:rsidRPr="00097442" w:rsidRDefault="00094004" w:rsidP="00094004">
      <w:r w:rsidRPr="00097442">
        <w:t>High-floor, dedicated school buses (such as those fitted with a hoist) would continue t</w:t>
      </w:r>
      <w:r>
        <w:t>o be exempt from the following s</w:t>
      </w:r>
      <w:r w:rsidRPr="00097442">
        <w:t xml:space="preserve">ections of the </w:t>
      </w:r>
      <w:r>
        <w:t>Transport Standards</w:t>
      </w:r>
      <w:r w:rsidRPr="00097442">
        <w:t>:</w:t>
      </w:r>
    </w:p>
    <w:p w14:paraId="37689F87" w14:textId="77777777" w:rsidR="00094004" w:rsidRPr="00097442" w:rsidRDefault="00094004" w:rsidP="00F934C4">
      <w:pPr>
        <w:pStyle w:val="Listparagraphbullets"/>
      </w:pPr>
      <w:r w:rsidRPr="00097442">
        <w:t>Section 3.2, Access for passengers in wheelchairs, etc.</w:t>
      </w:r>
    </w:p>
    <w:p w14:paraId="43BCCFE7" w14:textId="77777777" w:rsidR="00094004" w:rsidRPr="00097442" w:rsidRDefault="00094004" w:rsidP="00F934C4">
      <w:pPr>
        <w:pStyle w:val="Listparagraphbullets"/>
      </w:pPr>
      <w:r w:rsidRPr="00097442">
        <w:t>Section 8.2, When boarding devices must be provided</w:t>
      </w:r>
    </w:p>
    <w:p w14:paraId="3D80A896" w14:textId="77777777" w:rsidR="00094004" w:rsidRPr="00097442" w:rsidRDefault="00094004" w:rsidP="00F934C4">
      <w:pPr>
        <w:pStyle w:val="Listparagraphbullets"/>
      </w:pPr>
      <w:r w:rsidRPr="00097442">
        <w:t>Section 8.3, Use of boarding devices</w:t>
      </w:r>
    </w:p>
    <w:p w14:paraId="0BD049E7" w14:textId="77777777" w:rsidR="00094004" w:rsidRPr="00097442" w:rsidRDefault="00094004" w:rsidP="00F934C4">
      <w:pPr>
        <w:pStyle w:val="Listparagraphbullets"/>
      </w:pPr>
      <w:r w:rsidRPr="00097442">
        <w:t>Section 8.4, Hail-and-ride services</w:t>
      </w:r>
    </w:p>
    <w:p w14:paraId="50AFDA5D" w14:textId="77777777" w:rsidR="00094004" w:rsidRPr="00097442" w:rsidRDefault="00094004" w:rsidP="00F934C4">
      <w:pPr>
        <w:pStyle w:val="Listparagraphbullets"/>
      </w:pPr>
      <w:r w:rsidRPr="00097442">
        <w:t>Section 8.5, Width and surface of boarding devices</w:t>
      </w:r>
    </w:p>
    <w:p w14:paraId="05590B83" w14:textId="77777777" w:rsidR="00094004" w:rsidRPr="00097442" w:rsidRDefault="00094004" w:rsidP="00F934C4">
      <w:pPr>
        <w:pStyle w:val="Listparagraphbullets"/>
      </w:pPr>
      <w:r w:rsidRPr="00097442">
        <w:t>Section 8.6, Maximum load to be supported by boarding device</w:t>
      </w:r>
    </w:p>
    <w:p w14:paraId="441B5F61" w14:textId="77777777" w:rsidR="00094004" w:rsidRPr="00097442" w:rsidRDefault="00094004" w:rsidP="00F934C4">
      <w:pPr>
        <w:pStyle w:val="Listparagraphbullets"/>
      </w:pPr>
      <w:r w:rsidRPr="00097442">
        <w:t>Section 8.7, Signals requesting use of boarding device</w:t>
      </w:r>
    </w:p>
    <w:p w14:paraId="6926EE51" w14:textId="77777777" w:rsidR="00094004" w:rsidRPr="00097442" w:rsidRDefault="00094004" w:rsidP="00F934C4">
      <w:pPr>
        <w:pStyle w:val="Listparagraphbullets"/>
      </w:pPr>
      <w:r w:rsidRPr="00097442">
        <w:t>Section 8.8, Notification by passenger of need for boarding device</w:t>
      </w:r>
    </w:p>
    <w:p w14:paraId="159190B7" w14:textId="77777777" w:rsidR="00094004" w:rsidRPr="00097442" w:rsidRDefault="00094004" w:rsidP="00F934C4">
      <w:pPr>
        <w:pStyle w:val="Listparagraphbullets"/>
      </w:pPr>
      <w:r w:rsidRPr="00097442">
        <w:t>Section 9.1, Minimum size for allocated space</w:t>
      </w:r>
    </w:p>
    <w:p w14:paraId="0C69768E" w14:textId="77777777" w:rsidR="00094004" w:rsidRPr="00097442" w:rsidRDefault="00094004" w:rsidP="00F934C4">
      <w:pPr>
        <w:pStyle w:val="Listparagraphbullets"/>
      </w:pPr>
      <w:r w:rsidRPr="00097442">
        <w:t>Section 9.4, Number of allocated spaces to be provided</w:t>
      </w:r>
      <w:r>
        <w:t>—</w:t>
      </w:r>
      <w:r w:rsidRPr="00097442">
        <w:t>buses</w:t>
      </w:r>
    </w:p>
    <w:p w14:paraId="44F5D04C" w14:textId="77777777" w:rsidR="00094004" w:rsidRPr="00097442" w:rsidRDefault="00094004" w:rsidP="00F934C4">
      <w:pPr>
        <w:pStyle w:val="Listparagraphbullets"/>
      </w:pPr>
      <w:r w:rsidRPr="00097442">
        <w:t>Section 9.11, Movement of mobility aid in allocated space</w:t>
      </w:r>
    </w:p>
    <w:p w14:paraId="2544BB9E" w14:textId="77777777" w:rsidR="00094004" w:rsidRPr="00097442" w:rsidRDefault="00094004" w:rsidP="00F934C4">
      <w:pPr>
        <w:pStyle w:val="Listparagraphbullets"/>
      </w:pPr>
      <w:r w:rsidRPr="00097442">
        <w:t>Section 11.7, Grabrails to be provided in allocated spaces</w:t>
      </w:r>
    </w:p>
    <w:p w14:paraId="58DE653A" w14:textId="77777777" w:rsidR="00094004" w:rsidRPr="00097442" w:rsidRDefault="00094004" w:rsidP="00F934C4">
      <w:pPr>
        <w:pStyle w:val="Listparagraphbullets"/>
      </w:pPr>
      <w:r w:rsidRPr="00097442">
        <w:t>Section 14.1, Stairs not to be the sole means of access</w:t>
      </w:r>
    </w:p>
    <w:p w14:paraId="66DE5130" w14:textId="77777777" w:rsidR="00094004" w:rsidRDefault="00094004" w:rsidP="00094004">
      <w:r w:rsidRPr="00212E88">
        <w:t xml:space="preserve">Any regulatory requirements </w:t>
      </w:r>
      <w:r>
        <w:t xml:space="preserve">relating to these sections that are </w:t>
      </w:r>
      <w:r w:rsidRPr="00212E88">
        <w:t xml:space="preserve">agreed through this </w:t>
      </w:r>
      <w:r>
        <w:t xml:space="preserve">reform </w:t>
      </w:r>
      <w:r w:rsidRPr="00212E88">
        <w:t xml:space="preserve">process would </w:t>
      </w:r>
      <w:r>
        <w:t xml:space="preserve">continue to </w:t>
      </w:r>
      <w:r w:rsidRPr="00212E88">
        <w:t>exempt dedicated school buses.</w:t>
      </w:r>
    </w:p>
    <w:p w14:paraId="79DD8696" w14:textId="77777777" w:rsidR="00094004" w:rsidRPr="00097442" w:rsidRDefault="00094004" w:rsidP="00094004">
      <w:r w:rsidRPr="00097442">
        <w:t>A high floor is defined as per Vehicle Standard (Australian Design Rule 59/00</w:t>
      </w:r>
      <w:r>
        <w:t>—</w:t>
      </w:r>
      <w:r w:rsidRPr="00097442">
        <w:t>Standards for Omnibus Rollover Strength) 2007</w:t>
      </w:r>
      <w:r>
        <w:rPr>
          <w:rStyle w:val="FootnoteReference"/>
        </w:rPr>
        <w:footnoteReference w:id="18"/>
      </w:r>
      <w:r w:rsidRPr="00097442">
        <w:t>, and is based on floor height and area.</w:t>
      </w:r>
    </w:p>
    <w:p w14:paraId="428114C4" w14:textId="77777777" w:rsidR="00094004" w:rsidRPr="00097442" w:rsidRDefault="00094004" w:rsidP="00094004">
      <w:r w:rsidRPr="00097442">
        <w:t>An accessible high floor dedicated school bus (such as those fitted with a hoist) must then meet the following additional requirements:</w:t>
      </w:r>
    </w:p>
    <w:p w14:paraId="6D0668CF" w14:textId="77777777" w:rsidR="00094004" w:rsidRPr="00097442" w:rsidRDefault="00094004" w:rsidP="00F934C4">
      <w:pPr>
        <w:pStyle w:val="Listparagraphbullets"/>
      </w:pPr>
      <w:r w:rsidRPr="00097442">
        <w:t>Section 6.2, Boarding ramps</w:t>
      </w:r>
    </w:p>
    <w:p w14:paraId="29EFC396" w14:textId="77777777" w:rsidR="00094004" w:rsidRPr="00097442" w:rsidRDefault="00094004" w:rsidP="00F934C4">
      <w:pPr>
        <w:pStyle w:val="Listparagraphbullets"/>
      </w:pPr>
      <w:r w:rsidRPr="00097442">
        <w:t>Section 6.3, Minimum allowable width</w:t>
      </w:r>
    </w:p>
    <w:p w14:paraId="6E2F2B07" w14:textId="77777777" w:rsidR="00094004" w:rsidRPr="00097442" w:rsidRDefault="00094004" w:rsidP="00F934C4">
      <w:pPr>
        <w:pStyle w:val="Listparagraphbullets"/>
      </w:pPr>
      <w:r w:rsidRPr="00097442">
        <w:t>Section 6.4, Slope of external boarding ramps</w:t>
      </w:r>
    </w:p>
    <w:p w14:paraId="2292AE12" w14:textId="77777777" w:rsidR="00094004" w:rsidRPr="00097442" w:rsidRDefault="00094004" w:rsidP="00F934C4">
      <w:pPr>
        <w:pStyle w:val="Listparagraphbullets"/>
      </w:pPr>
      <w:r w:rsidRPr="00097442">
        <w:t>Section 9.7, Consolidation of allocated spaces</w:t>
      </w:r>
    </w:p>
    <w:p w14:paraId="702CAC32" w14:textId="77777777" w:rsidR="00094004" w:rsidRPr="00097442" w:rsidRDefault="00094004" w:rsidP="00F934C4">
      <w:pPr>
        <w:pStyle w:val="Listparagraphbullets"/>
      </w:pPr>
      <w:r w:rsidRPr="00097442">
        <w:t>Section 9.9, Use of allocated space for other purposes</w:t>
      </w:r>
    </w:p>
    <w:p w14:paraId="7CD6FB30" w14:textId="77777777" w:rsidR="00094004" w:rsidRPr="00097442" w:rsidRDefault="00094004" w:rsidP="00F934C4">
      <w:pPr>
        <w:pStyle w:val="Listparagraphbullets"/>
      </w:pPr>
      <w:r w:rsidRPr="00097442">
        <w:t>Section 10.1, Compliance with Australian Standard</w:t>
      </w:r>
    </w:p>
    <w:p w14:paraId="5E6F588C" w14:textId="77777777" w:rsidR="00094004" w:rsidRPr="00097442" w:rsidRDefault="00094004" w:rsidP="00F934C4">
      <w:pPr>
        <w:pStyle w:val="Listparagraphbullets"/>
      </w:pPr>
      <w:r w:rsidRPr="00097442">
        <w:t>Section 11.3, Handrails on steps</w:t>
      </w:r>
    </w:p>
    <w:p w14:paraId="70A4D34A" w14:textId="77777777" w:rsidR="00094004" w:rsidRPr="00097442" w:rsidRDefault="00094004" w:rsidP="00F934C4">
      <w:pPr>
        <w:pStyle w:val="Listparagraphbullets"/>
      </w:pPr>
      <w:r w:rsidRPr="00097442">
        <w:t>Section 11.4, Handrails above access paths</w:t>
      </w:r>
    </w:p>
    <w:p w14:paraId="7E4AB551" w14:textId="77777777" w:rsidR="00094004" w:rsidRPr="00097442" w:rsidRDefault="00094004" w:rsidP="00F934C4">
      <w:pPr>
        <w:pStyle w:val="Listparagraphbullets"/>
      </w:pPr>
      <w:r w:rsidRPr="00097442">
        <w:t>Section 11.5, Compliance with Australian Standard</w:t>
      </w:r>
    </w:p>
    <w:p w14:paraId="131AD2F3" w14:textId="77777777" w:rsidR="00094004" w:rsidRPr="00097442" w:rsidRDefault="00094004" w:rsidP="00F934C4">
      <w:pPr>
        <w:pStyle w:val="Listparagraphbullets"/>
      </w:pPr>
      <w:r w:rsidRPr="00097442">
        <w:t>Section 11.6, Grabrails to be provided where fares are to be paid</w:t>
      </w:r>
    </w:p>
    <w:p w14:paraId="071B64C2" w14:textId="77777777" w:rsidR="00094004" w:rsidRPr="00097442" w:rsidRDefault="00094004" w:rsidP="00F934C4">
      <w:pPr>
        <w:pStyle w:val="Listparagraphbullets"/>
      </w:pPr>
      <w:r w:rsidRPr="00097442">
        <w:t>Section 12.1, Doors on access paths</w:t>
      </w:r>
    </w:p>
    <w:p w14:paraId="40F52DF5" w14:textId="77777777" w:rsidR="00094004" w:rsidRPr="00097442" w:rsidRDefault="00094004" w:rsidP="00F934C4">
      <w:pPr>
        <w:pStyle w:val="Listparagraphbullets"/>
      </w:pPr>
      <w:r w:rsidRPr="00097442">
        <w:lastRenderedPageBreak/>
        <w:t>Section 12.4, Clear opening of doorways</w:t>
      </w:r>
    </w:p>
    <w:p w14:paraId="18F0F4C9" w14:textId="77777777" w:rsidR="00094004" w:rsidRPr="00097442" w:rsidRDefault="00094004" w:rsidP="00F934C4">
      <w:pPr>
        <w:pStyle w:val="Listparagraphbullets"/>
      </w:pPr>
      <w:r w:rsidRPr="00097442">
        <w:t>Section 12.6, Automatic or power-assisted doors</w:t>
      </w:r>
    </w:p>
    <w:p w14:paraId="6EEB8242" w14:textId="77777777" w:rsidR="00094004" w:rsidRDefault="00094004" w:rsidP="00F934C4">
      <w:pPr>
        <w:pStyle w:val="Listparagraphbullets"/>
      </w:pPr>
      <w:r w:rsidRPr="00097442">
        <w:t>Section 14.4, Compliance with Australian Design Rule 58</w:t>
      </w:r>
      <w:r>
        <w:t>—</w:t>
      </w:r>
      <w:r w:rsidRPr="00097442">
        <w:t>conveyances</w:t>
      </w:r>
      <w:r>
        <w:t>.</w:t>
      </w:r>
    </w:p>
    <w:p w14:paraId="5BF10381" w14:textId="77777777" w:rsidR="00094004" w:rsidRPr="005C0ECD" w:rsidRDefault="00094004" w:rsidP="00094004">
      <w:r w:rsidRPr="00212E88">
        <w:t xml:space="preserve">Any new regulatory requirements </w:t>
      </w:r>
      <w:r>
        <w:t xml:space="preserve">or requirements relating to these sections that are </w:t>
      </w:r>
      <w:r w:rsidRPr="00212E88">
        <w:t>agreed through this</w:t>
      </w:r>
      <w:r>
        <w:t xml:space="preserve"> reform</w:t>
      </w:r>
      <w:r w:rsidRPr="00212E88">
        <w:t xml:space="preserve"> process would not exempt dedicated school buses.</w:t>
      </w:r>
    </w:p>
    <w:p w14:paraId="48204A7F" w14:textId="77777777" w:rsidR="00094004" w:rsidRDefault="00094004" w:rsidP="00094004">
      <w:r>
        <w:t>The Whole Journey Guide and / or the Transport Standards Guidelines would include guidance on the navigating these principles and providing accessible school bus services.</w:t>
      </w:r>
    </w:p>
    <w:p w14:paraId="19D6D3CA" w14:textId="77777777" w:rsidR="00094004" w:rsidRDefault="00094004" w:rsidP="00094004">
      <w:r>
        <w:t>Specific guidance may include the following:</w:t>
      </w:r>
    </w:p>
    <w:p w14:paraId="6187A434" w14:textId="77777777" w:rsidR="00094004" w:rsidRPr="004E48AD" w:rsidRDefault="00094004" w:rsidP="00094004">
      <w:pPr>
        <w:pStyle w:val="BodyText"/>
      </w:pPr>
      <w:r>
        <w:rPr>
          <w:rFonts w:asciiTheme="minorHAnsi" w:hAnsiTheme="minorHAnsi" w:cstheme="minorBidi"/>
          <w:sz w:val="22"/>
        </w:rPr>
        <w:t>State</w:t>
      </w:r>
      <w:r w:rsidRPr="0088635D">
        <w:rPr>
          <w:rFonts w:asciiTheme="minorHAnsi" w:hAnsiTheme="minorHAnsi" w:cstheme="minorBidi"/>
          <w:sz w:val="22"/>
        </w:rPr>
        <w:t>s</w:t>
      </w:r>
      <w:r>
        <w:rPr>
          <w:rFonts w:asciiTheme="minorHAnsi" w:hAnsiTheme="minorHAnsi" w:cstheme="minorBidi"/>
          <w:sz w:val="22"/>
        </w:rPr>
        <w:t xml:space="preserve"> and territories</w:t>
      </w:r>
      <w:r w:rsidRPr="0088635D">
        <w:rPr>
          <w:rFonts w:asciiTheme="minorHAnsi" w:hAnsiTheme="minorHAnsi" w:cstheme="minorBidi"/>
          <w:sz w:val="22"/>
        </w:rPr>
        <w:t xml:space="preserve"> may have varying requirements of their own when receiving requests by applicants to access dedicated school bus services. Circumstances are likely to be unique for each</w:t>
      </w:r>
      <w:r>
        <w:rPr>
          <w:rFonts w:asciiTheme="minorHAnsi" w:hAnsiTheme="minorHAnsi" w:cstheme="minorBidi"/>
          <w:sz w:val="22"/>
        </w:rPr>
        <w:t xml:space="preserve"> </w:t>
      </w:r>
      <w:r w:rsidRPr="0088635D">
        <w:rPr>
          <w:rFonts w:asciiTheme="minorHAnsi" w:hAnsiTheme="minorHAnsi" w:cstheme="minorBidi"/>
          <w:sz w:val="22"/>
        </w:rPr>
        <w:t>applicant and may require coordinat</w:t>
      </w:r>
      <w:r>
        <w:rPr>
          <w:rFonts w:asciiTheme="minorHAnsi" w:hAnsiTheme="minorHAnsi" w:cstheme="minorBidi"/>
          <w:sz w:val="22"/>
        </w:rPr>
        <w:t>ed review by the principals (for example the</w:t>
      </w:r>
      <w:r w:rsidRPr="0088635D">
        <w:rPr>
          <w:rFonts w:asciiTheme="minorHAnsi" w:hAnsiTheme="minorHAnsi" w:cstheme="minorBidi"/>
          <w:sz w:val="22"/>
        </w:rPr>
        <w:t xml:space="preserve"> applicant, educational institution, and jurisdiction). In reaching a negotiated solution, the principals may consider variables such as personal aids and the capabili</w:t>
      </w:r>
      <w:r>
        <w:rPr>
          <w:rFonts w:asciiTheme="minorHAnsi" w:hAnsiTheme="minorHAnsi" w:cstheme="minorBidi"/>
          <w:sz w:val="22"/>
        </w:rPr>
        <w:t>ty of related infrastructure (such as</w:t>
      </w:r>
      <w:r w:rsidRPr="0088635D">
        <w:rPr>
          <w:rFonts w:asciiTheme="minorHAnsi" w:hAnsiTheme="minorHAnsi" w:cstheme="minorBidi"/>
          <w:sz w:val="22"/>
        </w:rPr>
        <w:t xml:space="preserve"> residence, school, and public utilities).</w:t>
      </w:r>
    </w:p>
    <w:p w14:paraId="2BB34518" w14:textId="77777777" w:rsidR="00094004" w:rsidRPr="00097442" w:rsidRDefault="00094004" w:rsidP="00094004">
      <w:r w:rsidRPr="00097442">
        <w:t>Risk assessments should be undertaken for rural locations where a passenger using a mobility aid requires access. Following are risk considerations for dedicated school bus fitted with a hoist. Where an accessible dedicated school bus cannot be deployed, then alternative arrangements must be made.</w:t>
      </w:r>
    </w:p>
    <w:p w14:paraId="176E7A45" w14:textId="77777777" w:rsidR="00094004" w:rsidRPr="00097442" w:rsidRDefault="00094004" w:rsidP="00F934C4">
      <w:pPr>
        <w:pStyle w:val="Listparagraphbullets"/>
      </w:pPr>
      <w:r w:rsidRPr="00097442">
        <w:t>Is the site suitable to deploy a hoist (e.g. site clear area, slope, adjoining road profile)?</w:t>
      </w:r>
    </w:p>
    <w:p w14:paraId="045566A9" w14:textId="77777777" w:rsidR="00094004" w:rsidRPr="00097442" w:rsidRDefault="00094004" w:rsidP="00F934C4">
      <w:pPr>
        <w:pStyle w:val="Listparagraphbullets"/>
      </w:pPr>
      <w:r w:rsidRPr="00097442">
        <w:t>Can the bus access the site such that the hoist can be correctly positioned relative to the site?</w:t>
      </w:r>
    </w:p>
    <w:p w14:paraId="5B5020B5" w14:textId="77777777" w:rsidR="00094004" w:rsidRPr="00097442" w:rsidRDefault="00094004" w:rsidP="00F934C4">
      <w:pPr>
        <w:pStyle w:val="Listparagraphbullets"/>
      </w:pPr>
      <w:r w:rsidRPr="00097442">
        <w:t>Is the road location suitable for the bus driver to leave the driving position, considering the following?</w:t>
      </w:r>
    </w:p>
    <w:p w14:paraId="2C03AC40" w14:textId="77777777" w:rsidR="00094004" w:rsidRPr="00097442" w:rsidRDefault="00094004" w:rsidP="00F934C4">
      <w:pPr>
        <w:pStyle w:val="Listparagraphbullets"/>
      </w:pPr>
      <w:r w:rsidRPr="00097442">
        <w:t>Can the bus be parked off the main thoroughfare?</w:t>
      </w:r>
    </w:p>
    <w:p w14:paraId="23F3EDB1" w14:textId="77777777" w:rsidR="00094004" w:rsidRPr="00097442" w:rsidRDefault="00094004" w:rsidP="00F934C4">
      <w:pPr>
        <w:pStyle w:val="Listparagraphbullets"/>
      </w:pPr>
      <w:r w:rsidRPr="00097442">
        <w:t xml:space="preserve">Is there a sufficient field of view such that other road </w:t>
      </w:r>
      <w:r>
        <w:t>passengers</w:t>
      </w:r>
      <w:r w:rsidRPr="00097442">
        <w:t xml:space="preserve"> can see the parked bus?</w:t>
      </w:r>
    </w:p>
    <w:p w14:paraId="5FF25BFE" w14:textId="77777777" w:rsidR="00094004" w:rsidRDefault="00094004" w:rsidP="00F934C4">
      <w:pPr>
        <w:pStyle w:val="Listparagraphbullets"/>
      </w:pPr>
      <w:r w:rsidRPr="00097442">
        <w:t xml:space="preserve">Is the road gradient such that the bus can be properly secured </w:t>
      </w:r>
      <w:r>
        <w:t>to avoid potential bus rollaway?</w:t>
      </w:r>
    </w:p>
    <w:p w14:paraId="338256AC" w14:textId="27237281" w:rsidR="00094004" w:rsidRDefault="00094004" w:rsidP="006F65FB">
      <w:pPr>
        <w:pStyle w:val="Heading3"/>
        <w:numPr>
          <w:ilvl w:val="0"/>
          <w:numId w:val="66"/>
        </w:numPr>
        <w:ind w:left="567" w:hanging="567"/>
      </w:pPr>
      <w:bookmarkStart w:id="818" w:name="_Toc127351824"/>
      <w:bookmarkStart w:id="819" w:name="_Toc130914502"/>
      <w:bookmarkStart w:id="820" w:name="_Toc140239796"/>
      <w:r>
        <w:t>Better communication of accessibility features</w:t>
      </w:r>
      <w:bookmarkEnd w:id="818"/>
      <w:bookmarkEnd w:id="819"/>
      <w:bookmarkEnd w:id="820"/>
    </w:p>
    <w:p w14:paraId="2A43DA6E" w14:textId="77777777" w:rsidR="00094004" w:rsidRDefault="00094004" w:rsidP="00094004">
      <w:pPr>
        <w:pStyle w:val="Heading4"/>
      </w:pPr>
      <w:r>
        <w:t>Status quo</w:t>
      </w:r>
    </w:p>
    <w:p w14:paraId="081F6E8E" w14:textId="77777777" w:rsidR="00094004" w:rsidRDefault="00094004" w:rsidP="00094004">
      <w:r w:rsidRPr="002A7AC6">
        <w:t xml:space="preserve">The </w:t>
      </w:r>
      <w:r>
        <w:t>Transport Standards</w:t>
      </w:r>
      <w:r w:rsidRPr="002A7AC6">
        <w:t xml:space="preserve"> would remain unchanged and no</w:t>
      </w:r>
      <w:r>
        <w:t xml:space="preserve"> Guidance would be issued.</w:t>
      </w:r>
    </w:p>
    <w:p w14:paraId="38E0E0BA" w14:textId="77777777" w:rsidR="00094004" w:rsidRDefault="00094004" w:rsidP="00094004">
      <w:pPr>
        <w:pStyle w:val="Heading5"/>
      </w:pPr>
      <w:r>
        <w:t>Non-regulatory option</w:t>
      </w:r>
    </w:p>
    <w:p w14:paraId="261A20AE" w14:textId="77777777" w:rsidR="00094004" w:rsidRDefault="00094004" w:rsidP="00094004">
      <w:r w:rsidRPr="002A7AC6">
        <w:t xml:space="preserve">Guidance would be provided in the </w:t>
      </w:r>
      <w:r>
        <w:t>Transport Standards</w:t>
      </w:r>
      <w:r w:rsidRPr="002A7AC6">
        <w:t xml:space="preserve"> Guidelines and / or The Whole Journey Guide on the communication of accessibility terminology and features by operators and providers.</w:t>
      </w:r>
    </w:p>
    <w:p w14:paraId="53647645" w14:textId="77777777" w:rsidR="00094004" w:rsidRPr="002A7AC6" w:rsidRDefault="00094004" w:rsidP="00094004">
      <w:r w:rsidRPr="002A7AC6">
        <w:t>Specific guidance may include the following:</w:t>
      </w:r>
    </w:p>
    <w:p w14:paraId="501A24B5" w14:textId="77777777" w:rsidR="00094004" w:rsidRPr="002A7AC6" w:rsidRDefault="00094004" w:rsidP="00F934C4">
      <w:pPr>
        <w:pStyle w:val="Listparagraphbullets"/>
      </w:pPr>
      <w:r w:rsidRPr="002A7AC6">
        <w:t>Nationally consistent accessibility terminology that can be applied across all modes of public transport and be easily comprehended by people with disability according to their personal requirements.</w:t>
      </w:r>
    </w:p>
    <w:p w14:paraId="15FF2652" w14:textId="77777777" w:rsidR="00094004" w:rsidRDefault="00094004" w:rsidP="00F934C4">
      <w:pPr>
        <w:pStyle w:val="Listparagraphbullets"/>
      </w:pPr>
      <w:r w:rsidRPr="002A7AC6">
        <w:t>A baseline list of accessible features provided by operators and providers that should be available and communicated to customers.</w:t>
      </w:r>
    </w:p>
    <w:p w14:paraId="786DE736" w14:textId="77777777" w:rsidR="00094004" w:rsidRDefault="00094004" w:rsidP="00094004">
      <w:r w:rsidRPr="002A7AC6">
        <w:t>Nationally consistent accessibility terminology would be developed through a consultation process with state and territory governments, operators and providers, and the disability community.</w:t>
      </w:r>
    </w:p>
    <w:p w14:paraId="2B4BF123" w14:textId="77777777" w:rsidR="00094004" w:rsidRDefault="00094004" w:rsidP="00094004">
      <w:r w:rsidRPr="002A7AC6">
        <w:t>Accessibility terminology relating to factors other than mobility access should be considered, noting this is currently being explored by several operators and providers.</w:t>
      </w:r>
    </w:p>
    <w:p w14:paraId="1B6EA28F" w14:textId="77777777" w:rsidR="00094004" w:rsidRPr="002A7AC6" w:rsidRDefault="00094004" w:rsidP="00094004">
      <w:r w:rsidRPr="002A7AC6">
        <w:lastRenderedPageBreak/>
        <w:t>Guidance material may include a list of features that operators and providers could include when communicating accessibility of infrastructure, premises, and conveyances to the public through websites, communication materials, and on-site, including:</w:t>
      </w:r>
    </w:p>
    <w:p w14:paraId="7E5F0F6D" w14:textId="77777777" w:rsidR="00094004" w:rsidRDefault="00094004" w:rsidP="00F934C4">
      <w:pPr>
        <w:pStyle w:val="Listparagraphbullets"/>
      </w:pPr>
      <w:r w:rsidRPr="002A7AC6">
        <w:t>Accessible car parking</w:t>
      </w:r>
    </w:p>
    <w:p w14:paraId="1FDFD3BE" w14:textId="77777777" w:rsidR="00094004" w:rsidRPr="002A7AC6" w:rsidRDefault="00094004" w:rsidP="00F934C4">
      <w:pPr>
        <w:pStyle w:val="Listparagraphbullets"/>
      </w:pPr>
      <w:r w:rsidRPr="002A7AC6">
        <w:t>Assistance Animal Toileting Facilities</w:t>
      </w:r>
    </w:p>
    <w:p w14:paraId="68CADF56" w14:textId="77777777" w:rsidR="00094004" w:rsidRDefault="00094004" w:rsidP="00F934C4">
      <w:pPr>
        <w:pStyle w:val="Listparagraphbullets"/>
      </w:pPr>
      <w:r w:rsidRPr="002A7AC6">
        <w:t>Closed circuit television (CCTV)</w:t>
      </w:r>
    </w:p>
    <w:p w14:paraId="49E6D2BD" w14:textId="77777777" w:rsidR="00094004" w:rsidRDefault="00094004" w:rsidP="00F934C4">
      <w:pPr>
        <w:pStyle w:val="Listparagraphbullets"/>
      </w:pPr>
      <w:r w:rsidRPr="002A7AC6">
        <w:t>Colour contrast / illuminated strips for stairs</w:t>
      </w:r>
    </w:p>
    <w:p w14:paraId="372F7719" w14:textId="77777777" w:rsidR="00094004" w:rsidRDefault="00094004" w:rsidP="00F934C4">
      <w:pPr>
        <w:pStyle w:val="Listparagraphbullets"/>
      </w:pPr>
      <w:r w:rsidRPr="002A7AC6">
        <w:t>Emergency Help Point</w:t>
      </w:r>
    </w:p>
    <w:p w14:paraId="32F8DD23" w14:textId="77777777" w:rsidR="00094004" w:rsidRDefault="00094004" w:rsidP="00F934C4">
      <w:pPr>
        <w:pStyle w:val="Listparagraphbullets"/>
      </w:pPr>
      <w:r w:rsidRPr="002A7AC6">
        <w:t>Escalator</w:t>
      </w:r>
    </w:p>
    <w:p w14:paraId="10486681" w14:textId="77777777" w:rsidR="00094004" w:rsidRDefault="00094004" w:rsidP="00F934C4">
      <w:pPr>
        <w:pStyle w:val="Listparagraphbullets"/>
      </w:pPr>
      <w:r w:rsidRPr="002A7AC6">
        <w:t>Hearing augmentation system (type and coverage)</w:t>
      </w:r>
    </w:p>
    <w:p w14:paraId="44910DB9" w14:textId="77777777" w:rsidR="00094004" w:rsidRDefault="00094004" w:rsidP="00F934C4">
      <w:pPr>
        <w:pStyle w:val="Listparagraphbullets"/>
      </w:pPr>
      <w:r w:rsidRPr="002A7AC6">
        <w:t>Information Help Point</w:t>
      </w:r>
    </w:p>
    <w:p w14:paraId="0BC84827" w14:textId="77777777" w:rsidR="00094004" w:rsidRDefault="00094004" w:rsidP="00F934C4">
      <w:pPr>
        <w:pStyle w:val="Listparagraphbullets"/>
      </w:pPr>
      <w:r w:rsidRPr="002A7AC6">
        <w:t>Lift</w:t>
      </w:r>
    </w:p>
    <w:p w14:paraId="1D84C0C2" w14:textId="77777777" w:rsidR="00094004" w:rsidRDefault="00094004" w:rsidP="00F934C4">
      <w:pPr>
        <w:pStyle w:val="Listparagraphbullets"/>
      </w:pPr>
      <w:r w:rsidRPr="002A7AC6">
        <w:t>Low tide wharf access</w:t>
      </w:r>
    </w:p>
    <w:p w14:paraId="08E39BFC" w14:textId="77777777" w:rsidR="00094004" w:rsidRDefault="00094004" w:rsidP="00F934C4">
      <w:pPr>
        <w:pStyle w:val="Listparagraphbullets"/>
      </w:pPr>
      <w:r w:rsidRPr="002A7AC6">
        <w:t>Public Announcement (PA) system for passenger information</w:t>
      </w:r>
    </w:p>
    <w:p w14:paraId="1EE3CD4B" w14:textId="77777777" w:rsidR="00094004" w:rsidRDefault="00094004" w:rsidP="00F934C4">
      <w:pPr>
        <w:pStyle w:val="Listparagraphbullets"/>
      </w:pPr>
      <w:r w:rsidRPr="002A7AC6">
        <w:t>Raised platform / stop</w:t>
      </w:r>
    </w:p>
    <w:p w14:paraId="2447794F" w14:textId="77777777" w:rsidR="00094004" w:rsidRDefault="00094004" w:rsidP="00F934C4">
      <w:pPr>
        <w:pStyle w:val="Listparagraphbullets"/>
      </w:pPr>
      <w:r w:rsidRPr="002A7AC6">
        <w:t>Staffed or unstaffed station</w:t>
      </w:r>
    </w:p>
    <w:p w14:paraId="650594FA" w14:textId="77777777" w:rsidR="00094004" w:rsidRDefault="00094004" w:rsidP="00F934C4">
      <w:pPr>
        <w:pStyle w:val="Listparagraphbullets"/>
      </w:pPr>
      <w:r w:rsidRPr="002A7AC6">
        <w:t>Stairs</w:t>
      </w:r>
    </w:p>
    <w:p w14:paraId="22312D63" w14:textId="77777777" w:rsidR="00094004" w:rsidRDefault="00094004" w:rsidP="00F934C4">
      <w:pPr>
        <w:pStyle w:val="Listparagraphbullets"/>
      </w:pPr>
      <w:r w:rsidRPr="002A7AC6">
        <w:t>Tactile ground surface indicators</w:t>
      </w:r>
    </w:p>
    <w:p w14:paraId="53A6FE63" w14:textId="77777777" w:rsidR="00094004" w:rsidRDefault="00094004" w:rsidP="00F934C4">
      <w:pPr>
        <w:pStyle w:val="Listparagraphbullets"/>
      </w:pPr>
      <w:r w:rsidRPr="002A7AC6">
        <w:t>Tide dependent gangway and ramp gradients</w:t>
      </w:r>
    </w:p>
    <w:p w14:paraId="487A0A7C" w14:textId="77777777" w:rsidR="00094004" w:rsidRDefault="00094004" w:rsidP="00F934C4">
      <w:pPr>
        <w:pStyle w:val="Listparagraphbullets"/>
      </w:pPr>
      <w:r w:rsidRPr="002A7AC6">
        <w:t>Wayfinding</w:t>
      </w:r>
    </w:p>
    <w:p w14:paraId="0CF10DD1" w14:textId="77777777" w:rsidR="00094004" w:rsidRPr="002A7AC6" w:rsidRDefault="00094004" w:rsidP="00F934C4">
      <w:pPr>
        <w:pStyle w:val="Listparagraphbullets"/>
      </w:pPr>
      <w:r w:rsidRPr="002A7AC6">
        <w:t>Wheelchair accessible bus</w:t>
      </w:r>
    </w:p>
    <w:p w14:paraId="16ABCB71" w14:textId="77777777" w:rsidR="00094004" w:rsidRDefault="00094004" w:rsidP="00F934C4">
      <w:pPr>
        <w:pStyle w:val="Listparagraphbullets"/>
      </w:pPr>
      <w:r w:rsidRPr="002A7AC6">
        <w:t>Wheelchair accessible car parking space</w:t>
      </w:r>
    </w:p>
    <w:p w14:paraId="57A87096" w14:textId="77777777" w:rsidR="00094004" w:rsidRDefault="00094004" w:rsidP="00F934C4">
      <w:pPr>
        <w:pStyle w:val="Listparagraphbullets"/>
      </w:pPr>
      <w:r w:rsidRPr="002A7AC6">
        <w:t>Wheelchair accessible payphone</w:t>
      </w:r>
    </w:p>
    <w:p w14:paraId="73F40FB8" w14:textId="77777777" w:rsidR="00094004" w:rsidRDefault="00094004" w:rsidP="00F934C4">
      <w:pPr>
        <w:pStyle w:val="Listparagraphbullets"/>
      </w:pPr>
      <w:r w:rsidRPr="002A7AC6">
        <w:t>Wheelchair accessible toilet (including Left- or Right-hand access)</w:t>
      </w:r>
    </w:p>
    <w:p w14:paraId="750BEEE4" w14:textId="77777777" w:rsidR="00094004" w:rsidRPr="002A7AC6" w:rsidRDefault="00094004" w:rsidP="00F934C4">
      <w:pPr>
        <w:pStyle w:val="Listparagraphbullets"/>
      </w:pPr>
      <w:r w:rsidRPr="002A7AC6">
        <w:t>Whee</w:t>
      </w:r>
      <w:r>
        <w:t>lchair ramp boarding assistance.</w:t>
      </w:r>
    </w:p>
    <w:p w14:paraId="65D89424" w14:textId="77777777" w:rsidR="00094004" w:rsidRDefault="00094004" w:rsidP="00094004">
      <w:pPr>
        <w:pStyle w:val="Heading5"/>
      </w:pPr>
      <w:r>
        <w:t>Regulatory option</w:t>
      </w:r>
    </w:p>
    <w:p w14:paraId="40B817E6" w14:textId="77777777" w:rsidR="00094004" w:rsidRPr="002A7AC6" w:rsidRDefault="00094004" w:rsidP="00094004">
      <w:r w:rsidRPr="002A7AC6">
        <w:t xml:space="preserve">The </w:t>
      </w:r>
      <w:r>
        <w:t>Transport Standards</w:t>
      </w:r>
      <w:r w:rsidRPr="002A7AC6">
        <w:t xml:space="preserve"> would be amended to include new requirements for defining accessibility terminology and communication of accessibility features.</w:t>
      </w:r>
    </w:p>
    <w:p w14:paraId="71799ED4" w14:textId="77777777" w:rsidR="00094004" w:rsidRPr="002A7AC6" w:rsidRDefault="00094004" w:rsidP="00094004">
      <w:pPr>
        <w:pStyle w:val="Heading6"/>
      </w:pPr>
      <w:r w:rsidRPr="002A7AC6">
        <w:t>Accessibility Terminology</w:t>
      </w:r>
    </w:p>
    <w:p w14:paraId="61CF27C5" w14:textId="77777777" w:rsidR="00094004" w:rsidRPr="002A7AC6" w:rsidRDefault="00094004" w:rsidP="00094004">
      <w:pPr>
        <w:keepNext/>
      </w:pPr>
      <w:r w:rsidRPr="002A7AC6">
        <w:t>A new performance-based requirement for defining accessibility terminology would require public transport operators to:</w:t>
      </w:r>
    </w:p>
    <w:p w14:paraId="63359B0A" w14:textId="77777777" w:rsidR="00094004" w:rsidRPr="002A7AC6" w:rsidRDefault="00094004" w:rsidP="00F934C4">
      <w:pPr>
        <w:pStyle w:val="Listparagraphbullets"/>
      </w:pPr>
      <w:r w:rsidRPr="002A7AC6">
        <w:t xml:space="preserve">identify access barriers within the transport network and communication </w:t>
      </w:r>
      <w:r>
        <w:t>solutions operators could offer.</w:t>
      </w:r>
    </w:p>
    <w:p w14:paraId="1A89ACBF" w14:textId="77777777" w:rsidR="00094004" w:rsidRPr="002A7AC6" w:rsidRDefault="00094004" w:rsidP="00F934C4">
      <w:pPr>
        <w:pStyle w:val="Listparagraphbullets"/>
      </w:pPr>
      <w:r w:rsidRPr="002A7AC6">
        <w:t>provide clear definitions of any access terminology it uses in its communication channels to customers. Clear definitions would be required t</w:t>
      </w:r>
      <w:r>
        <w:t xml:space="preserve">o </w:t>
      </w:r>
      <w:r w:rsidRPr="002A7AC6">
        <w:t>include the level/degree of access available at infrastructure, premises, and conveyance</w:t>
      </w:r>
      <w:r>
        <w:t>.</w:t>
      </w:r>
    </w:p>
    <w:p w14:paraId="2EB4D442" w14:textId="77777777" w:rsidR="00094004" w:rsidRPr="002A7AC6" w:rsidRDefault="00094004" w:rsidP="00F934C4">
      <w:pPr>
        <w:pStyle w:val="Listparagraphbullets"/>
      </w:pPr>
      <w:r w:rsidRPr="002A7AC6">
        <w:t>publish what accessible features are available at infrastructure, premises, and conveyance, considering criteria including, but not limited to, mobility, functionality, information, safety and wayfinding.</w:t>
      </w:r>
    </w:p>
    <w:p w14:paraId="6A3FBCA5"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on accessibility terminology.</w:t>
      </w:r>
    </w:p>
    <w:p w14:paraId="2A34E986" w14:textId="77777777" w:rsidR="00094004" w:rsidRPr="002A7AC6" w:rsidRDefault="00094004" w:rsidP="00094004">
      <w:r w:rsidRPr="002A7AC6">
        <w:t>Final details of the national consistent terminology for accessibility must be developed through a consultation process with state and territory governments, operators and providers</w:t>
      </w:r>
      <w:r>
        <w:t>, and the disability community.</w:t>
      </w:r>
    </w:p>
    <w:p w14:paraId="4AEF7C84" w14:textId="77777777" w:rsidR="00094004" w:rsidRPr="002A7AC6" w:rsidRDefault="00094004" w:rsidP="00094004">
      <w:pPr>
        <w:pStyle w:val="Heading6"/>
      </w:pPr>
      <w:r w:rsidRPr="002A7AC6">
        <w:lastRenderedPageBreak/>
        <w:t>Communication of Accessibility Features</w:t>
      </w:r>
    </w:p>
    <w:p w14:paraId="6088AEB1" w14:textId="77777777" w:rsidR="00094004" w:rsidRPr="002A7AC6" w:rsidRDefault="00094004" w:rsidP="00094004">
      <w:r w:rsidRPr="002A7AC6">
        <w:t>A baseline / minimum list of accessible features provided by operators and providers that must be communicated to the public should be developed through a consultation process with state and territory governments, operators and providers, and the disability community.</w:t>
      </w:r>
    </w:p>
    <w:p w14:paraId="76A294DD" w14:textId="77777777" w:rsidR="00094004" w:rsidRPr="002A7AC6" w:rsidRDefault="00094004" w:rsidP="00094004">
      <w:r w:rsidRPr="002A7AC6">
        <w:t xml:space="preserve">In determining what accessible features are communicated to the public, the </w:t>
      </w:r>
      <w:r>
        <w:t xml:space="preserve">following </w:t>
      </w:r>
      <w:r w:rsidRPr="002A7AC6">
        <w:t>should be considered:</w:t>
      </w:r>
    </w:p>
    <w:p w14:paraId="5635D6F3" w14:textId="77777777" w:rsidR="00094004" w:rsidRPr="002A7AC6" w:rsidRDefault="00094004" w:rsidP="00F934C4">
      <w:pPr>
        <w:pStyle w:val="Listparagraphbullets"/>
      </w:pPr>
      <w:r w:rsidRPr="002A7AC6">
        <w:t>Accessible car parking</w:t>
      </w:r>
    </w:p>
    <w:p w14:paraId="6A83FB12" w14:textId="77777777" w:rsidR="00094004" w:rsidRPr="002A7AC6" w:rsidRDefault="00094004" w:rsidP="00F934C4">
      <w:pPr>
        <w:pStyle w:val="Listparagraphbullets"/>
      </w:pPr>
      <w:r w:rsidRPr="002A7AC6">
        <w:t>Assistance Animal Toileting Facilities</w:t>
      </w:r>
    </w:p>
    <w:p w14:paraId="6443D6BA" w14:textId="77777777" w:rsidR="00094004" w:rsidRPr="002A7AC6" w:rsidRDefault="00094004" w:rsidP="00F934C4">
      <w:pPr>
        <w:pStyle w:val="Listparagraphbullets"/>
      </w:pPr>
      <w:r w:rsidRPr="002A7AC6">
        <w:t>CCTV</w:t>
      </w:r>
    </w:p>
    <w:p w14:paraId="19917AB5" w14:textId="77777777" w:rsidR="00094004" w:rsidRPr="002A7AC6" w:rsidRDefault="00094004" w:rsidP="00F934C4">
      <w:pPr>
        <w:pStyle w:val="Listparagraphbullets"/>
      </w:pPr>
      <w:r w:rsidRPr="002A7AC6">
        <w:t>Colour contrast / illuminated strips for stairs</w:t>
      </w:r>
    </w:p>
    <w:p w14:paraId="7D1D431F" w14:textId="77777777" w:rsidR="00094004" w:rsidRPr="002A7AC6" w:rsidRDefault="00094004" w:rsidP="00F934C4">
      <w:pPr>
        <w:pStyle w:val="Listparagraphbullets"/>
      </w:pPr>
      <w:r w:rsidRPr="002A7AC6">
        <w:t>Emergency Help Point</w:t>
      </w:r>
    </w:p>
    <w:p w14:paraId="66A50681" w14:textId="77777777" w:rsidR="00094004" w:rsidRPr="002A7AC6" w:rsidRDefault="00094004" w:rsidP="00F934C4">
      <w:pPr>
        <w:pStyle w:val="Listparagraphbullets"/>
      </w:pPr>
      <w:r w:rsidRPr="002A7AC6">
        <w:t>Escalator</w:t>
      </w:r>
    </w:p>
    <w:p w14:paraId="63F761A5" w14:textId="77777777" w:rsidR="00094004" w:rsidRPr="002A7AC6" w:rsidRDefault="00094004" w:rsidP="00F934C4">
      <w:pPr>
        <w:pStyle w:val="Listparagraphbullets"/>
      </w:pPr>
      <w:r w:rsidRPr="002A7AC6">
        <w:t>Hearing augmentation system (type and coverage)</w:t>
      </w:r>
    </w:p>
    <w:p w14:paraId="2469EE87" w14:textId="77777777" w:rsidR="00094004" w:rsidRPr="002A7AC6" w:rsidRDefault="00094004" w:rsidP="00F934C4">
      <w:pPr>
        <w:pStyle w:val="Listparagraphbullets"/>
      </w:pPr>
      <w:r w:rsidRPr="002A7AC6">
        <w:t>Information Help Point</w:t>
      </w:r>
    </w:p>
    <w:p w14:paraId="0EF086FD" w14:textId="77777777" w:rsidR="00094004" w:rsidRPr="002A7AC6" w:rsidRDefault="00094004" w:rsidP="00F934C4">
      <w:pPr>
        <w:pStyle w:val="Listparagraphbullets"/>
      </w:pPr>
      <w:r w:rsidRPr="002A7AC6">
        <w:t>Lift</w:t>
      </w:r>
    </w:p>
    <w:p w14:paraId="3C775880" w14:textId="77777777" w:rsidR="00094004" w:rsidRPr="002A7AC6" w:rsidRDefault="00094004" w:rsidP="00F934C4">
      <w:pPr>
        <w:pStyle w:val="Listparagraphbullets"/>
      </w:pPr>
      <w:r w:rsidRPr="002A7AC6">
        <w:t>Low tide wharf access</w:t>
      </w:r>
    </w:p>
    <w:p w14:paraId="498AF001" w14:textId="77777777" w:rsidR="00094004" w:rsidRPr="002A7AC6" w:rsidRDefault="00094004" w:rsidP="00F934C4">
      <w:pPr>
        <w:pStyle w:val="Listparagraphbullets"/>
      </w:pPr>
      <w:r w:rsidRPr="002A7AC6">
        <w:t>Public Announcement system for passenger information</w:t>
      </w:r>
    </w:p>
    <w:p w14:paraId="72263778" w14:textId="77777777" w:rsidR="00094004" w:rsidRPr="002A7AC6" w:rsidRDefault="00094004" w:rsidP="00F934C4">
      <w:pPr>
        <w:pStyle w:val="Listparagraphbullets"/>
      </w:pPr>
      <w:r w:rsidRPr="002A7AC6">
        <w:t>Raised platform / stop</w:t>
      </w:r>
    </w:p>
    <w:p w14:paraId="3F2AE005" w14:textId="77777777" w:rsidR="00094004" w:rsidRPr="002A7AC6" w:rsidRDefault="00094004" w:rsidP="00F934C4">
      <w:pPr>
        <w:pStyle w:val="Listparagraphbullets"/>
      </w:pPr>
      <w:r w:rsidRPr="002A7AC6">
        <w:t>Staffed or unstaffed station</w:t>
      </w:r>
    </w:p>
    <w:p w14:paraId="6AE0E92B" w14:textId="77777777" w:rsidR="00094004" w:rsidRPr="002A7AC6" w:rsidRDefault="00094004" w:rsidP="00F934C4">
      <w:pPr>
        <w:pStyle w:val="Listparagraphbullets"/>
      </w:pPr>
      <w:r w:rsidRPr="002A7AC6">
        <w:t>Stairs</w:t>
      </w:r>
    </w:p>
    <w:p w14:paraId="515E1027" w14:textId="77777777" w:rsidR="00094004" w:rsidRPr="002A7AC6" w:rsidRDefault="00094004" w:rsidP="00F934C4">
      <w:pPr>
        <w:pStyle w:val="Listparagraphbullets"/>
      </w:pPr>
      <w:r w:rsidRPr="002A7AC6">
        <w:t>Tactile ground surface indicators</w:t>
      </w:r>
    </w:p>
    <w:p w14:paraId="209E99FC" w14:textId="77777777" w:rsidR="00094004" w:rsidRPr="002A7AC6" w:rsidRDefault="00094004" w:rsidP="00F934C4">
      <w:pPr>
        <w:pStyle w:val="Listparagraphbullets"/>
      </w:pPr>
      <w:r w:rsidRPr="002A7AC6">
        <w:t>Tide dependent gangway and ramp gradients</w:t>
      </w:r>
    </w:p>
    <w:p w14:paraId="7F862F03" w14:textId="77777777" w:rsidR="00094004" w:rsidRDefault="00094004" w:rsidP="00F934C4">
      <w:pPr>
        <w:pStyle w:val="Listparagraphbullets"/>
      </w:pPr>
      <w:r w:rsidRPr="002A7AC6">
        <w:t>Wayfinding</w:t>
      </w:r>
    </w:p>
    <w:p w14:paraId="59C67775" w14:textId="77777777" w:rsidR="00094004" w:rsidRPr="002A7AC6" w:rsidRDefault="00094004" w:rsidP="00F934C4">
      <w:pPr>
        <w:pStyle w:val="Listparagraphbullets"/>
      </w:pPr>
      <w:r w:rsidRPr="002A7AC6">
        <w:t>Wheelchair accessible bus</w:t>
      </w:r>
    </w:p>
    <w:p w14:paraId="2DE1969A" w14:textId="77777777" w:rsidR="00094004" w:rsidRPr="002A7AC6" w:rsidRDefault="00094004" w:rsidP="00F934C4">
      <w:pPr>
        <w:pStyle w:val="Listparagraphbullets"/>
      </w:pPr>
      <w:r w:rsidRPr="002A7AC6">
        <w:t>Wheelchair accessible parking space</w:t>
      </w:r>
    </w:p>
    <w:p w14:paraId="425B5648" w14:textId="77777777" w:rsidR="00094004" w:rsidRPr="002A7AC6" w:rsidRDefault="00094004" w:rsidP="00F934C4">
      <w:pPr>
        <w:pStyle w:val="Listparagraphbullets"/>
      </w:pPr>
      <w:r w:rsidRPr="002A7AC6">
        <w:t>Wheelchair accessible payphone</w:t>
      </w:r>
    </w:p>
    <w:p w14:paraId="4509D4CF" w14:textId="77777777" w:rsidR="00094004" w:rsidRPr="002A7AC6" w:rsidRDefault="00094004" w:rsidP="00F934C4">
      <w:pPr>
        <w:pStyle w:val="Listparagraphbullets"/>
      </w:pPr>
      <w:r w:rsidRPr="002A7AC6">
        <w:t>Wheelchair accessible toilet (including Left- or Right-hand access)</w:t>
      </w:r>
    </w:p>
    <w:p w14:paraId="2535DC12" w14:textId="77777777" w:rsidR="00094004" w:rsidRDefault="00094004" w:rsidP="00F934C4">
      <w:pPr>
        <w:pStyle w:val="Listparagraphbullets"/>
      </w:pPr>
      <w:r w:rsidRPr="002A7AC6">
        <w:t>Wheelchair ramp boarding assistance</w:t>
      </w:r>
      <w:r>
        <w:t>.</w:t>
      </w:r>
    </w:p>
    <w:p w14:paraId="1E487456" w14:textId="77777777" w:rsidR="00094004" w:rsidRDefault="00094004" w:rsidP="00094004"/>
    <w:p w14:paraId="5CA3B9E4" w14:textId="563D8C50" w:rsidR="00094004" w:rsidRDefault="00094004" w:rsidP="006F65FB">
      <w:pPr>
        <w:pStyle w:val="Heading3"/>
        <w:numPr>
          <w:ilvl w:val="0"/>
          <w:numId w:val="66"/>
        </w:numPr>
        <w:ind w:left="567" w:hanging="567"/>
      </w:pPr>
      <w:bookmarkStart w:id="821" w:name="_Toc127351825"/>
      <w:bookmarkStart w:id="822" w:name="_Toc130914503"/>
      <w:bookmarkStart w:id="823" w:name="_Toc140239797"/>
      <w:r>
        <w:t>Timely provision of information</w:t>
      </w:r>
      <w:bookmarkEnd w:id="821"/>
      <w:bookmarkEnd w:id="822"/>
      <w:bookmarkEnd w:id="823"/>
    </w:p>
    <w:p w14:paraId="101F57F1" w14:textId="77777777" w:rsidR="00094004" w:rsidRDefault="00094004" w:rsidP="00094004">
      <w:pPr>
        <w:pStyle w:val="Heading4"/>
      </w:pPr>
      <w:r>
        <w:t>Status quo</w:t>
      </w:r>
    </w:p>
    <w:p w14:paraId="1D7D728C" w14:textId="77777777" w:rsidR="00094004" w:rsidRPr="002A7AC6" w:rsidRDefault="00094004" w:rsidP="00094004">
      <w:pPr>
        <w:keepNext/>
        <w:spacing w:line="259" w:lineRule="auto"/>
      </w:pPr>
      <w:r>
        <w:t>Transport Standards s</w:t>
      </w:r>
      <w:r w:rsidRPr="002A7AC6">
        <w:t xml:space="preserve">ection 27.2 Direct assistance, would remain unchanged and no </w:t>
      </w:r>
      <w:r>
        <w:t>Guidance</w:t>
      </w:r>
      <w:r w:rsidRPr="002A7AC6">
        <w:t xml:space="preserve"> would be issued.</w:t>
      </w:r>
    </w:p>
    <w:p w14:paraId="70A02EF6" w14:textId="77777777" w:rsidR="00094004" w:rsidRPr="002A7AC6" w:rsidRDefault="00094004" w:rsidP="00094004">
      <w:pPr>
        <w:keepNext/>
        <w:spacing w:line="259" w:lineRule="auto"/>
        <w:ind w:left="1134" w:hanging="567"/>
        <w:rPr>
          <w:b/>
        </w:rPr>
      </w:pPr>
      <w:r w:rsidRPr="002A7AC6">
        <w:rPr>
          <w:b/>
        </w:rPr>
        <w:t>27.2</w:t>
      </w:r>
      <w:r w:rsidRPr="002A7AC6">
        <w:rPr>
          <w:b/>
        </w:rPr>
        <w:tab/>
        <w:t>Direct assistance to be provided</w:t>
      </w:r>
    </w:p>
    <w:p w14:paraId="4C3685DB" w14:textId="77777777" w:rsidR="00094004" w:rsidRPr="002A7AC6" w:rsidRDefault="00094004" w:rsidP="00094004">
      <w:pPr>
        <w:spacing w:line="259" w:lineRule="auto"/>
        <w:ind w:left="567"/>
      </w:pPr>
      <w:r w:rsidRPr="002A7AC6">
        <w:t>If information cannot be supplied in a passenger’s preferred format, equivalent access must be given by direct assistance.</w:t>
      </w:r>
    </w:p>
    <w:p w14:paraId="62BA1160" w14:textId="77777777" w:rsidR="00094004" w:rsidRPr="002A7AC6" w:rsidRDefault="00094004" w:rsidP="00094004">
      <w:pPr>
        <w:spacing w:line="259" w:lineRule="auto"/>
        <w:ind w:left="567"/>
      </w:pPr>
      <w:r w:rsidRPr="002A7AC6">
        <w:t>Note, see sections 33.3 to 33.6 in relation to equivalent access and direct assistance.</w:t>
      </w:r>
    </w:p>
    <w:p w14:paraId="17398285" w14:textId="77777777" w:rsidR="00094004" w:rsidRDefault="00094004" w:rsidP="00094004">
      <w:pPr>
        <w:spacing w:line="259" w:lineRule="auto"/>
        <w:ind w:left="567"/>
      </w:pPr>
      <w:r>
        <w:t>This s</w:t>
      </w:r>
      <w:r w:rsidRPr="002A7AC6">
        <w:t>ection pertains to conveyances, premises and infrastructure.</w:t>
      </w:r>
    </w:p>
    <w:p w14:paraId="1450D859" w14:textId="77777777" w:rsidR="00094004" w:rsidRDefault="00094004" w:rsidP="00094004">
      <w:pPr>
        <w:pStyle w:val="Heading5"/>
      </w:pPr>
      <w:r>
        <w:t>Non-regulatory option</w:t>
      </w:r>
    </w:p>
    <w:p w14:paraId="7C88925D" w14:textId="77777777" w:rsidR="00094004" w:rsidRDefault="00094004" w:rsidP="00094004">
      <w:r w:rsidRPr="002A7AC6">
        <w:t xml:space="preserve">Guidance would be provided in the </w:t>
      </w:r>
      <w:r>
        <w:t>Transport Standards</w:t>
      </w:r>
      <w:r w:rsidRPr="002A7AC6">
        <w:t xml:space="preserve"> Guidelines and / or The Whole Journey Guide on good practice for timely provision of information in requested formats.</w:t>
      </w:r>
    </w:p>
    <w:p w14:paraId="1E63F74B" w14:textId="77777777" w:rsidR="00094004" w:rsidRPr="002A7AC6" w:rsidRDefault="00094004" w:rsidP="00094004">
      <w:r w:rsidRPr="002A7AC6">
        <w:lastRenderedPageBreak/>
        <w:t>Specific guidance may include the following:</w:t>
      </w:r>
    </w:p>
    <w:p w14:paraId="7C12B54F" w14:textId="77777777" w:rsidR="00094004" w:rsidRPr="002A7AC6" w:rsidRDefault="00094004" w:rsidP="00F934C4">
      <w:pPr>
        <w:pStyle w:val="Listparagraphbullets"/>
      </w:pPr>
      <w:r w:rsidRPr="002A7AC6">
        <w:t>Service-related information in infrequently requested but preferred formats should be provided in a timely manner if not immediately available. This is best achieved by having master copies of the less commonly requested formats available that can be quickly reproduced and supplied to passengers.</w:t>
      </w:r>
    </w:p>
    <w:p w14:paraId="74C29953" w14:textId="77777777" w:rsidR="00094004" w:rsidRDefault="00094004" w:rsidP="00F934C4">
      <w:pPr>
        <w:pStyle w:val="Listparagraphbullets"/>
      </w:pPr>
      <w:r w:rsidRPr="002A7AC6">
        <w:t>If information cannot be immediately supplied in a passenger’s preferred format, equivalent access should be given by direct assistance until the request is fulfilled.</w:t>
      </w:r>
    </w:p>
    <w:p w14:paraId="6880E848" w14:textId="77777777" w:rsidR="00094004" w:rsidRPr="002A7AC6" w:rsidRDefault="00094004" w:rsidP="00F934C4">
      <w:pPr>
        <w:pStyle w:val="Listparagraphbullets"/>
      </w:pPr>
      <w:r w:rsidRPr="002A7AC6">
        <w:t xml:space="preserve">Providing requested information that </w:t>
      </w:r>
      <w:r>
        <w:t xml:space="preserve">is </w:t>
      </w:r>
      <w:r w:rsidRPr="002A7AC6">
        <w:t>not immediately available in a ‘timely’ manner means that an operator or provider would supply the information in the shortest practicable timeframe. Timeframes will vary based on the medium of the information and the capaci</w:t>
      </w:r>
      <w:r>
        <w:t>ty of the operator or provider.</w:t>
      </w:r>
    </w:p>
    <w:p w14:paraId="345BF7FC" w14:textId="77777777" w:rsidR="00094004" w:rsidRDefault="00094004" w:rsidP="00094004">
      <w:pPr>
        <w:pStyle w:val="Heading5"/>
      </w:pPr>
      <w:r>
        <w:t>Regulatory option</w:t>
      </w:r>
    </w:p>
    <w:p w14:paraId="4745529E" w14:textId="77777777" w:rsidR="00094004" w:rsidRPr="002A7AC6" w:rsidRDefault="00094004" w:rsidP="00094004">
      <w:r>
        <w:t>Transport Standards section 27.2</w:t>
      </w:r>
      <w:r w:rsidRPr="002A7AC6">
        <w:t xml:space="preserve"> </w:t>
      </w:r>
      <w:r w:rsidRPr="00747EB7">
        <w:t xml:space="preserve">would be amended to include the following (including any requirements retained </w:t>
      </w:r>
      <w:r>
        <w:t>or amended from the status quo)</w:t>
      </w:r>
      <w:r w:rsidRPr="002A7AC6">
        <w:t>:</w:t>
      </w:r>
    </w:p>
    <w:p w14:paraId="497F4998" w14:textId="77777777" w:rsidR="00094004" w:rsidRPr="002A7AC6" w:rsidRDefault="00094004" w:rsidP="00F934C4">
      <w:pPr>
        <w:pStyle w:val="Listparagraphbullets"/>
      </w:pPr>
      <w:r w:rsidRPr="002A7AC6">
        <w:t>Infrequently requested formats must be provided in a timely manner if not immediately available.</w:t>
      </w:r>
    </w:p>
    <w:p w14:paraId="33373006" w14:textId="77777777" w:rsidR="00094004" w:rsidRPr="002A7AC6" w:rsidRDefault="00094004" w:rsidP="00F934C4">
      <w:pPr>
        <w:pStyle w:val="Listparagraphbullets"/>
      </w:pPr>
      <w:r w:rsidRPr="002A7AC6">
        <w:t>If information cannot be immediately supplied in a passenger’s preferred format, equivalent access must be given by direct assistance until the request is fulfilled.</w:t>
      </w:r>
    </w:p>
    <w:p w14:paraId="673A2DEB" w14:textId="77777777" w:rsidR="00094004" w:rsidRPr="002A7AC6" w:rsidRDefault="00094004" w:rsidP="00094004">
      <w:r w:rsidRPr="002A7AC6">
        <w:t>These amendments would pertain to conveyances, premises and infrastructure.</w:t>
      </w:r>
    </w:p>
    <w:p w14:paraId="3E00851C" w14:textId="77777777" w:rsidR="00094004" w:rsidRDefault="00094004" w:rsidP="00094004">
      <w:r w:rsidRPr="002A7AC6">
        <w:t xml:space="preserve">Guidance would be provided in the </w:t>
      </w:r>
      <w:r>
        <w:t>Transport Standards</w:t>
      </w:r>
      <w:r w:rsidRPr="002A7AC6">
        <w:t xml:space="preserve"> Guidelines and / or The Whole Journey Guide to reflect new requirements.</w:t>
      </w:r>
    </w:p>
    <w:p w14:paraId="34FF5CDD" w14:textId="77777777" w:rsidR="00094004" w:rsidRPr="002A7AC6" w:rsidRDefault="00094004" w:rsidP="00094004">
      <w:pPr>
        <w:keepNext/>
      </w:pPr>
      <w:r>
        <w:t>Specific guidance may include:</w:t>
      </w:r>
    </w:p>
    <w:p w14:paraId="439A4E05" w14:textId="77777777" w:rsidR="00094004" w:rsidRPr="002A7AC6" w:rsidRDefault="00094004" w:rsidP="00F934C4">
      <w:pPr>
        <w:pStyle w:val="Listparagraphbullets"/>
      </w:pPr>
      <w:r w:rsidRPr="002A7AC6">
        <w:t xml:space="preserve">Operators and providers should expect requests for information in formats such as standard or large print, Braille, audio, touch-tone telephone, </w:t>
      </w:r>
      <w:r>
        <w:t>teletypewriter (</w:t>
      </w:r>
      <w:r w:rsidRPr="002A7AC6">
        <w:t>TTY</w:t>
      </w:r>
      <w:r>
        <w:t>)</w:t>
      </w:r>
      <w:r w:rsidRPr="002A7AC6">
        <w:t>, digital files of various formats, SMS / Text, email, Auslan, audio-visual material, and on-line.</w:t>
      </w:r>
    </w:p>
    <w:p w14:paraId="11AFF773" w14:textId="77777777" w:rsidR="00094004" w:rsidRDefault="00094004" w:rsidP="00F934C4">
      <w:pPr>
        <w:pStyle w:val="Listparagraphbullets"/>
      </w:pPr>
      <w:r w:rsidRPr="002A7AC6">
        <w:t xml:space="preserve">Information formats that are less frequently requested should be supplied in a timely manner following the request. This </w:t>
      </w:r>
      <w:r>
        <w:t xml:space="preserve">is </w:t>
      </w:r>
      <w:r w:rsidRPr="002A7AC6">
        <w:t>best achieved by having master copies available of the less commonly requested formats that can be quickly reproduced and supplied to passengers. Some formats or mediums may take longer to produce than others.</w:t>
      </w:r>
    </w:p>
    <w:p w14:paraId="26B4C441" w14:textId="77777777" w:rsidR="00094004" w:rsidRDefault="00094004" w:rsidP="00F934C4">
      <w:pPr>
        <w:pStyle w:val="Listparagraphbullets"/>
      </w:pPr>
      <w:r w:rsidRPr="002A7AC6">
        <w:t>Providing requested information that was not immediately available in a ‘timely’ manner means that an operator or provider would supply the information in the shortest practicable timeframe. Timeframes will vary based on the medium of the information and the capacity of the operator or provider.</w:t>
      </w:r>
    </w:p>
    <w:p w14:paraId="7FD9C468" w14:textId="77777777" w:rsidR="00094004" w:rsidRDefault="00094004" w:rsidP="00F934C4">
      <w:pPr>
        <w:pStyle w:val="Listparagraphbullets"/>
        <w:numPr>
          <w:ilvl w:val="0"/>
          <w:numId w:val="0"/>
        </w:numPr>
        <w:ind w:left="360"/>
      </w:pPr>
    </w:p>
    <w:p w14:paraId="6050BEF8" w14:textId="27C9310B" w:rsidR="00094004" w:rsidRDefault="00094004" w:rsidP="006F65FB">
      <w:pPr>
        <w:pStyle w:val="Heading3"/>
        <w:numPr>
          <w:ilvl w:val="0"/>
          <w:numId w:val="66"/>
        </w:numPr>
        <w:ind w:left="567" w:hanging="567"/>
      </w:pPr>
      <w:bookmarkStart w:id="824" w:name="_Toc127351826"/>
      <w:bookmarkStart w:id="825" w:name="_Toc130914504"/>
      <w:bookmarkStart w:id="826" w:name="_Toc140239798"/>
      <w:r>
        <w:t>Real time communication</w:t>
      </w:r>
      <w:bookmarkEnd w:id="824"/>
      <w:bookmarkEnd w:id="825"/>
      <w:bookmarkEnd w:id="826"/>
    </w:p>
    <w:p w14:paraId="14BB0D3C" w14:textId="77777777" w:rsidR="00094004" w:rsidRDefault="00094004" w:rsidP="00094004">
      <w:pPr>
        <w:pStyle w:val="Heading4"/>
      </w:pPr>
      <w:r>
        <w:t>Status quo</w:t>
      </w:r>
    </w:p>
    <w:p w14:paraId="66F761CE" w14:textId="77777777" w:rsidR="00094004" w:rsidRPr="002A7AC6" w:rsidRDefault="00094004" w:rsidP="00094004">
      <w:r>
        <w:t>Transport Standards</w:t>
      </w:r>
      <w:r w:rsidRPr="002A7AC6">
        <w:t xml:space="preserve"> Part 27 Information, would remain unchanged and no new or additional guidance would be provided.</w:t>
      </w:r>
    </w:p>
    <w:p w14:paraId="3B6FFFB7" w14:textId="77777777" w:rsidR="00094004" w:rsidRDefault="00094004" w:rsidP="00094004">
      <w:pPr>
        <w:ind w:left="567"/>
        <w:rPr>
          <w:b/>
        </w:rPr>
      </w:pPr>
      <w:r w:rsidRPr="002A7AC6">
        <w:rPr>
          <w:b/>
        </w:rPr>
        <w:t xml:space="preserve">Part 27 </w:t>
      </w:r>
      <w:r w:rsidRPr="002A7AC6">
        <w:rPr>
          <w:b/>
        </w:rPr>
        <w:tab/>
        <w:t>Information</w:t>
      </w:r>
    </w:p>
    <w:p w14:paraId="52B1EE30" w14:textId="77777777" w:rsidR="00094004" w:rsidRPr="002A7AC6" w:rsidRDefault="00094004" w:rsidP="00094004">
      <w:pPr>
        <w:ind w:left="567"/>
        <w:rPr>
          <w:b/>
        </w:rPr>
      </w:pPr>
      <w:r w:rsidRPr="002A7AC6">
        <w:rPr>
          <w:b/>
        </w:rPr>
        <w:t>27.1</w:t>
      </w:r>
      <w:r w:rsidRPr="002A7AC6">
        <w:rPr>
          <w:b/>
        </w:rPr>
        <w:tab/>
        <w:t>Access to information about transport services</w:t>
      </w:r>
    </w:p>
    <w:p w14:paraId="0F0B980F" w14:textId="77777777" w:rsidR="00094004" w:rsidRPr="002A7AC6" w:rsidRDefault="00094004" w:rsidP="00094004">
      <w:pPr>
        <w:ind w:left="567"/>
      </w:pPr>
      <w:r w:rsidRPr="002A7AC6">
        <w:t>General information about transport services must be accessible to all passengers.</w:t>
      </w:r>
    </w:p>
    <w:p w14:paraId="4AD52B26" w14:textId="77777777" w:rsidR="00094004" w:rsidRPr="002A7AC6" w:rsidRDefault="00094004" w:rsidP="00094004">
      <w:pPr>
        <w:ind w:left="567"/>
        <w:rPr>
          <w:b/>
        </w:rPr>
      </w:pPr>
      <w:r w:rsidRPr="002A7AC6">
        <w:rPr>
          <w:b/>
        </w:rPr>
        <w:lastRenderedPageBreak/>
        <w:t>27.2</w:t>
      </w:r>
      <w:r w:rsidRPr="002A7AC6">
        <w:rPr>
          <w:b/>
        </w:rPr>
        <w:tab/>
        <w:t>Direct assistance to be provided</w:t>
      </w:r>
    </w:p>
    <w:p w14:paraId="6EE53761" w14:textId="77777777" w:rsidR="00094004" w:rsidRPr="002A7AC6" w:rsidRDefault="00094004" w:rsidP="00094004">
      <w:pPr>
        <w:ind w:left="567"/>
      </w:pPr>
      <w:r w:rsidRPr="002A7AC6">
        <w:t>If information cannot be supplied in a passenger’s preferred format, equivalent access must be given by direct assistance.</w:t>
      </w:r>
    </w:p>
    <w:p w14:paraId="6A8A77A0" w14:textId="77777777" w:rsidR="00094004" w:rsidRPr="002A7AC6" w:rsidRDefault="00094004" w:rsidP="00094004">
      <w:pPr>
        <w:ind w:left="567"/>
      </w:pPr>
      <w:r w:rsidRPr="002A7AC6">
        <w:t>Note, See sections 33.3 to 33.6 in relation to equivalent access and direct assistance.</w:t>
      </w:r>
    </w:p>
    <w:p w14:paraId="5D1C2AD6" w14:textId="77777777" w:rsidR="00094004" w:rsidRPr="002A7AC6" w:rsidRDefault="00094004" w:rsidP="00094004">
      <w:pPr>
        <w:ind w:left="567"/>
        <w:rPr>
          <w:b/>
        </w:rPr>
      </w:pPr>
      <w:r w:rsidRPr="002A7AC6">
        <w:rPr>
          <w:b/>
        </w:rPr>
        <w:t xml:space="preserve">27.3 </w:t>
      </w:r>
      <w:r w:rsidRPr="002A7AC6">
        <w:rPr>
          <w:b/>
        </w:rPr>
        <w:tab/>
        <w:t>Size and format of printing</w:t>
      </w:r>
    </w:p>
    <w:p w14:paraId="1CA43B4C" w14:textId="77777777" w:rsidR="00094004" w:rsidRPr="002A7AC6" w:rsidRDefault="00094004" w:rsidP="00094004">
      <w:pPr>
        <w:ind w:left="567"/>
      </w:pPr>
      <w:r w:rsidRPr="002A7AC6">
        <w:t xml:space="preserve">(1) </w:t>
      </w:r>
      <w:r w:rsidRPr="002A7AC6">
        <w:tab/>
        <w:t>Large print format type size must be at least 18-point sans serif characters.</w:t>
      </w:r>
    </w:p>
    <w:p w14:paraId="63838722" w14:textId="77777777" w:rsidR="00094004" w:rsidRPr="002A7AC6" w:rsidRDefault="00094004" w:rsidP="00094004">
      <w:pPr>
        <w:ind w:left="567"/>
      </w:pPr>
      <w:r w:rsidRPr="002A7AC6">
        <w:t>(2)</w:t>
      </w:r>
      <w:r w:rsidRPr="002A7AC6">
        <w:tab/>
        <w:t>Copy must be black on a light background.</w:t>
      </w:r>
    </w:p>
    <w:p w14:paraId="47E409DA" w14:textId="77777777" w:rsidR="00094004" w:rsidRPr="002A7AC6" w:rsidRDefault="00094004" w:rsidP="00094004">
      <w:pPr>
        <w:keepNext/>
        <w:ind w:left="567"/>
        <w:rPr>
          <w:b/>
        </w:rPr>
      </w:pPr>
      <w:r w:rsidRPr="002A7AC6">
        <w:rPr>
          <w:b/>
        </w:rPr>
        <w:t>27.4</w:t>
      </w:r>
      <w:r w:rsidRPr="002A7AC6">
        <w:rPr>
          <w:b/>
        </w:rPr>
        <w:tab/>
        <w:t>Access to information about location</w:t>
      </w:r>
    </w:p>
    <w:p w14:paraId="125ADC9F" w14:textId="77777777" w:rsidR="00094004" w:rsidRPr="002A7AC6" w:rsidRDefault="00094004" w:rsidP="00094004">
      <w:pPr>
        <w:ind w:left="567"/>
      </w:pPr>
      <w:r w:rsidRPr="002A7AC6">
        <w:t>All passengers must be given the same level of access to information on their whereabouts during a public transport journey.</w:t>
      </w:r>
    </w:p>
    <w:p w14:paraId="42CE6CDE" w14:textId="77777777" w:rsidR="00094004" w:rsidRPr="002A7AC6" w:rsidRDefault="00094004" w:rsidP="00094004">
      <w:r w:rsidRPr="002A7AC6">
        <w:t>This Part pertains to all conveyances, premises and infrastructure.</w:t>
      </w:r>
    </w:p>
    <w:p w14:paraId="043367D4" w14:textId="77777777" w:rsidR="00094004" w:rsidRDefault="00094004" w:rsidP="00094004">
      <w:pPr>
        <w:pStyle w:val="Heading5"/>
      </w:pPr>
      <w:r>
        <w:t>Non-regulatory option</w:t>
      </w:r>
    </w:p>
    <w:p w14:paraId="4322E810" w14:textId="77777777" w:rsidR="00094004" w:rsidRDefault="00094004" w:rsidP="00094004">
      <w:r w:rsidRPr="002A7AC6">
        <w:t xml:space="preserve">Guidance would be provided in the </w:t>
      </w:r>
      <w:r>
        <w:t>Transport Standards</w:t>
      </w:r>
      <w:r w:rsidRPr="002A7AC6">
        <w:t xml:space="preserve"> Guidelines and / or The Whole Journey Guide on real-time communication.</w:t>
      </w:r>
    </w:p>
    <w:p w14:paraId="2D2D828F" w14:textId="77777777" w:rsidR="00094004" w:rsidRPr="002A7AC6" w:rsidRDefault="00094004" w:rsidP="00094004">
      <w:r w:rsidRPr="002A7AC6">
        <w:t>Specific guidance may include the following:</w:t>
      </w:r>
    </w:p>
    <w:p w14:paraId="45F66C22" w14:textId="77777777" w:rsidR="00094004" w:rsidRPr="00305C9F" w:rsidRDefault="00094004" w:rsidP="00F934C4">
      <w:pPr>
        <w:pStyle w:val="Listparagraphbullets"/>
      </w:pPr>
      <w:r>
        <w:t>G</w:t>
      </w:r>
      <w:r w:rsidRPr="00305C9F">
        <w:t xml:space="preserve">uidance on how to improve the lines of </w:t>
      </w:r>
      <w:r w:rsidRPr="007120B9">
        <w:t xml:space="preserve">communication </w:t>
      </w:r>
      <w:r w:rsidRPr="00305C9F">
        <w:t>between operators, providers and passengers in real time</w:t>
      </w:r>
    </w:p>
    <w:p w14:paraId="199F396F" w14:textId="77777777" w:rsidR="00094004" w:rsidRPr="00305C9F" w:rsidRDefault="00094004" w:rsidP="00F934C4">
      <w:pPr>
        <w:pStyle w:val="Listparagraphbullets"/>
      </w:pPr>
      <w:r>
        <w:t>E</w:t>
      </w:r>
      <w:r w:rsidRPr="00305C9F">
        <w:t xml:space="preserve">xamples of real time </w:t>
      </w:r>
      <w:r w:rsidRPr="007120B9">
        <w:t>communication</w:t>
      </w:r>
    </w:p>
    <w:p w14:paraId="0C6B0C14" w14:textId="77777777" w:rsidR="00094004" w:rsidRPr="00176C7C" w:rsidRDefault="00094004" w:rsidP="00F934C4">
      <w:pPr>
        <w:pStyle w:val="Listparagraphbullets"/>
      </w:pPr>
      <w:r w:rsidRPr="00176C7C">
        <w:t>Recommend for disability awareness training for operators and providers.</w:t>
      </w:r>
    </w:p>
    <w:p w14:paraId="01BB09F3" w14:textId="77777777" w:rsidR="00094004" w:rsidRDefault="00094004" w:rsidP="00094004">
      <w:pPr>
        <w:pStyle w:val="Heading5"/>
      </w:pPr>
      <w:r>
        <w:t>Regulatory option</w:t>
      </w:r>
    </w:p>
    <w:p w14:paraId="7F7968F8" w14:textId="77777777" w:rsidR="00094004" w:rsidRPr="002A7AC6" w:rsidRDefault="00094004" w:rsidP="00094004">
      <w:r>
        <w:t>Transport Standards Part 27</w:t>
      </w:r>
      <w:r w:rsidRPr="002A7AC6">
        <w:t xml:space="preserve"> </w:t>
      </w:r>
      <w:r w:rsidRPr="00747EB7">
        <w:t>would be amended to include the following (including any requirements retained or amended from the status quo):</w:t>
      </w:r>
    </w:p>
    <w:p w14:paraId="6FBCED0D" w14:textId="77777777" w:rsidR="00094004" w:rsidRPr="00176C7C" w:rsidRDefault="00094004" w:rsidP="00F934C4">
      <w:pPr>
        <w:pStyle w:val="Listparagraphbullets"/>
      </w:pPr>
      <w:r w:rsidRPr="00305C9F">
        <w:t xml:space="preserve">Passengers who require service-related information, who wish to </w:t>
      </w:r>
      <w:r w:rsidRPr="007120B9">
        <w:t xml:space="preserve">communicate </w:t>
      </w:r>
      <w:r w:rsidRPr="00305C9F">
        <w:t xml:space="preserve">service related information, or who need assistance or help on service-related matters must be able engage in real time </w:t>
      </w:r>
      <w:r w:rsidRPr="007120B9">
        <w:t xml:space="preserve">communication </w:t>
      </w:r>
      <w:r w:rsidRPr="00305C9F">
        <w:t xml:space="preserve">with the transport operator or provider before boarding, while the conveyance is in transit and after alighting. This real-time </w:t>
      </w:r>
      <w:r w:rsidRPr="007120B9">
        <w:t xml:space="preserve">communication </w:t>
      </w:r>
      <w:r>
        <w:t>may involve direct assistance.</w:t>
      </w:r>
    </w:p>
    <w:p w14:paraId="3DDEFF56" w14:textId="77777777" w:rsidR="00094004" w:rsidRDefault="00094004" w:rsidP="00094004">
      <w:r w:rsidRPr="002A7AC6">
        <w:t xml:space="preserve">Guidance would be provided in the </w:t>
      </w:r>
      <w:r>
        <w:t>Transport Standards</w:t>
      </w:r>
      <w:r w:rsidRPr="002A7AC6">
        <w:t xml:space="preserve"> Guidelines and / or The Whole Journey Guide on real-time communication.</w:t>
      </w:r>
    </w:p>
    <w:p w14:paraId="2EF66A93" w14:textId="77777777" w:rsidR="00094004" w:rsidRPr="002A7AC6" w:rsidRDefault="00094004" w:rsidP="00094004">
      <w:pPr>
        <w:keepNext/>
      </w:pPr>
      <w:r>
        <w:t>Specific guidance may include:</w:t>
      </w:r>
    </w:p>
    <w:p w14:paraId="3E634532" w14:textId="77777777" w:rsidR="00094004" w:rsidRPr="00305C9F" w:rsidRDefault="00094004" w:rsidP="00F934C4">
      <w:pPr>
        <w:pStyle w:val="Listparagraphbullets"/>
      </w:pPr>
      <w:r>
        <w:t>G</w:t>
      </w:r>
      <w:r w:rsidRPr="00305C9F">
        <w:t xml:space="preserve">uidance on how to improve the lines of </w:t>
      </w:r>
      <w:r w:rsidRPr="007120B9">
        <w:t xml:space="preserve">communication </w:t>
      </w:r>
      <w:r w:rsidRPr="00305C9F">
        <w:t>between operators, providers and passengers in real time</w:t>
      </w:r>
    </w:p>
    <w:p w14:paraId="0162670F" w14:textId="77777777" w:rsidR="00094004" w:rsidRPr="00305C9F" w:rsidRDefault="00094004" w:rsidP="00F934C4">
      <w:pPr>
        <w:pStyle w:val="Listparagraphbullets"/>
      </w:pPr>
      <w:r>
        <w:t>E</w:t>
      </w:r>
      <w:r w:rsidRPr="00305C9F">
        <w:t xml:space="preserve">xamples of real time </w:t>
      </w:r>
      <w:r w:rsidRPr="007120B9">
        <w:t>communication</w:t>
      </w:r>
    </w:p>
    <w:p w14:paraId="37186066" w14:textId="77777777" w:rsidR="00094004" w:rsidRDefault="00094004" w:rsidP="00F934C4">
      <w:pPr>
        <w:pStyle w:val="Listparagraphbullets"/>
      </w:pPr>
      <w:r>
        <w:t>R</w:t>
      </w:r>
      <w:r w:rsidRPr="00305C9F">
        <w:t>ecommend</w:t>
      </w:r>
      <w:r>
        <w:t xml:space="preserve"> </w:t>
      </w:r>
      <w:r w:rsidRPr="00305C9F">
        <w:t>for disability awareness training for operators and providers.</w:t>
      </w:r>
    </w:p>
    <w:p w14:paraId="3D36FA81" w14:textId="77777777" w:rsidR="00094004" w:rsidRDefault="00094004" w:rsidP="00094004"/>
    <w:p w14:paraId="0134F6D1" w14:textId="3B97FBEA" w:rsidR="00094004" w:rsidRDefault="00094004" w:rsidP="006F65FB">
      <w:pPr>
        <w:pStyle w:val="Heading3"/>
        <w:numPr>
          <w:ilvl w:val="0"/>
          <w:numId w:val="66"/>
        </w:numPr>
        <w:ind w:left="567" w:hanging="567"/>
      </w:pPr>
      <w:bookmarkStart w:id="827" w:name="_Toc127351827"/>
      <w:bookmarkStart w:id="828" w:name="_Toc130914505"/>
      <w:bookmarkStart w:id="829" w:name="_Toc140239799"/>
      <w:r>
        <w:lastRenderedPageBreak/>
        <w:t>Passenger location during journey</w:t>
      </w:r>
      <w:bookmarkEnd w:id="827"/>
      <w:bookmarkEnd w:id="828"/>
      <w:bookmarkEnd w:id="829"/>
    </w:p>
    <w:p w14:paraId="67ED5C22" w14:textId="77777777" w:rsidR="00094004" w:rsidRDefault="00094004" w:rsidP="00094004">
      <w:pPr>
        <w:pStyle w:val="Heading4"/>
      </w:pPr>
      <w:r>
        <w:t>Status quo</w:t>
      </w:r>
    </w:p>
    <w:p w14:paraId="17F464A3" w14:textId="77777777" w:rsidR="00094004" w:rsidRPr="002A7AC6" w:rsidRDefault="00094004" w:rsidP="00094004">
      <w:r>
        <w:t>Transport Standards s</w:t>
      </w:r>
      <w:r w:rsidRPr="002A7AC6">
        <w:t xml:space="preserve">ection 27.4 Access to information about location, would remain unchanged and no </w:t>
      </w:r>
      <w:r>
        <w:t>Guidance</w:t>
      </w:r>
      <w:r w:rsidRPr="002A7AC6">
        <w:t xml:space="preserve"> would be issued.</w:t>
      </w:r>
    </w:p>
    <w:p w14:paraId="15C58FD1" w14:textId="77777777" w:rsidR="00094004" w:rsidRPr="002A7AC6" w:rsidRDefault="00094004" w:rsidP="00094004">
      <w:pPr>
        <w:ind w:left="1112" w:hanging="567"/>
        <w:rPr>
          <w:b/>
        </w:rPr>
      </w:pPr>
      <w:r w:rsidRPr="002A7AC6">
        <w:rPr>
          <w:b/>
        </w:rPr>
        <w:t xml:space="preserve">27.4 </w:t>
      </w:r>
      <w:r w:rsidRPr="002A7AC6">
        <w:rPr>
          <w:b/>
        </w:rPr>
        <w:tab/>
        <w:t>Access to information about location</w:t>
      </w:r>
    </w:p>
    <w:p w14:paraId="572B0D28" w14:textId="77777777" w:rsidR="00094004" w:rsidRPr="002A7AC6" w:rsidRDefault="00094004" w:rsidP="00094004">
      <w:pPr>
        <w:ind w:left="545" w:hanging="11"/>
      </w:pPr>
      <w:r w:rsidRPr="002A7AC6">
        <w:t>All passengers must be given the same level of access to information on their whereabouts during a public transport journey.</w:t>
      </w:r>
    </w:p>
    <w:p w14:paraId="29A49545" w14:textId="77777777" w:rsidR="00094004" w:rsidRDefault="00094004" w:rsidP="00094004">
      <w:pPr>
        <w:pStyle w:val="Heading5"/>
      </w:pPr>
      <w:r>
        <w:t>Non-regulatory option</w:t>
      </w:r>
    </w:p>
    <w:p w14:paraId="29FF3476" w14:textId="77777777" w:rsidR="00094004" w:rsidRDefault="00094004" w:rsidP="00094004">
      <w:r w:rsidRPr="002A7AC6">
        <w:t xml:space="preserve">Guidance would be provided in the </w:t>
      </w:r>
      <w:r>
        <w:t>Transport Standards</w:t>
      </w:r>
      <w:r w:rsidRPr="002A7AC6">
        <w:t xml:space="preserve"> Guidelines and / or The Whole Journey Guide on provision of location information during a transport journey.</w:t>
      </w:r>
    </w:p>
    <w:p w14:paraId="3E8C55C7" w14:textId="77777777" w:rsidR="00094004" w:rsidRPr="002A7AC6" w:rsidRDefault="00094004" w:rsidP="00094004">
      <w:r w:rsidRPr="002A7AC6">
        <w:t>Specific guidance may include the following:</w:t>
      </w:r>
    </w:p>
    <w:p w14:paraId="28C39500" w14:textId="77777777" w:rsidR="00094004" w:rsidRPr="00C4701B" w:rsidRDefault="00094004" w:rsidP="00F934C4">
      <w:pPr>
        <w:pStyle w:val="Listparagraphbullets"/>
      </w:pPr>
      <w:r w:rsidRPr="00C4701B">
        <w:t>Information should be provided in multiple formats, including via direct assistance, in a timely manner allowing time for a person to respond and successfully alight.</w:t>
      </w:r>
    </w:p>
    <w:p w14:paraId="7237F571" w14:textId="77777777" w:rsidR="00094004" w:rsidRDefault="00094004" w:rsidP="00094004">
      <w:pPr>
        <w:pStyle w:val="Heading5"/>
      </w:pPr>
      <w:r>
        <w:t>Regulatory option</w:t>
      </w:r>
    </w:p>
    <w:p w14:paraId="67CFE516" w14:textId="77777777" w:rsidR="00094004" w:rsidRPr="002A7AC6" w:rsidRDefault="00094004" w:rsidP="00094004">
      <w:pPr>
        <w:keepNext/>
      </w:pPr>
      <w:r>
        <w:t xml:space="preserve">Transport Standards section 27.4 </w:t>
      </w:r>
      <w:r w:rsidRPr="00747EB7">
        <w:t xml:space="preserve">would be amended to include the following (including any requirements retained </w:t>
      </w:r>
      <w:r>
        <w:t xml:space="preserve">or amended from the status quo). </w:t>
      </w:r>
      <w:r w:rsidRPr="002A7AC6">
        <w:t>There are two sub-options consideration regarding the visibility of visual information displays</w:t>
      </w:r>
      <w:r>
        <w:t>:</w:t>
      </w:r>
    </w:p>
    <w:p w14:paraId="2D9472B5" w14:textId="77777777" w:rsidR="00094004" w:rsidRDefault="00094004" w:rsidP="00F934C4">
      <w:pPr>
        <w:pStyle w:val="Listparagraphbullets"/>
      </w:pPr>
      <w:r w:rsidRPr="00305C9F">
        <w:t>Visual information display of next stop must be visible.</w:t>
      </w:r>
    </w:p>
    <w:p w14:paraId="33014AF1" w14:textId="77777777" w:rsidR="00094004" w:rsidRPr="0058246F" w:rsidRDefault="00094004" w:rsidP="00094004">
      <w:pPr>
        <w:pStyle w:val="Heading6"/>
      </w:pPr>
      <w:r>
        <w:t>Sub-option 1</w:t>
      </w:r>
    </w:p>
    <w:p w14:paraId="53A4DA70" w14:textId="77777777" w:rsidR="00094004" w:rsidRPr="002A7AC6" w:rsidRDefault="00094004" w:rsidP="00094004">
      <w:r w:rsidRPr="002A7AC6">
        <w:t>Visual information display of next stop must be visible from all priority seats and allocated spaces</w:t>
      </w:r>
      <w:r>
        <w:t>.</w:t>
      </w:r>
    </w:p>
    <w:p w14:paraId="765CE130" w14:textId="77777777" w:rsidR="00094004" w:rsidRPr="0058246F" w:rsidRDefault="00094004" w:rsidP="00094004">
      <w:pPr>
        <w:pStyle w:val="Heading6"/>
      </w:pPr>
      <w:r w:rsidRPr="0058246F">
        <w:t>Sub-option 2</w:t>
      </w:r>
    </w:p>
    <w:p w14:paraId="6437DADB" w14:textId="77777777" w:rsidR="00094004" w:rsidRPr="002A7AC6" w:rsidRDefault="00094004" w:rsidP="00094004">
      <w:r w:rsidRPr="002A7AC6">
        <w:t>Visual information display of next stop must be visible from all seats and allocated spaces.</w:t>
      </w:r>
    </w:p>
    <w:p w14:paraId="4DD3FD77" w14:textId="77777777" w:rsidR="00094004" w:rsidRDefault="00094004" w:rsidP="00F934C4">
      <w:pPr>
        <w:pStyle w:val="Listparagraphbullets"/>
      </w:pPr>
      <w:r w:rsidRPr="00305C9F">
        <w:t xml:space="preserve">Audio announcements of next stop broadcast over an </w:t>
      </w:r>
      <w:r>
        <w:t>on</w:t>
      </w:r>
      <w:r w:rsidRPr="00305C9F">
        <w:t>boa</w:t>
      </w:r>
      <w:r>
        <w:t>rd public address</w:t>
      </w:r>
      <w:r w:rsidRPr="00305C9F">
        <w:t xml:space="preserve"> system must also be provided via a hearing augmentation system complying with AS1428.5 </w:t>
      </w:r>
      <w:r w:rsidRPr="00305C9F">
        <w:rPr>
          <w:i/>
        </w:rPr>
        <w:t xml:space="preserve">Design for access and mobility, </w:t>
      </w:r>
      <w:r w:rsidRPr="00245B21">
        <w:t xml:space="preserve">Part 5: </w:t>
      </w:r>
      <w:r w:rsidRPr="00305C9F">
        <w:rPr>
          <w:i/>
        </w:rPr>
        <w:t>Communication for people who</w:t>
      </w:r>
      <w:r>
        <w:rPr>
          <w:i/>
        </w:rPr>
        <w:t xml:space="preserve"> are deaf or hearing impaired, </w:t>
      </w:r>
      <w:r w:rsidRPr="00245B21">
        <w:t>section 3.2.</w:t>
      </w:r>
    </w:p>
    <w:p w14:paraId="58AFAC60" w14:textId="77777777" w:rsidR="00094004" w:rsidRPr="00305C9F" w:rsidRDefault="00094004" w:rsidP="00F934C4">
      <w:pPr>
        <w:pStyle w:val="Listparagraphbullets"/>
      </w:pPr>
      <w:r w:rsidRPr="00305C9F">
        <w:t>Announcement of the side or door / gate through which a passenger must alight, must be made where side or door / gate for alighting can vary.</w:t>
      </w:r>
    </w:p>
    <w:p w14:paraId="6674B929"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to reflect new requirements.</w:t>
      </w:r>
    </w:p>
    <w:p w14:paraId="26F05561" w14:textId="77777777" w:rsidR="00094004" w:rsidRPr="008B231A" w:rsidRDefault="00094004" w:rsidP="00094004">
      <w:r w:rsidRPr="002A7AC6">
        <w:t>Specific guidance may include that useful information should be provided in a timely manner allowing sufficient time for a person to respond and successfully alight public transport.</w:t>
      </w:r>
    </w:p>
    <w:p w14:paraId="6D082AE6" w14:textId="77777777" w:rsidR="00094004" w:rsidRDefault="00094004" w:rsidP="00094004"/>
    <w:p w14:paraId="6D62B063" w14:textId="6AAE8CC6" w:rsidR="00094004" w:rsidRDefault="00094004" w:rsidP="006F65FB">
      <w:pPr>
        <w:pStyle w:val="Heading3"/>
        <w:numPr>
          <w:ilvl w:val="0"/>
          <w:numId w:val="66"/>
        </w:numPr>
        <w:ind w:left="567" w:hanging="567"/>
      </w:pPr>
      <w:bookmarkStart w:id="830" w:name="_Toc127351828"/>
      <w:bookmarkStart w:id="831" w:name="_Toc130914506"/>
      <w:bookmarkStart w:id="832" w:name="_Toc140239800"/>
      <w:r>
        <w:t>Hearing augmentation on conveyances</w:t>
      </w:r>
      <w:bookmarkEnd w:id="830"/>
      <w:bookmarkEnd w:id="831"/>
      <w:bookmarkEnd w:id="832"/>
    </w:p>
    <w:p w14:paraId="7E15C976" w14:textId="77777777" w:rsidR="00094004" w:rsidRDefault="00094004" w:rsidP="00094004">
      <w:pPr>
        <w:pStyle w:val="Heading4"/>
      </w:pPr>
      <w:r>
        <w:t>Status quo</w:t>
      </w:r>
    </w:p>
    <w:p w14:paraId="24DEABAE" w14:textId="77777777" w:rsidR="00094004" w:rsidRDefault="00094004" w:rsidP="00094004">
      <w:r>
        <w:t>Transport Standards</w:t>
      </w:r>
      <w:r w:rsidRPr="002A7AC6">
        <w:t xml:space="preserve"> </w:t>
      </w:r>
      <w:r>
        <w:t>s</w:t>
      </w:r>
      <w:r w:rsidRPr="002A7AC6">
        <w:t xml:space="preserve">ection 26.2 </w:t>
      </w:r>
      <w:r w:rsidRPr="00606F3E">
        <w:t>Public address systems</w:t>
      </w:r>
      <w:r>
        <w:t>—</w:t>
      </w:r>
      <w:r w:rsidRPr="00606F3E">
        <w:t>conveyances</w:t>
      </w:r>
      <w:r w:rsidRPr="002A7AC6">
        <w:t>, would remain unchanged and no additional guidance would be issued.</w:t>
      </w:r>
    </w:p>
    <w:p w14:paraId="0D6CF6C6" w14:textId="77777777" w:rsidR="00094004" w:rsidRPr="002A7AC6" w:rsidRDefault="00094004" w:rsidP="00094004">
      <w:pPr>
        <w:ind w:left="567"/>
        <w:rPr>
          <w:b/>
        </w:rPr>
      </w:pPr>
      <w:r w:rsidRPr="002A7AC6">
        <w:rPr>
          <w:b/>
        </w:rPr>
        <w:lastRenderedPageBreak/>
        <w:t>26.2 Public address systems</w:t>
      </w:r>
      <w:r>
        <w:rPr>
          <w:b/>
        </w:rPr>
        <w:t>—</w:t>
      </w:r>
      <w:r w:rsidRPr="002A7AC6">
        <w:rPr>
          <w:b/>
        </w:rPr>
        <w:t>conveyances</w:t>
      </w:r>
    </w:p>
    <w:p w14:paraId="2843C520" w14:textId="77777777" w:rsidR="00094004" w:rsidRPr="002A7AC6" w:rsidRDefault="00094004" w:rsidP="00094004">
      <w:pPr>
        <w:ind w:left="567"/>
      </w:pPr>
      <w:r w:rsidRPr="002A7AC6">
        <w:t>If a public address system is installed:</w:t>
      </w:r>
    </w:p>
    <w:p w14:paraId="4AEE2322" w14:textId="77777777" w:rsidR="00094004" w:rsidRPr="002A7AC6" w:rsidRDefault="00094004" w:rsidP="00094004">
      <w:pPr>
        <w:ind w:left="1134" w:hanging="567"/>
      </w:pPr>
      <w:r w:rsidRPr="002A7AC6">
        <w:t>(a)</w:t>
      </w:r>
      <w:r w:rsidRPr="002A7AC6">
        <w:tab/>
        <w:t>people who are deaf or have a hearing impairment must be able to receive a message equivalent to the message received by people without a hearing impairment; and</w:t>
      </w:r>
    </w:p>
    <w:p w14:paraId="2CC6A645" w14:textId="77777777" w:rsidR="00094004" w:rsidRPr="002A7AC6" w:rsidRDefault="00094004" w:rsidP="00094004">
      <w:pPr>
        <w:ind w:left="1134" w:hanging="567"/>
      </w:pPr>
      <w:r w:rsidRPr="002A7AC6">
        <w:t>(b)</w:t>
      </w:r>
      <w:r w:rsidRPr="002A7AC6">
        <w:tab/>
        <w:t xml:space="preserve">it must comply with AS1428.2 (1992) </w:t>
      </w:r>
      <w:r w:rsidRPr="00EA2A2E">
        <w:rPr>
          <w:i/>
        </w:rPr>
        <w:t>Clause 21.1, Hearing augmentation</w:t>
      </w:r>
      <w:r w:rsidRPr="002A7AC6">
        <w:t>.</w:t>
      </w:r>
    </w:p>
    <w:p w14:paraId="5BE57384" w14:textId="77777777" w:rsidR="00094004" w:rsidRPr="002A7AC6" w:rsidRDefault="00094004" w:rsidP="00094004">
      <w:pPr>
        <w:ind w:left="567"/>
      </w:pPr>
      <w:r>
        <w:t>This s</w:t>
      </w:r>
      <w:r w:rsidRPr="002A7AC6">
        <w:t>ection pertains to conveyances, including buses, coaches, ferries, trains, trams and light rail.</w:t>
      </w:r>
    </w:p>
    <w:p w14:paraId="0C8D6F9D" w14:textId="77777777" w:rsidR="00094004" w:rsidRDefault="00094004" w:rsidP="00094004">
      <w:pPr>
        <w:pStyle w:val="Heading5"/>
      </w:pPr>
      <w:r>
        <w:t>Non-regulatory option</w:t>
      </w:r>
    </w:p>
    <w:p w14:paraId="28FF99A7"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for hearing augmentation systems in conveyances to encourage the installation of hearing augmentation systems in conveyances that have service related PA announcements.</w:t>
      </w:r>
    </w:p>
    <w:p w14:paraId="70B6574F" w14:textId="77777777" w:rsidR="00094004" w:rsidRPr="002A7AC6" w:rsidRDefault="00094004" w:rsidP="00094004">
      <w:pPr>
        <w:keepNext/>
      </w:pPr>
      <w:r w:rsidRPr="002A7AC6">
        <w:t>Specific guidance may include the following:</w:t>
      </w:r>
    </w:p>
    <w:p w14:paraId="1E406205" w14:textId="77777777" w:rsidR="00094004" w:rsidRDefault="00094004" w:rsidP="00F934C4">
      <w:pPr>
        <w:pStyle w:val="Listparagraphbullets"/>
      </w:pPr>
      <w:r>
        <w:t>People with disability</w:t>
      </w:r>
      <w:r w:rsidRPr="002A7AC6">
        <w:t xml:space="preserve"> should be able to receive service-related information being broadcast on a conveyance PA system in real time. This can be achieved by having the PA announcement broadcast via a magnetic induction system or </w:t>
      </w:r>
      <w:r>
        <w:t>an</w:t>
      </w:r>
      <w:r w:rsidRPr="002A7AC6">
        <w:t xml:space="preserve">other technological system for hearing aid </w:t>
      </w:r>
      <w:r>
        <w:t>passengers</w:t>
      </w:r>
      <w:r w:rsidRPr="002A7AC6">
        <w:t>.</w:t>
      </w:r>
    </w:p>
    <w:p w14:paraId="26FD1815" w14:textId="77777777" w:rsidR="00094004" w:rsidRPr="002A7AC6" w:rsidRDefault="00094004" w:rsidP="00F934C4">
      <w:pPr>
        <w:pStyle w:val="Listparagraphbullets"/>
      </w:pPr>
      <w:r w:rsidRPr="002A7AC6">
        <w:t>While the system may be technology agnostic, it must be available to all passengers who rely on hearing augmentation systems to receive PA announcements.</w:t>
      </w:r>
    </w:p>
    <w:p w14:paraId="5691B54B" w14:textId="77777777" w:rsidR="00094004" w:rsidRPr="002A7AC6" w:rsidRDefault="00094004" w:rsidP="00F934C4">
      <w:pPr>
        <w:pStyle w:val="Listparagraphbullets"/>
      </w:pPr>
      <w:r w:rsidRPr="002A7AC6">
        <w:t>If a public address system is installed:</w:t>
      </w:r>
    </w:p>
    <w:p w14:paraId="2EE4EC04" w14:textId="77777777" w:rsidR="00094004" w:rsidRPr="002A7AC6" w:rsidRDefault="00094004" w:rsidP="00F934C4">
      <w:pPr>
        <w:pStyle w:val="Listparagraphbullets"/>
      </w:pPr>
      <w:r w:rsidRPr="002A7AC6">
        <w:t xml:space="preserve">any magnetic induction system should comply with AS1428.5 (2021) </w:t>
      </w:r>
      <w:r w:rsidRPr="003415DE">
        <w:t>Design for access and mobility</w:t>
      </w:r>
      <w:r w:rsidRPr="00606F3E">
        <w:t>, Part 5:</w:t>
      </w:r>
      <w:r w:rsidRPr="002A7AC6">
        <w:t xml:space="preserve"> </w:t>
      </w:r>
      <w:r w:rsidRPr="003415DE">
        <w:t>Communication for people who are deaf or hearing impaired</w:t>
      </w:r>
      <w:r w:rsidRPr="003415DE" w:rsidDel="00574CBD">
        <w:t xml:space="preserve"> </w:t>
      </w:r>
      <w:r w:rsidRPr="003415DE">
        <w:t>section 3.2</w:t>
      </w:r>
      <w:r>
        <w:t>.</w:t>
      </w:r>
    </w:p>
    <w:p w14:paraId="1F3F3344" w14:textId="77777777" w:rsidR="00094004" w:rsidRPr="002A7AC6" w:rsidRDefault="00094004" w:rsidP="00F934C4">
      <w:pPr>
        <w:pStyle w:val="Listparagraphbullets"/>
      </w:pPr>
      <w:r w:rsidRPr="002A7AC6">
        <w:t>conveyances that have hearing augmentation systems should identify this with the international symbol for deafness</w:t>
      </w:r>
    </w:p>
    <w:p w14:paraId="569E7B10" w14:textId="77777777" w:rsidR="00094004" w:rsidRPr="002A7AC6" w:rsidRDefault="00094004" w:rsidP="00F934C4">
      <w:pPr>
        <w:pStyle w:val="Listparagraphbullets"/>
      </w:pPr>
      <w:r w:rsidRPr="002A7AC6">
        <w:t>the message broadcast in accessible format should be received in 100 per cent of the area covered by the public address system.</w:t>
      </w:r>
    </w:p>
    <w:p w14:paraId="18E3F9F8" w14:textId="77777777" w:rsidR="00094004" w:rsidRPr="002A7AC6" w:rsidRDefault="00094004" w:rsidP="00F934C4">
      <w:pPr>
        <w:pStyle w:val="Listparagraphbullets"/>
      </w:pPr>
      <w:r w:rsidRPr="002A7AC6">
        <w:t>If a conveyance has 100 per cent coverage by a hearing augmentation system, the international symbol should be displayed on the entrance doors. If coverage is incomplete the area covered must be clearly identified by symbols and diagrams.</w:t>
      </w:r>
    </w:p>
    <w:p w14:paraId="7CF95ACF" w14:textId="77777777" w:rsidR="00094004" w:rsidRPr="002A7AC6" w:rsidRDefault="00094004" w:rsidP="00F934C4">
      <w:pPr>
        <w:pStyle w:val="Listparagraphbullets"/>
      </w:pPr>
      <w:r w:rsidRPr="002A7AC6">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w:t>
      </w:r>
      <w:r>
        <w:t>g impaired should be developed.</w:t>
      </w:r>
    </w:p>
    <w:p w14:paraId="051DAE7D" w14:textId="77777777" w:rsidR="00094004" w:rsidRDefault="00094004" w:rsidP="00094004">
      <w:pPr>
        <w:pStyle w:val="Heading5"/>
      </w:pPr>
      <w:r>
        <w:t>Regulatory option</w:t>
      </w:r>
    </w:p>
    <w:p w14:paraId="5EBBAB7A" w14:textId="77777777" w:rsidR="00094004" w:rsidRPr="002A7AC6" w:rsidRDefault="00094004" w:rsidP="00094004">
      <w:r>
        <w:t xml:space="preserve">Transport Standards section 26.2 Public address systems—conveyances, </w:t>
      </w:r>
      <w:r w:rsidRPr="00747EB7">
        <w:t xml:space="preserve">would be amended to include the following (including any requirements retained </w:t>
      </w:r>
      <w:r>
        <w:t>or amended from the status quo):</w:t>
      </w:r>
    </w:p>
    <w:p w14:paraId="60AE5EC1" w14:textId="77777777" w:rsidR="00094004" w:rsidRDefault="00094004" w:rsidP="00094004">
      <w:r w:rsidRPr="002A7AC6">
        <w:t>There are two regulatory options presented for consideration. The first option stipulates that requirements are applicable whenever a public address system is installed. The second option stipulates that requirements are only applicable when a public address system is in operation. For both options, a sub-option is presented for consideration regarding the minimum coverage requirements of hearing augmentation systems.</w:t>
      </w:r>
    </w:p>
    <w:p w14:paraId="1C76007C" w14:textId="77777777" w:rsidR="00094004" w:rsidRPr="002A7AC6" w:rsidRDefault="00094004" w:rsidP="00094004">
      <w:r>
        <w:lastRenderedPageBreak/>
        <w:t>The</w:t>
      </w:r>
      <w:r w:rsidRPr="002A7AC6">
        <w:t xml:space="preserve"> </w:t>
      </w:r>
      <w:r>
        <w:t>Transport Standards</w:t>
      </w:r>
      <w:r w:rsidRPr="002A7AC6">
        <w:t xml:space="preserve"> Guidelines and / or The Whole Journey Guide </w:t>
      </w:r>
      <w:r>
        <w:t xml:space="preserve">would be updated </w:t>
      </w:r>
      <w:r w:rsidRPr="002A7AC6">
        <w:t>to reflect new requirements and include specific guidance for buses, coaches, ferries, trains, trams and light rail.</w:t>
      </w:r>
    </w:p>
    <w:p w14:paraId="75FD5DE0" w14:textId="77777777" w:rsidR="00094004" w:rsidRPr="002A7AC6" w:rsidRDefault="00094004" w:rsidP="00094004">
      <w:r w:rsidRPr="002A7AC6">
        <w:t>Specific guidance may include the following:</w:t>
      </w:r>
    </w:p>
    <w:p w14:paraId="1407497F" w14:textId="77777777" w:rsidR="00094004" w:rsidRDefault="00094004" w:rsidP="00F934C4">
      <w:pPr>
        <w:pStyle w:val="Listparagraphbullets"/>
      </w:pPr>
      <w:r>
        <w:t>People with disability</w:t>
      </w:r>
      <w:r w:rsidRPr="002A7AC6">
        <w:t xml:space="preserve"> should be able to receive service-related information being broadcast on a conveyance PA system in real time. This can be achieved by having the PA announcement broadcast via a magnetic induction system or other technological system for hearing aid </w:t>
      </w:r>
      <w:r>
        <w:t>passengers</w:t>
      </w:r>
      <w:r w:rsidRPr="002A7AC6">
        <w:t>.</w:t>
      </w:r>
    </w:p>
    <w:p w14:paraId="769B4EFF" w14:textId="77777777" w:rsidR="00094004" w:rsidRPr="002A7AC6" w:rsidRDefault="00094004" w:rsidP="00F934C4">
      <w:pPr>
        <w:pStyle w:val="Listparagraphbullets"/>
      </w:pPr>
      <w:r w:rsidRPr="002A7AC6">
        <w:t>While the system may be technology agnostic, it must be available to all passengers who rely on hearing augmentation systems to receive PA announcements.</w:t>
      </w:r>
    </w:p>
    <w:p w14:paraId="3F327FE0" w14:textId="77777777" w:rsidR="00094004" w:rsidRPr="002A7AC6" w:rsidRDefault="00094004" w:rsidP="00F934C4">
      <w:pPr>
        <w:pStyle w:val="Listparagraphbullets"/>
      </w:pPr>
      <w:r w:rsidRPr="002A7AC6">
        <w:t>Magnetic induction fields are susceptible to interference from other strong electrical fields such as those emanating from overhead wires. While some conveyances entering service since 2002 may be sufficiently insulated from opposing fields, pre-2002 conveyances may not be. For conveyances that experience interference from external electrical fields which compromises the delivery of information, an equivalent means of conveying service-related PA announcements to people who are hearing impaired should be developed.</w:t>
      </w:r>
    </w:p>
    <w:p w14:paraId="0F609C4E" w14:textId="77777777" w:rsidR="00094004" w:rsidRDefault="00094004" w:rsidP="00F934C4">
      <w:pPr>
        <w:pStyle w:val="Listparagraphbullets"/>
      </w:pPr>
      <w:r w:rsidRPr="002A7AC6">
        <w:t>If a conveyance has 100 per cent coverage by a hearing augmentation system, the international symbol should be displayed on the entrance doors. If coverage is incomplete the area covered must be clearly identified by symbols and diagrams.</w:t>
      </w:r>
    </w:p>
    <w:p w14:paraId="08590D58" w14:textId="77777777" w:rsidR="00094004" w:rsidRPr="002A7AC6" w:rsidRDefault="00094004" w:rsidP="00094004">
      <w:pPr>
        <w:pStyle w:val="Heading6"/>
      </w:pPr>
      <w:r w:rsidRPr="002A7AC6">
        <w:t>Option 1</w:t>
      </w:r>
    </w:p>
    <w:p w14:paraId="5B619480" w14:textId="77777777" w:rsidR="00094004" w:rsidRDefault="00094004" w:rsidP="00094004">
      <w:r w:rsidRPr="002A7AC6">
        <w:t xml:space="preserve">Requirements of the </w:t>
      </w:r>
      <w:r>
        <w:t>Transport Standards</w:t>
      </w:r>
      <w:r w:rsidRPr="002A7AC6">
        <w:t xml:space="preserve"> would be amended</w:t>
      </w:r>
      <w:r>
        <w:t xml:space="preserve"> to include </w:t>
      </w:r>
      <w:r w:rsidRPr="008F0010">
        <w:rPr>
          <w:b/>
        </w:rPr>
        <w:t>if a public address system is installed</w:t>
      </w:r>
      <w:r>
        <w:t>:</w:t>
      </w:r>
    </w:p>
    <w:p w14:paraId="498AE0CB" w14:textId="77777777" w:rsidR="00094004" w:rsidRPr="002A7AC6" w:rsidRDefault="00094004" w:rsidP="00094004">
      <w:r w:rsidRPr="002A7AC6">
        <w:t>The following requirements would apply:</w:t>
      </w:r>
    </w:p>
    <w:p w14:paraId="6FDEB3F8" w14:textId="77777777" w:rsidR="00094004" w:rsidRPr="002A7AC6" w:rsidRDefault="00094004" w:rsidP="00F934C4">
      <w:pPr>
        <w:pStyle w:val="Listparagraphbullets"/>
      </w:pPr>
      <w:r w:rsidRPr="002A7AC6">
        <w:t xml:space="preserve">People who are </w:t>
      </w:r>
      <w:r>
        <w:t>hearing impaired</w:t>
      </w:r>
      <w:r w:rsidRPr="002A7AC6">
        <w:t xml:space="preserve"> or have a hearing impairment must be able to receive a message equivalent to the message received by people without a hearing impairment</w:t>
      </w:r>
      <w:r>
        <w:t>.</w:t>
      </w:r>
    </w:p>
    <w:p w14:paraId="4DAB2455" w14:textId="77777777" w:rsidR="00094004" w:rsidRPr="002A7AC6" w:rsidRDefault="00094004" w:rsidP="00F934C4">
      <w:pPr>
        <w:pStyle w:val="Listparagraphbullets"/>
      </w:pPr>
      <w:r w:rsidRPr="002A7AC6">
        <w:t>Conveyances that have hearing augmentation systems must identify this with the international symbol for deafness</w:t>
      </w:r>
      <w:r>
        <w:t>.</w:t>
      </w:r>
    </w:p>
    <w:p w14:paraId="399DB8CE" w14:textId="77777777" w:rsidR="00094004" w:rsidRPr="002A7AC6" w:rsidRDefault="00094004" w:rsidP="00F934C4">
      <w:pPr>
        <w:pStyle w:val="Listparagraphbullets"/>
      </w:pPr>
      <w:r w:rsidRPr="002A7AC6">
        <w:t xml:space="preserve">If a public address system is installed and satisfies </w:t>
      </w:r>
      <w:r>
        <w:t>Transport Standards s</w:t>
      </w:r>
      <w:r w:rsidRPr="002A7AC6">
        <w:t>ection 26.2 (a) Public address systems</w:t>
      </w:r>
      <w:r>
        <w:t>—</w:t>
      </w:r>
      <w:r w:rsidRPr="002A7AC6">
        <w:t xml:space="preserve">conveyances, a magnetic induction system must comply with AS1428.5 (2021) </w:t>
      </w:r>
      <w:r w:rsidRPr="002A7AC6">
        <w:rPr>
          <w:i/>
        </w:rPr>
        <w:t xml:space="preserve">Design for access and mobility, </w:t>
      </w:r>
      <w:r w:rsidRPr="00F6642E">
        <w:t>Part 5</w:t>
      </w:r>
      <w:r w:rsidRPr="002A7AC6">
        <w:rPr>
          <w:i/>
        </w:rPr>
        <w:t>: Communication for people who</w:t>
      </w:r>
      <w:r>
        <w:rPr>
          <w:i/>
        </w:rPr>
        <w:t xml:space="preserve"> are deaf or hearing impaired, </w:t>
      </w:r>
      <w:r w:rsidRPr="00F6642E">
        <w:t>section 3.2.</w:t>
      </w:r>
    </w:p>
    <w:p w14:paraId="72C78E33" w14:textId="77777777" w:rsidR="00094004" w:rsidRDefault="00094004" w:rsidP="00F934C4">
      <w:pPr>
        <w:pStyle w:val="Listparagraphbullets"/>
      </w:pPr>
      <w:r w:rsidRPr="002A7AC6">
        <w:t>The message broadcast in via the hearing augmentation system must be received in:</w:t>
      </w:r>
    </w:p>
    <w:p w14:paraId="6CA732C9" w14:textId="77777777" w:rsidR="00094004" w:rsidRPr="008F0010" w:rsidRDefault="00094004" w:rsidP="00094004">
      <w:pPr>
        <w:pStyle w:val="Heading7"/>
        <w:ind w:left="1134"/>
        <w:rPr>
          <w:lang w:val="en-AU"/>
        </w:rPr>
      </w:pPr>
      <w:r w:rsidRPr="008F0010">
        <w:rPr>
          <w:lang w:val="en-AU"/>
        </w:rPr>
        <w:t>Sub-option 1</w:t>
      </w:r>
    </w:p>
    <w:p w14:paraId="65543763" w14:textId="77777777" w:rsidR="00094004" w:rsidRPr="002A7AC6" w:rsidRDefault="00094004" w:rsidP="00094004">
      <w:pPr>
        <w:ind w:left="1134"/>
      </w:pPr>
      <w:r w:rsidRPr="002A7AC6">
        <w:t>100 per cent of the area covered by the public address system.</w:t>
      </w:r>
    </w:p>
    <w:p w14:paraId="6ADDC03B" w14:textId="77777777" w:rsidR="00094004" w:rsidRPr="000524A1" w:rsidRDefault="00094004" w:rsidP="00094004">
      <w:pPr>
        <w:pStyle w:val="Heading7"/>
        <w:ind w:left="1134"/>
        <w:rPr>
          <w:lang w:val="en-AU"/>
        </w:rPr>
      </w:pPr>
      <w:r w:rsidRPr="002A7AC6">
        <w:rPr>
          <w:lang w:val="en-AU"/>
        </w:rPr>
        <w:t>Sub-option 2</w:t>
      </w:r>
    </w:p>
    <w:p w14:paraId="58248D85" w14:textId="77777777" w:rsidR="00094004" w:rsidRDefault="00094004" w:rsidP="00094004">
      <w:pPr>
        <w:ind w:left="1134"/>
      </w:pPr>
      <w:r w:rsidRPr="002A7AC6">
        <w:t>80 per cent of the area covered by the public address system.</w:t>
      </w:r>
    </w:p>
    <w:p w14:paraId="0D560B59" w14:textId="77777777" w:rsidR="00094004" w:rsidRDefault="00094004" w:rsidP="00094004">
      <w:r>
        <w:t>These requirements</w:t>
      </w:r>
      <w:r w:rsidRPr="002A7AC6">
        <w:t xml:space="preserve"> would apply to conveyances, including buses, coaches, ferries, trains, trams and light rail.</w:t>
      </w:r>
    </w:p>
    <w:p w14:paraId="38FE1B9E" w14:textId="77777777" w:rsidR="00094004" w:rsidRPr="002A7AC6" w:rsidRDefault="00094004" w:rsidP="00094004">
      <w:pPr>
        <w:pStyle w:val="Heading6"/>
      </w:pPr>
      <w:r w:rsidRPr="002A7AC6">
        <w:t>Option 2</w:t>
      </w:r>
    </w:p>
    <w:p w14:paraId="07763E6A" w14:textId="77777777" w:rsidR="00094004" w:rsidRDefault="00094004" w:rsidP="00094004">
      <w:r w:rsidRPr="002A7AC6">
        <w:t xml:space="preserve">Requirements of the </w:t>
      </w:r>
      <w:r>
        <w:t>Transport Standards</w:t>
      </w:r>
      <w:r w:rsidRPr="002A7AC6">
        <w:t xml:space="preserve"> would be amended to include</w:t>
      </w:r>
      <w:r>
        <w:t xml:space="preserve"> </w:t>
      </w:r>
      <w:r w:rsidRPr="008F0010">
        <w:rPr>
          <w:b/>
        </w:rPr>
        <w:t>if a public address system is in operation</w:t>
      </w:r>
      <w:r>
        <w:t>:</w:t>
      </w:r>
    </w:p>
    <w:p w14:paraId="5E451CF5" w14:textId="77777777" w:rsidR="00094004" w:rsidRPr="005A54F8" w:rsidRDefault="00094004" w:rsidP="00094004">
      <w:r>
        <w:t xml:space="preserve">The </w:t>
      </w:r>
      <w:r w:rsidRPr="005A54F8">
        <w:t>following requirements would apply:</w:t>
      </w:r>
    </w:p>
    <w:p w14:paraId="1C74C28A" w14:textId="77777777" w:rsidR="00094004" w:rsidRPr="002A7AC6" w:rsidRDefault="00094004" w:rsidP="00F934C4">
      <w:pPr>
        <w:pStyle w:val="Listparagraphbullets"/>
      </w:pPr>
      <w:r w:rsidRPr="002A7AC6">
        <w:lastRenderedPageBreak/>
        <w:t xml:space="preserve">People who are </w:t>
      </w:r>
      <w:r>
        <w:t>hearing impaired</w:t>
      </w:r>
      <w:r w:rsidRPr="002A7AC6">
        <w:t xml:space="preserve"> or have a hearing impairment must be able to receive a message equivalent to the message received by people without a hearing impairment</w:t>
      </w:r>
      <w:r>
        <w:t>.</w:t>
      </w:r>
    </w:p>
    <w:p w14:paraId="4657F250" w14:textId="77777777" w:rsidR="00094004" w:rsidRPr="002A7AC6" w:rsidRDefault="00094004" w:rsidP="00F934C4">
      <w:pPr>
        <w:pStyle w:val="Listparagraphbullets"/>
      </w:pPr>
      <w:r w:rsidRPr="002A7AC6">
        <w:t xml:space="preserve">Conveyances that have hearing augmentation systems must identify this with the </w:t>
      </w:r>
      <w:r>
        <w:t>i</w:t>
      </w:r>
      <w:r w:rsidRPr="002A7AC6">
        <w:t xml:space="preserve">nternational </w:t>
      </w:r>
      <w:r>
        <w:t>S</w:t>
      </w:r>
      <w:r w:rsidRPr="002A7AC6">
        <w:t xml:space="preserve">ymbol for </w:t>
      </w:r>
      <w:r>
        <w:t>D</w:t>
      </w:r>
      <w:r w:rsidRPr="002A7AC6">
        <w:t>eafness</w:t>
      </w:r>
      <w:r>
        <w:t>.</w:t>
      </w:r>
    </w:p>
    <w:p w14:paraId="36F7BA29" w14:textId="77777777" w:rsidR="00094004" w:rsidRPr="002A7AC6" w:rsidRDefault="00094004" w:rsidP="00F934C4">
      <w:pPr>
        <w:pStyle w:val="Listparagraphbullets"/>
      </w:pPr>
      <w:r w:rsidRPr="002A7AC6">
        <w:t xml:space="preserve">If a public address system is installed and satisfies </w:t>
      </w:r>
      <w:r>
        <w:t>Transport Standards s</w:t>
      </w:r>
      <w:r w:rsidRPr="002A7AC6">
        <w:t>ection 26.2 (a) Public address systems</w:t>
      </w:r>
      <w:r>
        <w:t>—</w:t>
      </w:r>
      <w:r w:rsidRPr="002A7AC6">
        <w:t xml:space="preserve">conveyances, a magnetic induction system must comply with AS1428.5 (2021) </w:t>
      </w:r>
      <w:r w:rsidRPr="002A7AC6">
        <w:rPr>
          <w:i/>
        </w:rPr>
        <w:t xml:space="preserve">Design for access and mobility, </w:t>
      </w:r>
      <w:r w:rsidRPr="00F6642E">
        <w:t>Part 5</w:t>
      </w:r>
      <w:r w:rsidRPr="002A7AC6">
        <w:rPr>
          <w:i/>
        </w:rPr>
        <w:t>: Communication for people who</w:t>
      </w:r>
      <w:r>
        <w:rPr>
          <w:i/>
        </w:rPr>
        <w:t xml:space="preserve"> are deaf or hearing impaired, </w:t>
      </w:r>
      <w:r w:rsidRPr="00F6642E">
        <w:t>section 3.2</w:t>
      </w:r>
    </w:p>
    <w:p w14:paraId="58AD7B3A" w14:textId="77777777" w:rsidR="00094004" w:rsidRDefault="00094004" w:rsidP="00F934C4">
      <w:pPr>
        <w:pStyle w:val="Listparagraphbullets"/>
      </w:pPr>
      <w:r w:rsidRPr="002A7AC6">
        <w:t>The message broadcast in via the hearing augmentation system must be received in:</w:t>
      </w:r>
    </w:p>
    <w:p w14:paraId="125D5317" w14:textId="77777777" w:rsidR="00094004" w:rsidRPr="002A7AC6" w:rsidRDefault="00094004" w:rsidP="00094004">
      <w:pPr>
        <w:pStyle w:val="Heading7"/>
        <w:ind w:left="1134"/>
        <w:rPr>
          <w:lang w:val="en-AU"/>
        </w:rPr>
      </w:pPr>
      <w:r w:rsidRPr="002A7AC6">
        <w:rPr>
          <w:lang w:val="en-AU"/>
        </w:rPr>
        <w:t>Sub-option 1</w:t>
      </w:r>
    </w:p>
    <w:p w14:paraId="214945DD" w14:textId="77777777" w:rsidR="00094004" w:rsidRPr="002A7AC6" w:rsidRDefault="00094004" w:rsidP="00094004">
      <w:pPr>
        <w:ind w:left="1134"/>
      </w:pPr>
      <w:r w:rsidRPr="002A7AC6">
        <w:t>100 per cent of the area covered by the public address system.</w:t>
      </w:r>
    </w:p>
    <w:p w14:paraId="130A0515" w14:textId="77777777" w:rsidR="00094004" w:rsidRPr="002A7AC6" w:rsidRDefault="00094004" w:rsidP="00094004">
      <w:pPr>
        <w:pStyle w:val="Heading7"/>
        <w:ind w:left="1134"/>
        <w:rPr>
          <w:lang w:val="en-AU"/>
        </w:rPr>
      </w:pPr>
      <w:r w:rsidRPr="002A7AC6">
        <w:rPr>
          <w:lang w:val="en-AU"/>
        </w:rPr>
        <w:t>Sub-option 2</w:t>
      </w:r>
    </w:p>
    <w:p w14:paraId="0271A949" w14:textId="77777777" w:rsidR="00094004" w:rsidRDefault="00094004" w:rsidP="00094004">
      <w:pPr>
        <w:ind w:left="1134"/>
      </w:pPr>
      <w:r w:rsidRPr="002A7AC6">
        <w:t>80 per cent of the area covere</w:t>
      </w:r>
      <w:r>
        <w:t>d by the public address system.</w:t>
      </w:r>
    </w:p>
    <w:p w14:paraId="5D7800E7" w14:textId="77777777" w:rsidR="00094004" w:rsidRDefault="00094004" w:rsidP="00094004">
      <w:r>
        <w:t>These requirements</w:t>
      </w:r>
      <w:r w:rsidRPr="002A7AC6">
        <w:t xml:space="preserve"> would apply to conveyances, including buses, coaches, ferries, trains, trams and light rail.</w:t>
      </w:r>
    </w:p>
    <w:p w14:paraId="5FC77E47" w14:textId="77777777" w:rsidR="00094004" w:rsidRDefault="00094004" w:rsidP="00094004"/>
    <w:p w14:paraId="03444AE7" w14:textId="1E34DD86" w:rsidR="00094004" w:rsidRDefault="00094004" w:rsidP="006F65FB">
      <w:pPr>
        <w:pStyle w:val="Heading3"/>
        <w:numPr>
          <w:ilvl w:val="0"/>
          <w:numId w:val="66"/>
        </w:numPr>
        <w:ind w:left="567" w:hanging="567"/>
      </w:pPr>
      <w:bookmarkStart w:id="833" w:name="_Toc127351829"/>
      <w:bookmarkStart w:id="834" w:name="_Toc130914507"/>
      <w:bookmarkStart w:id="835" w:name="_Toc140239801"/>
      <w:r>
        <w:t>Hearing augmentation: infrastructure and premises</w:t>
      </w:r>
      <w:bookmarkEnd w:id="833"/>
      <w:bookmarkEnd w:id="834"/>
      <w:bookmarkEnd w:id="835"/>
    </w:p>
    <w:p w14:paraId="6DFA42FA" w14:textId="77777777" w:rsidR="00094004" w:rsidRDefault="00094004" w:rsidP="00094004">
      <w:pPr>
        <w:pStyle w:val="Heading4"/>
      </w:pPr>
      <w:r>
        <w:t>Status quo</w:t>
      </w:r>
    </w:p>
    <w:p w14:paraId="34E86078" w14:textId="77777777" w:rsidR="00094004" w:rsidRDefault="00094004" w:rsidP="00094004">
      <w:r>
        <w:t>Transport Standards s</w:t>
      </w:r>
      <w:r w:rsidRPr="002A7AC6">
        <w:t>ection 26.1 Public address systems</w:t>
      </w:r>
      <w:r>
        <w:t>—</w:t>
      </w:r>
      <w:r w:rsidRPr="002A7AC6">
        <w:t>premises and infrastructure, would remain unchanged and no additional guidance would be issued.</w:t>
      </w:r>
    </w:p>
    <w:p w14:paraId="51C99882" w14:textId="77777777" w:rsidR="00094004" w:rsidRPr="002A7AC6" w:rsidRDefault="00094004" w:rsidP="00094004">
      <w:pPr>
        <w:ind w:left="567"/>
        <w:rPr>
          <w:b/>
        </w:rPr>
      </w:pPr>
      <w:r w:rsidRPr="002A7AC6">
        <w:rPr>
          <w:b/>
        </w:rPr>
        <w:t xml:space="preserve">26.1 </w:t>
      </w:r>
      <w:r w:rsidRPr="002A7AC6">
        <w:rPr>
          <w:b/>
        </w:rPr>
        <w:tab/>
        <w:t>Public address systems</w:t>
      </w:r>
      <w:r>
        <w:rPr>
          <w:b/>
        </w:rPr>
        <w:t>—</w:t>
      </w:r>
      <w:r w:rsidRPr="002A7AC6">
        <w:rPr>
          <w:b/>
        </w:rPr>
        <w:t>premises and infrastructure</w:t>
      </w:r>
    </w:p>
    <w:p w14:paraId="3DECA6EB" w14:textId="77777777" w:rsidR="00094004" w:rsidRPr="002A7AC6" w:rsidRDefault="00094004" w:rsidP="00094004">
      <w:pPr>
        <w:ind w:left="567"/>
      </w:pPr>
      <w:r w:rsidRPr="002A7AC6">
        <w:t>If a public address system is installed, it must comply with AS1428.2 (1992) Clause 21.1, Hearing augmentation.</w:t>
      </w:r>
    </w:p>
    <w:p w14:paraId="3ACC4A3B" w14:textId="77777777" w:rsidR="00094004" w:rsidRPr="002A7AC6" w:rsidRDefault="00094004" w:rsidP="00094004">
      <w:pPr>
        <w:ind w:left="567"/>
      </w:pPr>
      <w:r>
        <w:t>This s</w:t>
      </w:r>
      <w:r w:rsidRPr="002A7AC6">
        <w:t>ection pertains to premises, except premises to which the Premises Standards apply and infrastructure.</w:t>
      </w:r>
    </w:p>
    <w:p w14:paraId="4A489080" w14:textId="77777777" w:rsidR="00094004" w:rsidRDefault="00094004" w:rsidP="00094004">
      <w:pPr>
        <w:pStyle w:val="Heading5"/>
      </w:pPr>
      <w:r>
        <w:t>Non-regulatory option</w:t>
      </w:r>
    </w:p>
    <w:p w14:paraId="5CDC5AE3" w14:textId="77777777" w:rsidR="00094004" w:rsidRDefault="00094004" w:rsidP="00094004">
      <w:r w:rsidRPr="002A7AC6">
        <w:t xml:space="preserve">The </w:t>
      </w:r>
      <w:r>
        <w:t>Transport Standards</w:t>
      </w:r>
      <w:r w:rsidRPr="002A7AC6">
        <w:t xml:space="preserve"> Guidelines would be updated to include advice on hearing augmentation in infrastructure and premises to encourage use of an updated Australian Standard and harmonise with the Premises Standards.</w:t>
      </w:r>
    </w:p>
    <w:p w14:paraId="0C978EE2" w14:textId="77777777" w:rsidR="00094004" w:rsidRPr="002A7AC6" w:rsidRDefault="00094004" w:rsidP="00094004">
      <w:r w:rsidRPr="002A7AC6">
        <w:t>Specific guidance for premises and infrastructure may include the following:</w:t>
      </w:r>
    </w:p>
    <w:p w14:paraId="2D513477" w14:textId="77777777" w:rsidR="00094004" w:rsidRPr="002A7AC6" w:rsidRDefault="00094004" w:rsidP="00F934C4">
      <w:pPr>
        <w:pStyle w:val="Listparagraphbullets"/>
      </w:pPr>
      <w:r w:rsidRPr="002A7AC6">
        <w:t xml:space="preserve">If a public address system is installed, a hearing augmentation system complying with AS1428.5 (2010) </w:t>
      </w:r>
      <w:r w:rsidRPr="002A7AC6">
        <w:rPr>
          <w:i/>
        </w:rPr>
        <w:t>D</w:t>
      </w:r>
      <w:r>
        <w:rPr>
          <w:i/>
        </w:rPr>
        <w:t>esign for access and mobility, s</w:t>
      </w:r>
      <w:r w:rsidRPr="002A7AC6">
        <w:rPr>
          <w:i/>
        </w:rPr>
        <w:t>ection 4 Requirements for assistive listening systems</w:t>
      </w:r>
      <w:r w:rsidRPr="002A7AC6">
        <w:t>, should be provided.</w:t>
      </w:r>
    </w:p>
    <w:p w14:paraId="1F569432" w14:textId="77777777" w:rsidR="00094004" w:rsidRDefault="00094004" w:rsidP="00F934C4">
      <w:pPr>
        <w:pStyle w:val="Listparagraphbullets"/>
      </w:pPr>
      <w:r w:rsidRPr="002A7AC6">
        <w:t>Any hearing augmentation system should cover the maximum area practicable, and at least cover those areas in which boarding assistance and customer service are available.</w:t>
      </w:r>
    </w:p>
    <w:p w14:paraId="57800945" w14:textId="77777777" w:rsidR="00094004" w:rsidRPr="002A7AC6" w:rsidRDefault="00094004" w:rsidP="00F934C4">
      <w:pPr>
        <w:pStyle w:val="Listparagraphbullets"/>
      </w:pPr>
      <w:r w:rsidRPr="002A7AC6">
        <w:t xml:space="preserve">The area covered by the hearing augmentation system should be designated by the </w:t>
      </w:r>
      <w:r>
        <w:t>i</w:t>
      </w:r>
      <w:r w:rsidRPr="002A7AC6">
        <w:t>nternational access symbol for deafness.</w:t>
      </w:r>
    </w:p>
    <w:p w14:paraId="65F0845D" w14:textId="77777777" w:rsidR="00094004" w:rsidRPr="002A7AC6" w:rsidRDefault="00094004" w:rsidP="00F934C4">
      <w:pPr>
        <w:pStyle w:val="Listparagraphbullets"/>
      </w:pPr>
      <w:r w:rsidRPr="002A7AC6">
        <w:t>Signs displaying the international symbol for deafness should indicate the presence and type of a hearing augmentation system.</w:t>
      </w:r>
    </w:p>
    <w:p w14:paraId="5712DDFE" w14:textId="77777777" w:rsidR="00094004" w:rsidRPr="002A7AC6" w:rsidRDefault="00094004" w:rsidP="00F934C4">
      <w:pPr>
        <w:pStyle w:val="Listparagraphbullets"/>
      </w:pPr>
      <w:r w:rsidRPr="002A7AC6">
        <w:t xml:space="preserve">Overhead power lines and other infrastructure that generate strong electrical fields, such as signals, can adversely impact on magnetic induction loop systems. Rail and light rail stations </w:t>
      </w:r>
      <w:r w:rsidRPr="002A7AC6">
        <w:lastRenderedPageBreak/>
        <w:t>and tram stops that have platforms exposed to overhead wires or other electrical field generators should therefore take a platform-by-platform approach on coverage rather than attempting to cover an entire station or stop with a single loop.</w:t>
      </w:r>
    </w:p>
    <w:p w14:paraId="09DB3CEF" w14:textId="77777777" w:rsidR="00094004" w:rsidRPr="002A7AC6" w:rsidRDefault="00094004" w:rsidP="00F934C4">
      <w:pPr>
        <w:pStyle w:val="Listparagraphbullets"/>
      </w:pPr>
      <w:r w:rsidRPr="002A7AC6">
        <w:t xml:space="preserve">Where the entire area of the public transport infrastructure served by an amplified system that communicates public information cannot be fully covered by hearing augmentation, the area that can be covered should be negotiated and determined through a solution developed in a consultation and co-design process with local </w:t>
      </w:r>
      <w:r>
        <w:t>passengers</w:t>
      </w:r>
      <w:r w:rsidRPr="002A7AC6">
        <w:t>.</w:t>
      </w:r>
    </w:p>
    <w:p w14:paraId="3ABD4044" w14:textId="77777777" w:rsidR="00094004" w:rsidRDefault="00094004" w:rsidP="00F934C4">
      <w:pPr>
        <w:pStyle w:val="Listparagraphbullets"/>
      </w:pPr>
      <w:r w:rsidRPr="002A7AC6">
        <w:t>Where a hearing augmentation system cannot cover the full area covered by the amplified system that communicates public information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 symbol for deafness at either end of the area covered by the hearing augmentation system, and any similar signage solutions that would be functional at the site.</w:t>
      </w:r>
    </w:p>
    <w:p w14:paraId="09574753" w14:textId="77777777" w:rsidR="00094004" w:rsidRPr="002A7AC6" w:rsidRDefault="00094004" w:rsidP="00F934C4">
      <w:pPr>
        <w:pStyle w:val="Listparagraphbullets"/>
      </w:pPr>
      <w:r w:rsidRPr="002A7AC6">
        <w:t>The International Symbol for Deafness should be accompanied by directional arrows and an indication of the distance to the boundary of the area covered by the hearing augmentation system.</w:t>
      </w:r>
    </w:p>
    <w:p w14:paraId="7457EDBA" w14:textId="77777777" w:rsidR="00094004" w:rsidRDefault="00094004" w:rsidP="00094004">
      <w:pPr>
        <w:pStyle w:val="Heading5"/>
      </w:pPr>
      <w:r>
        <w:t>Regulatory option</w:t>
      </w:r>
    </w:p>
    <w:p w14:paraId="6C47E9B6" w14:textId="77777777" w:rsidR="00094004" w:rsidRDefault="00094004" w:rsidP="00094004">
      <w:pPr>
        <w:rPr>
          <w:rFonts w:cstheme="minorHAnsi"/>
        </w:rPr>
      </w:pPr>
      <w:r>
        <w:rPr>
          <w:rFonts w:cstheme="minorHAnsi"/>
        </w:rPr>
        <w:t xml:space="preserve">Transport Standards section 26.1 </w:t>
      </w:r>
      <w:r w:rsidRPr="004B5A54">
        <w:rPr>
          <w:rFonts w:cstheme="minorHAnsi"/>
        </w:rPr>
        <w:t>would be amended to include the following (including any requirements retained or amended from the status quo):</w:t>
      </w:r>
    </w:p>
    <w:p w14:paraId="1DDDCFC0" w14:textId="77777777" w:rsidR="00094004" w:rsidRPr="002A7AC6" w:rsidRDefault="00094004" w:rsidP="00094004">
      <w:r w:rsidRPr="002A7AC6">
        <w:rPr>
          <w:rFonts w:cstheme="minorHAnsi"/>
        </w:rPr>
        <w:t xml:space="preserve">There are two regulatory options proposed for this reform area. </w:t>
      </w:r>
      <w:r w:rsidRPr="002A7AC6">
        <w:t xml:space="preserve">For both options, the </w:t>
      </w:r>
      <w:r>
        <w:t>Transport Standards</w:t>
      </w:r>
      <w:r w:rsidRPr="002A7AC6">
        <w:t xml:space="preserve"> Guidelines and / or The Whole Journey Guide would be updated to reflect new requirements, and include specific guidance for buses, trams and light rail and ferries.</w:t>
      </w:r>
    </w:p>
    <w:p w14:paraId="6177AA20" w14:textId="77777777" w:rsidR="00094004" w:rsidRPr="002A7AC6" w:rsidRDefault="00094004" w:rsidP="00094004">
      <w:pPr>
        <w:pStyle w:val="Heading6"/>
      </w:pPr>
      <w:r w:rsidRPr="002A7AC6">
        <w:t>Option 1</w:t>
      </w:r>
    </w:p>
    <w:p w14:paraId="46C6825D" w14:textId="77777777" w:rsidR="00094004" w:rsidRPr="002A7AC6" w:rsidRDefault="00094004" w:rsidP="00094004">
      <w:pPr>
        <w:keepNext/>
      </w:pPr>
      <w:r w:rsidRPr="002A7AC6">
        <w:t xml:space="preserve">The </w:t>
      </w:r>
      <w:r>
        <w:t>Transport Standards</w:t>
      </w:r>
      <w:r w:rsidRPr="002A7AC6">
        <w:t xml:space="preserve"> would be amended to include:</w:t>
      </w:r>
    </w:p>
    <w:p w14:paraId="48840379" w14:textId="77777777" w:rsidR="00094004" w:rsidRPr="002A7AC6" w:rsidRDefault="00094004" w:rsidP="00F934C4">
      <w:pPr>
        <w:pStyle w:val="Listparagraphbullets"/>
      </w:pPr>
      <w:r w:rsidRPr="002A7AC6">
        <w:t xml:space="preserve">If an amplified system conveying public transport information is installed a hearing augmentation system complying with AS1428.5 (2010) </w:t>
      </w:r>
      <w:r w:rsidRPr="002A7AC6">
        <w:rPr>
          <w:i/>
        </w:rPr>
        <w:t>Design for access and mobilit</w:t>
      </w:r>
      <w:r>
        <w:rPr>
          <w:i/>
        </w:rPr>
        <w:t>y, s</w:t>
      </w:r>
      <w:r w:rsidRPr="002A7AC6">
        <w:rPr>
          <w:i/>
        </w:rPr>
        <w:t>ection 4 Requirements for assistive listening systems,</w:t>
      </w:r>
      <w:r w:rsidRPr="002A7AC6">
        <w:t xml:space="preserve"> must be provided:</w:t>
      </w:r>
    </w:p>
    <w:p w14:paraId="0B86230F" w14:textId="77777777" w:rsidR="00094004" w:rsidRPr="002A7AC6" w:rsidRDefault="00094004" w:rsidP="00F934C4">
      <w:pPr>
        <w:pStyle w:val="Listparagraphbullets"/>
      </w:pPr>
      <w:r w:rsidRPr="002A7AC6">
        <w:t>if installed, a magnetic induction system must cover at least 80 per cent of the area served by the public address system.</w:t>
      </w:r>
    </w:p>
    <w:p w14:paraId="33FBB1B8" w14:textId="77777777" w:rsidR="00094004" w:rsidRPr="002A7AC6" w:rsidRDefault="00094004" w:rsidP="00F934C4">
      <w:pPr>
        <w:pStyle w:val="Listparagraphbullets"/>
      </w:pPr>
      <w:r w:rsidRPr="002A7AC6">
        <w:t>at any ticket office, teller’s booth, reception area or the like, where the public is screened from the service provider.</w:t>
      </w:r>
    </w:p>
    <w:p w14:paraId="59DDAD51" w14:textId="77777777" w:rsidR="00094004" w:rsidRPr="002A7AC6" w:rsidRDefault="00094004" w:rsidP="00F934C4">
      <w:pPr>
        <w:pStyle w:val="Listparagraphbullets"/>
      </w:pPr>
      <w:r w:rsidRPr="002A7AC6">
        <w:t>Where the hearing augmentation system does not cover the total area of the area served by the public address system, the boundaries of the area served by the hearing augmentation system must be designated by the international access symbol for deafness.</w:t>
      </w:r>
    </w:p>
    <w:p w14:paraId="284EF596" w14:textId="77777777" w:rsidR="00094004" w:rsidRPr="002A7AC6" w:rsidRDefault="00094004" w:rsidP="00F934C4">
      <w:pPr>
        <w:pStyle w:val="Listparagraphbullets"/>
      </w:pPr>
      <w:r w:rsidRPr="002A7AC6">
        <w:t>Signs displaying the international symbol for deafness must indicate the presence and type of a hearing augmentation.</w:t>
      </w:r>
    </w:p>
    <w:p w14:paraId="78304A50" w14:textId="77777777" w:rsidR="00094004" w:rsidRPr="002A7AC6" w:rsidRDefault="00094004" w:rsidP="00094004">
      <w:r w:rsidRPr="002A7AC6">
        <w:t>These requirements would apply to infrastructure and premises (except premises to which the premises standards apply).</w:t>
      </w:r>
    </w:p>
    <w:p w14:paraId="6F9FE28F" w14:textId="77777777" w:rsidR="00094004" w:rsidRPr="002A7AC6" w:rsidRDefault="00094004" w:rsidP="00094004">
      <w:pPr>
        <w:pStyle w:val="Heading6"/>
      </w:pPr>
      <w:r w:rsidRPr="002A7AC6">
        <w:t>Option 2</w:t>
      </w:r>
    </w:p>
    <w:p w14:paraId="63C37FC2" w14:textId="77777777" w:rsidR="00094004" w:rsidRPr="002A7AC6" w:rsidRDefault="00094004" w:rsidP="00094004">
      <w:r w:rsidRPr="002A7AC6">
        <w:t xml:space="preserve">The </w:t>
      </w:r>
      <w:r>
        <w:t>Transport Standards</w:t>
      </w:r>
      <w:r w:rsidRPr="002A7AC6">
        <w:t xml:space="preserve"> would be amended to include:</w:t>
      </w:r>
    </w:p>
    <w:p w14:paraId="5E092066" w14:textId="77777777" w:rsidR="00094004" w:rsidRPr="002A7AC6" w:rsidRDefault="00094004" w:rsidP="00F934C4">
      <w:pPr>
        <w:pStyle w:val="Listparagraphbullets"/>
      </w:pPr>
      <w:r w:rsidRPr="002A7AC6">
        <w:t xml:space="preserve">If a public address system is installed, a hearing augmentation system complying with AS1428.5 (2010) </w:t>
      </w:r>
      <w:r w:rsidRPr="002A7AC6">
        <w:rPr>
          <w:i/>
        </w:rPr>
        <w:t>D</w:t>
      </w:r>
      <w:r>
        <w:rPr>
          <w:i/>
        </w:rPr>
        <w:t>esign for access and mobility, s</w:t>
      </w:r>
      <w:r w:rsidRPr="002A7AC6">
        <w:rPr>
          <w:i/>
        </w:rPr>
        <w:t>ection 4 Requirements for assistive listening systems</w:t>
      </w:r>
      <w:r w:rsidRPr="002A7AC6">
        <w:t>, must be provided.</w:t>
      </w:r>
    </w:p>
    <w:p w14:paraId="1F2CCA9D" w14:textId="77777777" w:rsidR="00094004" w:rsidRDefault="00094004" w:rsidP="00F934C4">
      <w:pPr>
        <w:pStyle w:val="Listparagraphbullets"/>
      </w:pPr>
      <w:r w:rsidRPr="002A7AC6">
        <w:lastRenderedPageBreak/>
        <w:t>Any hearing augmentation system must cover the maximum area practicable and at least those areas in which staff assistance is available.</w:t>
      </w:r>
    </w:p>
    <w:p w14:paraId="1465AF8C" w14:textId="77777777" w:rsidR="00094004" w:rsidRPr="002A7AC6" w:rsidRDefault="00094004" w:rsidP="00F934C4">
      <w:pPr>
        <w:pStyle w:val="Listparagraphbullets"/>
      </w:pPr>
      <w:r w:rsidRPr="002A7AC6">
        <w:t>The area covered by the hearing augmentation system and must be designated by the international symbol for deafness.</w:t>
      </w:r>
    </w:p>
    <w:p w14:paraId="1C0C3E6A" w14:textId="77777777" w:rsidR="00094004" w:rsidRPr="002A7AC6" w:rsidRDefault="00094004" w:rsidP="00F934C4">
      <w:pPr>
        <w:pStyle w:val="Listparagraphbullets"/>
      </w:pPr>
      <w:r w:rsidRPr="002A7AC6">
        <w:t>Signs displaying the international symbol for deafness must indicate the presence of a hearing augmentation system also indicate the type of hearing augmentation system.</w:t>
      </w:r>
    </w:p>
    <w:p w14:paraId="1CC336F6" w14:textId="77777777" w:rsidR="00094004" w:rsidRPr="002A7AC6" w:rsidRDefault="00094004" w:rsidP="00094004">
      <w:r w:rsidRPr="002A7AC6">
        <w:t>These requirements would apply to infrastructure and premises (except premises to which</w:t>
      </w:r>
      <w:r>
        <w:t xml:space="preserve"> the Premises Standards apply).</w:t>
      </w:r>
    </w:p>
    <w:p w14:paraId="082035AA" w14:textId="77777777" w:rsidR="00094004" w:rsidRPr="002A7AC6" w:rsidRDefault="00094004" w:rsidP="00094004">
      <w:r w:rsidRPr="002A7AC6">
        <w:t xml:space="preserve">The </w:t>
      </w:r>
      <w:r>
        <w:t>Transport Standards</w:t>
      </w:r>
      <w:r w:rsidRPr="002A7AC6">
        <w:t xml:space="preserve"> Guidelines and / or The Whole Journey Guide would be updated for both options to include advice for hearing augmentation in premises and infrastructure.</w:t>
      </w:r>
    </w:p>
    <w:p w14:paraId="56B77A5F" w14:textId="77777777" w:rsidR="00094004" w:rsidRPr="007B3E2F" w:rsidRDefault="00094004" w:rsidP="00094004">
      <w:r w:rsidRPr="002A7AC6">
        <w:t>Specific guidance for both options may include</w:t>
      </w:r>
      <w:r w:rsidRPr="002A7AC6">
        <w:rPr>
          <w:i/>
        </w:rPr>
        <w:t>:</w:t>
      </w:r>
    </w:p>
    <w:p w14:paraId="57DE7084" w14:textId="77777777" w:rsidR="00094004" w:rsidRDefault="00094004" w:rsidP="00F934C4">
      <w:pPr>
        <w:pStyle w:val="Listparagraphbullets"/>
      </w:pPr>
      <w:r w:rsidRPr="002A7AC6">
        <w:t>It will be assumed that passengers have ensured that their hearing aids are compatible with standard hearing augmentation systems likely to be encountered in the public transport environment, such as magnetic induction loops.</w:t>
      </w:r>
    </w:p>
    <w:p w14:paraId="0B8F6846" w14:textId="77777777" w:rsidR="00094004" w:rsidRPr="002A7AC6" w:rsidRDefault="00094004" w:rsidP="00F934C4">
      <w:pPr>
        <w:pStyle w:val="Listparagraphbullets"/>
      </w:pPr>
      <w:r w:rsidRPr="002A7AC6">
        <w:t xml:space="preserve">It will also be assumed that hearing aid </w:t>
      </w:r>
      <w:r>
        <w:t>passengers</w:t>
      </w:r>
      <w:r w:rsidRPr="002A7AC6">
        <w:t xml:space="preserve"> are competent to activate the telecoil (T switch) in the hearing aid when necessary.</w:t>
      </w:r>
    </w:p>
    <w:p w14:paraId="17A0039F" w14:textId="77777777" w:rsidR="00094004" w:rsidRPr="002A7AC6" w:rsidRDefault="00094004" w:rsidP="00F934C4">
      <w:pPr>
        <w:pStyle w:val="Listparagraphbullets"/>
      </w:pPr>
      <w:r w:rsidRPr="002A7AC6">
        <w:t>Overhead power lines and other infrastructure that generate strong electrical fields, such as signals, can adversely impact on magnetic induction loop systems. Rail and light rail stations and tram stops that have platforms exposed to overhead wires or other electrical field generators should therefore take a platform-by-platform approach on coverage rather than attempting to cover an entire station or stop with a single loop.</w:t>
      </w:r>
    </w:p>
    <w:p w14:paraId="70B7BB75" w14:textId="77777777" w:rsidR="00094004" w:rsidRPr="002A7AC6" w:rsidRDefault="00094004" w:rsidP="00F934C4">
      <w:pPr>
        <w:pStyle w:val="Listparagraphbullets"/>
      </w:pPr>
      <w:r w:rsidRPr="002A7AC6">
        <w:t xml:space="preserve">Where the entire area of the public transport infrastructure served by an amplified system that communicates public information cannot be fully covered by hearing augmentation, the area that can be covered should be negotiated and determined through an equivalent access solution developed in a consultation and co-design process with local </w:t>
      </w:r>
      <w:r>
        <w:t>passengers</w:t>
      </w:r>
      <w:r w:rsidRPr="002A7AC6">
        <w:t>.</w:t>
      </w:r>
    </w:p>
    <w:p w14:paraId="539F6965" w14:textId="77777777" w:rsidR="00094004" w:rsidRDefault="00094004" w:rsidP="00F934C4">
      <w:pPr>
        <w:pStyle w:val="Listparagraphbullets"/>
      </w:pPr>
      <w:r w:rsidRPr="002A7AC6">
        <w:t>Where a hearing augmentation system cannot cover the full area covered by the amplified system a means of indicating the extent of the hearing augmentation zone should be provided. Solutions might include associating maps / floor plans showing the extent of the field with the international symbol for deafness sign, embedded platform markers, braille and tactile signs incorporating the</w:t>
      </w:r>
      <w:r>
        <w:t xml:space="preserve"> international</w:t>
      </w:r>
      <w:r w:rsidRPr="002A7AC6">
        <w:t xml:space="preserve"> symbol for deafness at either end of the area covered by the hearing augmentation system, and any similar signage solutions that would be functional at the site.</w:t>
      </w:r>
    </w:p>
    <w:p w14:paraId="259B2521" w14:textId="77777777" w:rsidR="00094004" w:rsidRDefault="00094004" w:rsidP="00F934C4">
      <w:pPr>
        <w:pStyle w:val="Listparagraphbullets"/>
      </w:pPr>
      <w:r w:rsidRPr="002A7AC6">
        <w:t xml:space="preserve">The </w:t>
      </w:r>
      <w:r>
        <w:t>i</w:t>
      </w:r>
      <w:r w:rsidRPr="002A7AC6">
        <w:t xml:space="preserve">nternational </w:t>
      </w:r>
      <w:r>
        <w:t>s</w:t>
      </w:r>
      <w:r w:rsidRPr="002A7AC6">
        <w:t xml:space="preserve">ymbol for </w:t>
      </w:r>
      <w:r>
        <w:t>d</w:t>
      </w:r>
      <w:r w:rsidRPr="002A7AC6">
        <w:t>eafness should be accompanied by directional arrows and an indication of the distance to the boundary of the area covered by the hearing augmentation system.</w:t>
      </w:r>
    </w:p>
    <w:p w14:paraId="4BEC29DF" w14:textId="77777777" w:rsidR="00094004" w:rsidRDefault="00094004" w:rsidP="00F934C4">
      <w:pPr>
        <w:pStyle w:val="Listparagraphbullets"/>
        <w:numPr>
          <w:ilvl w:val="0"/>
          <w:numId w:val="0"/>
        </w:numPr>
        <w:ind w:left="360"/>
      </w:pPr>
    </w:p>
    <w:p w14:paraId="3E0F2368" w14:textId="53D694D6" w:rsidR="00094004" w:rsidRDefault="00094004" w:rsidP="006F65FB">
      <w:pPr>
        <w:pStyle w:val="Heading3"/>
        <w:numPr>
          <w:ilvl w:val="0"/>
          <w:numId w:val="66"/>
        </w:numPr>
        <w:ind w:left="567" w:hanging="567"/>
      </w:pPr>
      <w:bookmarkStart w:id="836" w:name="_Toc127351830"/>
      <w:bookmarkStart w:id="837" w:name="_Toc130914508"/>
      <w:bookmarkStart w:id="838" w:name="_Toc140239802"/>
      <w:r>
        <w:t>Print size and format</w:t>
      </w:r>
      <w:bookmarkEnd w:id="836"/>
      <w:bookmarkEnd w:id="837"/>
      <w:bookmarkEnd w:id="838"/>
    </w:p>
    <w:p w14:paraId="65CE2CFD" w14:textId="77777777" w:rsidR="00094004" w:rsidRDefault="00094004" w:rsidP="00094004">
      <w:pPr>
        <w:pStyle w:val="Heading4"/>
      </w:pPr>
      <w:r>
        <w:t>Status quo</w:t>
      </w:r>
    </w:p>
    <w:p w14:paraId="31A0C871" w14:textId="77777777" w:rsidR="00094004" w:rsidRPr="00F60826" w:rsidRDefault="00094004" w:rsidP="00094004">
      <w:pPr>
        <w:keepNext/>
        <w:spacing w:after="120"/>
      </w:pPr>
      <w:r w:rsidRPr="00F60826">
        <w:t>Transport Standards section 27.3 Size and format of printing would remain unchanged and no additional guidance issued.</w:t>
      </w:r>
    </w:p>
    <w:p w14:paraId="00366B6D" w14:textId="77777777" w:rsidR="00094004" w:rsidRPr="002A7AC6" w:rsidRDefault="00094004" w:rsidP="00094004">
      <w:pPr>
        <w:keepNext/>
        <w:spacing w:after="120" w:line="252" w:lineRule="auto"/>
        <w:ind w:left="1985" w:hanging="1418"/>
        <w:rPr>
          <w:rFonts w:cstheme="minorHAnsi"/>
          <w:b/>
        </w:rPr>
      </w:pPr>
      <w:r w:rsidRPr="002A7AC6">
        <w:rPr>
          <w:rFonts w:cstheme="minorHAnsi"/>
          <w:b/>
        </w:rPr>
        <w:t xml:space="preserve">Section 27.3 </w:t>
      </w:r>
      <w:r w:rsidRPr="002A7AC6">
        <w:rPr>
          <w:rFonts w:cstheme="minorHAnsi"/>
          <w:b/>
        </w:rPr>
        <w:tab/>
        <w:t>Size and format of printing</w:t>
      </w:r>
    </w:p>
    <w:p w14:paraId="42C3D5F1" w14:textId="77777777" w:rsidR="00094004" w:rsidRPr="002A7AC6" w:rsidRDefault="00094004" w:rsidP="00094004">
      <w:pPr>
        <w:keepNext/>
        <w:spacing w:after="120" w:line="252" w:lineRule="auto"/>
        <w:ind w:left="1134" w:hanging="567"/>
        <w:rPr>
          <w:rFonts w:cstheme="minorHAnsi"/>
        </w:rPr>
      </w:pPr>
      <w:r w:rsidRPr="002A7AC6">
        <w:rPr>
          <w:rFonts w:cstheme="minorHAnsi"/>
        </w:rPr>
        <w:t xml:space="preserve">(1) </w:t>
      </w:r>
      <w:r w:rsidRPr="002A7AC6">
        <w:rPr>
          <w:rFonts w:cstheme="minorHAnsi"/>
        </w:rPr>
        <w:tab/>
        <w:t>Large print format type size must be at least 18-point sans serif characters.</w:t>
      </w:r>
    </w:p>
    <w:p w14:paraId="6DF351DF" w14:textId="77777777" w:rsidR="00094004" w:rsidRPr="002A7AC6" w:rsidRDefault="00094004" w:rsidP="00094004">
      <w:pPr>
        <w:keepNext/>
        <w:spacing w:line="252" w:lineRule="auto"/>
        <w:ind w:left="1134" w:hanging="567"/>
        <w:rPr>
          <w:rFonts w:cstheme="minorHAnsi"/>
        </w:rPr>
      </w:pPr>
      <w:r w:rsidRPr="002A7AC6">
        <w:rPr>
          <w:rFonts w:cstheme="minorHAnsi"/>
        </w:rPr>
        <w:t>(2)</w:t>
      </w:r>
      <w:r w:rsidRPr="002A7AC6">
        <w:rPr>
          <w:rFonts w:cstheme="minorHAnsi"/>
        </w:rPr>
        <w:tab/>
        <w:t>Copy must be black on a light background.</w:t>
      </w:r>
    </w:p>
    <w:p w14:paraId="2A98BFA4" w14:textId="77777777" w:rsidR="00094004" w:rsidRPr="002A7AC6" w:rsidRDefault="00094004" w:rsidP="00094004">
      <w:pPr>
        <w:spacing w:line="252" w:lineRule="auto"/>
        <w:ind w:left="567"/>
        <w:rPr>
          <w:rFonts w:cstheme="minorHAnsi"/>
        </w:rPr>
      </w:pPr>
      <w:r>
        <w:rPr>
          <w:rFonts w:cstheme="minorHAnsi"/>
        </w:rPr>
        <w:t>This s</w:t>
      </w:r>
      <w:r w:rsidRPr="002A7AC6">
        <w:rPr>
          <w:rFonts w:cstheme="minorHAnsi"/>
        </w:rPr>
        <w:t>ection pertains to conveyances, premises and infrastructure.</w:t>
      </w:r>
    </w:p>
    <w:p w14:paraId="40FCB225" w14:textId="77777777" w:rsidR="00094004" w:rsidRDefault="00094004" w:rsidP="00094004">
      <w:pPr>
        <w:pStyle w:val="Heading5"/>
      </w:pPr>
      <w:r>
        <w:lastRenderedPageBreak/>
        <w:t>Non-regulatory option</w:t>
      </w:r>
    </w:p>
    <w:p w14:paraId="394B1ECB" w14:textId="77777777" w:rsidR="00094004" w:rsidRDefault="00094004" w:rsidP="00094004">
      <w:pPr>
        <w:spacing w:line="259" w:lineRule="auto"/>
      </w:pPr>
      <w:r w:rsidRPr="002A7AC6">
        <w:t xml:space="preserve">Guidance would be provided in the </w:t>
      </w:r>
      <w:r>
        <w:t>Transport Standards</w:t>
      </w:r>
      <w:r w:rsidRPr="002A7AC6">
        <w:t xml:space="preserve"> Guidelines and / or The Whole Journey Guide to include advice on best prac</w:t>
      </w:r>
      <w:r>
        <w:t>tice for print size and format.</w:t>
      </w:r>
    </w:p>
    <w:p w14:paraId="11E91410" w14:textId="77777777" w:rsidR="00094004" w:rsidRPr="002A7AC6" w:rsidRDefault="00094004" w:rsidP="00094004">
      <w:pPr>
        <w:keepNext/>
        <w:spacing w:line="259" w:lineRule="auto"/>
      </w:pPr>
      <w:r>
        <w:t>Specific guidance may include:</w:t>
      </w:r>
    </w:p>
    <w:p w14:paraId="35B353C6" w14:textId="77777777" w:rsidR="00094004" w:rsidRPr="002A7AC6" w:rsidRDefault="00094004" w:rsidP="00F934C4">
      <w:pPr>
        <w:pStyle w:val="Listparagraphbullets"/>
      </w:pPr>
      <w:r w:rsidRPr="002A7AC6">
        <w:t>Large print format type size should be at least 18-point Sans Serif characters. For people with certain print disabilities particular accessible fonts may be requested. These fonts include Dyslexie, OpenDyslexic and Fs Me.</w:t>
      </w:r>
    </w:p>
    <w:p w14:paraId="3BA1A1FB" w14:textId="77777777" w:rsidR="00094004" w:rsidRPr="002A7AC6" w:rsidRDefault="00094004" w:rsidP="00F934C4">
      <w:pPr>
        <w:pStyle w:val="Listparagraphbullets"/>
      </w:pPr>
      <w:r w:rsidRPr="002A7AC6">
        <w:t>Copy should be black on a light background. However, whilst the majority of people requesting large print documents will prefer black text on a light background, some individuals may request light text on a dark background. Whichever colours are used, at least 75 per cent luminance contrast between text and background should be achieved.</w:t>
      </w:r>
    </w:p>
    <w:p w14:paraId="42CFE5DC" w14:textId="77777777" w:rsidR="00094004" w:rsidRDefault="00094004" w:rsidP="00F934C4">
      <w:pPr>
        <w:pStyle w:val="Listparagraphbullets"/>
      </w:pPr>
      <w:r w:rsidRPr="002A7AC6">
        <w:t>Large format text should be semi-bold or bold font weight and should be left justified with a ragged right margin.</w:t>
      </w:r>
    </w:p>
    <w:p w14:paraId="3CB2144B" w14:textId="77777777" w:rsidR="00094004" w:rsidRPr="002A7AC6" w:rsidRDefault="00094004" w:rsidP="00F934C4">
      <w:pPr>
        <w:pStyle w:val="Listparagraphbullets"/>
      </w:pPr>
      <w:r w:rsidRPr="002A7AC6">
        <w:t>Text should be in sentence case, in which the first letter of the initial word of the sentence is capitalised, as well as the first letter of proper nouns and other words as required.</w:t>
      </w:r>
    </w:p>
    <w:p w14:paraId="16C16641" w14:textId="77777777" w:rsidR="00094004" w:rsidRDefault="00094004" w:rsidP="00094004">
      <w:pPr>
        <w:pStyle w:val="Heading5"/>
      </w:pPr>
      <w:r>
        <w:t>Regulatory option</w:t>
      </w:r>
    </w:p>
    <w:p w14:paraId="147C7966" w14:textId="77777777" w:rsidR="00094004" w:rsidRPr="002A7AC6" w:rsidRDefault="00094004" w:rsidP="00094004">
      <w:pPr>
        <w:spacing w:line="259" w:lineRule="auto"/>
      </w:pPr>
      <w:r>
        <w:t xml:space="preserve">Transport Standards section 27.3 </w:t>
      </w:r>
      <w:r w:rsidRPr="00747EB7">
        <w:t xml:space="preserve">would be amended to include the following (including any requirements retained </w:t>
      </w:r>
      <w:r>
        <w:t>or amended from the status quo)</w:t>
      </w:r>
      <w:r w:rsidRPr="002A7AC6">
        <w:t>:</w:t>
      </w:r>
    </w:p>
    <w:p w14:paraId="0649F0DC" w14:textId="77777777" w:rsidR="00094004" w:rsidRPr="002A7AC6" w:rsidRDefault="00094004" w:rsidP="00F934C4">
      <w:pPr>
        <w:pStyle w:val="Listparagraphbullets"/>
      </w:pPr>
      <w:r w:rsidRPr="002A7AC6">
        <w:t>Copy must be black on a light background or achieve a 75 per cent luminance contrast between text and background.</w:t>
      </w:r>
    </w:p>
    <w:p w14:paraId="5DA9E13E" w14:textId="77777777" w:rsidR="00094004" w:rsidRDefault="00094004" w:rsidP="00F934C4">
      <w:pPr>
        <w:pStyle w:val="Listparagraphbullets"/>
      </w:pPr>
      <w:r w:rsidRPr="002A7AC6">
        <w:t>Font weight must be semi-bold or bold.</w:t>
      </w:r>
    </w:p>
    <w:p w14:paraId="5932DFA3" w14:textId="77777777" w:rsidR="00094004" w:rsidRDefault="00094004" w:rsidP="00F934C4">
      <w:pPr>
        <w:pStyle w:val="Listparagraphbullets"/>
      </w:pPr>
      <w:r w:rsidRPr="002A7AC6">
        <w:t>Text must be left justified with a ragged right margin.</w:t>
      </w:r>
    </w:p>
    <w:p w14:paraId="0FBA616F" w14:textId="77777777" w:rsidR="00094004" w:rsidRPr="002A7AC6" w:rsidRDefault="00094004" w:rsidP="00094004">
      <w:pPr>
        <w:spacing w:line="259" w:lineRule="auto"/>
      </w:pPr>
      <w:r w:rsidRPr="002A7AC6">
        <w:t>These requirements would pertain to conveyances, premises and infrastructure.</w:t>
      </w:r>
    </w:p>
    <w:p w14:paraId="7C38A468" w14:textId="77777777" w:rsidR="00094004" w:rsidRDefault="00094004" w:rsidP="00094004">
      <w:pPr>
        <w:keepNext/>
      </w:pPr>
      <w:r w:rsidRPr="002A7AC6">
        <w:t xml:space="preserve">Guidance would be provided in the </w:t>
      </w:r>
      <w:r>
        <w:t>Transport Standards</w:t>
      </w:r>
      <w:r w:rsidRPr="002A7AC6">
        <w:t xml:space="preserve"> Guidelines and / or The Whole Journey Guide to reflect and provide advice concerning the new regulatory requirements. </w:t>
      </w:r>
      <w:r>
        <w:t>Specific guidance may include:</w:t>
      </w:r>
    </w:p>
    <w:p w14:paraId="240815C1" w14:textId="77777777" w:rsidR="00094004" w:rsidRDefault="00094004" w:rsidP="00F934C4">
      <w:pPr>
        <w:pStyle w:val="Listparagraphbullets"/>
      </w:pPr>
      <w:r w:rsidRPr="002A7AC6">
        <w:t>Whilst the majority of people requesting large print documents will prefer black text on a light background, some individuals may request light text on a dark background.</w:t>
      </w:r>
    </w:p>
    <w:p w14:paraId="65375D36" w14:textId="77777777" w:rsidR="00094004" w:rsidRDefault="00094004" w:rsidP="00F934C4">
      <w:pPr>
        <w:pStyle w:val="Listparagraphbullets"/>
      </w:pPr>
      <w:r w:rsidRPr="002A7AC6">
        <w:t>For people with certain print disabilities particular accessible fonts may be requested. These fonts include Dyslexie, OpenDyslexic and Fs Me.</w:t>
      </w:r>
    </w:p>
    <w:p w14:paraId="17FFC121" w14:textId="77777777" w:rsidR="00094004" w:rsidRDefault="00094004" w:rsidP="00094004"/>
    <w:p w14:paraId="49A0C0AA" w14:textId="4073B899" w:rsidR="00094004" w:rsidRDefault="00094004" w:rsidP="006F65FB">
      <w:pPr>
        <w:pStyle w:val="Heading3"/>
        <w:numPr>
          <w:ilvl w:val="0"/>
          <w:numId w:val="66"/>
        </w:numPr>
        <w:ind w:left="567" w:hanging="567"/>
      </w:pPr>
      <w:bookmarkStart w:id="839" w:name="_Toc127351831"/>
      <w:bookmarkStart w:id="840" w:name="_Toc130914509"/>
      <w:bookmarkStart w:id="841" w:name="_Toc140239803"/>
      <w:r>
        <w:t>International symbol for access and deafness</w:t>
      </w:r>
      <w:bookmarkEnd w:id="839"/>
      <w:bookmarkEnd w:id="840"/>
      <w:bookmarkEnd w:id="841"/>
    </w:p>
    <w:p w14:paraId="370C2402" w14:textId="77777777" w:rsidR="00094004" w:rsidRDefault="00094004" w:rsidP="00094004">
      <w:pPr>
        <w:pStyle w:val="Heading4"/>
      </w:pPr>
      <w:r>
        <w:t>Status quo</w:t>
      </w:r>
    </w:p>
    <w:p w14:paraId="67CE29EE" w14:textId="77777777" w:rsidR="00094004" w:rsidRPr="002A7AC6" w:rsidRDefault="00094004" w:rsidP="00094004">
      <w:r>
        <w:t>Transport Standards s</w:t>
      </w:r>
      <w:r w:rsidRPr="002A7AC6">
        <w:t>ection 16.1 International symbols for accessibility and deafness, would remain unchanged and no new additional requirements or guidance would be issued.</w:t>
      </w:r>
    </w:p>
    <w:p w14:paraId="6B2B7B0E" w14:textId="77777777" w:rsidR="00094004" w:rsidRPr="002A7AC6" w:rsidRDefault="00094004" w:rsidP="00094004">
      <w:pPr>
        <w:ind w:left="567"/>
        <w:rPr>
          <w:b/>
        </w:rPr>
      </w:pPr>
      <w:r w:rsidRPr="002A7AC6">
        <w:rPr>
          <w:b/>
        </w:rPr>
        <w:t xml:space="preserve">16.1 </w:t>
      </w:r>
      <w:r w:rsidRPr="002A7AC6">
        <w:rPr>
          <w:b/>
        </w:rPr>
        <w:tab/>
        <w:t>International symbols for accessibility and deafness</w:t>
      </w:r>
    </w:p>
    <w:p w14:paraId="7E1CC1FE" w14:textId="77777777" w:rsidR="00094004" w:rsidRPr="002A7AC6" w:rsidRDefault="00094004" w:rsidP="00094004">
      <w:pPr>
        <w:ind w:left="1134" w:hanging="567"/>
      </w:pPr>
      <w:r w:rsidRPr="002A7AC6">
        <w:t xml:space="preserve">(1) </w:t>
      </w:r>
      <w:r w:rsidRPr="002A7AC6">
        <w:tab/>
        <w:t xml:space="preserve">The international symbols for accessibility and deafness </w:t>
      </w:r>
      <w:r>
        <w:t>(</w:t>
      </w:r>
      <w:r w:rsidRPr="002A7AC6">
        <w:t>AS1428.1 (2001) Design for access and mobility, Part 1: General requirements for access</w:t>
      </w:r>
      <w:r>
        <w:t>—</w:t>
      </w:r>
      <w:r w:rsidRPr="002A7AC6">
        <w:t xml:space="preserve">new building work, Clause 14.2, International symbol and Clause 14.3, International symbol for deafness) </w:t>
      </w:r>
      <w:r w:rsidRPr="002A7AC6">
        <w:lastRenderedPageBreak/>
        <w:t>must be used to identify an access path and which facilities and boarding points are accessible.</w:t>
      </w:r>
    </w:p>
    <w:p w14:paraId="304B1B7F" w14:textId="77777777" w:rsidR="00094004" w:rsidRPr="002A7AC6" w:rsidRDefault="00094004" w:rsidP="00094004">
      <w:pPr>
        <w:ind w:left="1134" w:hanging="567"/>
      </w:pPr>
      <w:r w:rsidRPr="002A7AC6">
        <w:t xml:space="preserve">(2) </w:t>
      </w:r>
      <w:r w:rsidRPr="002A7AC6">
        <w:tab/>
        <w:t>The colours prescribed in AS1428.1 (2001) Design for access and mobility, Part 1: General requirements for access</w:t>
      </w:r>
      <w:r>
        <w:t>—</w:t>
      </w:r>
      <w:r w:rsidRPr="002A7AC6">
        <w:t>new building work, Clause 14.2 (c) are not mandatory.</w:t>
      </w:r>
    </w:p>
    <w:p w14:paraId="4C6A921B" w14:textId="77777777" w:rsidR="00094004" w:rsidRPr="002A7AC6" w:rsidRDefault="00094004" w:rsidP="00094004">
      <w:pPr>
        <w:ind w:left="1134" w:hanging="567"/>
      </w:pPr>
      <w:r w:rsidRPr="002A7AC6">
        <w:t xml:space="preserve">(3) </w:t>
      </w:r>
      <w:r w:rsidRPr="002A7AC6">
        <w:tab/>
        <w:t>The size of accessibility symbols must comply with AS1428.2 (1992) Design for access and mobility, Part 2: Enhanced and additional requirements</w:t>
      </w:r>
      <w:r>
        <w:t>—</w:t>
      </w:r>
      <w:r w:rsidRPr="002A7AC6">
        <w:t>Buildings and facilities, Table 1.</w:t>
      </w:r>
    </w:p>
    <w:p w14:paraId="2F73EDC7" w14:textId="77777777" w:rsidR="00094004" w:rsidRPr="002A7AC6" w:rsidRDefault="00094004" w:rsidP="00094004">
      <w:pPr>
        <w:ind w:left="567"/>
      </w:pPr>
      <w:r>
        <w:t>This s</w:t>
      </w:r>
      <w:r w:rsidRPr="002A7AC6">
        <w:t>ection pertains to conveyances, premises (except premises to which the Premises Standards apply), and infrastructure.</w:t>
      </w:r>
    </w:p>
    <w:p w14:paraId="0D75A837" w14:textId="77777777" w:rsidR="00094004" w:rsidRDefault="00094004" w:rsidP="00094004">
      <w:pPr>
        <w:pStyle w:val="Heading5"/>
      </w:pPr>
      <w:r>
        <w:t>Non-regulatory option</w:t>
      </w:r>
    </w:p>
    <w:p w14:paraId="75C2ECF1" w14:textId="77777777" w:rsidR="00094004" w:rsidRDefault="00094004" w:rsidP="00094004">
      <w:r w:rsidRPr="002A7AC6">
        <w:t xml:space="preserve">Guidance would be provided in the </w:t>
      </w:r>
      <w:r>
        <w:t>Transport Standards</w:t>
      </w:r>
      <w:r w:rsidRPr="002A7AC6">
        <w:t xml:space="preserve"> Guidelines and / or The Whole Journey Guide to include best practice advice on the application of the international symbol for accessibility and deafness.</w:t>
      </w:r>
    </w:p>
    <w:p w14:paraId="5208C4C6" w14:textId="77777777" w:rsidR="00094004" w:rsidRPr="002A7AC6" w:rsidRDefault="00094004" w:rsidP="00094004">
      <w:r w:rsidRPr="002A7AC6">
        <w:t>Specific advice may include:</w:t>
      </w:r>
    </w:p>
    <w:p w14:paraId="3571B712" w14:textId="77777777" w:rsidR="00094004" w:rsidRDefault="00094004" w:rsidP="00F934C4">
      <w:pPr>
        <w:pStyle w:val="Listparagraphbullets"/>
      </w:pPr>
      <w:r w:rsidRPr="002A7AC6">
        <w:t>Need for signage to identify accessible facilities and the presence of hearing augmentation systems.</w:t>
      </w:r>
    </w:p>
    <w:p w14:paraId="668910E4" w14:textId="77777777" w:rsidR="00094004" w:rsidRPr="002A7AC6" w:rsidRDefault="00094004" w:rsidP="00F934C4">
      <w:pPr>
        <w:pStyle w:val="Listparagraphbullets"/>
      </w:pPr>
      <w:r w:rsidRPr="002A7AC6">
        <w:t xml:space="preserve">Use of the international symbol for accessibility and deafness should be provided in accordance with the design requirements in AS1428.1 (2009) </w:t>
      </w:r>
      <w:r w:rsidRPr="002A7AC6">
        <w:rPr>
          <w:i/>
        </w:rPr>
        <w:t>Design for access and mobility, Part 1: General requirements for access</w:t>
      </w:r>
      <w:r>
        <w:rPr>
          <w:i/>
        </w:rPr>
        <w:t>—</w:t>
      </w:r>
      <w:r w:rsidRPr="002A7AC6">
        <w:rPr>
          <w:i/>
        </w:rPr>
        <w:t>new building work</w:t>
      </w:r>
      <w:r w:rsidRPr="002A7AC6">
        <w:t>.</w:t>
      </w:r>
    </w:p>
    <w:p w14:paraId="3359F57D" w14:textId="77777777" w:rsidR="00094004" w:rsidRPr="002A7AC6" w:rsidRDefault="00094004" w:rsidP="00F934C4">
      <w:pPr>
        <w:pStyle w:val="Listparagraphbullets"/>
      </w:pPr>
      <w:r w:rsidRPr="002A7AC6">
        <w:t xml:space="preserve">The size of the signage and symbol elements needs to consider the viewing distances of passengers and should be designed appropriately. As a minimum the size of any international symbols on signage should be 60 millimetres by 60 millimetres. AS1428.2 (1992) </w:t>
      </w:r>
      <w:r w:rsidRPr="002A7AC6">
        <w:rPr>
          <w:i/>
        </w:rPr>
        <w:t>Design for access and mobility, Part 2: Enhanced and additional requirements</w:t>
      </w:r>
      <w:r>
        <w:rPr>
          <w:i/>
        </w:rPr>
        <w:t>—</w:t>
      </w:r>
      <w:r w:rsidRPr="002A7AC6">
        <w:rPr>
          <w:i/>
        </w:rPr>
        <w:t>Buildings and facilities, Table 1</w:t>
      </w:r>
      <w:r w:rsidRPr="002A7AC6">
        <w:t>, provides additional information on viewing distances and required sizes of symbols on signage.</w:t>
      </w:r>
    </w:p>
    <w:p w14:paraId="1D2B7D27" w14:textId="77777777" w:rsidR="00094004" w:rsidRDefault="00094004" w:rsidP="00094004">
      <w:pPr>
        <w:pStyle w:val="Heading5"/>
      </w:pPr>
      <w:r>
        <w:t>Regulatory option</w:t>
      </w:r>
    </w:p>
    <w:p w14:paraId="286CF23F" w14:textId="77777777" w:rsidR="00094004" w:rsidRPr="002A7AC6" w:rsidRDefault="00094004" w:rsidP="00094004">
      <w:r>
        <w:t xml:space="preserve">Transport Standards section 16.1 </w:t>
      </w:r>
      <w:r w:rsidRPr="00B56F6D">
        <w:t xml:space="preserve">would be amended to include the following (including any requirements retained </w:t>
      </w:r>
      <w:r>
        <w:t>or amended from the status quo)</w:t>
      </w:r>
      <w:r w:rsidRPr="002A7AC6">
        <w:t>. There are two sub-options for consideration in relation to the</w:t>
      </w:r>
      <w:r>
        <w:t xml:space="preserve"> size of accessibility symbols:</w:t>
      </w:r>
    </w:p>
    <w:p w14:paraId="769633C0" w14:textId="77777777" w:rsidR="00094004" w:rsidRDefault="00094004" w:rsidP="006F65FB">
      <w:pPr>
        <w:numPr>
          <w:ilvl w:val="0"/>
          <w:numId w:val="70"/>
        </w:numPr>
        <w:ind w:left="567" w:hanging="567"/>
        <w:contextualSpacing/>
      </w:pPr>
      <w:r w:rsidRPr="002A7AC6">
        <w:t xml:space="preserve">The international symbols for accessibility and deafness must be used to identify an access path and which facilities and boarding points are accessible </w:t>
      </w:r>
      <w:r>
        <w:t>(</w:t>
      </w:r>
      <w:r w:rsidRPr="002A7AC6">
        <w:t xml:space="preserve">AS1428.1 (2009) </w:t>
      </w:r>
      <w:r w:rsidRPr="002A7AC6">
        <w:rPr>
          <w:i/>
        </w:rPr>
        <w:t>Design for access and mobility, Part 1: General requirements for access</w:t>
      </w:r>
      <w:r>
        <w:rPr>
          <w:i/>
        </w:rPr>
        <w:t>—</w:t>
      </w:r>
      <w:r w:rsidRPr="002A7AC6">
        <w:rPr>
          <w:i/>
        </w:rPr>
        <w:t>new building work, Clause 8.2.1, International symbol and Clause 8.2.2, International symbol for deafness).</w:t>
      </w:r>
    </w:p>
    <w:p w14:paraId="7B4C36EC" w14:textId="77777777" w:rsidR="00094004" w:rsidRDefault="00094004" w:rsidP="006F65FB">
      <w:pPr>
        <w:numPr>
          <w:ilvl w:val="0"/>
          <w:numId w:val="70"/>
        </w:numPr>
        <w:ind w:left="567" w:hanging="567"/>
        <w:contextualSpacing/>
      </w:pPr>
      <w:r w:rsidRPr="002A7AC6">
        <w:t xml:space="preserve">The colours prescribed in AS1428.1 (2009) </w:t>
      </w:r>
      <w:r w:rsidRPr="002A7AC6">
        <w:rPr>
          <w:i/>
        </w:rPr>
        <w:t>Design for access and mobility, Part 1: General requirements for access</w:t>
      </w:r>
      <w:r>
        <w:rPr>
          <w:i/>
        </w:rPr>
        <w:t>—</w:t>
      </w:r>
      <w:r w:rsidRPr="002A7AC6">
        <w:rPr>
          <w:i/>
        </w:rPr>
        <w:t>new building work, clause 8.2.1 (c) and clause 8.2.2. (c)</w:t>
      </w:r>
      <w:r w:rsidRPr="002A7AC6">
        <w:t>, are not mandatory.</w:t>
      </w:r>
    </w:p>
    <w:p w14:paraId="35E3E469" w14:textId="77777777" w:rsidR="00094004" w:rsidRPr="002A7AC6" w:rsidRDefault="00094004" w:rsidP="006F65FB">
      <w:pPr>
        <w:numPr>
          <w:ilvl w:val="0"/>
          <w:numId w:val="70"/>
        </w:numPr>
        <w:ind w:left="567" w:hanging="567"/>
        <w:contextualSpacing/>
      </w:pPr>
      <w:r w:rsidRPr="002A7AC6">
        <w:t>There are two proposals for consideration in relation to the size of accessibility symbols:</w:t>
      </w:r>
    </w:p>
    <w:p w14:paraId="02BE608C" w14:textId="77777777" w:rsidR="00094004" w:rsidRPr="002A7AC6" w:rsidRDefault="00094004" w:rsidP="00094004">
      <w:pPr>
        <w:pStyle w:val="Heading6"/>
        <w:ind w:left="1134"/>
      </w:pPr>
      <w:r w:rsidRPr="002A7AC6">
        <w:t>Sub-option 1</w:t>
      </w:r>
    </w:p>
    <w:p w14:paraId="5C8A8A83" w14:textId="77777777" w:rsidR="00094004" w:rsidRPr="002A7AC6" w:rsidRDefault="00094004" w:rsidP="00094004">
      <w:pPr>
        <w:ind w:left="1134"/>
        <w:rPr>
          <w:i/>
        </w:rPr>
      </w:pPr>
      <w:r w:rsidRPr="002A7AC6">
        <w:t xml:space="preserve">The size of accessibility symbols must comply with AS1428.2 (1992) </w:t>
      </w:r>
      <w:r w:rsidRPr="002A7AC6">
        <w:rPr>
          <w:i/>
        </w:rPr>
        <w:t>Design for access and mobility, Part 2: Enhanced and additional requirements</w:t>
      </w:r>
      <w:r>
        <w:rPr>
          <w:i/>
        </w:rPr>
        <w:t>—</w:t>
      </w:r>
      <w:r w:rsidRPr="002A7AC6">
        <w:rPr>
          <w:i/>
        </w:rPr>
        <w:t>Buildings and facilities, Table 1.</w:t>
      </w:r>
    </w:p>
    <w:p w14:paraId="49F0B183" w14:textId="77777777" w:rsidR="00094004" w:rsidRPr="002A7AC6" w:rsidRDefault="00094004" w:rsidP="00094004">
      <w:pPr>
        <w:pStyle w:val="Heading6"/>
        <w:ind w:left="1134"/>
      </w:pPr>
      <w:r w:rsidRPr="002A7AC6">
        <w:lastRenderedPageBreak/>
        <w:t>Sub-option 2</w:t>
      </w:r>
    </w:p>
    <w:p w14:paraId="31D6CAFA" w14:textId="77777777" w:rsidR="00094004" w:rsidRPr="002A7AC6" w:rsidRDefault="00094004" w:rsidP="00094004">
      <w:pPr>
        <w:ind w:left="1134"/>
      </w:pPr>
      <w:r w:rsidRPr="002A7AC6">
        <w:t>The size of accessibility symbols must be of appropriate size when considering viewing distances and provided at 60 millimetres x 60 millimetres at a minimum.</w:t>
      </w:r>
    </w:p>
    <w:p w14:paraId="1835B13D" w14:textId="77777777" w:rsidR="00094004" w:rsidRDefault="00094004" w:rsidP="00094004">
      <w:r w:rsidRPr="002A7AC6">
        <w:t>These requirements would p</w:t>
      </w:r>
      <w:r>
        <w:t>ertain to conveyances, premises</w:t>
      </w:r>
      <w:r w:rsidRPr="002A7AC6">
        <w:t xml:space="preserve"> </w:t>
      </w:r>
      <w:r>
        <w:t>(</w:t>
      </w:r>
      <w:r w:rsidRPr="002A7AC6">
        <w:t>except premises to which the Premises Standards apply</w:t>
      </w:r>
      <w:r>
        <w:t>)</w:t>
      </w:r>
      <w:r w:rsidRPr="002A7AC6">
        <w:t>, and infrastructure.</w:t>
      </w:r>
    </w:p>
    <w:p w14:paraId="5EDD3186" w14:textId="77777777" w:rsidR="00094004" w:rsidRDefault="00094004" w:rsidP="00094004">
      <w:r w:rsidRPr="002A7AC6">
        <w:t xml:space="preserve">Guidance would be provided in the </w:t>
      </w:r>
      <w:r>
        <w:t>Transport Standards</w:t>
      </w:r>
      <w:r w:rsidRPr="002A7AC6">
        <w:t xml:space="preserve"> Guidelines and / or The Whole Journey Guide to clarify the viewing distance for sub-option 1.</w:t>
      </w:r>
    </w:p>
    <w:p w14:paraId="66C1BCA4" w14:textId="77777777" w:rsidR="00094004" w:rsidRPr="002A7AC6" w:rsidRDefault="00094004" w:rsidP="00094004">
      <w:pPr>
        <w:keepNext/>
      </w:pPr>
      <w:r w:rsidRPr="002A7AC6">
        <w:t xml:space="preserve">Specific advice </w:t>
      </w:r>
      <w:r>
        <w:t>may</w:t>
      </w:r>
      <w:r w:rsidRPr="002A7AC6">
        <w:t xml:space="preserve"> include:</w:t>
      </w:r>
    </w:p>
    <w:p w14:paraId="316ECD0D" w14:textId="77777777" w:rsidR="00094004" w:rsidRDefault="00094004" w:rsidP="00D109DA">
      <w:pPr>
        <w:pStyle w:val="Listparagraphbullets"/>
      </w:pPr>
      <w:r w:rsidRPr="002A7AC6">
        <w:t>For viewing distances between 7 metres and 18 metres, it is recommended that a symbol size be applied between 110 millimetres x 110 millimetres and 200 millimetres x 200 millimetres. For viewing distances greater than 18 metres, a symbol size of at least 450 millimetres x 450 millimetres should be adopted.</w:t>
      </w:r>
    </w:p>
    <w:p w14:paraId="02BD2DAA" w14:textId="77777777" w:rsidR="00094004" w:rsidRDefault="00094004" w:rsidP="00094004"/>
    <w:p w14:paraId="2E8D803E" w14:textId="6E0241A2" w:rsidR="00094004" w:rsidRDefault="00094004" w:rsidP="006F65FB">
      <w:pPr>
        <w:pStyle w:val="Heading3"/>
        <w:numPr>
          <w:ilvl w:val="0"/>
          <w:numId w:val="66"/>
        </w:numPr>
        <w:ind w:left="567" w:hanging="567"/>
      </w:pPr>
      <w:bookmarkStart w:id="842" w:name="_Toc127351832"/>
      <w:bookmarkStart w:id="843" w:name="_Toc130914510"/>
      <w:bookmarkStart w:id="844" w:name="_Toc140239804"/>
      <w:r>
        <w:t>Letter heights and luminance contrast of signs</w:t>
      </w:r>
      <w:bookmarkEnd w:id="842"/>
      <w:bookmarkEnd w:id="843"/>
      <w:bookmarkEnd w:id="844"/>
    </w:p>
    <w:p w14:paraId="057D87D2" w14:textId="77777777" w:rsidR="00094004" w:rsidRDefault="00094004" w:rsidP="00094004">
      <w:pPr>
        <w:pStyle w:val="Heading4"/>
      </w:pPr>
      <w:r>
        <w:t>Status quo</w:t>
      </w:r>
    </w:p>
    <w:p w14:paraId="3BD03DBC" w14:textId="77777777" w:rsidR="00094004" w:rsidRPr="002A7AC6" w:rsidRDefault="00094004" w:rsidP="00094004">
      <w:r>
        <w:t>Transport Standards s</w:t>
      </w:r>
      <w:r w:rsidRPr="002A7AC6">
        <w:t>ection 17.1 Height and illumination, would remain unchanged and no new additional requirements or guidance would be issued.</w:t>
      </w:r>
    </w:p>
    <w:p w14:paraId="3EDD22D9" w14:textId="77777777" w:rsidR="00094004" w:rsidRPr="002A7AC6" w:rsidRDefault="00094004" w:rsidP="00094004">
      <w:pPr>
        <w:ind w:left="567"/>
        <w:rPr>
          <w:b/>
        </w:rPr>
      </w:pPr>
      <w:r w:rsidRPr="002A7AC6">
        <w:rPr>
          <w:b/>
        </w:rPr>
        <w:t xml:space="preserve">17.1 </w:t>
      </w:r>
      <w:r w:rsidRPr="002A7AC6">
        <w:rPr>
          <w:b/>
        </w:rPr>
        <w:tab/>
        <w:t>Height and illumination</w:t>
      </w:r>
    </w:p>
    <w:p w14:paraId="448EB899" w14:textId="77777777" w:rsidR="00094004" w:rsidRPr="002A7AC6" w:rsidRDefault="00094004" w:rsidP="00094004">
      <w:pPr>
        <w:ind w:left="567"/>
      </w:pPr>
      <w:r w:rsidRPr="002A7AC6">
        <w:t>Signs must comply with AS1428.2 (1992) Clause 17.1, Signs, Clause 17.2, Height of letters in signs and Clause 17.3, Illumination of signs and Figure 30.</w:t>
      </w:r>
    </w:p>
    <w:p w14:paraId="324C9049" w14:textId="77777777" w:rsidR="00094004" w:rsidRPr="002A7AC6" w:rsidRDefault="00094004" w:rsidP="00094004">
      <w:pPr>
        <w:ind w:left="567"/>
      </w:pPr>
      <w:r>
        <w:t>This s</w:t>
      </w:r>
      <w:r w:rsidRPr="002A7AC6">
        <w:t xml:space="preserve">ection </w:t>
      </w:r>
      <w:r>
        <w:t>pertains</w:t>
      </w:r>
      <w:r w:rsidRPr="002A7AC6">
        <w:t xml:space="preserve"> to conveyances, premises, except, premises to which the Premises Standards apply, and infrastructure.</w:t>
      </w:r>
    </w:p>
    <w:p w14:paraId="3E481E08" w14:textId="77777777" w:rsidR="00094004" w:rsidRDefault="00094004" w:rsidP="00094004">
      <w:pPr>
        <w:pStyle w:val="Heading5"/>
      </w:pPr>
      <w:r>
        <w:t>Non-regulatory option</w:t>
      </w:r>
    </w:p>
    <w:p w14:paraId="6FB4E6C1" w14:textId="77777777" w:rsidR="00094004" w:rsidRDefault="00094004" w:rsidP="00094004">
      <w:r w:rsidRPr="002A7AC6">
        <w:t xml:space="preserve">Guidance would be provided in the </w:t>
      </w:r>
      <w:r>
        <w:t>Transport Standards</w:t>
      </w:r>
      <w:r w:rsidRPr="002A7AC6">
        <w:t xml:space="preserve"> Guidelines and / or The Whole Journey Guide to include advice related to signage.</w:t>
      </w:r>
    </w:p>
    <w:p w14:paraId="0A056FC1" w14:textId="77777777" w:rsidR="00094004" w:rsidRPr="002A7AC6" w:rsidRDefault="00094004" w:rsidP="00094004">
      <w:r w:rsidRPr="002A7AC6">
        <w:t>Specific advice may include the following:</w:t>
      </w:r>
    </w:p>
    <w:p w14:paraId="0D9CF97C" w14:textId="77777777" w:rsidR="00094004" w:rsidRPr="00283DED" w:rsidRDefault="00094004" w:rsidP="00D109DA">
      <w:pPr>
        <w:pStyle w:val="Listparagraphbullets"/>
      </w:pPr>
      <w:r w:rsidRPr="002A7AC6">
        <w:t>Static signage in transport precincts take many forms. Sometimes these are overhead signs and other times they are provided at lower levels for reading from standing and seated positions. Signs can be provided in braille and tactile formats but this may not be appropriate for all signs. For ease of understanding and legibility</w:t>
      </w:r>
      <w:r>
        <w:t>,</w:t>
      </w:r>
      <w:r w:rsidRPr="002A7AC6">
        <w:t xml:space="preserve"> Sans Serif fonts or typeface such as Arial should be u</w:t>
      </w:r>
      <w:r w:rsidRPr="00283DED">
        <w:t>sed.</w:t>
      </w:r>
    </w:p>
    <w:p w14:paraId="5A1BD0A1" w14:textId="77777777" w:rsidR="00094004" w:rsidRDefault="00094004" w:rsidP="00D109DA">
      <w:pPr>
        <w:pStyle w:val="Listparagraphbullets"/>
      </w:pPr>
      <w:r w:rsidRPr="00283DED">
        <w:t>Where signs are not provided in tactile and braille formats, it is important that they are designed in a way to ensure elements of signs are legible.</w:t>
      </w:r>
    </w:p>
    <w:p w14:paraId="781F8E5F" w14:textId="77777777" w:rsidR="00094004" w:rsidRDefault="00094004" w:rsidP="00D109DA">
      <w:pPr>
        <w:pStyle w:val="Listparagraphbullets"/>
      </w:pPr>
      <w:r w:rsidRPr="00283DED">
        <w:t>For signs, letter h</w:t>
      </w:r>
      <w:r w:rsidRPr="002A7AC6">
        <w:t>eights are relative to the distances from which signs are meant to be viewed. For example, a sign which is meant to be viewed from one to two metres will have smaller letter height requirements than a sign viewed from 20 metres.</w:t>
      </w:r>
    </w:p>
    <w:p w14:paraId="6DA5C334" w14:textId="77777777" w:rsidR="00094004" w:rsidRDefault="00094004" w:rsidP="00D109DA">
      <w:pPr>
        <w:pStyle w:val="Listparagraphbullets"/>
      </w:pPr>
      <w:r w:rsidRPr="002A7AC6">
        <w:t>As a basic guide to determine an appropriate letter height the following formula may be used: ‘Viewing Distance (in metres) x 3 = letter height (in millimetres)’</w:t>
      </w:r>
      <w:r>
        <w:t xml:space="preserve">. </w:t>
      </w:r>
      <w:r w:rsidRPr="0089230C">
        <w:t>For example, a sign that is designed to be viewed from ten metres would require 30-millimetre letter heights at a minimum (10 metres x 3 = 30 millimetres).</w:t>
      </w:r>
    </w:p>
    <w:p w14:paraId="0B3E82ED" w14:textId="77777777" w:rsidR="00094004" w:rsidRPr="002A7AC6" w:rsidRDefault="00094004" w:rsidP="00D109DA">
      <w:pPr>
        <w:pStyle w:val="Listparagraphbullets"/>
      </w:pPr>
      <w:r w:rsidRPr="002A7AC6">
        <w:lastRenderedPageBreak/>
        <w:t>Design requirements such as luminance contrast between elements is also critical in ensuring the legibility of signs. Typically, 30 per cent luminance contrast is preferred between signage elements such as letters and symbols and the sign background. Equally 30 per cent luminance contrast is preferred between the sign and the background surface to which it is mounted on or surfaces within two metres. Lighting for signage is also an important consideration. Lighting on signs should ensure that the sign is easily visible but also does not create issues such as glare or unwanted reflections.</w:t>
      </w:r>
    </w:p>
    <w:p w14:paraId="78317A43" w14:textId="77777777" w:rsidR="00094004" w:rsidRDefault="00094004" w:rsidP="00094004">
      <w:pPr>
        <w:pStyle w:val="Heading5"/>
      </w:pPr>
      <w:r>
        <w:t>Regulatory option</w:t>
      </w:r>
    </w:p>
    <w:p w14:paraId="1D2C5713" w14:textId="77777777" w:rsidR="00094004" w:rsidRDefault="00094004" w:rsidP="00094004">
      <w:r>
        <w:t xml:space="preserve">Transport Standards section 17.1 </w:t>
      </w:r>
      <w:r w:rsidRPr="00B56F6D">
        <w:t xml:space="preserve">would be amended to include the following (including any requirements retained </w:t>
      </w:r>
      <w:r>
        <w:t>or amended from the status quo).</w:t>
      </w:r>
    </w:p>
    <w:p w14:paraId="49153BC2" w14:textId="77777777" w:rsidR="00094004" w:rsidRPr="002A7AC6" w:rsidRDefault="00094004" w:rsidP="00094004">
      <w:r w:rsidRPr="002A7AC6">
        <w:t xml:space="preserve">There are two </w:t>
      </w:r>
      <w:r>
        <w:t>regulatory options that were consulted on</w:t>
      </w:r>
      <w:r w:rsidRPr="002A7AC6">
        <w:t>.</w:t>
      </w:r>
      <w:r>
        <w:t xml:space="preserve"> Option 1 prescribes compliance with an Australian Standards for letter height. Option 2 is performance based, and contains two sub</w:t>
      </w:r>
      <w:r>
        <w:noBreakHyphen/>
      </w:r>
      <w:r w:rsidRPr="002A7AC6">
        <w:t>options for consideration, relating to minimum letter height requirements.</w:t>
      </w:r>
    </w:p>
    <w:p w14:paraId="4EA262BC" w14:textId="77777777" w:rsidR="00094004" w:rsidRPr="002A7AC6" w:rsidRDefault="00094004" w:rsidP="00094004">
      <w:pPr>
        <w:pStyle w:val="Heading6"/>
      </w:pPr>
      <w:r w:rsidRPr="002A7AC6">
        <w:t>Option 1</w:t>
      </w:r>
    </w:p>
    <w:p w14:paraId="46B2974B" w14:textId="77777777" w:rsidR="00094004" w:rsidRPr="002A7AC6" w:rsidRDefault="00094004" w:rsidP="00094004">
      <w:r w:rsidRPr="002A7AC6">
        <w:t xml:space="preserve">The </w:t>
      </w:r>
      <w:r>
        <w:t>Transport Standards</w:t>
      </w:r>
      <w:r w:rsidRPr="002A7AC6">
        <w:t xml:space="preserve"> would require </w:t>
      </w:r>
      <w:r>
        <w:t xml:space="preserve">that </w:t>
      </w:r>
      <w:r w:rsidRPr="002A7AC6">
        <w:t xml:space="preserve">static </w:t>
      </w:r>
      <w:r>
        <w:t>signs that are not provided in b</w:t>
      </w:r>
      <w:r w:rsidRPr="002A7AC6">
        <w:t>raille and tactile must be provided so they are clear and legible and must:</w:t>
      </w:r>
    </w:p>
    <w:p w14:paraId="4C62FFA6" w14:textId="77777777" w:rsidR="00094004" w:rsidRPr="002A7AC6" w:rsidRDefault="00094004" w:rsidP="00D109DA">
      <w:pPr>
        <w:pStyle w:val="Listparagraphbullets"/>
      </w:pPr>
      <w:r w:rsidRPr="002A7AC6">
        <w:t>use Sans Serif font</w:t>
      </w:r>
    </w:p>
    <w:p w14:paraId="0CF65042" w14:textId="77777777" w:rsidR="00094004" w:rsidRPr="002A7AC6" w:rsidRDefault="00094004" w:rsidP="00D109DA">
      <w:pPr>
        <w:pStyle w:val="Listparagraphbullets"/>
      </w:pPr>
      <w:r w:rsidRPr="002A7AC6">
        <w:t>provide characters, icons and symbols with a minimum luminance contrast of 30 per cent to the background sign surface</w:t>
      </w:r>
    </w:p>
    <w:p w14:paraId="6071BC5B" w14:textId="77777777" w:rsidR="00094004" w:rsidRPr="002A7AC6" w:rsidRDefault="00094004" w:rsidP="00D109DA">
      <w:pPr>
        <w:pStyle w:val="Listparagraphbullets"/>
        <w:rPr>
          <w:iCs/>
        </w:rPr>
      </w:pPr>
      <w:r w:rsidRPr="002A7AC6">
        <w:t xml:space="preserve">comply with </w:t>
      </w:r>
      <w:r w:rsidRPr="002A7AC6">
        <w:rPr>
          <w:bCs/>
        </w:rPr>
        <w:t xml:space="preserve">AS1428.2 (1992) Clause 17.2 Height of letters in signs, </w:t>
      </w:r>
      <w:r w:rsidRPr="002A7AC6">
        <w:t>Table 2</w:t>
      </w:r>
      <w:r>
        <w:t>—</w:t>
      </w:r>
      <w:r w:rsidRPr="002A7AC6">
        <w:t>Height of letters for varying viewing distances.</w:t>
      </w:r>
    </w:p>
    <w:p w14:paraId="0653DABC" w14:textId="77777777" w:rsidR="00094004" w:rsidRPr="002A7AC6" w:rsidRDefault="00094004" w:rsidP="00094004">
      <w:r w:rsidRPr="002A7AC6">
        <w:t>These requirements would apply to conveyances, premises (except premises to which the Premises Standards apply) and infrastructure.</w:t>
      </w:r>
    </w:p>
    <w:p w14:paraId="59FB1272" w14:textId="77777777" w:rsidR="00094004" w:rsidRPr="002A7AC6" w:rsidRDefault="00094004" w:rsidP="00094004">
      <w:pPr>
        <w:pStyle w:val="Heading6"/>
      </w:pPr>
      <w:r w:rsidRPr="002A7AC6">
        <w:t>Option 2</w:t>
      </w:r>
    </w:p>
    <w:p w14:paraId="0FFF8971" w14:textId="77777777" w:rsidR="00094004" w:rsidRPr="002A7AC6" w:rsidRDefault="00094004" w:rsidP="00094004">
      <w:r w:rsidRPr="002A7AC6">
        <w:t xml:space="preserve">The </w:t>
      </w:r>
      <w:r>
        <w:t>Transport Standards</w:t>
      </w:r>
      <w:r w:rsidRPr="002A7AC6">
        <w:t xml:space="preserve"> would require that static signs that are not provided in Braille and tactile must be provided so they are clear and legible and must:</w:t>
      </w:r>
    </w:p>
    <w:p w14:paraId="59486859" w14:textId="77777777" w:rsidR="00094004" w:rsidRPr="002A7AC6" w:rsidRDefault="00094004" w:rsidP="00D109DA">
      <w:pPr>
        <w:pStyle w:val="Listparagraphbullets"/>
      </w:pPr>
      <w:r w:rsidRPr="002A7AC6">
        <w:t>use Sans Serif font</w:t>
      </w:r>
    </w:p>
    <w:p w14:paraId="49D8164B" w14:textId="77777777" w:rsidR="00094004" w:rsidRPr="002A7AC6" w:rsidRDefault="00094004" w:rsidP="00D109DA">
      <w:pPr>
        <w:pStyle w:val="Listparagraphbullets"/>
      </w:pPr>
      <w:r w:rsidRPr="002A7AC6">
        <w:t>provide characters, icons and symbols with a minimum luminance contrast of 30 per cent to the background sign surface</w:t>
      </w:r>
    </w:p>
    <w:p w14:paraId="01DC0DAC" w14:textId="77777777" w:rsidR="00094004" w:rsidRPr="002A7AC6" w:rsidRDefault="00094004" w:rsidP="00D109DA">
      <w:pPr>
        <w:pStyle w:val="Listparagraphbullets"/>
      </w:pPr>
      <w:r w:rsidRPr="002A7AC6">
        <w:t>provide a luminance contrast on a sign of no less than 30 per cent when viewed against the background or against other surfaces that are within two metres.</w:t>
      </w:r>
    </w:p>
    <w:p w14:paraId="72052B77" w14:textId="77777777" w:rsidR="00094004" w:rsidRPr="000915C6" w:rsidRDefault="00094004" w:rsidP="00D109DA">
      <w:pPr>
        <w:pStyle w:val="Listparagraphbullets"/>
      </w:pPr>
      <w:r w:rsidRPr="002A7AC6">
        <w:t>provide minimum letter heights (by one of the two sub-options below):</w:t>
      </w:r>
    </w:p>
    <w:p w14:paraId="4B6165F9" w14:textId="77777777" w:rsidR="00094004" w:rsidRPr="002A7AC6" w:rsidRDefault="00094004" w:rsidP="00094004">
      <w:pPr>
        <w:pStyle w:val="Heading7"/>
        <w:ind w:left="567"/>
        <w:rPr>
          <w:lang w:val="en-AU"/>
        </w:rPr>
      </w:pPr>
      <w:r w:rsidRPr="002A7AC6">
        <w:rPr>
          <w:lang w:val="en-AU"/>
        </w:rPr>
        <w:t>Sub-option 1</w:t>
      </w:r>
    </w:p>
    <w:p w14:paraId="7291E808" w14:textId="77777777" w:rsidR="00094004" w:rsidRPr="002A7AC6" w:rsidRDefault="00094004" w:rsidP="00094004">
      <w:pPr>
        <w:ind w:left="567"/>
      </w:pPr>
      <w:r w:rsidRPr="002A7AC6">
        <w:t>By using the Viewing Distance formula.</w:t>
      </w:r>
    </w:p>
    <w:p w14:paraId="627F6E4B" w14:textId="77777777" w:rsidR="00094004" w:rsidRPr="002A7AC6" w:rsidRDefault="00094004" w:rsidP="00094004">
      <w:pPr>
        <w:pStyle w:val="Heading7"/>
        <w:ind w:left="567"/>
        <w:rPr>
          <w:lang w:val="en-AU"/>
        </w:rPr>
      </w:pPr>
      <w:r w:rsidRPr="002A7AC6">
        <w:rPr>
          <w:lang w:val="en-AU"/>
        </w:rPr>
        <w:t>Sub-option 2</w:t>
      </w:r>
    </w:p>
    <w:p w14:paraId="4DB728F5" w14:textId="77777777" w:rsidR="00094004" w:rsidRPr="002A7AC6" w:rsidRDefault="00094004" w:rsidP="00094004">
      <w:pPr>
        <w:ind w:left="567"/>
      </w:pPr>
      <w:r w:rsidRPr="002A7AC6">
        <w:t xml:space="preserve">In accordance with AS1428.2 (1992) </w:t>
      </w:r>
      <w:r w:rsidRPr="002A7AC6">
        <w:rPr>
          <w:i/>
        </w:rPr>
        <w:t>Clause 17.2 Height of letters in signs, Table 2, Height of letters for varying viewing distances</w:t>
      </w:r>
      <w:r w:rsidRPr="002A7AC6">
        <w:t>.</w:t>
      </w:r>
    </w:p>
    <w:p w14:paraId="06AB268F" w14:textId="77777777" w:rsidR="00094004" w:rsidRPr="002A7AC6" w:rsidRDefault="00094004" w:rsidP="00094004">
      <w:r w:rsidRPr="002A7AC6">
        <w:t>These requirements would appl</w:t>
      </w:r>
      <w:r>
        <w:t>y</w:t>
      </w:r>
      <w:r w:rsidRPr="002A7AC6">
        <w:t xml:space="preserve"> to conveyances, premises (except premises to which the Premises Standards apply) and infrastructure.</w:t>
      </w:r>
    </w:p>
    <w:p w14:paraId="6EF2F079"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to reflect </w:t>
      </w:r>
      <w:r>
        <w:t>the new requirements, including:</w:t>
      </w:r>
    </w:p>
    <w:p w14:paraId="79003875" w14:textId="77777777" w:rsidR="00094004" w:rsidRPr="002A7AC6" w:rsidRDefault="00094004" w:rsidP="00D109DA">
      <w:pPr>
        <w:pStyle w:val="Listparagraphbullets"/>
      </w:pPr>
      <w:r w:rsidRPr="002A7AC6">
        <w:t>Viewing Distance (in metres) x 3 = Letter height (in millimetres)</w:t>
      </w:r>
    </w:p>
    <w:p w14:paraId="1882CCEE" w14:textId="77777777" w:rsidR="00094004" w:rsidRDefault="00094004" w:rsidP="00094004">
      <w:pPr>
        <w:ind w:left="567"/>
      </w:pPr>
      <w:r w:rsidRPr="002A7AC6">
        <w:lastRenderedPageBreak/>
        <w:t>For example, a sign that is designed to be viewed from 10 metres would require 30-millimetre letter heights as a minimum (10 x 3 = 30). Or conversely, a sign with a letter height of 30 millimetres has a maximum viewing distance of 10 metres.</w:t>
      </w:r>
    </w:p>
    <w:p w14:paraId="2BED48B9" w14:textId="775F1324" w:rsidR="00094004" w:rsidRDefault="00094004" w:rsidP="006F65FB">
      <w:pPr>
        <w:pStyle w:val="Heading3"/>
        <w:numPr>
          <w:ilvl w:val="0"/>
          <w:numId w:val="66"/>
        </w:numPr>
        <w:ind w:left="567" w:hanging="567"/>
      </w:pPr>
      <w:bookmarkStart w:id="845" w:name="_Toc127351833"/>
      <w:bookmarkStart w:id="846" w:name="_Toc130914511"/>
      <w:bookmarkStart w:id="847" w:name="_Toc140239805"/>
      <w:r>
        <w:t>Location of signs</w:t>
      </w:r>
      <w:bookmarkEnd w:id="845"/>
      <w:bookmarkEnd w:id="846"/>
      <w:bookmarkEnd w:id="847"/>
    </w:p>
    <w:p w14:paraId="490BBBA5" w14:textId="77777777" w:rsidR="00094004" w:rsidRDefault="00094004" w:rsidP="00094004">
      <w:pPr>
        <w:pStyle w:val="Heading4"/>
      </w:pPr>
      <w:r>
        <w:t>Status quo</w:t>
      </w:r>
    </w:p>
    <w:p w14:paraId="622A8BFF" w14:textId="77777777" w:rsidR="00094004" w:rsidRDefault="00094004" w:rsidP="00094004">
      <w:r>
        <w:t>Transport Standards s</w:t>
      </w:r>
      <w:r w:rsidRPr="002A7AC6">
        <w:t>ection 17.2 (Signs) Location</w:t>
      </w:r>
      <w:r>
        <w:t>—</w:t>
      </w:r>
      <w:r w:rsidRPr="002A7AC6">
        <w:t>pr</w:t>
      </w:r>
      <w:r>
        <w:t>emises and infrastructure, and s</w:t>
      </w:r>
      <w:r w:rsidRPr="002A7AC6">
        <w:t>ection 17.3 (Signs) Location</w:t>
      </w:r>
      <w:r>
        <w:t>—</w:t>
      </w:r>
      <w:r w:rsidRPr="002A7AC6">
        <w:t>conveyances,</w:t>
      </w:r>
      <w:r w:rsidRPr="002A7AC6" w:rsidDel="003E3605">
        <w:t xml:space="preserve"> </w:t>
      </w:r>
      <w:r w:rsidRPr="002A7AC6">
        <w:t>will remain unchanged and no guidance will be implemented.</w:t>
      </w:r>
    </w:p>
    <w:p w14:paraId="1549946D" w14:textId="77777777" w:rsidR="00094004" w:rsidRPr="002A7AC6" w:rsidRDefault="00094004" w:rsidP="00094004">
      <w:pPr>
        <w:ind w:left="1134" w:hanging="567"/>
        <w:rPr>
          <w:b/>
        </w:rPr>
      </w:pPr>
      <w:r w:rsidRPr="002A7AC6">
        <w:rPr>
          <w:b/>
        </w:rPr>
        <w:t>17.2</w:t>
      </w:r>
      <w:r w:rsidRPr="002A7AC6">
        <w:rPr>
          <w:b/>
        </w:rPr>
        <w:tab/>
        <w:t>Location</w:t>
      </w:r>
      <w:r>
        <w:rPr>
          <w:b/>
        </w:rPr>
        <w:t>—</w:t>
      </w:r>
      <w:r w:rsidRPr="002A7AC6">
        <w:rPr>
          <w:b/>
        </w:rPr>
        <w:t>premises and infrastructure</w:t>
      </w:r>
    </w:p>
    <w:p w14:paraId="42CFC475" w14:textId="77777777" w:rsidR="00094004" w:rsidRPr="002A7AC6" w:rsidRDefault="00094004" w:rsidP="00094004">
      <w:pPr>
        <w:ind w:left="1134"/>
      </w:pPr>
      <w:r w:rsidRPr="002A7AC6">
        <w:t>Signs must be placed according to AS1428.2 (1992) Clause 17.4, Location of signs.</w:t>
      </w:r>
    </w:p>
    <w:p w14:paraId="37B09273" w14:textId="77777777" w:rsidR="00094004" w:rsidRPr="002A7AC6" w:rsidRDefault="00094004" w:rsidP="00094004">
      <w:pPr>
        <w:ind w:left="1134"/>
      </w:pPr>
      <w:r>
        <w:t>This s</w:t>
      </w:r>
      <w:r w:rsidRPr="002A7AC6">
        <w:t>ection pertains to conveyances, premises, except premises to which the Premises Standards apply, and infrastructure.</w:t>
      </w:r>
    </w:p>
    <w:p w14:paraId="0BEF065E" w14:textId="77777777" w:rsidR="00094004" w:rsidRPr="002A7AC6" w:rsidRDefault="00094004" w:rsidP="00094004">
      <w:pPr>
        <w:ind w:left="1134" w:hanging="567"/>
        <w:rPr>
          <w:b/>
        </w:rPr>
      </w:pPr>
      <w:r w:rsidRPr="002A7AC6">
        <w:rPr>
          <w:b/>
        </w:rPr>
        <w:t>17.3</w:t>
      </w:r>
      <w:r w:rsidRPr="002A7AC6">
        <w:rPr>
          <w:b/>
        </w:rPr>
        <w:tab/>
        <w:t>Location</w:t>
      </w:r>
      <w:r>
        <w:rPr>
          <w:b/>
        </w:rPr>
        <w:t>—</w:t>
      </w:r>
      <w:r w:rsidRPr="002A7AC6">
        <w:rPr>
          <w:b/>
        </w:rPr>
        <w:t>conveyances</w:t>
      </w:r>
    </w:p>
    <w:p w14:paraId="6BD40DA7" w14:textId="77777777" w:rsidR="00094004" w:rsidRPr="002A7AC6" w:rsidRDefault="00094004" w:rsidP="00094004">
      <w:pPr>
        <w:ind w:left="1134" w:hanging="567"/>
      </w:pPr>
      <w:r w:rsidRPr="002A7AC6">
        <w:t>(1)</w:t>
      </w:r>
      <w:r w:rsidRPr="002A7AC6">
        <w:tab/>
        <w:t>If possible, signs are to be placed in accordance with AS1428.2 (1992) AS1428.2 (1992) Design for access and mobility, Part 2: Enhanced and additional requirements</w:t>
      </w:r>
      <w:r>
        <w:t>—</w:t>
      </w:r>
      <w:r w:rsidRPr="002A7AC6">
        <w:t>Buildings and facilities, Clause 17.4, Location of signs and Figure 30.</w:t>
      </w:r>
    </w:p>
    <w:p w14:paraId="411CA0C6" w14:textId="77777777" w:rsidR="00094004" w:rsidRPr="002A7AC6" w:rsidRDefault="00094004" w:rsidP="00094004">
      <w:pPr>
        <w:ind w:left="1134" w:hanging="567"/>
      </w:pPr>
      <w:r w:rsidRPr="002A7AC6">
        <w:t>(2)</w:t>
      </w:r>
      <w:r w:rsidRPr="002A7AC6">
        <w:tab/>
        <w:t>If the design of the conveyance prevents strict compliance, signs must be placed above the head height of passengers, whether they are sitting or standing.</w:t>
      </w:r>
    </w:p>
    <w:p w14:paraId="0250B55C" w14:textId="77777777" w:rsidR="00094004" w:rsidRPr="002A7AC6" w:rsidRDefault="00094004" w:rsidP="00094004">
      <w:pPr>
        <w:ind w:left="1134" w:hanging="567"/>
      </w:pPr>
      <w:r w:rsidRPr="002A7AC6">
        <w:t>(3)</w:t>
      </w:r>
      <w:r w:rsidRPr="002A7AC6">
        <w:tab/>
        <w:t>If used, destination signs must be placed above the windscreen.</w:t>
      </w:r>
    </w:p>
    <w:p w14:paraId="6D4A2D56" w14:textId="77777777" w:rsidR="00094004" w:rsidRPr="002A7AC6" w:rsidRDefault="00094004" w:rsidP="00094004">
      <w:pPr>
        <w:ind w:left="1134"/>
      </w:pPr>
      <w:r>
        <w:t>This s</w:t>
      </w:r>
      <w:r w:rsidRPr="002A7AC6">
        <w:t>ection pertains to the following conveyances: buses, coaches, ferries, trains, trams and light rail.</w:t>
      </w:r>
    </w:p>
    <w:p w14:paraId="51BA2ECF" w14:textId="77777777" w:rsidR="00094004" w:rsidRDefault="00094004" w:rsidP="00094004">
      <w:pPr>
        <w:pStyle w:val="Heading5"/>
      </w:pPr>
      <w:r>
        <w:t>Non-regulatory option</w:t>
      </w:r>
    </w:p>
    <w:p w14:paraId="6EA2A1A0" w14:textId="77777777" w:rsidR="00094004" w:rsidRDefault="00094004" w:rsidP="00094004">
      <w:r w:rsidRPr="002A7AC6">
        <w:t xml:space="preserve">Guidance would be provided in the </w:t>
      </w:r>
      <w:r>
        <w:t>Transport Standards</w:t>
      </w:r>
      <w:r w:rsidRPr="002A7AC6">
        <w:t xml:space="preserve"> Guidelines and / or The Whole Journey Guide to include advice related to location of signage.</w:t>
      </w:r>
    </w:p>
    <w:p w14:paraId="701F5C93" w14:textId="77777777" w:rsidR="00094004" w:rsidRPr="002A7AC6" w:rsidRDefault="00094004" w:rsidP="00094004">
      <w:pPr>
        <w:keepNext/>
      </w:pPr>
      <w:r w:rsidRPr="002A7AC6">
        <w:t>Specific advice may include the following:</w:t>
      </w:r>
    </w:p>
    <w:p w14:paraId="7E2F7181" w14:textId="77777777" w:rsidR="00094004" w:rsidRDefault="00094004" w:rsidP="00D109DA">
      <w:pPr>
        <w:pStyle w:val="Listparagraphbullets"/>
      </w:pPr>
      <w:r w:rsidRPr="002A7AC6">
        <w:t>Static signage in transport precincts takes many forms including overhead signs for reading from standing positions and lower level signs for reading from seated positions.</w:t>
      </w:r>
    </w:p>
    <w:p w14:paraId="7D2256AC" w14:textId="77777777" w:rsidR="00094004" w:rsidRPr="002A7AC6" w:rsidRDefault="00094004" w:rsidP="00D109DA">
      <w:pPr>
        <w:pStyle w:val="Listparagraphbullets"/>
      </w:pPr>
      <w:r w:rsidRPr="002A7AC6">
        <w:t>Signage placement needs to be considered on a case by case basis due to the variances in transport environments. Two main aspects need to be considered:</w:t>
      </w:r>
    </w:p>
    <w:p w14:paraId="29640B95" w14:textId="77777777" w:rsidR="00094004" w:rsidRPr="002A7AC6" w:rsidRDefault="00094004" w:rsidP="00D109DA">
      <w:pPr>
        <w:pStyle w:val="Listparagraphbullets"/>
      </w:pPr>
      <w:r w:rsidRPr="002A7AC6">
        <w:t>The purpose of the sign message. For example, instructional information versus identification signs.</w:t>
      </w:r>
    </w:p>
    <w:p w14:paraId="7E1D19C8" w14:textId="77777777" w:rsidR="00094004" w:rsidRDefault="00094004" w:rsidP="00D109DA">
      <w:pPr>
        <w:pStyle w:val="Listparagraphbullets"/>
      </w:pPr>
      <w:r w:rsidRPr="002A7AC6">
        <w:t>The operational context which considers passenger movements in an environment. For example, a local bus stop identification sign versus an exit sign on a crowded station platform.</w:t>
      </w:r>
    </w:p>
    <w:p w14:paraId="3D7318E0" w14:textId="77777777" w:rsidR="00094004" w:rsidRPr="002A7AC6" w:rsidRDefault="00094004" w:rsidP="00D109DA">
      <w:pPr>
        <w:pStyle w:val="Listparagraphbullets"/>
      </w:pPr>
      <w:r w:rsidRPr="002A7AC6">
        <w:t>Where signs are intended to be read by a single person at a time, they should be located at lower levels. Similarly, in uncrowded or transient type spaces where passengers are not waiting or congregating, it is expected that low level signs are appropriate. Viewing heights as prescribed under AS1428.2 (1992) considers a common view range for both seated and standing passengers when they are within close proximity to a sign.</w:t>
      </w:r>
    </w:p>
    <w:p w14:paraId="038E0FBD" w14:textId="77777777" w:rsidR="00094004" w:rsidRDefault="00094004" w:rsidP="00D109DA">
      <w:pPr>
        <w:pStyle w:val="Listparagraphbullets"/>
      </w:pPr>
      <w:r w:rsidRPr="002A7AC6">
        <w:t>It is important that information is provided at higher levels to ensure visibility by many, such as waiting areas, standing transport areas, and directional signage to facilities or access paths.</w:t>
      </w:r>
    </w:p>
    <w:p w14:paraId="7BFE6846" w14:textId="77777777" w:rsidR="00094004" w:rsidRPr="002A7AC6" w:rsidRDefault="00094004" w:rsidP="00D109DA">
      <w:pPr>
        <w:pStyle w:val="Listparagraphbullets"/>
      </w:pPr>
      <w:r w:rsidRPr="002A7AC6">
        <w:lastRenderedPageBreak/>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69F3427C" w14:textId="77777777" w:rsidR="00094004" w:rsidRDefault="00094004" w:rsidP="00D109DA">
      <w:pPr>
        <w:pStyle w:val="Listparagraphbullets"/>
      </w:pPr>
      <w:r>
        <w:t>Signs can be provided in b</w:t>
      </w:r>
      <w:r w:rsidRPr="002A7AC6">
        <w:t>raille and tactile formats however this may not be appropriate for all signs.</w:t>
      </w:r>
    </w:p>
    <w:p w14:paraId="344A6F08" w14:textId="77777777" w:rsidR="00094004" w:rsidRDefault="00094004" w:rsidP="00094004">
      <w:pPr>
        <w:pStyle w:val="Heading5"/>
      </w:pPr>
      <w:r>
        <w:t>Regulatory option</w:t>
      </w:r>
    </w:p>
    <w:p w14:paraId="26925389" w14:textId="77777777" w:rsidR="00094004" w:rsidRPr="002A7AC6" w:rsidRDefault="00094004" w:rsidP="00094004">
      <w:r>
        <w:t>Transport Standards</w:t>
      </w:r>
      <w:r w:rsidRPr="002A7AC6">
        <w:t xml:space="preserve"> </w:t>
      </w:r>
      <w:r>
        <w:t xml:space="preserve">section 17.2 and section 17.3 </w:t>
      </w:r>
      <w:r w:rsidRPr="002A7AC6">
        <w:t>would be amended to combine requirements for signage location that pertains to conveyances, prem</w:t>
      </w:r>
      <w:r>
        <w:t>ises and infrastructure in one s</w:t>
      </w:r>
      <w:r w:rsidRPr="002A7AC6">
        <w:t>ection.</w:t>
      </w:r>
    </w:p>
    <w:p w14:paraId="569B6923" w14:textId="77777777" w:rsidR="00094004" w:rsidRPr="002A7AC6" w:rsidRDefault="00094004" w:rsidP="00094004">
      <w:r w:rsidRPr="002A7AC6">
        <w:t xml:space="preserve">The following additional requirements would be added to the </w:t>
      </w:r>
      <w:r>
        <w:t xml:space="preserve">Transport Standards </w:t>
      </w:r>
      <w:r w:rsidRPr="00B56F6D">
        <w:t>(including any requirements retained or amended from the status quo):</w:t>
      </w:r>
    </w:p>
    <w:p w14:paraId="231D50AA" w14:textId="77777777" w:rsidR="00094004" w:rsidRPr="002A7AC6" w:rsidRDefault="00094004" w:rsidP="00D109DA">
      <w:pPr>
        <w:pStyle w:val="Listparagraphbullets"/>
      </w:pPr>
      <w:r w:rsidRPr="002A7AC6">
        <w:t>Specific requirements for signage not provided in braille and tactile format would be included:</w:t>
      </w:r>
    </w:p>
    <w:p w14:paraId="36AC4148" w14:textId="77777777" w:rsidR="00094004" w:rsidRDefault="00094004" w:rsidP="00D109DA">
      <w:pPr>
        <w:pStyle w:val="Listparagraphbullets"/>
      </w:pPr>
      <w:r w:rsidRPr="002A7AC6">
        <w:t>Signs are required to be visible from seated and standing positions.</w:t>
      </w:r>
    </w:p>
    <w:p w14:paraId="0951317D" w14:textId="77777777" w:rsidR="00094004" w:rsidRPr="002A7AC6" w:rsidRDefault="00094004" w:rsidP="00D109DA">
      <w:pPr>
        <w:pStyle w:val="Listparagraphbullets"/>
      </w:pPr>
      <w:r w:rsidRPr="002A7AC6">
        <w:t>If the design of the conveyance prevents strict compliance, signs must be placed above the head height of passengers, whether they are sitting or standing.</w:t>
      </w:r>
    </w:p>
    <w:p w14:paraId="0AE44315" w14:textId="77777777" w:rsidR="00094004" w:rsidRPr="000915C6" w:rsidRDefault="00094004" w:rsidP="00D109DA">
      <w:pPr>
        <w:pStyle w:val="Listparagraphbullets"/>
      </w:pPr>
      <w:r w:rsidRPr="002A7AC6">
        <w:t>If used on conveyances, destination signs must be placed above the windscreen.</w:t>
      </w:r>
    </w:p>
    <w:p w14:paraId="71EE38B8" w14:textId="77777777" w:rsidR="00094004" w:rsidRPr="002A7AC6" w:rsidRDefault="00094004" w:rsidP="00094004">
      <w:pPr>
        <w:pStyle w:val="Heading6"/>
      </w:pPr>
      <w:r w:rsidRPr="002A7AC6">
        <w:t>Sub-option 1</w:t>
      </w:r>
    </w:p>
    <w:p w14:paraId="5B02DE9B" w14:textId="77777777" w:rsidR="00094004" w:rsidRPr="002A7AC6" w:rsidRDefault="00094004" w:rsidP="00094004">
      <w:r w:rsidRPr="002A7AC6">
        <w:t>Where possible, signs must be placed:</w:t>
      </w:r>
    </w:p>
    <w:p w14:paraId="1822D294" w14:textId="77777777" w:rsidR="00094004" w:rsidRPr="002A7AC6" w:rsidRDefault="00094004" w:rsidP="00D109DA">
      <w:pPr>
        <w:pStyle w:val="Listparagraphbullets"/>
      </w:pPr>
      <w:r>
        <w:t>B</w:t>
      </w:r>
      <w:r w:rsidRPr="002A7AC6">
        <w:t>etween 1000 millimetres and 1600 millimetres from the finished floor level in uncrowded areas</w:t>
      </w:r>
      <w:r>
        <w:t>.</w:t>
      </w:r>
    </w:p>
    <w:p w14:paraId="0AF52B52" w14:textId="77777777" w:rsidR="00094004" w:rsidRPr="002A7AC6" w:rsidRDefault="00094004" w:rsidP="00D109DA">
      <w:pPr>
        <w:pStyle w:val="Listparagraphbullets"/>
      </w:pPr>
      <w:r>
        <w:t>A</w:t>
      </w:r>
      <w:r w:rsidRPr="002A7AC6">
        <w:t>bove 2000 millimetres above the finished floor level in areas of high patronage or crowding.</w:t>
      </w:r>
    </w:p>
    <w:p w14:paraId="7A8B9B10" w14:textId="77777777" w:rsidR="00094004" w:rsidRPr="002A7AC6" w:rsidRDefault="00094004" w:rsidP="00094004">
      <w:pPr>
        <w:pStyle w:val="Heading6"/>
      </w:pPr>
      <w:r w:rsidRPr="002A7AC6">
        <w:t>Sub-option 2</w:t>
      </w:r>
    </w:p>
    <w:p w14:paraId="58C8B071" w14:textId="77777777" w:rsidR="00094004" w:rsidRPr="002A7AC6" w:rsidRDefault="00094004" w:rsidP="00094004">
      <w:r w:rsidRPr="002A7AC6">
        <w:t>Where possible, signs are to be placed in accordance with AS1428.2 (1992) Design for access and mobility, Part 2: Enhanced and additional requirements</w:t>
      </w:r>
      <w:r>
        <w:t>—</w:t>
      </w:r>
      <w:r w:rsidRPr="002A7AC6">
        <w:t>Buildings and facilities, Clause 17.4 Location of signs (a), (b) and (c)</w:t>
      </w:r>
      <w:r>
        <w:t>, including the notes.</w:t>
      </w:r>
    </w:p>
    <w:p w14:paraId="2625D42A" w14:textId="77777777" w:rsidR="00094004" w:rsidRPr="002A7AC6" w:rsidRDefault="00094004" w:rsidP="00094004">
      <w:r w:rsidRPr="002A7AC6">
        <w:t>These requirements will pertain to buses, coaches, ferries, trains, trams and light rail, premises (except premises to which the Premises Standards apply) and infrastructure.</w:t>
      </w:r>
    </w:p>
    <w:p w14:paraId="1449256E" w14:textId="77777777" w:rsidR="00094004" w:rsidRDefault="00094004" w:rsidP="00094004">
      <w:r w:rsidRPr="002A7AC6">
        <w:t xml:space="preserve">Guidance would be provided in the </w:t>
      </w:r>
      <w:r>
        <w:t>Transport Standards</w:t>
      </w:r>
      <w:r w:rsidRPr="002A7AC6">
        <w:t xml:space="preserve"> Guidelines and / or The Whole Journey Guide to distinguish between the use of overhead and non-overhead signs and why it may be appropriate to provide a mix of signage options to suit different viewing heights and situations.</w:t>
      </w:r>
    </w:p>
    <w:p w14:paraId="552D9C17" w14:textId="77777777" w:rsidR="00094004" w:rsidRPr="002A7AC6" w:rsidRDefault="00094004" w:rsidP="00094004">
      <w:r w:rsidRPr="002A7AC6">
        <w:t xml:space="preserve">Specific advice </w:t>
      </w:r>
      <w:r>
        <w:t>may</w:t>
      </w:r>
      <w:r w:rsidRPr="002A7AC6">
        <w:t xml:space="preserve"> include:</w:t>
      </w:r>
    </w:p>
    <w:p w14:paraId="51CA01DC" w14:textId="77777777" w:rsidR="00094004" w:rsidRPr="002A7AC6" w:rsidRDefault="00094004" w:rsidP="00D109DA">
      <w:pPr>
        <w:pStyle w:val="Listparagraphbullets"/>
      </w:pPr>
      <w:r w:rsidRPr="002A7AC6">
        <w:t>Signage locations needs to consider two main aspects:</w:t>
      </w:r>
    </w:p>
    <w:p w14:paraId="4DB63727" w14:textId="77777777" w:rsidR="00094004" w:rsidRPr="002A7AC6" w:rsidRDefault="00094004" w:rsidP="00D109DA">
      <w:pPr>
        <w:pStyle w:val="Listparagraphbullets"/>
      </w:pPr>
      <w:r w:rsidRPr="002A7AC6">
        <w:t>The purpose of the sign message. For example, instructional information versus identification signs.</w:t>
      </w:r>
    </w:p>
    <w:p w14:paraId="626EB207" w14:textId="77777777" w:rsidR="00094004" w:rsidRDefault="00094004" w:rsidP="00D109DA">
      <w:pPr>
        <w:pStyle w:val="Listparagraphbullets"/>
      </w:pPr>
      <w:r w:rsidRPr="002A7AC6">
        <w:t>The operational context which considers passenger movements in an environment. For example, a local bus stop identification sign versus an exit sign on a crowded station platform.</w:t>
      </w:r>
    </w:p>
    <w:p w14:paraId="4BB08EBC" w14:textId="77777777" w:rsidR="00094004" w:rsidRPr="002A7AC6" w:rsidRDefault="00094004" w:rsidP="00D109DA">
      <w:pPr>
        <w:pStyle w:val="Listparagraphbullets"/>
      </w:pPr>
      <w:r w:rsidRPr="002A7AC6">
        <w:t>Where signs are intended to be read by a single person at a time they should be located at lower levels. Similarly, in uncrowded or transient type spaces where passengers are not waiting or congregating it is expected that low level signs are appropriate. The viewing heights of 1600 to 1000 millimetres consider a common view range for both seated and standing passengers when they are within close proximity to a sign (approximately two metres distance) which would be relevant to these situations.</w:t>
      </w:r>
    </w:p>
    <w:p w14:paraId="4F60941E" w14:textId="77777777" w:rsidR="00094004" w:rsidRDefault="00094004" w:rsidP="00D109DA">
      <w:pPr>
        <w:pStyle w:val="Listparagraphbullets"/>
      </w:pPr>
      <w:r w:rsidRPr="002A7AC6">
        <w:t>It is important that information is provided at higher levels to ensure visibility by many, such as waiting areas, standing transport areas, and directional signage to facilities or access paths.</w:t>
      </w:r>
    </w:p>
    <w:p w14:paraId="471F2A39" w14:textId="77777777" w:rsidR="00094004" w:rsidRDefault="00094004" w:rsidP="00D109DA">
      <w:pPr>
        <w:pStyle w:val="Listparagraphbullets"/>
      </w:pPr>
      <w:r w:rsidRPr="002A7AC6">
        <w:lastRenderedPageBreak/>
        <w:t>It may be beneficial to supplement overhead signs with lower level signs where appropriate. In conveyances or where signs are not directly above an access path, it may be appropriate to install signs at a lower height so long as visibility to the sign is still achieved.</w:t>
      </w:r>
    </w:p>
    <w:p w14:paraId="11A3B90E" w14:textId="77777777" w:rsidR="00094004" w:rsidRDefault="00094004" w:rsidP="00094004"/>
    <w:p w14:paraId="50FF1A96" w14:textId="2B168A7E" w:rsidR="00094004" w:rsidRDefault="00094004" w:rsidP="006F65FB">
      <w:pPr>
        <w:pStyle w:val="Heading3"/>
        <w:numPr>
          <w:ilvl w:val="0"/>
          <w:numId w:val="66"/>
        </w:numPr>
        <w:ind w:left="567" w:hanging="567"/>
      </w:pPr>
      <w:bookmarkStart w:id="848" w:name="_Toc127351834"/>
      <w:bookmarkStart w:id="849" w:name="_Toc130914512"/>
      <w:bookmarkStart w:id="850" w:name="_Toc140239806"/>
      <w:r>
        <w:t>Braille embossed (printed) specifications</w:t>
      </w:r>
      <w:bookmarkEnd w:id="848"/>
      <w:bookmarkEnd w:id="849"/>
      <w:bookmarkEnd w:id="850"/>
    </w:p>
    <w:p w14:paraId="65ABD7CA" w14:textId="77777777" w:rsidR="00094004" w:rsidRDefault="00094004" w:rsidP="00094004">
      <w:pPr>
        <w:pStyle w:val="Heading4"/>
      </w:pPr>
      <w:r>
        <w:t>Status quo</w:t>
      </w:r>
    </w:p>
    <w:p w14:paraId="0C823E6C" w14:textId="77777777" w:rsidR="00094004" w:rsidRPr="002A7AC6" w:rsidRDefault="00094004" w:rsidP="00094004">
      <w:r>
        <w:t>Transport Standards s</w:t>
      </w:r>
      <w:r w:rsidRPr="002A7AC6">
        <w:t xml:space="preserve">ection 17.6 Raised lettering or symbols or use of </w:t>
      </w:r>
      <w:r>
        <w:t>b</w:t>
      </w:r>
      <w:r w:rsidRPr="002A7AC6">
        <w:t>raille, would remain unchanged and no new additional requirements or guidance would be issued.</w:t>
      </w:r>
    </w:p>
    <w:p w14:paraId="7BA16722" w14:textId="77777777" w:rsidR="00094004" w:rsidRPr="002A7AC6" w:rsidRDefault="00094004" w:rsidP="00094004">
      <w:pPr>
        <w:ind w:left="1134" w:hanging="567"/>
        <w:rPr>
          <w:b/>
        </w:rPr>
      </w:pPr>
      <w:r w:rsidRPr="002A7AC6">
        <w:rPr>
          <w:b/>
        </w:rPr>
        <w:t xml:space="preserve">17.6 </w:t>
      </w:r>
      <w:r w:rsidRPr="002A7AC6">
        <w:rPr>
          <w:b/>
        </w:rPr>
        <w:tab/>
        <w:t>Raised lettering or symbols or use of Braille</w:t>
      </w:r>
    </w:p>
    <w:p w14:paraId="79FE8280" w14:textId="77777777" w:rsidR="00094004" w:rsidRPr="002A7AC6" w:rsidRDefault="00094004" w:rsidP="00094004">
      <w:pPr>
        <w:ind w:left="1134" w:hanging="567"/>
      </w:pPr>
      <w:r w:rsidRPr="002A7AC6">
        <w:t xml:space="preserve">(1) </w:t>
      </w:r>
      <w:r w:rsidRPr="002A7AC6">
        <w:tab/>
        <w:t>If a sign incorporates raised lettering or symbols, they must be at least 0.8 millimetres above the surface of the sign.</w:t>
      </w:r>
    </w:p>
    <w:p w14:paraId="33E17225" w14:textId="77777777" w:rsidR="00094004" w:rsidRPr="002A7AC6" w:rsidRDefault="00094004" w:rsidP="00094004">
      <w:pPr>
        <w:ind w:left="1134" w:hanging="567"/>
      </w:pPr>
      <w:r w:rsidRPr="002A7AC6">
        <w:t xml:space="preserve">(2) </w:t>
      </w:r>
      <w:r w:rsidRPr="002A7AC6">
        <w:tab/>
        <w:t xml:space="preserve">If an operator or provider supplements a notice with </w:t>
      </w:r>
      <w:r>
        <w:t>b</w:t>
      </w:r>
      <w:r w:rsidRPr="002A7AC6">
        <w:t>raille characters, they must be placed to the left of the raised characters.</w:t>
      </w:r>
    </w:p>
    <w:p w14:paraId="6AE4C2D7" w14:textId="77777777" w:rsidR="00094004" w:rsidRDefault="00094004" w:rsidP="00094004">
      <w:pPr>
        <w:ind w:left="1134" w:hanging="567"/>
      </w:pPr>
      <w:r>
        <w:t>This s</w:t>
      </w:r>
      <w:r w:rsidRPr="002A7AC6">
        <w:t>ection pertains to conveyances, premises and infrastructure.</w:t>
      </w:r>
    </w:p>
    <w:p w14:paraId="6513A44B" w14:textId="77777777" w:rsidR="00094004" w:rsidRDefault="00094004" w:rsidP="00094004">
      <w:pPr>
        <w:pStyle w:val="Heading5"/>
      </w:pPr>
      <w:r>
        <w:t>Non-regulatory option</w:t>
      </w:r>
    </w:p>
    <w:p w14:paraId="3D92CA8E" w14:textId="77777777" w:rsidR="00094004" w:rsidRPr="002A7AC6" w:rsidRDefault="00094004" w:rsidP="00094004">
      <w:r w:rsidRPr="002A7AC6">
        <w:t xml:space="preserve">Guidance would be provided in the </w:t>
      </w:r>
      <w:r>
        <w:t>Transport Standards</w:t>
      </w:r>
      <w:r w:rsidRPr="002A7AC6">
        <w:t xml:space="preserve"> Guidelines and / or The Whole Journey Guide on good practice for t</w:t>
      </w:r>
      <w:r>
        <w:t>he provision of information in b</w:t>
      </w:r>
      <w:r w:rsidRPr="002A7AC6">
        <w:t>raille formats.</w:t>
      </w:r>
    </w:p>
    <w:p w14:paraId="43718659" w14:textId="77777777" w:rsidR="00094004" w:rsidRPr="002A7AC6" w:rsidRDefault="00094004" w:rsidP="00D109DA">
      <w:pPr>
        <w:pStyle w:val="Listparagraphbullets"/>
      </w:pPr>
      <w:r>
        <w:t>Specific guidance may include:</w:t>
      </w:r>
    </w:p>
    <w:p w14:paraId="753BD939" w14:textId="77777777" w:rsidR="00094004" w:rsidRDefault="00094004" w:rsidP="00D109DA">
      <w:pPr>
        <w:pStyle w:val="Listparagraphbullets"/>
      </w:pPr>
      <w:r w:rsidRPr="002A7AC6">
        <w:t xml:space="preserve">The standard of braille expected when information is provided in braille is in Grade 1 Braille (uncontracted) in accordance with the criteria set out in The Rules of Unified English Braille by the Australian Braille Authority. On request though, passengers should, in a timely manner, be supplied the information in their preferred braille format as per current requirements in </w:t>
      </w:r>
      <w:r>
        <w:t>Transport Standards s</w:t>
      </w:r>
      <w:r w:rsidRPr="002A7AC6">
        <w:t>ection 27.1 Access to information about transport services.</w:t>
      </w:r>
    </w:p>
    <w:p w14:paraId="14095832" w14:textId="77777777" w:rsidR="00094004" w:rsidRPr="002A7AC6" w:rsidRDefault="00094004" w:rsidP="00D109DA">
      <w:pPr>
        <w:pStyle w:val="Listparagraphbullets"/>
      </w:pPr>
      <w:r w:rsidRPr="002A7AC6">
        <w:t>The demogr</w:t>
      </w:r>
      <w:r>
        <w:t>aphics of a particular location—</w:t>
      </w:r>
      <w:r w:rsidRPr="002A7AC6">
        <w:t>for</w:t>
      </w:r>
      <w:r>
        <w:t xml:space="preserve"> </w:t>
      </w:r>
      <w:r w:rsidRPr="002A7AC6">
        <w:t>example</w:t>
      </w:r>
      <w:r>
        <w:t>,</w:t>
      </w:r>
      <w:r w:rsidRPr="002A7AC6">
        <w:t xml:space="preserve"> a concentration of service providers for</w:t>
      </w:r>
      <w:r>
        <w:t xml:space="preserve"> people with vision impairments—</w:t>
      </w:r>
      <w:r w:rsidRPr="002A7AC6">
        <w:t>might</w:t>
      </w:r>
      <w:r>
        <w:t xml:space="preserve"> </w:t>
      </w:r>
      <w:r w:rsidRPr="002A7AC6">
        <w:t xml:space="preserve">guide when it </w:t>
      </w:r>
      <w:r>
        <w:t xml:space="preserve">is </w:t>
      </w:r>
      <w:r w:rsidRPr="002A7AC6">
        <w:t>appropriate to pre-produce information in braille.</w:t>
      </w:r>
    </w:p>
    <w:p w14:paraId="45892CA3" w14:textId="77777777" w:rsidR="00094004" w:rsidRDefault="00094004" w:rsidP="00D109DA">
      <w:pPr>
        <w:pStyle w:val="Listparagraphbullets"/>
      </w:pPr>
      <w:r w:rsidRPr="002A7AC6">
        <w:t>Braille on service-related publications or pamphlets that are pre-prepared and supplied directly and randomly to passengers, should be of the easiest braille format to read. This is Grade 1 Braille (uncontracted). Grade 1 (uncontracted) Braille should be the default when materials such as pamphlets or publications are pre-prepared for the general public as it will be directly offered to readers of varying braille proficiency.</w:t>
      </w:r>
    </w:p>
    <w:p w14:paraId="3A824514" w14:textId="77777777" w:rsidR="00094004" w:rsidRDefault="00094004" w:rsidP="00D109DA">
      <w:pPr>
        <w:pStyle w:val="Listparagraphbullets"/>
      </w:pPr>
      <w:r w:rsidRPr="002A7AC6">
        <w:t xml:space="preserve">Expert </w:t>
      </w:r>
      <w:r>
        <w:t>b</w:t>
      </w:r>
      <w:r w:rsidRPr="002A7AC6">
        <w:t>raille readers may find Grade 1 (uncontracted) Braille time consuming for longer publications, preferring the much more quickly read contracted formats. While this is understood, the legibility of pre-prepared publications and pamphlets for braille readers of only modest skills must be accommodated.</w:t>
      </w:r>
    </w:p>
    <w:p w14:paraId="32A0DE44" w14:textId="77777777" w:rsidR="00094004" w:rsidRPr="002A7AC6" w:rsidRDefault="00094004" w:rsidP="00D109DA">
      <w:pPr>
        <w:pStyle w:val="Listparagraphbullets"/>
      </w:pPr>
      <w:r w:rsidRPr="002A7AC6">
        <w:t>If experienced braille readers specifically request information such as pamphlets and publications in a grade of braille other than Grade 1 (uncontracted), the information must be supplied in the requested grade in a timely manner.</w:t>
      </w:r>
    </w:p>
    <w:p w14:paraId="607BB3EA" w14:textId="77777777" w:rsidR="00094004" w:rsidRPr="002A7AC6" w:rsidRDefault="00094004" w:rsidP="00D109DA">
      <w:pPr>
        <w:pStyle w:val="Listparagraphbullets"/>
      </w:pPr>
      <w:r w:rsidRPr="002A7AC6">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 for distribution.</w:t>
      </w:r>
    </w:p>
    <w:p w14:paraId="04B1F05A" w14:textId="77777777" w:rsidR="00094004" w:rsidRDefault="00094004" w:rsidP="00094004">
      <w:pPr>
        <w:pStyle w:val="Heading5"/>
      </w:pPr>
      <w:r>
        <w:lastRenderedPageBreak/>
        <w:t>Regulatory option</w:t>
      </w:r>
    </w:p>
    <w:p w14:paraId="395E6617" w14:textId="77777777" w:rsidR="00094004" w:rsidRPr="002A7AC6" w:rsidRDefault="00094004" w:rsidP="00094004">
      <w:r>
        <w:t xml:space="preserve">Transport Standards section 17.6 </w:t>
      </w:r>
      <w:r w:rsidRPr="00B309BC">
        <w:t>would be amended to include the following (including any requirements retained or amended from the status quo):</w:t>
      </w:r>
    </w:p>
    <w:p w14:paraId="757F5F70" w14:textId="77777777" w:rsidR="00094004" w:rsidRPr="002A7AC6" w:rsidRDefault="00094004" w:rsidP="00D109DA">
      <w:pPr>
        <w:pStyle w:val="Listparagraphbullets"/>
      </w:pPr>
      <w:r w:rsidRPr="002A7AC6">
        <w:t>If information is presented to passengers in braille format, the braille must be Grade 1 Braille (uncontracted), in accordance with the criteria set out in The Rules of Unified English Braille by the Australian Braille Authority.</w:t>
      </w:r>
    </w:p>
    <w:p w14:paraId="327D38C9" w14:textId="77777777" w:rsidR="00094004" w:rsidRPr="002A7AC6" w:rsidRDefault="00094004" w:rsidP="00D109DA">
      <w:pPr>
        <w:pStyle w:val="Listparagraphbullets"/>
      </w:pPr>
      <w:r w:rsidRPr="002A7AC6">
        <w:t>If material is specifically requested in a grade of braille other than Grade 1 Braille (uncontracted) it must be supplied in the passenger's preferred grade in a timely manner.</w:t>
      </w:r>
    </w:p>
    <w:p w14:paraId="08F83C7B" w14:textId="77777777" w:rsidR="00094004" w:rsidRPr="002A7AC6" w:rsidRDefault="00094004" w:rsidP="00094004">
      <w:r w:rsidRPr="002A7AC6">
        <w:t>These requirements would apply to conveyances, premises and infrastructure.</w:t>
      </w:r>
    </w:p>
    <w:p w14:paraId="3634FCC5" w14:textId="77777777" w:rsidR="00094004" w:rsidRDefault="00094004" w:rsidP="00094004">
      <w:r>
        <w:t>The Transport Standards</w:t>
      </w:r>
      <w:r w:rsidRPr="002A7AC6">
        <w:t xml:space="preserve"> Guidelines and / or The Whole Journey Guide </w:t>
      </w:r>
      <w:r>
        <w:t xml:space="preserve">may be updated </w:t>
      </w:r>
      <w:r w:rsidRPr="002A7AC6">
        <w:t>to reflect new requirements for conveyances, premises and infrastructure</w:t>
      </w:r>
      <w:r>
        <w:t>.</w:t>
      </w:r>
    </w:p>
    <w:p w14:paraId="29D1F359" w14:textId="77777777" w:rsidR="00094004" w:rsidRPr="002A7AC6" w:rsidRDefault="00094004" w:rsidP="00094004">
      <w:pPr>
        <w:keepNext/>
      </w:pPr>
      <w:r>
        <w:t>Specific guidance may include:</w:t>
      </w:r>
    </w:p>
    <w:p w14:paraId="767178BE" w14:textId="77777777" w:rsidR="00094004" w:rsidRPr="002A7AC6" w:rsidRDefault="00094004" w:rsidP="00D109DA">
      <w:pPr>
        <w:pStyle w:val="Listparagraphbullets"/>
      </w:pPr>
      <w:r w:rsidRPr="002A7AC6">
        <w:t>Braille on service-related publications or pamphlets that are pre-prepared and supplied directly to passengers, should Grade 1 Braille (uncontracted). Expert readers may find this format time consuming for longer publications. While this is understood</w:t>
      </w:r>
      <w:r>
        <w:t>,</w:t>
      </w:r>
      <w:r w:rsidRPr="002A7AC6">
        <w:t xml:space="preserve"> the legibility of pre-prepared publications and pamphlets for braille readers of only modest skills must be accommodated.</w:t>
      </w:r>
    </w:p>
    <w:p w14:paraId="7A3201F0" w14:textId="77777777" w:rsidR="00094004" w:rsidRDefault="00094004" w:rsidP="00D109DA">
      <w:pPr>
        <w:pStyle w:val="Listparagraphbullets"/>
      </w:pPr>
      <w:r w:rsidRPr="002A7AC6">
        <w:t>Grade 1 (uncontracted) Braille should therefore be the default when materials such as pamphlets or publications are pre-prepared for the general public as it will be supplied directly on request or offered to readers of varying proficiency.</w:t>
      </w:r>
    </w:p>
    <w:p w14:paraId="6B814A32" w14:textId="77777777" w:rsidR="00094004" w:rsidRPr="002A7AC6" w:rsidRDefault="00094004" w:rsidP="00D109DA">
      <w:pPr>
        <w:pStyle w:val="Listparagraphbullets"/>
      </w:pPr>
      <w:r w:rsidRPr="002A7AC6">
        <w:t>The demographics of a particular location, for example a concentration of non-government organisations and service providers for people with vision impairments, might guide when it is appropriate to pre-produce information in braille.</w:t>
      </w:r>
    </w:p>
    <w:p w14:paraId="5A0863A9" w14:textId="77777777" w:rsidR="00094004" w:rsidRPr="002A7AC6" w:rsidRDefault="00094004" w:rsidP="00D109DA">
      <w:pPr>
        <w:pStyle w:val="Listparagraphbullets"/>
      </w:pPr>
      <w:r w:rsidRPr="002A7AC6">
        <w:t>If experienced braille readers specifically request information such as pamphlets and publications in a grade of braille other than Grade 1 (uncontracted) the information must be supplied in the requested grade.</w:t>
      </w:r>
    </w:p>
    <w:p w14:paraId="0EE44235" w14:textId="77777777" w:rsidR="00094004" w:rsidRDefault="00094004" w:rsidP="00D109DA">
      <w:pPr>
        <w:pStyle w:val="Listparagraphbullets"/>
      </w:pPr>
      <w:r w:rsidRPr="002A7AC6">
        <w:t>In some instances, passengers who have their own braille embosser may request electronic copy of the publication or pamphlet so that they can then emboss (print) it themselves in their preferred grade of braille. To enable this, an accessibly formatted electronic copy of the publication should be available.</w:t>
      </w:r>
    </w:p>
    <w:p w14:paraId="65CCAFBD" w14:textId="77777777" w:rsidR="00094004" w:rsidRDefault="00094004" w:rsidP="00094004"/>
    <w:p w14:paraId="787EC03F" w14:textId="7331DCE1" w:rsidR="00094004" w:rsidRDefault="00094004" w:rsidP="006F65FB">
      <w:pPr>
        <w:pStyle w:val="Heading3"/>
        <w:numPr>
          <w:ilvl w:val="0"/>
          <w:numId w:val="66"/>
        </w:numPr>
        <w:ind w:left="567" w:hanging="567"/>
      </w:pPr>
      <w:bookmarkStart w:id="851" w:name="_Toc127351835"/>
      <w:bookmarkStart w:id="852" w:name="_Toc130914513"/>
      <w:bookmarkStart w:id="853" w:name="_Toc140239807"/>
      <w:r>
        <w:t>Braille and tactile lettering for signage</w:t>
      </w:r>
      <w:bookmarkEnd w:id="851"/>
      <w:bookmarkEnd w:id="852"/>
      <w:bookmarkEnd w:id="853"/>
    </w:p>
    <w:p w14:paraId="31A221E1" w14:textId="77777777" w:rsidR="00094004" w:rsidRDefault="00094004" w:rsidP="00094004">
      <w:pPr>
        <w:pStyle w:val="Heading4"/>
      </w:pPr>
      <w:r>
        <w:t>Status quo</w:t>
      </w:r>
    </w:p>
    <w:p w14:paraId="33FA8B48" w14:textId="77777777" w:rsidR="00094004" w:rsidRDefault="00094004" w:rsidP="00094004">
      <w:r>
        <w:t>Transport Standards s</w:t>
      </w:r>
      <w:r w:rsidRPr="002A7AC6">
        <w:t xml:space="preserve">ection 17.6 Raised lettering or symbols or use of </w:t>
      </w:r>
      <w:r>
        <w:t>b</w:t>
      </w:r>
      <w:r w:rsidRPr="002A7AC6">
        <w:t xml:space="preserve">raille, would remain unchanged and no </w:t>
      </w:r>
      <w:r>
        <w:t>Guidance</w:t>
      </w:r>
      <w:r w:rsidRPr="002A7AC6">
        <w:t xml:space="preserve"> would be issued.</w:t>
      </w:r>
    </w:p>
    <w:p w14:paraId="2DBE1B21" w14:textId="77777777" w:rsidR="00094004" w:rsidRPr="002A7AC6" w:rsidRDefault="00094004" w:rsidP="00094004">
      <w:pPr>
        <w:ind w:left="1134" w:hanging="567"/>
        <w:rPr>
          <w:b/>
        </w:rPr>
      </w:pPr>
      <w:r w:rsidRPr="002A7AC6">
        <w:rPr>
          <w:b/>
        </w:rPr>
        <w:t>17.6</w:t>
      </w:r>
      <w:r w:rsidRPr="002A7AC6">
        <w:rPr>
          <w:b/>
        </w:rPr>
        <w:tab/>
        <w:t>Raised lettering or symbols or use of Braille</w:t>
      </w:r>
    </w:p>
    <w:p w14:paraId="71238FE3" w14:textId="77777777" w:rsidR="00094004" w:rsidRPr="002A7AC6" w:rsidRDefault="00094004" w:rsidP="00094004">
      <w:pPr>
        <w:ind w:left="1134" w:hanging="567"/>
      </w:pPr>
      <w:r w:rsidRPr="002A7AC6">
        <w:t>(1)</w:t>
      </w:r>
      <w:r w:rsidRPr="002A7AC6">
        <w:tab/>
        <w:t>If a sign incorporates raised lettering or symbols, they must be at least 0.8 millimetres above the surface of the sign.</w:t>
      </w:r>
    </w:p>
    <w:p w14:paraId="7C53DB91" w14:textId="77777777" w:rsidR="00094004" w:rsidRPr="002A7AC6" w:rsidRDefault="00094004" w:rsidP="00094004">
      <w:pPr>
        <w:ind w:left="1134" w:hanging="567"/>
      </w:pPr>
      <w:r w:rsidRPr="002A7AC6">
        <w:t>(2)</w:t>
      </w:r>
      <w:r w:rsidRPr="002A7AC6">
        <w:tab/>
        <w:t xml:space="preserve">If an operator or provider supplements a notice with </w:t>
      </w:r>
      <w:r>
        <w:t>b</w:t>
      </w:r>
      <w:r w:rsidRPr="002A7AC6">
        <w:t>raille characters, they must be placed to the left of the raised characters.</w:t>
      </w:r>
    </w:p>
    <w:p w14:paraId="381B3D4A" w14:textId="77777777" w:rsidR="00094004" w:rsidRPr="002A7AC6" w:rsidRDefault="00094004" w:rsidP="00094004">
      <w:pPr>
        <w:ind w:left="567"/>
      </w:pPr>
      <w:r w:rsidRPr="002A7AC6">
        <w:t xml:space="preserve">This </w:t>
      </w:r>
      <w:r>
        <w:t>s</w:t>
      </w:r>
      <w:r w:rsidRPr="002A7AC6">
        <w:t>ection pertains to conveyances, premises and infrastructure.</w:t>
      </w:r>
    </w:p>
    <w:p w14:paraId="080B2437" w14:textId="77777777" w:rsidR="00094004" w:rsidRDefault="00094004" w:rsidP="00094004">
      <w:pPr>
        <w:pStyle w:val="Heading5"/>
      </w:pPr>
      <w:r>
        <w:lastRenderedPageBreak/>
        <w:t>Non-regulatory option</w:t>
      </w:r>
    </w:p>
    <w:p w14:paraId="2E790DC6" w14:textId="77777777" w:rsidR="00094004" w:rsidRDefault="00094004" w:rsidP="00094004">
      <w:r w:rsidRPr="002A7AC6">
        <w:t xml:space="preserve">Guidance would be provided in the </w:t>
      </w:r>
      <w:r>
        <w:t>Transport Standards</w:t>
      </w:r>
      <w:r w:rsidRPr="002A7AC6">
        <w:t xml:space="preserve"> Guidelines and / or The Whole Journey Guide to include best practice advice on </w:t>
      </w:r>
      <w:r>
        <w:t>b</w:t>
      </w:r>
      <w:r w:rsidRPr="002A7AC6">
        <w:t>raille and tactile signage.</w:t>
      </w:r>
    </w:p>
    <w:p w14:paraId="75123CD1" w14:textId="77777777" w:rsidR="00094004" w:rsidRPr="002A7AC6" w:rsidRDefault="00094004" w:rsidP="00094004">
      <w:r w:rsidRPr="002A7AC6">
        <w:t>Specific guidance may include the following:</w:t>
      </w:r>
    </w:p>
    <w:p w14:paraId="57B42099" w14:textId="77777777" w:rsidR="00094004" w:rsidRPr="002A7AC6" w:rsidRDefault="00094004" w:rsidP="00D109DA">
      <w:pPr>
        <w:pStyle w:val="Listparagraphbullets"/>
      </w:pPr>
      <w:r w:rsidRPr="002A7AC6">
        <w:t>Tactile signage comprises raised text and symbols that can be useful for people who are blind or have low vision. Similarly, braille when provided on signs is a touch reading system that can convey information in a user’s preferred format. It is best practice to provide both elements on signage.</w:t>
      </w:r>
    </w:p>
    <w:p w14:paraId="34538565" w14:textId="77777777" w:rsidR="00094004" w:rsidRPr="002A7AC6" w:rsidRDefault="00094004" w:rsidP="00D109DA">
      <w:pPr>
        <w:pStyle w:val="Listparagraphbullets"/>
      </w:pPr>
      <w:r w:rsidRPr="002A7AC6">
        <w:t>Signs should be designed and provided in a consistent way and in a location that makes them functional for the reader.</w:t>
      </w:r>
    </w:p>
    <w:p w14:paraId="0331382E" w14:textId="77777777" w:rsidR="00094004" w:rsidRPr="002A7AC6" w:rsidRDefault="00094004" w:rsidP="00D109DA">
      <w:pPr>
        <w:pStyle w:val="Listparagraphbullets"/>
      </w:pPr>
      <w:r w:rsidRPr="002A7AC6">
        <w:t>Messaging on signs when provided in braille should consider critical information for the reader rather than a direct translation of text. This ensures information is succinct and provides the reader with clear instruction or information.</w:t>
      </w:r>
    </w:p>
    <w:p w14:paraId="1244F0F0" w14:textId="77777777" w:rsidR="00094004" w:rsidRDefault="00094004" w:rsidP="00D109DA">
      <w:pPr>
        <w:pStyle w:val="Listparagraphbullets"/>
      </w:pPr>
      <w:r w:rsidRPr="002A7AC6">
        <w:t>Labels are often used with braille and tactile information. They should be located adjacent to the component or device they relate to, to provide information in the most appropriate location for the customer to read and use.</w:t>
      </w:r>
    </w:p>
    <w:p w14:paraId="79DBF1D1" w14:textId="77777777" w:rsidR="00094004" w:rsidRPr="002A7AC6" w:rsidRDefault="00094004" w:rsidP="00D109DA">
      <w:pPr>
        <w:pStyle w:val="Listparagraphbullets"/>
      </w:pPr>
      <w:r w:rsidRPr="002A7AC6">
        <w:t>Braille and tactile signs should closely align to the requirements of the Premises Standards. Some of the key considerations include:</w:t>
      </w:r>
    </w:p>
    <w:p w14:paraId="05D8CC7A" w14:textId="77777777" w:rsidR="00094004" w:rsidRPr="002A7AC6" w:rsidRDefault="00094004" w:rsidP="00D109DA">
      <w:pPr>
        <w:pStyle w:val="Listparagraphbullets"/>
      </w:pPr>
      <w:r w:rsidRPr="002A7AC6">
        <w:t>Braille and tactile components should be located between 1200 millimetres and 1600 millimetres above the ground or floor surface.</w:t>
      </w:r>
    </w:p>
    <w:p w14:paraId="69290703" w14:textId="77777777" w:rsidR="00094004" w:rsidRPr="002A7AC6" w:rsidRDefault="00094004" w:rsidP="00D109DA">
      <w:pPr>
        <w:pStyle w:val="Listparagraphbullets"/>
      </w:pPr>
      <w:r>
        <w:t>S</w:t>
      </w:r>
      <w:r w:rsidRPr="002A7AC6">
        <w:t>igns should have good luminance contrast between elements and the background surface and be located in places that are well lit.</w:t>
      </w:r>
    </w:p>
    <w:p w14:paraId="65FEDBC0" w14:textId="77777777" w:rsidR="00094004" w:rsidRPr="002A7AC6" w:rsidRDefault="00094004" w:rsidP="00D109DA">
      <w:pPr>
        <w:pStyle w:val="Listparagraphbullets"/>
      </w:pPr>
      <w:r>
        <w:t>A</w:t>
      </w:r>
      <w:r w:rsidRPr="002A7AC6">
        <w:t>n equivalent message in braille should be provided to that in text or written information including pictograms on signs.</w:t>
      </w:r>
    </w:p>
    <w:p w14:paraId="7D413089" w14:textId="77777777" w:rsidR="00094004" w:rsidRPr="002A7AC6" w:rsidRDefault="00094004" w:rsidP="00D109DA">
      <w:pPr>
        <w:pStyle w:val="Listparagraphbullets"/>
      </w:pPr>
      <w:r w:rsidRPr="002A7AC6">
        <w:t xml:space="preserve">Braille should be Grade 1 Braille (uncontracted) in accordance with the criteria set out by the Australian Braille Authority and in sentence case so it can be read by the greatest cohort of braille </w:t>
      </w:r>
      <w:r>
        <w:t>passengers</w:t>
      </w:r>
      <w:r w:rsidRPr="002A7AC6">
        <w:t>.</w:t>
      </w:r>
    </w:p>
    <w:p w14:paraId="48EFE52A" w14:textId="77777777" w:rsidR="00094004" w:rsidRPr="002A7AC6" w:rsidRDefault="00094004" w:rsidP="00D109DA">
      <w:pPr>
        <w:pStyle w:val="Listparagraphbullets"/>
      </w:pPr>
      <w:r w:rsidRPr="002A7AC6">
        <w:t>Braille should be located 8 millimetres below the bottom line of text (not including descenders) and be left justified.</w:t>
      </w:r>
    </w:p>
    <w:p w14:paraId="36375D97" w14:textId="77777777" w:rsidR="00094004" w:rsidRPr="002A7AC6" w:rsidRDefault="00094004" w:rsidP="00D109DA">
      <w:pPr>
        <w:pStyle w:val="Listparagraphbullets"/>
      </w:pPr>
      <w:r w:rsidRPr="002A7AC6">
        <w:t>Where an arrow is used in the tactile sign, a solid arrow should be provided for braille readers.</w:t>
      </w:r>
    </w:p>
    <w:p w14:paraId="050E41D3" w14:textId="77777777" w:rsidR="00094004" w:rsidRPr="002A7AC6" w:rsidRDefault="00094004" w:rsidP="00D109DA">
      <w:pPr>
        <w:pStyle w:val="Listparagraphbullets"/>
      </w:pPr>
      <w:r w:rsidRPr="002A7AC6">
        <w:t>On signs with multiple lines of text and characters, a semicircular braille locator at the left margin should be horizontally aligned with the first line of braille text.</w:t>
      </w:r>
    </w:p>
    <w:p w14:paraId="0EFFF893" w14:textId="77777777" w:rsidR="00094004" w:rsidRPr="002A7AC6" w:rsidRDefault="00094004" w:rsidP="00D109DA">
      <w:pPr>
        <w:pStyle w:val="Listparagraphbullets"/>
      </w:pPr>
      <w:r w:rsidRPr="002A7AC6">
        <w:t>Tactile characters should be raised or embossed to a height between 1 m</w:t>
      </w:r>
      <w:r>
        <w:t>illimetre and 1.5 millimetres.</w:t>
      </w:r>
    </w:p>
    <w:p w14:paraId="0CEFC65E" w14:textId="77777777" w:rsidR="00094004" w:rsidRPr="002A7AC6" w:rsidRDefault="00094004" w:rsidP="00D109DA">
      <w:pPr>
        <w:pStyle w:val="Listparagraphbullets"/>
      </w:pPr>
      <w:r w:rsidRPr="002A7AC6">
        <w:t>Title case should be used with upper case tactile characters, height between 15 millimetres and 55 millimetres and lower case being half the upper character height.</w:t>
      </w:r>
    </w:p>
    <w:p w14:paraId="6599C901" w14:textId="77777777" w:rsidR="00094004" w:rsidRPr="002A7AC6" w:rsidRDefault="00094004" w:rsidP="00D109DA">
      <w:pPr>
        <w:pStyle w:val="Listparagraphbullets"/>
      </w:pPr>
      <w:r w:rsidRPr="002A7AC6">
        <w:t>The spacing of tactile characters on signs should be 2 millimetres with words spaced 10 millimetres.</w:t>
      </w:r>
    </w:p>
    <w:p w14:paraId="57C128CB" w14:textId="77777777" w:rsidR="00094004" w:rsidRPr="002A7AC6" w:rsidRDefault="00094004" w:rsidP="00D109DA">
      <w:pPr>
        <w:pStyle w:val="Listparagraphbullets"/>
      </w:pPr>
      <w:r w:rsidRPr="002A7AC6">
        <w:t>The thickness of letter strokes should be between 2 millimetres and 7 millimetres.</w:t>
      </w:r>
    </w:p>
    <w:p w14:paraId="2846D022" w14:textId="77777777" w:rsidR="00094004" w:rsidRPr="002A7AC6" w:rsidRDefault="00094004" w:rsidP="00D109DA">
      <w:pPr>
        <w:pStyle w:val="Listparagraphbullets"/>
      </w:pPr>
      <w:r w:rsidRPr="002A7AC6">
        <w:t xml:space="preserve">Tactile text should be </w:t>
      </w:r>
      <w:r>
        <w:t>Sans S</w:t>
      </w:r>
      <w:r w:rsidRPr="002A7AC6">
        <w:t>erif typeface such as Arial.</w:t>
      </w:r>
    </w:p>
    <w:p w14:paraId="3FAB80C4" w14:textId="77777777" w:rsidR="00094004" w:rsidRPr="002A7AC6" w:rsidRDefault="00094004" w:rsidP="00D109DA">
      <w:pPr>
        <w:pStyle w:val="Listparagraphbullets"/>
      </w:pPr>
      <w:r w:rsidRPr="002A7AC6">
        <w:t>In some circumstances locations of signs may need to fall out of the zones outlined above. Similarly, design elements s</w:t>
      </w:r>
      <w:r>
        <w:t>uch as the use of uncontracted b</w:t>
      </w:r>
      <w:r w:rsidRPr="002A7AC6">
        <w:t>raille in some situations may not be achievable or appropriate. It is important that consultation with people with disability should be considered to identify the most appropriate placement and design solutions when there is a need</w:t>
      </w:r>
      <w:r>
        <w:t xml:space="preserve"> to deviate from best practice.</w:t>
      </w:r>
    </w:p>
    <w:p w14:paraId="3177C5EE" w14:textId="77777777" w:rsidR="00094004" w:rsidRDefault="00094004" w:rsidP="00094004">
      <w:pPr>
        <w:pStyle w:val="Heading5"/>
      </w:pPr>
      <w:r>
        <w:lastRenderedPageBreak/>
        <w:t>Regulatory option</w:t>
      </w:r>
    </w:p>
    <w:p w14:paraId="5AF1166C" w14:textId="77777777" w:rsidR="00094004" w:rsidRPr="002A7AC6" w:rsidRDefault="00094004" w:rsidP="00094004">
      <w:r>
        <w:t>Transport Standards s</w:t>
      </w:r>
      <w:r w:rsidRPr="002A7AC6">
        <w:t xml:space="preserve">ection 17.6 </w:t>
      </w:r>
      <w:r>
        <w:t xml:space="preserve">Raised lettering or symbols or use of braille, </w:t>
      </w:r>
      <w:r w:rsidRPr="002A7AC6">
        <w:t>would be removed and replaced with new requirements for braille and tactile design.</w:t>
      </w:r>
    </w:p>
    <w:p w14:paraId="6DF61AB4" w14:textId="77777777" w:rsidR="00094004" w:rsidRPr="002A7AC6" w:rsidRDefault="00094004" w:rsidP="00094004">
      <w:r w:rsidRPr="002A7AC6">
        <w:t xml:space="preserve">New requirements in the </w:t>
      </w:r>
      <w:r>
        <w:t>Transport Standards</w:t>
      </w:r>
      <w:r w:rsidRPr="002A7AC6">
        <w:t xml:space="preserve"> would include:</w:t>
      </w:r>
    </w:p>
    <w:p w14:paraId="156B53B2" w14:textId="77777777" w:rsidR="00094004" w:rsidRPr="002A7AC6" w:rsidRDefault="00094004" w:rsidP="00094004">
      <w:pPr>
        <w:pStyle w:val="Heading6"/>
      </w:pPr>
      <w:r w:rsidRPr="002A7AC6">
        <w:t>Braille and tactile signs</w:t>
      </w:r>
    </w:p>
    <w:p w14:paraId="51768125" w14:textId="77777777" w:rsidR="00094004" w:rsidRPr="002A7AC6" w:rsidRDefault="00094004" w:rsidP="00094004">
      <w:r w:rsidRPr="002A7AC6">
        <w:t xml:space="preserve">Where a braille and tactile sign is provided that is not required under Part D3.6 of the Premises Standards or covered under another specific provision within the </w:t>
      </w:r>
      <w:r>
        <w:t>Transport Standards</w:t>
      </w:r>
      <w:r w:rsidRPr="002A7AC6">
        <w:t>, it must comply with the following:</w:t>
      </w:r>
    </w:p>
    <w:p w14:paraId="4A454C19" w14:textId="77777777" w:rsidR="00094004" w:rsidRPr="002A7AC6" w:rsidRDefault="00094004" w:rsidP="00D109DA">
      <w:pPr>
        <w:pStyle w:val="Listparagraphbullets"/>
      </w:pPr>
      <w:r w:rsidRPr="002A7AC6">
        <w:t xml:space="preserve">Braille where provided on signs must meet the requirements for braille design requirements (listed </w:t>
      </w:r>
      <w:r>
        <w:t>below</w:t>
      </w:r>
      <w:r w:rsidRPr="002A7AC6">
        <w:t>)</w:t>
      </w:r>
      <w:r>
        <w:t>.</w:t>
      </w:r>
    </w:p>
    <w:p w14:paraId="5F8524E3" w14:textId="77777777" w:rsidR="00094004" w:rsidRPr="002A7AC6" w:rsidRDefault="00094004" w:rsidP="00D109DA">
      <w:pPr>
        <w:pStyle w:val="Listparagraphbullets"/>
      </w:pPr>
      <w:r w:rsidRPr="002A7AC6">
        <w:t>Tactile elements where provided on signs must meet the requirements for tacti</w:t>
      </w:r>
      <w:r>
        <w:t>le design requirements (listed below</w:t>
      </w:r>
      <w:r w:rsidRPr="002A7AC6">
        <w:t>)</w:t>
      </w:r>
      <w:r>
        <w:t>.</w:t>
      </w:r>
    </w:p>
    <w:p w14:paraId="11E4EF16" w14:textId="77777777" w:rsidR="00094004" w:rsidRPr="002A7AC6" w:rsidRDefault="00094004" w:rsidP="00D109DA">
      <w:pPr>
        <w:pStyle w:val="Listparagraphbullets"/>
      </w:pPr>
      <w:r w:rsidRPr="002A7AC6">
        <w:t>The entire sign, including any frame, must have all edges rounded.</w:t>
      </w:r>
    </w:p>
    <w:p w14:paraId="16B4D192" w14:textId="77777777" w:rsidR="00094004" w:rsidRPr="002A7AC6" w:rsidRDefault="00094004" w:rsidP="00D109DA">
      <w:pPr>
        <w:pStyle w:val="Listparagraphbullets"/>
      </w:pPr>
      <w:r w:rsidRPr="002A7AC6">
        <w:t>Braille and tactile elements on signs must be located not less than 1200 millimetres and not higher than 1600 millimetres above the ground or floor surface.</w:t>
      </w:r>
    </w:p>
    <w:p w14:paraId="31D898D2" w14:textId="77777777" w:rsidR="00094004" w:rsidRPr="002A7AC6" w:rsidRDefault="00094004" w:rsidP="00D109DA">
      <w:pPr>
        <w:pStyle w:val="Listparagraphbullets"/>
      </w:pPr>
      <w:r w:rsidRPr="002A7AC6">
        <w:t>Braille messaging shall be comparable to that in text or written information including pictograms.</w:t>
      </w:r>
    </w:p>
    <w:p w14:paraId="5D6B6E67" w14:textId="77777777" w:rsidR="00094004" w:rsidRPr="002A7AC6" w:rsidRDefault="00094004" w:rsidP="00D109DA">
      <w:pPr>
        <w:pStyle w:val="Listparagraphbullets"/>
      </w:pPr>
      <w:r w:rsidRPr="002A7AC6">
        <w:t>The background, negative space or fill of signs must be of matt</w:t>
      </w:r>
      <w:r>
        <w:t>e</w:t>
      </w:r>
      <w:r w:rsidRPr="002A7AC6">
        <w:t xml:space="preserve"> or low sheen finish.</w:t>
      </w:r>
    </w:p>
    <w:p w14:paraId="7D775582" w14:textId="77777777" w:rsidR="00094004" w:rsidRPr="002A7AC6" w:rsidRDefault="00094004" w:rsidP="00D109DA">
      <w:pPr>
        <w:pStyle w:val="Listparagraphbullets"/>
      </w:pPr>
      <w:r w:rsidRPr="002A7AC6">
        <w:t>The characters, symbols, logos and other features on signs must be matt</w:t>
      </w:r>
      <w:r>
        <w:t>e</w:t>
      </w:r>
      <w:r w:rsidRPr="002A7AC6">
        <w:t xml:space="preserve"> or low sheen finish.</w:t>
      </w:r>
    </w:p>
    <w:p w14:paraId="6618523D" w14:textId="77777777" w:rsidR="00094004" w:rsidRDefault="00094004" w:rsidP="00D109DA">
      <w:pPr>
        <w:pStyle w:val="Listparagraphbullets"/>
      </w:pPr>
      <w:r w:rsidRPr="002A7AC6">
        <w:t xml:space="preserve">The background, negative space, </w:t>
      </w:r>
      <w:r>
        <w:t xml:space="preserve">and </w:t>
      </w:r>
      <w:r w:rsidRPr="002A7AC6">
        <w:t>fill of a sign or border with a minimum width of 5 millimetres must have a luminance contrast with the surface on which it is mounted of not less than 30 per cent.</w:t>
      </w:r>
    </w:p>
    <w:p w14:paraId="4E17CB4C" w14:textId="77777777" w:rsidR="00094004" w:rsidRPr="002A7AC6" w:rsidRDefault="00094004" w:rsidP="00094004">
      <w:r w:rsidRPr="002A7AC6">
        <w:t>These requirements would apply to conveyances, infrastructure and premises (except premises to which the Premises Standards apply).</w:t>
      </w:r>
    </w:p>
    <w:p w14:paraId="01DEF3FC" w14:textId="77777777" w:rsidR="00094004" w:rsidRPr="002A7AC6" w:rsidRDefault="00094004" w:rsidP="00094004">
      <w:pPr>
        <w:pStyle w:val="Heading6"/>
      </w:pPr>
      <w:r w:rsidRPr="002A7AC6">
        <w:t>Braille design requirements</w:t>
      </w:r>
    </w:p>
    <w:p w14:paraId="6142C810" w14:textId="77777777" w:rsidR="00094004" w:rsidRPr="002A7AC6" w:rsidRDefault="00094004" w:rsidP="00D109DA">
      <w:pPr>
        <w:pStyle w:val="Listparagraphbullets"/>
      </w:pPr>
      <w:r w:rsidRPr="002A7AC6">
        <w:t>Braille must be in accordance with the criteria set out by the Australian Braille Authority</w:t>
      </w:r>
      <w:r>
        <w:t>.</w:t>
      </w:r>
    </w:p>
    <w:p w14:paraId="5A01EC86" w14:textId="77777777" w:rsidR="00094004" w:rsidRPr="002A7AC6" w:rsidRDefault="00094004" w:rsidP="00D109DA">
      <w:pPr>
        <w:pStyle w:val="Listparagraphbullets"/>
      </w:pPr>
      <w:r w:rsidRPr="002A7AC6">
        <w:t>Braille must be Grade 1 Braille (uncontracted)</w:t>
      </w:r>
      <w:r>
        <w:t>.</w:t>
      </w:r>
    </w:p>
    <w:p w14:paraId="16DBB1F0" w14:textId="77777777" w:rsidR="00094004" w:rsidRPr="002A7AC6" w:rsidRDefault="00094004" w:rsidP="00D109DA">
      <w:pPr>
        <w:pStyle w:val="Listparagraphbullets"/>
      </w:pPr>
      <w:r>
        <w:t>Braille shall be in s</w:t>
      </w:r>
      <w:r w:rsidRPr="002A7AC6">
        <w:t>entence case</w:t>
      </w:r>
      <w:r>
        <w:t>.</w:t>
      </w:r>
    </w:p>
    <w:p w14:paraId="05461530" w14:textId="77777777" w:rsidR="00094004" w:rsidRPr="002A7AC6" w:rsidRDefault="00094004" w:rsidP="00D109DA">
      <w:pPr>
        <w:pStyle w:val="Listparagraphbullets"/>
      </w:pPr>
      <w:r w:rsidRPr="002A7AC6">
        <w:t>Braille must be located 8 millimetres below the bottom line of text (not including descenders)</w:t>
      </w:r>
      <w:r>
        <w:t>.</w:t>
      </w:r>
    </w:p>
    <w:p w14:paraId="6CA79379" w14:textId="77777777" w:rsidR="00094004" w:rsidRPr="002A7AC6" w:rsidRDefault="00094004" w:rsidP="00D109DA">
      <w:pPr>
        <w:pStyle w:val="Listparagraphbullets"/>
      </w:pPr>
      <w:r w:rsidRPr="002A7AC6">
        <w:t>Braille must be left justified</w:t>
      </w:r>
      <w:r>
        <w:t>.</w:t>
      </w:r>
    </w:p>
    <w:p w14:paraId="73D17C45" w14:textId="77777777" w:rsidR="00094004" w:rsidRPr="002A7AC6" w:rsidRDefault="00094004" w:rsidP="00D109DA">
      <w:pPr>
        <w:pStyle w:val="Listparagraphbullets"/>
      </w:pPr>
      <w:r w:rsidRPr="002A7AC6">
        <w:t>Where an arrow is used in the tactile sign, a solid arrow must be provided for braille readers</w:t>
      </w:r>
      <w:r>
        <w:t>.</w:t>
      </w:r>
    </w:p>
    <w:p w14:paraId="469951E3" w14:textId="77777777" w:rsidR="00094004" w:rsidRDefault="00094004" w:rsidP="00D109DA">
      <w:pPr>
        <w:pStyle w:val="Listparagraphbullets"/>
      </w:pPr>
      <w:r w:rsidRPr="002A7AC6">
        <w:t>On signs with multiple lines of text and characters, a semicircular braille locator at the left margin must be horizontally aligned with the first line of braille text.</w:t>
      </w:r>
    </w:p>
    <w:p w14:paraId="02E73DD2" w14:textId="77777777" w:rsidR="00094004" w:rsidRPr="002A7AC6" w:rsidRDefault="00094004" w:rsidP="00D109DA">
      <w:pPr>
        <w:pStyle w:val="Listparagraphbullets"/>
      </w:pPr>
      <w:r w:rsidRPr="002A7AC6">
        <w:t>Braille shall be provided in the same orientation as visual elements of the sign.</w:t>
      </w:r>
    </w:p>
    <w:p w14:paraId="7C3B5848" w14:textId="77777777" w:rsidR="00094004" w:rsidRPr="002A7AC6" w:rsidRDefault="00094004" w:rsidP="00094004">
      <w:r w:rsidRPr="002A7AC6">
        <w:t>These requirements would apply to conveyances, infrastructure and premises (except premises to which the Premises Standards apply).</w:t>
      </w:r>
    </w:p>
    <w:p w14:paraId="0BB6CECD" w14:textId="77777777" w:rsidR="00094004" w:rsidRPr="002A7AC6" w:rsidRDefault="00094004" w:rsidP="00094004">
      <w:pPr>
        <w:pStyle w:val="Heading6"/>
      </w:pPr>
      <w:r w:rsidRPr="002A7AC6">
        <w:t>Tactile design requirements</w:t>
      </w:r>
    </w:p>
    <w:p w14:paraId="7F2856A0" w14:textId="77777777" w:rsidR="00094004" w:rsidRPr="002A7AC6" w:rsidRDefault="00094004" w:rsidP="00D109DA">
      <w:pPr>
        <w:pStyle w:val="Listparagraphbullets"/>
      </w:pPr>
      <w:r w:rsidRPr="002A7AC6">
        <w:t>Tactile characters must be raised or embossed to a height of not less than 1 millimetre and not more than 1.5 millimetres.</w:t>
      </w:r>
    </w:p>
    <w:p w14:paraId="49903541" w14:textId="77777777" w:rsidR="00094004" w:rsidRPr="002A7AC6" w:rsidRDefault="00094004" w:rsidP="00D109DA">
      <w:pPr>
        <w:pStyle w:val="Listparagraphbullets"/>
      </w:pPr>
      <w:r w:rsidRPr="002A7AC6">
        <w:t>Title case must be used for all tactile characters, as well as:</w:t>
      </w:r>
    </w:p>
    <w:p w14:paraId="3C57E5A4" w14:textId="77777777" w:rsidR="00094004" w:rsidRDefault="00094004" w:rsidP="00D109DA">
      <w:pPr>
        <w:pStyle w:val="Listparagraphbullets"/>
      </w:pPr>
      <w:r w:rsidRPr="002A7AC6">
        <w:t>upper case tactile characters must have a height of not less than 15 millimetres and not more than 55 millimetres</w:t>
      </w:r>
    </w:p>
    <w:p w14:paraId="1311950E" w14:textId="77777777" w:rsidR="00094004" w:rsidRPr="002A7AC6" w:rsidRDefault="00094004" w:rsidP="00D109DA">
      <w:pPr>
        <w:pStyle w:val="Listparagraphbullets"/>
      </w:pPr>
      <w:r w:rsidRPr="002A7AC6">
        <w:t>lower case tactile characters must have a minimum height of 50 per cent of the related upper-case characters.</w:t>
      </w:r>
    </w:p>
    <w:p w14:paraId="248FF0B6" w14:textId="77777777" w:rsidR="00094004" w:rsidRPr="002A7AC6" w:rsidRDefault="00094004" w:rsidP="00D109DA">
      <w:pPr>
        <w:pStyle w:val="Listparagraphbullets"/>
      </w:pPr>
      <w:r w:rsidRPr="002A7AC6">
        <w:lastRenderedPageBreak/>
        <w:t>Tactile characters, symbols, and the like, must have rounded edges.</w:t>
      </w:r>
    </w:p>
    <w:p w14:paraId="4112398E" w14:textId="77777777" w:rsidR="00094004" w:rsidRPr="002A7AC6" w:rsidRDefault="00094004" w:rsidP="00D109DA">
      <w:pPr>
        <w:pStyle w:val="Listparagraphbullets"/>
      </w:pPr>
      <w:r w:rsidRPr="002A7AC6">
        <w:t>The minimum letter spacing of tactile characters on signs must be 2 millimetres.</w:t>
      </w:r>
    </w:p>
    <w:p w14:paraId="7336C257" w14:textId="77777777" w:rsidR="00094004" w:rsidRPr="002A7AC6" w:rsidRDefault="00094004" w:rsidP="00D109DA">
      <w:pPr>
        <w:pStyle w:val="Listparagraphbullets"/>
      </w:pPr>
      <w:r w:rsidRPr="002A7AC6">
        <w:t>The minimum word spacing of tactile characters on signs must be 10 millimetres.</w:t>
      </w:r>
    </w:p>
    <w:p w14:paraId="16CA87EF" w14:textId="77777777" w:rsidR="00094004" w:rsidRPr="002A7AC6" w:rsidRDefault="00094004" w:rsidP="00D109DA">
      <w:pPr>
        <w:pStyle w:val="Listparagraphbullets"/>
      </w:pPr>
      <w:r w:rsidRPr="002A7AC6">
        <w:t xml:space="preserve">The thickness of letter strokes must be not less than 2 </w:t>
      </w:r>
      <w:r>
        <w:t>millimetres and not more than 7 </w:t>
      </w:r>
      <w:r w:rsidRPr="002A7AC6">
        <w:t>millimetres.</w:t>
      </w:r>
    </w:p>
    <w:p w14:paraId="72CD86E8" w14:textId="77777777" w:rsidR="00094004" w:rsidRPr="002A7AC6" w:rsidRDefault="00094004" w:rsidP="00D109DA">
      <w:pPr>
        <w:pStyle w:val="Listparagraphbullets"/>
      </w:pPr>
      <w:r w:rsidRPr="002A7AC6">
        <w:t>Tactile text must be left justified, except that single words may be centre justified.</w:t>
      </w:r>
    </w:p>
    <w:p w14:paraId="51BD5D21" w14:textId="77777777" w:rsidR="00094004" w:rsidRPr="002A7AC6" w:rsidRDefault="00094004" w:rsidP="00D109DA">
      <w:pPr>
        <w:pStyle w:val="Listparagraphbullets"/>
      </w:pPr>
      <w:r>
        <w:t>Tactile text must be Sans S</w:t>
      </w:r>
      <w:r w:rsidRPr="002A7AC6">
        <w:t>erif typeface.</w:t>
      </w:r>
    </w:p>
    <w:p w14:paraId="68AA95B9" w14:textId="77777777" w:rsidR="00094004" w:rsidRPr="002A7AC6" w:rsidRDefault="00094004" w:rsidP="00D109DA">
      <w:pPr>
        <w:pStyle w:val="Listparagraphbullets"/>
      </w:pPr>
      <w:r w:rsidRPr="002A7AC6">
        <w:t>Tactile characters, icons and symbols must have a minimum luminance contrast of 30 per cent to the surface on which the characters are mounted.</w:t>
      </w:r>
    </w:p>
    <w:p w14:paraId="733ED922" w14:textId="77777777" w:rsidR="00094004" w:rsidRPr="002A7AC6" w:rsidRDefault="00094004" w:rsidP="00094004">
      <w:r w:rsidRPr="002A7AC6">
        <w:t>These requirements would apply to conveyances, infrastructure and premises (except premises to which the Premises Standards apply).</w:t>
      </w:r>
    </w:p>
    <w:p w14:paraId="4D1CE204" w14:textId="77777777" w:rsidR="00094004" w:rsidRPr="002A7AC6" w:rsidRDefault="00094004" w:rsidP="00094004">
      <w:pPr>
        <w:pStyle w:val="Heading6"/>
      </w:pPr>
      <w:r w:rsidRPr="002A7AC6">
        <w:t>Braille and tactile labels</w:t>
      </w:r>
    </w:p>
    <w:p w14:paraId="6817863F" w14:textId="77777777" w:rsidR="00094004" w:rsidRPr="002A7AC6" w:rsidRDefault="00094004" w:rsidP="00094004">
      <w:r w:rsidRPr="002A7AC6">
        <w:t>Braille and tactile labels may be provided to assist with use of devices or components. If provided, it must comply with the following:</w:t>
      </w:r>
    </w:p>
    <w:p w14:paraId="69861413" w14:textId="77777777" w:rsidR="00094004" w:rsidRPr="002A7AC6" w:rsidRDefault="00094004" w:rsidP="00D109DA">
      <w:pPr>
        <w:pStyle w:val="Listparagraphbullets"/>
      </w:pPr>
      <w:r>
        <w:t>W</w:t>
      </w:r>
      <w:r w:rsidRPr="00FD691D">
        <w:t>here braille and tactile elements are used to label components</w:t>
      </w:r>
      <w:r>
        <w:t>, the requirements above of</w:t>
      </w:r>
      <w:r w:rsidRPr="00FD691D">
        <w:t xml:space="preserve"> Braille and tactile signs</w:t>
      </w:r>
      <w:r>
        <w:t xml:space="preserve">, </w:t>
      </w:r>
      <w:r w:rsidRPr="00FD691D">
        <w:t>Braille design requirements</w:t>
      </w:r>
      <w:r>
        <w:t xml:space="preserve">, and </w:t>
      </w:r>
      <w:r w:rsidRPr="00FD691D">
        <w:t>Tactile design requirements</w:t>
      </w:r>
      <w:r>
        <w:t xml:space="preserve">, </w:t>
      </w:r>
      <w:r w:rsidRPr="00FD691D">
        <w:t>apply with the following exclusions</w:t>
      </w:r>
      <w:r w:rsidRPr="002A7AC6">
        <w:t>:</w:t>
      </w:r>
    </w:p>
    <w:p w14:paraId="57BCFA09" w14:textId="77777777" w:rsidR="00094004" w:rsidRPr="002A7AC6" w:rsidRDefault="00094004" w:rsidP="00D109DA">
      <w:pPr>
        <w:pStyle w:val="Listparagraphbullets"/>
      </w:pPr>
      <w:r w:rsidRPr="002A7AC6">
        <w:t>The entire sign, including any frame, must have all edges rounded.</w:t>
      </w:r>
    </w:p>
    <w:p w14:paraId="07D12302" w14:textId="77777777" w:rsidR="00094004" w:rsidRPr="002A7AC6" w:rsidRDefault="00094004" w:rsidP="00D109DA">
      <w:pPr>
        <w:pStyle w:val="Listparagraphbullets"/>
      </w:pPr>
      <w:r w:rsidRPr="002A7AC6">
        <w:t>Braille and tactile elements on signs must be located not less than 1200 millimetres and not higher than 1600 millimetres above the ground or floor surface.</w:t>
      </w:r>
    </w:p>
    <w:p w14:paraId="7D38C13D" w14:textId="77777777" w:rsidR="00094004" w:rsidRPr="002A7AC6" w:rsidRDefault="00094004" w:rsidP="00D109DA">
      <w:pPr>
        <w:pStyle w:val="Listparagraphbullets"/>
      </w:pPr>
      <w:r w:rsidRPr="002A7AC6">
        <w:t>The background, negative space, fill of a sign or border with a minimum width of five millimetres must have a luminance contrast with the surfa</w:t>
      </w:r>
      <w:r>
        <w:t>ce on which it is mounted of not</w:t>
      </w:r>
      <w:r w:rsidRPr="002A7AC6">
        <w:t xml:space="preserve"> less than 30 per cent.</w:t>
      </w:r>
    </w:p>
    <w:p w14:paraId="055A463D" w14:textId="77777777" w:rsidR="00094004" w:rsidRDefault="00094004" w:rsidP="00D109DA">
      <w:pPr>
        <w:pStyle w:val="Listparagraphbullets"/>
      </w:pPr>
      <w:r w:rsidRPr="002A7AC6">
        <w:t>Where both braille and tactile elements are produced on the same label, braille character can be provided at a height maximum of one millimetre.</w:t>
      </w:r>
    </w:p>
    <w:p w14:paraId="7345360C" w14:textId="77777777" w:rsidR="00094004" w:rsidRPr="00D67F03" w:rsidRDefault="00094004" w:rsidP="00094004">
      <w:pPr>
        <w:rPr>
          <w:rFonts w:cstheme="minorHAnsi"/>
          <w:b/>
        </w:rPr>
      </w:pPr>
      <w:r w:rsidRPr="002A7AC6">
        <w:t>These requirements would apply to conveyances, infrastructure and premises (except premises to which the Premises Standards apply).</w:t>
      </w:r>
    </w:p>
    <w:p w14:paraId="41376AC9" w14:textId="77777777" w:rsidR="00094004" w:rsidRPr="002A7AC6" w:rsidRDefault="00094004" w:rsidP="00094004">
      <w:pPr>
        <w:keepNext/>
      </w:pPr>
      <w:r w:rsidRPr="002A7AC6">
        <w:t xml:space="preserve">The </w:t>
      </w:r>
      <w:r>
        <w:t>Transport Standards</w:t>
      </w:r>
      <w:r w:rsidRPr="002A7AC6">
        <w:t xml:space="preserve"> Guidelines would be updated to reflect new requirements. </w:t>
      </w:r>
      <w:r>
        <w:t>Specific guidance may include:</w:t>
      </w:r>
    </w:p>
    <w:p w14:paraId="060887C0" w14:textId="77777777" w:rsidR="00094004" w:rsidRPr="002A7AC6" w:rsidRDefault="00094004" w:rsidP="00D109DA">
      <w:pPr>
        <w:pStyle w:val="Listparagraphbullets"/>
      </w:pPr>
      <w:r w:rsidRPr="002A7AC6">
        <w:t xml:space="preserve">The benefits of uncontracted braille as the preference as it accommodates more </w:t>
      </w:r>
      <w:r>
        <w:t>passengers</w:t>
      </w:r>
      <w:r w:rsidRPr="002A7AC6">
        <w:t xml:space="preserve"> being the simplest form to comprehend.</w:t>
      </w:r>
    </w:p>
    <w:p w14:paraId="104C855A" w14:textId="77777777" w:rsidR="00094004" w:rsidRPr="002A7AC6" w:rsidRDefault="00094004" w:rsidP="00D109DA">
      <w:pPr>
        <w:pStyle w:val="Listparagraphbullets"/>
      </w:pPr>
      <w:r w:rsidRPr="002A7AC6">
        <w:t>Messaging on signs when provided in braille should consider critical information for the reader rather than a direct translation of text. This ensures information is succinct and provides the reader with clear instruction or information.</w:t>
      </w:r>
    </w:p>
    <w:p w14:paraId="62A494CD" w14:textId="77777777" w:rsidR="00094004" w:rsidRDefault="00094004" w:rsidP="00D109DA">
      <w:pPr>
        <w:pStyle w:val="Listparagraphbullets"/>
      </w:pPr>
      <w:r w:rsidRPr="002A7AC6">
        <w:t>The types of signs that may be considered as appropriate to be provided in braille and tactile.</w:t>
      </w:r>
    </w:p>
    <w:p w14:paraId="5EED64C5" w14:textId="77777777" w:rsidR="00094004" w:rsidRDefault="00094004" w:rsidP="00D109DA">
      <w:pPr>
        <w:pStyle w:val="Listparagraphbullets"/>
      </w:pPr>
      <w:r w:rsidRPr="002A7AC6">
        <w:t>For greater customer benefit and consistency, signs should be available in braille and tactile format where there is feature such as accessible toilets or where there is a critical facility that requires identification for example an information point.</w:t>
      </w:r>
    </w:p>
    <w:p w14:paraId="543FD3C6" w14:textId="77777777" w:rsidR="00094004" w:rsidRPr="002A7AC6" w:rsidRDefault="00094004" w:rsidP="00D109DA">
      <w:pPr>
        <w:pStyle w:val="Listparagraphbullets"/>
      </w:pPr>
      <w:r w:rsidRPr="002A7AC6">
        <w:t xml:space="preserve">Additional guidance on where it may be practicable to use contracted versus uncontracted braille. Longer text for instructions may warrant the use of an equivalent access provision to provide information in a contracted braille format. This may particularly be the case if time sensitivity is critical in receiving the information, such as in emergencies, where is it necessary to read multiple lines of text. This would need to be considered as part of an equivalent access provision in consultation with end </w:t>
      </w:r>
      <w:r>
        <w:t>passengers</w:t>
      </w:r>
      <w:r w:rsidRPr="002A7AC6">
        <w:t>.</w:t>
      </w:r>
    </w:p>
    <w:p w14:paraId="2FAC3696" w14:textId="77777777" w:rsidR="00094004" w:rsidRPr="002A7AC6" w:rsidRDefault="00094004" w:rsidP="00D109DA">
      <w:pPr>
        <w:pStyle w:val="Listparagraphbullets"/>
      </w:pPr>
      <w:r w:rsidRPr="002A7AC6">
        <w:t xml:space="preserve">The placement of signs in some instances may not be able to be placed in accordance to the regulations due to constraints. Consultation and discussion with end </w:t>
      </w:r>
      <w:r>
        <w:t>passengers</w:t>
      </w:r>
      <w:r w:rsidRPr="002A7AC6">
        <w:t xml:space="preserve"> is necessary to develop a solution that retains functionality and legibility of the signage elements.</w:t>
      </w:r>
    </w:p>
    <w:p w14:paraId="7CB6E24B" w14:textId="23614C5F" w:rsidR="00094004" w:rsidRPr="007E0814" w:rsidRDefault="00094004" w:rsidP="00D109DA">
      <w:pPr>
        <w:pStyle w:val="Listparagraphbullets"/>
        <w:rPr>
          <w:color w:val="000000" w:themeColor="text1"/>
        </w:rPr>
      </w:pPr>
      <w:r w:rsidRPr="002A7AC6">
        <w:lastRenderedPageBreak/>
        <w:t>Define the distinction between labels and signs. This is important as labels often communicate information in relation to th</w:t>
      </w:r>
      <w:r>
        <w:t>e use of a device or component.</w:t>
      </w:r>
    </w:p>
    <w:p w14:paraId="0F14543B" w14:textId="220A2F7C" w:rsidR="00094004" w:rsidRDefault="00094004" w:rsidP="006F65FB">
      <w:pPr>
        <w:pStyle w:val="Heading3"/>
        <w:numPr>
          <w:ilvl w:val="0"/>
          <w:numId w:val="66"/>
        </w:numPr>
        <w:ind w:left="567" w:hanging="567"/>
      </w:pPr>
      <w:bookmarkStart w:id="854" w:name="_Toc113956260"/>
      <w:bookmarkStart w:id="855" w:name="_Toc127351836"/>
      <w:bookmarkStart w:id="856" w:name="_Toc130914514"/>
      <w:bookmarkStart w:id="857" w:name="_Toc140239808"/>
      <w:r>
        <w:t>Lifts: braille and tactile information at lift landings</w:t>
      </w:r>
      <w:bookmarkEnd w:id="854"/>
      <w:bookmarkEnd w:id="855"/>
      <w:bookmarkEnd w:id="856"/>
      <w:bookmarkEnd w:id="857"/>
    </w:p>
    <w:p w14:paraId="19F00E03" w14:textId="77777777" w:rsidR="00094004" w:rsidRDefault="00094004" w:rsidP="00094004">
      <w:pPr>
        <w:pStyle w:val="Heading4"/>
      </w:pPr>
      <w:r>
        <w:t>Status quo</w:t>
      </w:r>
    </w:p>
    <w:p w14:paraId="295653DF" w14:textId="77777777" w:rsidR="00094004" w:rsidRPr="002A7AC6" w:rsidRDefault="00094004" w:rsidP="00094004">
      <w:r>
        <w:t>Transport Standards s</w:t>
      </w:r>
      <w:r w:rsidRPr="002A7AC6">
        <w:t>ection 13.1 Compliance with Australian Standard</w:t>
      </w:r>
      <w:r>
        <w:t>—</w:t>
      </w:r>
      <w:r w:rsidRPr="002A7AC6">
        <w:t>premises and infrastructure, would remain the same and no new guidance would be issued.</w:t>
      </w:r>
    </w:p>
    <w:p w14:paraId="6FDC5020" w14:textId="77777777" w:rsidR="00094004" w:rsidRPr="002A7AC6" w:rsidRDefault="00094004" w:rsidP="00094004">
      <w:pPr>
        <w:ind w:left="1134" w:hanging="567"/>
        <w:rPr>
          <w:b/>
        </w:rPr>
      </w:pPr>
      <w:r w:rsidRPr="002A7AC6">
        <w:rPr>
          <w:b/>
        </w:rPr>
        <w:t>13.1</w:t>
      </w:r>
      <w:r w:rsidRPr="002A7AC6">
        <w:rPr>
          <w:b/>
        </w:rPr>
        <w:tab/>
        <w:t>Compliance with Australian Standard</w:t>
      </w:r>
      <w:r>
        <w:rPr>
          <w:b/>
        </w:rPr>
        <w:t>—</w:t>
      </w:r>
      <w:r w:rsidRPr="002A7AC6">
        <w:rPr>
          <w:b/>
        </w:rPr>
        <w:t>premises and infrastructure</w:t>
      </w:r>
    </w:p>
    <w:p w14:paraId="71FACBB7" w14:textId="77777777" w:rsidR="00094004" w:rsidRPr="002A7AC6" w:rsidRDefault="00094004" w:rsidP="00094004">
      <w:pPr>
        <w:ind w:left="1134"/>
        <w:rPr>
          <w:b/>
        </w:rPr>
      </w:pPr>
      <w:r w:rsidRPr="002A7AC6">
        <w:t>Lift facilities must comply with AS1735.12 (1999).</w:t>
      </w:r>
    </w:p>
    <w:p w14:paraId="3D66217E" w14:textId="77777777" w:rsidR="00094004" w:rsidRPr="002A7AC6" w:rsidRDefault="00094004" w:rsidP="00094004">
      <w:pPr>
        <w:ind w:left="1134"/>
      </w:pPr>
      <w:r w:rsidRPr="002A7AC6">
        <w:t xml:space="preserve">This </w:t>
      </w:r>
      <w:r>
        <w:t>s</w:t>
      </w:r>
      <w:r w:rsidRPr="002A7AC6">
        <w:t>ection pertains to premises</w:t>
      </w:r>
      <w:r>
        <w:t xml:space="preserve"> (</w:t>
      </w:r>
      <w:r w:rsidRPr="002A7AC6">
        <w:t>except premises to which the Premises Standards apply</w:t>
      </w:r>
      <w:r>
        <w:t>)</w:t>
      </w:r>
      <w:r w:rsidRPr="002A7AC6">
        <w:t>, and infrastructure</w:t>
      </w:r>
      <w:r>
        <w:t xml:space="preserve"> (</w:t>
      </w:r>
      <w:r w:rsidRPr="002A7AC6">
        <w:t>except airports that do not accept regular public transport services</w:t>
      </w:r>
      <w:r>
        <w:t>)</w:t>
      </w:r>
      <w:r w:rsidRPr="002A7AC6">
        <w:t>.</w:t>
      </w:r>
    </w:p>
    <w:p w14:paraId="121FBBEA" w14:textId="77777777" w:rsidR="00094004" w:rsidRDefault="00094004" w:rsidP="00094004">
      <w:pPr>
        <w:pStyle w:val="Heading5"/>
      </w:pPr>
      <w:r w:rsidRPr="002A7AC6">
        <w:t>Non-</w:t>
      </w:r>
      <w:r>
        <w:t>Regulatory option</w:t>
      </w:r>
    </w:p>
    <w:p w14:paraId="6678AB04" w14:textId="77777777" w:rsidR="00094004" w:rsidRPr="002A7AC6" w:rsidRDefault="00094004" w:rsidP="00094004">
      <w:r w:rsidRPr="002A7AC6">
        <w:t xml:space="preserve">The </w:t>
      </w:r>
      <w:r>
        <w:t>Transport Standards</w:t>
      </w:r>
      <w:r w:rsidRPr="002A7AC6">
        <w:t xml:space="preserve"> Guidelines and / or The Whole Journey Guide would be updated to include best practice guidance for </w:t>
      </w:r>
      <w:r>
        <w:t>b</w:t>
      </w:r>
      <w:r w:rsidRPr="002A7AC6">
        <w:t>raille and tactile information at lift landings.</w:t>
      </w:r>
    </w:p>
    <w:p w14:paraId="3E459C55" w14:textId="77777777" w:rsidR="00094004" w:rsidRDefault="00094004" w:rsidP="00094004">
      <w:r w:rsidRPr="002A7AC6">
        <w:t>The advice would pertain to premises, except premises to which the Premises Standards apply, and infrastructure (except airports that do not accept regular public transport services).</w:t>
      </w:r>
    </w:p>
    <w:p w14:paraId="0F8B4797" w14:textId="77777777" w:rsidR="00094004" w:rsidRPr="002A7AC6" w:rsidRDefault="00094004" w:rsidP="00094004">
      <w:r w:rsidRPr="002A7AC6">
        <w:t>Specific guidance may include the following:</w:t>
      </w:r>
    </w:p>
    <w:p w14:paraId="6D46361B" w14:textId="77777777" w:rsidR="00094004" w:rsidRPr="002A7AC6" w:rsidRDefault="00094004" w:rsidP="00094004">
      <w:pPr>
        <w:pStyle w:val="Listparagraphbullets"/>
        <w:autoSpaceDE w:val="0"/>
        <w:autoSpaceDN w:val="0"/>
        <w:spacing w:after="0"/>
      </w:pPr>
      <w:r w:rsidRPr="002A7AC6">
        <w:t>Braille and tactile signs should be located on the lift landing door frames that can be reached from within the lift allow passengers not a</w:t>
      </w:r>
      <w:r>
        <w:t xml:space="preserve">ble to discern </w:t>
      </w:r>
      <w:r w:rsidRPr="002A7AC6">
        <w:t>visual cues in a lift car to identify the landing at which the car has arrived.</w:t>
      </w:r>
    </w:p>
    <w:p w14:paraId="3996AA3D" w14:textId="77777777" w:rsidR="00094004" w:rsidRPr="002A7AC6" w:rsidRDefault="00094004" w:rsidP="00094004">
      <w:pPr>
        <w:pStyle w:val="Listparagraphbullets"/>
        <w:autoSpaceDE w:val="0"/>
        <w:autoSpaceDN w:val="0"/>
        <w:spacing w:after="0"/>
      </w:pPr>
      <w:r w:rsidRPr="002A7AC6">
        <w:t xml:space="preserve">Lift landings on platforms should have braille and tactile signs identifying the platform landing which comply with AS1428.4.2 (2018) </w:t>
      </w:r>
      <w:r w:rsidRPr="002A7AC6">
        <w:rPr>
          <w:i/>
        </w:rPr>
        <w:t xml:space="preserve">Design for access and mobility, Part 4.2: Means to assist the orientation of people with vision </w:t>
      </w:r>
      <w:r>
        <w:rPr>
          <w:i/>
        </w:rPr>
        <w:t>impairment—Wayfinding signs, s</w:t>
      </w:r>
      <w:r w:rsidRPr="002A7AC6">
        <w:rPr>
          <w:i/>
        </w:rPr>
        <w:t>ection 5 Tactile signs</w:t>
      </w:r>
      <w:r>
        <w:rPr>
          <w:i/>
        </w:rPr>
        <w:t>—</w:t>
      </w:r>
      <w:r w:rsidRPr="002A7AC6">
        <w:rPr>
          <w:i/>
        </w:rPr>
        <w:t>design requirements</w:t>
      </w:r>
      <w:r w:rsidRPr="002A7AC6">
        <w:t xml:space="preserve">. AS1735.12 (2020) </w:t>
      </w:r>
      <w:r w:rsidRPr="002A7AC6">
        <w:rPr>
          <w:i/>
        </w:rPr>
        <w:t>Appendix ZA.5.2</w:t>
      </w:r>
      <w:r w:rsidRPr="002A7AC6">
        <w:t>, specifies where on the lift landing door frame the signs should be placed.</w:t>
      </w:r>
    </w:p>
    <w:p w14:paraId="640DA686" w14:textId="77777777" w:rsidR="00094004" w:rsidRPr="002A7AC6" w:rsidRDefault="00094004" w:rsidP="00094004">
      <w:pPr>
        <w:pStyle w:val="Listparagraphbullets"/>
        <w:autoSpaceDE w:val="0"/>
        <w:autoSpaceDN w:val="0"/>
        <w:spacing w:after="0"/>
      </w:pPr>
      <w:r w:rsidRPr="002A7AC6">
        <w:t xml:space="preserve">Lift landings at over bridges, subways or concourses, road reserves, parking or passenger loading areas should have identifying braille and tactile signs identifying the street or facility landing which comply with AS1428.4.2 (2018) </w:t>
      </w:r>
      <w:r w:rsidRPr="002A7AC6">
        <w:rPr>
          <w:i/>
        </w:rPr>
        <w:t xml:space="preserve">Design for access and mobility, Part 4.2: Means to assist the orientation of people with vision </w:t>
      </w:r>
      <w:r>
        <w:rPr>
          <w:i/>
        </w:rPr>
        <w:t>impairment—Wayfinding signs, s</w:t>
      </w:r>
      <w:r w:rsidRPr="002A7AC6">
        <w:rPr>
          <w:i/>
        </w:rPr>
        <w:t>ection 5 Tactile signs</w:t>
      </w:r>
      <w:r>
        <w:rPr>
          <w:i/>
        </w:rPr>
        <w:t>—</w:t>
      </w:r>
      <w:r w:rsidRPr="002A7AC6">
        <w:rPr>
          <w:i/>
        </w:rPr>
        <w:t>design requirements,</w:t>
      </w:r>
      <w:r w:rsidRPr="002A7AC6">
        <w:t xml:space="preserve"> and are located as per AS1735.12 (2020), </w:t>
      </w:r>
      <w:r w:rsidRPr="002A7AC6">
        <w:rPr>
          <w:i/>
        </w:rPr>
        <w:t>Appendix ZA.5.2</w:t>
      </w:r>
      <w:r w:rsidRPr="002A7AC6">
        <w:t>.</w:t>
      </w:r>
    </w:p>
    <w:p w14:paraId="7ABA3DA4" w14:textId="77777777" w:rsidR="00094004" w:rsidRDefault="00094004" w:rsidP="00094004">
      <w:pPr>
        <w:pStyle w:val="Listparagraphbullets"/>
        <w:autoSpaceDE w:val="0"/>
        <w:autoSpaceDN w:val="0"/>
        <w:spacing w:after="0"/>
      </w:pPr>
      <w:r w:rsidRPr="002A7AC6">
        <w:t>The information on the braille and tactile sign at lift landings should be succinct to allow quick reading and confirmation of location by a passenger. For example, a sign at a landing in a road reserve might only state the name of the street. Similarly, a landing in a subway might only be signed as ‘Subway’ or a platform landing might be signed as ‘Platform’.</w:t>
      </w:r>
    </w:p>
    <w:p w14:paraId="55DBAA0C" w14:textId="77777777" w:rsidR="00094004" w:rsidRDefault="00094004" w:rsidP="00094004">
      <w:pPr>
        <w:pStyle w:val="Listparagraphbullets"/>
        <w:autoSpaceDE w:val="0"/>
        <w:autoSpaceDN w:val="0"/>
        <w:spacing w:after="0"/>
      </w:pPr>
      <w:r w:rsidRPr="002A7AC6">
        <w:t xml:space="preserve">If street names are long, they may be abbreviated. However, any braille signs must meet any design requirements identified in the </w:t>
      </w:r>
      <w:r>
        <w:t>Transport Standards</w:t>
      </w:r>
      <w:r w:rsidRPr="002A7AC6">
        <w:t>.</w:t>
      </w:r>
    </w:p>
    <w:p w14:paraId="671776BC" w14:textId="77777777" w:rsidR="00094004" w:rsidRDefault="00094004" w:rsidP="00094004">
      <w:pPr>
        <w:pStyle w:val="Heading5"/>
      </w:pPr>
      <w:r>
        <w:t>Regulatory option</w:t>
      </w:r>
    </w:p>
    <w:p w14:paraId="0A32E51D" w14:textId="77777777" w:rsidR="00094004" w:rsidRPr="002A7AC6" w:rsidRDefault="00094004" w:rsidP="00094004">
      <w:r>
        <w:t xml:space="preserve">Transport Standards section 13.1 </w:t>
      </w:r>
      <w:r w:rsidRPr="00AE59E0">
        <w:t xml:space="preserve">would be amended to include the following (including any requirements retained </w:t>
      </w:r>
      <w:r>
        <w:t>or amended from the status quo).</w:t>
      </w:r>
    </w:p>
    <w:p w14:paraId="5D8C42B4" w14:textId="77777777" w:rsidR="00094004" w:rsidRPr="002A7AC6" w:rsidRDefault="00094004" w:rsidP="00094004">
      <w:r w:rsidRPr="002A7AC6">
        <w:t xml:space="preserve">New requirements in the </w:t>
      </w:r>
      <w:r>
        <w:t>Transport Standards</w:t>
      </w:r>
      <w:r w:rsidRPr="002A7AC6">
        <w:t xml:space="preserve"> would require that lift landings:</w:t>
      </w:r>
    </w:p>
    <w:p w14:paraId="68E7E3EE" w14:textId="77777777" w:rsidR="00094004" w:rsidRDefault="00094004" w:rsidP="00094004">
      <w:pPr>
        <w:pStyle w:val="Listparagraphbullets"/>
        <w:autoSpaceDE w:val="0"/>
        <w:autoSpaceDN w:val="0"/>
        <w:spacing w:after="0"/>
      </w:pPr>
      <w:r w:rsidRPr="002A7AC6">
        <w:t>on platforms must have braille and tactile signs identifying the platform landing.</w:t>
      </w:r>
    </w:p>
    <w:p w14:paraId="23201AEC" w14:textId="77777777" w:rsidR="00094004" w:rsidRDefault="00094004" w:rsidP="00094004">
      <w:pPr>
        <w:pStyle w:val="Listparagraphbullets"/>
        <w:autoSpaceDE w:val="0"/>
        <w:autoSpaceDN w:val="0"/>
        <w:spacing w:after="0"/>
      </w:pPr>
      <w:r w:rsidRPr="002A7AC6">
        <w:lastRenderedPageBreak/>
        <w:t>at road reserves, parking or passenger loading areas must have identifying braille and tactile signs identifying the street or facility landing.</w:t>
      </w:r>
    </w:p>
    <w:p w14:paraId="21B59412" w14:textId="77777777" w:rsidR="00094004" w:rsidRDefault="00094004" w:rsidP="00094004">
      <w:pPr>
        <w:pStyle w:val="Listparagraphbullets"/>
        <w:autoSpaceDE w:val="0"/>
        <w:autoSpaceDN w:val="0"/>
        <w:spacing w:after="0"/>
      </w:pPr>
      <w:r w:rsidRPr="000D6906">
        <w:t>at overbridges, subways or concourses must have braille and tacti</w:t>
      </w:r>
      <w:r>
        <w:t>le signs identifying the level.</w:t>
      </w:r>
    </w:p>
    <w:p w14:paraId="4DFE4331" w14:textId="77777777" w:rsidR="00094004" w:rsidRPr="002A7AC6" w:rsidRDefault="00094004" w:rsidP="00094004">
      <w:r w:rsidRPr="002A7AC6">
        <w:t>The above requirements must comply with:</w:t>
      </w:r>
    </w:p>
    <w:p w14:paraId="2E6481AC" w14:textId="77777777" w:rsidR="00094004" w:rsidRPr="00D47DE4" w:rsidRDefault="00094004" w:rsidP="00094004">
      <w:pPr>
        <w:pStyle w:val="Listparagraphbullets"/>
        <w:autoSpaceDE w:val="0"/>
        <w:autoSpaceDN w:val="0"/>
        <w:spacing w:after="0"/>
      </w:pPr>
      <w:r w:rsidRPr="002A7AC6">
        <w:t>AS14</w:t>
      </w:r>
      <w:r w:rsidRPr="00D47DE4">
        <w:t>28.4.2 (2018)</w:t>
      </w:r>
    </w:p>
    <w:p w14:paraId="60CF7947" w14:textId="77777777" w:rsidR="00094004" w:rsidRDefault="00094004" w:rsidP="00094004">
      <w:pPr>
        <w:pStyle w:val="Listparagraphbullets"/>
        <w:autoSpaceDE w:val="0"/>
        <w:autoSpaceDN w:val="0"/>
        <w:spacing w:after="0"/>
      </w:pPr>
      <w:r w:rsidRPr="00D47DE4">
        <w:t>be lo</w:t>
      </w:r>
      <w:r w:rsidRPr="002A7AC6">
        <w:t>cated as per AS1735.12 (2020)</w:t>
      </w:r>
      <w:r w:rsidRPr="002A7AC6">
        <w:rPr>
          <w:i/>
        </w:rPr>
        <w:t xml:space="preserve"> Appendix ZA.5.2</w:t>
      </w:r>
      <w:r w:rsidRPr="002A7AC6">
        <w:t>.</w:t>
      </w:r>
    </w:p>
    <w:p w14:paraId="126C71D0" w14:textId="77777777" w:rsidR="00094004" w:rsidRPr="002A7AC6" w:rsidRDefault="00094004" w:rsidP="00094004">
      <w:r w:rsidRPr="002A7AC6">
        <w:t>These requirements would pertain to premises (except premises to which the Premises Standards apply), and infrastructure (except airports that do not accept regular public transport services).</w:t>
      </w:r>
    </w:p>
    <w:p w14:paraId="6556E3F2" w14:textId="77777777" w:rsidR="00094004" w:rsidRDefault="00094004" w:rsidP="00094004">
      <w:r w:rsidRPr="002A7AC6">
        <w:t xml:space="preserve">The </w:t>
      </w:r>
      <w:r>
        <w:t>Transport Standards</w:t>
      </w:r>
      <w:r w:rsidRPr="002A7AC6">
        <w:t xml:space="preserve"> Guidelines and / or The Whole Journey Guide would be updated to reflect any new requirements.</w:t>
      </w:r>
    </w:p>
    <w:p w14:paraId="51739B45" w14:textId="77777777" w:rsidR="00094004" w:rsidRPr="002A7AC6" w:rsidRDefault="00094004" w:rsidP="00094004">
      <w:pPr>
        <w:keepNext/>
        <w:spacing w:after="120"/>
      </w:pPr>
      <w:r>
        <w:t>Specific guidance may include:</w:t>
      </w:r>
    </w:p>
    <w:p w14:paraId="5B189688" w14:textId="77777777" w:rsidR="00094004" w:rsidRDefault="00094004" w:rsidP="00094004">
      <w:pPr>
        <w:pStyle w:val="Listparagraphbullets"/>
        <w:autoSpaceDE w:val="0"/>
        <w:autoSpaceDN w:val="0"/>
        <w:spacing w:after="0"/>
      </w:pPr>
      <w:r w:rsidRPr="002A7AC6">
        <w:t>Braille and tactile signs located on the lift landing door frames that can be reached from within the lift allow passengers not able to discern the audio and visual cues in a lift car to identify the landing at which the car has arrived.</w:t>
      </w:r>
    </w:p>
    <w:p w14:paraId="5953D1E5" w14:textId="77777777" w:rsidR="00094004" w:rsidRPr="002A7AC6" w:rsidRDefault="00094004" w:rsidP="00094004">
      <w:pPr>
        <w:pStyle w:val="Listparagraphbullets"/>
        <w:autoSpaceDE w:val="0"/>
        <w:autoSpaceDN w:val="0"/>
        <w:spacing w:after="0"/>
      </w:pPr>
      <w:r w:rsidRPr="002A7AC6">
        <w:t>The information on the braille and tactile sign at lift landings should be succinct to allow quick reading and confirmation of location by a passenger.</w:t>
      </w:r>
    </w:p>
    <w:p w14:paraId="7FA82D02" w14:textId="77777777" w:rsidR="00094004" w:rsidRDefault="00094004" w:rsidP="00094004">
      <w:pPr>
        <w:pStyle w:val="Listparagraphbullets"/>
        <w:autoSpaceDE w:val="0"/>
        <w:autoSpaceDN w:val="0"/>
        <w:spacing w:after="0"/>
      </w:pPr>
      <w:r w:rsidRPr="002A7AC6">
        <w:t>For example, a sign at a landing in a road reserve might only state the name of the street. Similarly, a landing in a subway might only be signed as ‘Subway’ or a platform landing might be signed as ‘Platform’.</w:t>
      </w:r>
    </w:p>
    <w:p w14:paraId="71D3985D" w14:textId="77777777" w:rsidR="00094004" w:rsidRDefault="00094004" w:rsidP="00094004">
      <w:pPr>
        <w:pStyle w:val="Listparagraphbullets"/>
        <w:autoSpaceDE w:val="0"/>
        <w:autoSpaceDN w:val="0"/>
        <w:spacing w:after="0"/>
      </w:pPr>
      <w:r w:rsidRPr="002A7AC6">
        <w:t xml:space="preserve">If street names are long, they may be abbreviated but braille must be uncontracted to meet the standard required by the </w:t>
      </w:r>
      <w:r>
        <w:t>Transport Standards</w:t>
      </w:r>
      <w:r w:rsidRPr="002A7AC6">
        <w:t>.</w:t>
      </w:r>
    </w:p>
    <w:p w14:paraId="5D8924B0" w14:textId="77777777" w:rsidR="00094004" w:rsidRDefault="00094004" w:rsidP="00094004"/>
    <w:p w14:paraId="71516C58" w14:textId="24277D24" w:rsidR="00094004" w:rsidRDefault="00094004" w:rsidP="006F65FB">
      <w:pPr>
        <w:pStyle w:val="Heading3"/>
        <w:numPr>
          <w:ilvl w:val="0"/>
          <w:numId w:val="66"/>
        </w:numPr>
        <w:ind w:left="567" w:hanging="567"/>
      </w:pPr>
      <w:bookmarkStart w:id="858" w:name="_Toc113956261"/>
      <w:bookmarkStart w:id="859" w:name="_Toc127351837"/>
      <w:bookmarkStart w:id="860" w:name="_Toc130914515"/>
      <w:bookmarkStart w:id="861" w:name="_Toc140239809"/>
      <w:r>
        <w:t>Lifts: audible wayfinding</w:t>
      </w:r>
      <w:bookmarkEnd w:id="858"/>
      <w:bookmarkEnd w:id="859"/>
      <w:bookmarkEnd w:id="860"/>
      <w:bookmarkEnd w:id="861"/>
    </w:p>
    <w:p w14:paraId="5BB66833" w14:textId="77777777" w:rsidR="00094004" w:rsidRDefault="00094004" w:rsidP="00094004">
      <w:pPr>
        <w:pStyle w:val="Heading4"/>
      </w:pPr>
      <w:r>
        <w:t>Status quo</w:t>
      </w:r>
    </w:p>
    <w:p w14:paraId="7FC84CA8" w14:textId="77777777" w:rsidR="00094004" w:rsidRDefault="00094004" w:rsidP="00094004">
      <w:r>
        <w:t>Transport Standards s</w:t>
      </w:r>
      <w:r w:rsidRPr="00097442">
        <w:t>ection 13.1 Compliance with Australian Standard</w:t>
      </w:r>
      <w:r>
        <w:t>—</w:t>
      </w:r>
      <w:r w:rsidRPr="00097442">
        <w:t>premises and infrastructure</w:t>
      </w:r>
      <w:r>
        <w:t>,</w:t>
      </w:r>
      <w:r w:rsidRPr="00097442">
        <w:t xml:space="preserve"> would remain unchanged and no new guidance would be made.</w:t>
      </w:r>
    </w:p>
    <w:p w14:paraId="4231CAF5" w14:textId="77777777" w:rsidR="00094004" w:rsidRPr="00097442" w:rsidRDefault="00094004" w:rsidP="00094004">
      <w:pPr>
        <w:ind w:left="1134" w:hanging="567"/>
        <w:rPr>
          <w:b/>
        </w:rPr>
      </w:pPr>
      <w:r w:rsidRPr="00097442">
        <w:rPr>
          <w:b/>
        </w:rPr>
        <w:t>13.1</w:t>
      </w:r>
      <w:r w:rsidRPr="00097442">
        <w:rPr>
          <w:b/>
        </w:rPr>
        <w:tab/>
        <w:t>Compliance with Australian Standard</w:t>
      </w:r>
      <w:r>
        <w:rPr>
          <w:b/>
        </w:rPr>
        <w:t>—</w:t>
      </w:r>
      <w:r w:rsidRPr="00097442">
        <w:rPr>
          <w:b/>
        </w:rPr>
        <w:t>premises and infrastructure</w:t>
      </w:r>
    </w:p>
    <w:p w14:paraId="0B43F1A6" w14:textId="77777777" w:rsidR="00094004" w:rsidRPr="00097442" w:rsidRDefault="00094004" w:rsidP="00094004">
      <w:pPr>
        <w:ind w:left="1134"/>
      </w:pPr>
      <w:r w:rsidRPr="00097442">
        <w:t>Lift facilities must comply with AS1735.12 (1999)</w:t>
      </w:r>
    </w:p>
    <w:p w14:paraId="489A1C36" w14:textId="77777777" w:rsidR="00094004" w:rsidRPr="00097442" w:rsidRDefault="00094004" w:rsidP="00094004">
      <w:pPr>
        <w:ind w:left="1134"/>
      </w:pPr>
      <w:r>
        <w:t>This section pertains to p</w:t>
      </w:r>
      <w:r w:rsidRPr="00097442">
        <w:t>remises</w:t>
      </w:r>
      <w:r>
        <w:t xml:space="preserve"> (</w:t>
      </w:r>
      <w:r w:rsidRPr="00097442">
        <w:t xml:space="preserve">except </w:t>
      </w:r>
      <w:r>
        <w:t xml:space="preserve">premises </w:t>
      </w:r>
      <w:r w:rsidRPr="00097442">
        <w:t>to whi</w:t>
      </w:r>
      <w:r>
        <w:t xml:space="preserve">ch the Premises Standards apply) </w:t>
      </w:r>
      <w:r w:rsidRPr="00097442">
        <w:t>and infrastructure</w:t>
      </w:r>
      <w:r>
        <w:t xml:space="preserve"> (</w:t>
      </w:r>
      <w:r w:rsidRPr="00097442">
        <w:t>except airports that do not accept regular public transport services</w:t>
      </w:r>
      <w:r>
        <w:t>)</w:t>
      </w:r>
      <w:r w:rsidRPr="00097442">
        <w:t>.</w:t>
      </w:r>
    </w:p>
    <w:p w14:paraId="5B391237" w14:textId="77777777" w:rsidR="00094004" w:rsidRDefault="00094004" w:rsidP="00094004">
      <w:pPr>
        <w:pStyle w:val="Heading5"/>
      </w:pPr>
      <w:r w:rsidRPr="00097442">
        <w:t>Non-</w:t>
      </w:r>
      <w:r>
        <w:t>Regulatory option</w:t>
      </w:r>
    </w:p>
    <w:p w14:paraId="377CB693" w14:textId="77777777" w:rsidR="00094004" w:rsidRPr="00097442" w:rsidRDefault="00094004" w:rsidP="00094004">
      <w:r w:rsidRPr="00097442">
        <w:t xml:space="preserve">The </w:t>
      </w:r>
      <w:r>
        <w:t>Transport Standards</w:t>
      </w:r>
      <w:r w:rsidRPr="00097442">
        <w:t xml:space="preserve"> Guidelines and / or The Whole Journey Guide would be updated to include best practice guidance for audible landing location and succinct wayfinding information in lift cars.</w:t>
      </w:r>
    </w:p>
    <w:p w14:paraId="46750323" w14:textId="77777777" w:rsidR="00094004" w:rsidRDefault="00094004" w:rsidP="00094004">
      <w:r w:rsidRPr="00097442">
        <w:t>There are two options proposed for how lifts should provide succinct audio announcements on reaching a landing.</w:t>
      </w:r>
    </w:p>
    <w:p w14:paraId="12063879" w14:textId="77777777" w:rsidR="00094004" w:rsidRPr="00097442" w:rsidRDefault="00094004" w:rsidP="00094004">
      <w:r w:rsidRPr="00097442">
        <w:t xml:space="preserve">The </w:t>
      </w:r>
      <w:r>
        <w:t xml:space="preserve">guidance </w:t>
      </w:r>
      <w:r w:rsidRPr="00097442">
        <w:t xml:space="preserve">would </w:t>
      </w:r>
      <w:r>
        <w:t xml:space="preserve">apply </w:t>
      </w:r>
      <w:r w:rsidRPr="00097442">
        <w:t xml:space="preserve">to premises </w:t>
      </w:r>
      <w:r>
        <w:t>(</w:t>
      </w:r>
      <w:r w:rsidRPr="00097442">
        <w:t>except premises to which the Premises Standards apply</w:t>
      </w:r>
      <w:r>
        <w:t>)</w:t>
      </w:r>
      <w:r w:rsidRPr="00097442">
        <w:t xml:space="preserve"> and infrastructure </w:t>
      </w:r>
      <w:r>
        <w:t>(</w:t>
      </w:r>
      <w:r w:rsidRPr="00097442">
        <w:t>except airports that do not accept regular public transport services</w:t>
      </w:r>
      <w:r>
        <w:t>)</w:t>
      </w:r>
      <w:r w:rsidRPr="00097442">
        <w:t>.</w:t>
      </w:r>
    </w:p>
    <w:p w14:paraId="13B13CDF" w14:textId="77777777" w:rsidR="00094004" w:rsidRPr="00097442" w:rsidRDefault="00094004" w:rsidP="00094004">
      <w:pPr>
        <w:pStyle w:val="Heading5"/>
      </w:pPr>
      <w:r w:rsidRPr="00097442">
        <w:lastRenderedPageBreak/>
        <w:t>Option 1</w:t>
      </w:r>
    </w:p>
    <w:p w14:paraId="1178F25C" w14:textId="77777777" w:rsidR="00094004" w:rsidRPr="00097442" w:rsidRDefault="00094004" w:rsidP="00094004">
      <w:pPr>
        <w:keepNext/>
      </w:pPr>
      <w:r w:rsidRPr="00097442">
        <w:t>Specific guidance may include that lift cars should provide the following location and wayfinding cues to assist passengers:</w:t>
      </w:r>
    </w:p>
    <w:p w14:paraId="67F66180" w14:textId="77777777" w:rsidR="00094004" w:rsidRPr="00097442" w:rsidRDefault="00094004" w:rsidP="00094004">
      <w:pPr>
        <w:pStyle w:val="Listparagraphbullets"/>
        <w:autoSpaceDE w:val="0"/>
        <w:autoSpaceDN w:val="0"/>
        <w:spacing w:after="0"/>
      </w:pPr>
      <w:r w:rsidRPr="00097442">
        <w:t>On multi-platform infrastructure, lifts cars arriving at platform landings should announce the platform number or numbers.</w:t>
      </w:r>
    </w:p>
    <w:p w14:paraId="72076089" w14:textId="77777777" w:rsidR="00094004" w:rsidRDefault="00094004" w:rsidP="00094004">
      <w:pPr>
        <w:pStyle w:val="Listparagraphbullets"/>
        <w:autoSpaceDE w:val="0"/>
        <w:autoSpaceDN w:val="0"/>
        <w:spacing w:after="0"/>
      </w:pPr>
      <w:r w:rsidRPr="00097442">
        <w:t>Lift cars arriving at landings in road reserves, parking or passenger loading areas should announce the name of the street or facility.</w:t>
      </w:r>
    </w:p>
    <w:p w14:paraId="200F5D56" w14:textId="77777777" w:rsidR="00094004" w:rsidRDefault="00094004" w:rsidP="00094004">
      <w:pPr>
        <w:pStyle w:val="Listparagraphbullets"/>
        <w:autoSpaceDE w:val="0"/>
        <w:autoSpaceDN w:val="0"/>
        <w:spacing w:after="0"/>
      </w:pPr>
      <w:r>
        <w:t>Lifts arriving at over</w:t>
      </w:r>
      <w:r w:rsidRPr="00097442">
        <w:t>bridges, subways or concourses should also audibly confirm the place in which they had arrived.</w:t>
      </w:r>
    </w:p>
    <w:p w14:paraId="087C5F92" w14:textId="77777777" w:rsidR="00094004" w:rsidRDefault="00094004" w:rsidP="00094004">
      <w:pPr>
        <w:pStyle w:val="Listparagraphbullets"/>
        <w:autoSpaceDE w:val="0"/>
        <w:autoSpaceDN w:val="0"/>
        <w:spacing w:after="0"/>
      </w:pPr>
      <w:r w:rsidRPr="00097442">
        <w:t>Informing passengers with vision or cognitive impairments if the car was a through or turnaround unit would also be of assistance.</w:t>
      </w:r>
    </w:p>
    <w:p w14:paraId="266B27C7" w14:textId="77777777" w:rsidR="00094004" w:rsidRPr="00097442" w:rsidRDefault="00094004" w:rsidP="00094004">
      <w:pPr>
        <w:pStyle w:val="Heading5"/>
      </w:pPr>
      <w:r w:rsidRPr="00097442">
        <w:t>Option 2</w:t>
      </w:r>
    </w:p>
    <w:p w14:paraId="77E1B88F" w14:textId="77777777" w:rsidR="00094004" w:rsidRPr="00097442" w:rsidRDefault="00094004" w:rsidP="00094004">
      <w:r w:rsidRPr="00097442">
        <w:t>Specific guidance on succinct wayfinding information in lift cars may include:</w:t>
      </w:r>
    </w:p>
    <w:p w14:paraId="297239CA" w14:textId="77777777" w:rsidR="00094004" w:rsidRPr="00097442" w:rsidRDefault="00094004" w:rsidP="00094004">
      <w:pPr>
        <w:pStyle w:val="Listparagraphbullets"/>
        <w:autoSpaceDE w:val="0"/>
        <w:autoSpaceDN w:val="0"/>
        <w:spacing w:after="0"/>
      </w:pPr>
      <w:r w:rsidRPr="00097442">
        <w:t>Lift cars should provide succinct audio information on arriving at landings that permits passengers to confirm where they have arrived and to make basic orientation decisions.</w:t>
      </w:r>
    </w:p>
    <w:p w14:paraId="1E1FCD55" w14:textId="77777777" w:rsidR="00094004" w:rsidRDefault="00094004" w:rsidP="00094004">
      <w:pPr>
        <w:pStyle w:val="Listparagraphbullets"/>
        <w:autoSpaceDE w:val="0"/>
        <w:autoSpaceDN w:val="0"/>
        <w:spacing w:after="0"/>
      </w:pPr>
      <w:r w:rsidRPr="00097442">
        <w:t>If possible, basic orientation instructions should be included in the audio announcement. The verbal information is intended to be succinct rather than detailed.</w:t>
      </w:r>
    </w:p>
    <w:p w14:paraId="4514EC47" w14:textId="77777777" w:rsidR="00094004" w:rsidRDefault="00094004" w:rsidP="00094004">
      <w:pPr>
        <w:pStyle w:val="Listparagraphbullets"/>
        <w:autoSpaceDE w:val="0"/>
        <w:autoSpaceDN w:val="0"/>
        <w:spacing w:after="0"/>
      </w:pPr>
      <w:r w:rsidRPr="00097442">
        <w:t>Announcements should be succinct, not more than five to ten seconds, based on the assumption that once the passenger has confirmed their location, they have enough knowledge of the location to safely continue their journey.</w:t>
      </w:r>
    </w:p>
    <w:p w14:paraId="4EB934B0" w14:textId="77777777" w:rsidR="00094004" w:rsidRPr="00097442" w:rsidRDefault="00094004" w:rsidP="00094004">
      <w:pPr>
        <w:pStyle w:val="Heading6"/>
        <w:pBdr>
          <w:top w:val="single" w:sz="4" w:space="1" w:color="377B88"/>
          <w:left w:val="single" w:sz="4" w:space="4" w:color="377B88"/>
          <w:bottom w:val="single" w:sz="4" w:space="1" w:color="377B88"/>
          <w:right w:val="single" w:sz="4" w:space="4" w:color="377B88"/>
        </w:pBdr>
        <w:rPr>
          <w:rStyle w:val="Emphasis"/>
        </w:rPr>
      </w:pPr>
      <w:r w:rsidRPr="00097442">
        <w:rPr>
          <w:rStyle w:val="Emphasis"/>
        </w:rPr>
        <w:t>Example</w:t>
      </w:r>
    </w:p>
    <w:p w14:paraId="3227160F" w14:textId="77777777" w:rsidR="00094004" w:rsidRDefault="00094004" w:rsidP="00094004">
      <w:pPr>
        <w:pStyle w:val="Listparagraphbullets"/>
        <w:numPr>
          <w:ilvl w:val="0"/>
          <w:numId w:val="0"/>
        </w:numPr>
      </w:pPr>
      <w:r w:rsidRPr="00097442">
        <w:t>A rail, light rail or bus station with a single island platform is located between two parallel streets.</w:t>
      </w:r>
    </w:p>
    <w:p w14:paraId="20861A4A" w14:textId="77777777" w:rsidR="00094004" w:rsidRDefault="00094004" w:rsidP="00D109DA">
      <w:pPr>
        <w:pStyle w:val="Listparagraphbullets"/>
      </w:pPr>
      <w:r w:rsidRPr="00097442">
        <w:t>Its overbridge or subway has three lift and stair combinations</w:t>
      </w:r>
      <w:r>
        <w:t xml:space="preserve"> to traverse through the station</w:t>
      </w:r>
      <w:r w:rsidRPr="00097442">
        <w:t xml:space="preserve">. </w:t>
      </w:r>
      <w:r>
        <w:t>Lift 1 is on the Smith Street entry</w:t>
      </w:r>
      <w:r w:rsidRPr="00097442">
        <w:t xml:space="preserve">, </w:t>
      </w:r>
      <w:r>
        <w:t xml:space="preserve">Lift 2 is </w:t>
      </w:r>
      <w:r w:rsidRPr="00097442">
        <w:t xml:space="preserve">on the Jones Street entry and </w:t>
      </w:r>
      <w:r>
        <w:t xml:space="preserve">Lift 3 provides access to </w:t>
      </w:r>
      <w:r w:rsidRPr="00097442">
        <w:t>platforms one and two.</w:t>
      </w:r>
    </w:p>
    <w:p w14:paraId="53AB3E61" w14:textId="77777777" w:rsidR="00094004" w:rsidRPr="00097442" w:rsidRDefault="00094004" w:rsidP="00D109DA">
      <w:pPr>
        <w:pStyle w:val="Listparagraphbullets"/>
      </w:pPr>
      <w:r w:rsidRPr="00097442">
        <w:t>The following audio announcements would be beneficial for people with hearing impairment in each scenario:</w:t>
      </w:r>
    </w:p>
    <w:p w14:paraId="6B850399" w14:textId="0F6FAC18" w:rsidR="00094004" w:rsidRPr="00D109DA" w:rsidRDefault="00094004" w:rsidP="00D109DA">
      <w:pPr>
        <w:pStyle w:val="Listparagraphbullets"/>
        <w:numPr>
          <w:ilvl w:val="1"/>
          <w:numId w:val="4"/>
        </w:numPr>
        <w:ind w:left="993"/>
      </w:pPr>
      <w:r w:rsidRPr="00D109DA">
        <w:t>Arriving at the overbridge in lift 3:</w:t>
      </w:r>
    </w:p>
    <w:p w14:paraId="68E80827" w14:textId="195C7953" w:rsidR="00094004" w:rsidRPr="00D109DA" w:rsidRDefault="00094004" w:rsidP="00D109DA">
      <w:pPr>
        <w:pStyle w:val="Listparagraphbullets"/>
        <w:numPr>
          <w:ilvl w:val="1"/>
          <w:numId w:val="4"/>
        </w:numPr>
        <w:ind w:left="993"/>
      </w:pPr>
      <w:r w:rsidRPr="00D109DA">
        <w:t>“Overbridge. Lift and stair to Smith Street to the left. Lift and stair to Jones Street to the right.”</w:t>
      </w:r>
    </w:p>
    <w:p w14:paraId="288DBEE0" w14:textId="5FDAECC6" w:rsidR="00094004" w:rsidRPr="00D109DA" w:rsidRDefault="00094004" w:rsidP="00D109DA">
      <w:pPr>
        <w:pStyle w:val="Listparagraphbullets"/>
        <w:numPr>
          <w:ilvl w:val="1"/>
          <w:numId w:val="4"/>
        </w:numPr>
        <w:ind w:left="993"/>
      </w:pPr>
      <w:r w:rsidRPr="00D109DA">
        <w:t>Arriving at the platform in lift 3:</w:t>
      </w:r>
    </w:p>
    <w:p w14:paraId="60E050C5" w14:textId="67E9F362" w:rsidR="00094004" w:rsidRPr="00D109DA" w:rsidRDefault="00094004" w:rsidP="00D109DA">
      <w:pPr>
        <w:pStyle w:val="Listparagraphbullets"/>
        <w:numPr>
          <w:ilvl w:val="1"/>
          <w:numId w:val="4"/>
        </w:numPr>
        <w:ind w:left="993"/>
      </w:pPr>
      <w:r w:rsidRPr="00D109DA">
        <w:t>“Platform. Platform one to the right. Platform two to the left.”</w:t>
      </w:r>
    </w:p>
    <w:p w14:paraId="188774A7" w14:textId="142F3548" w:rsidR="00094004" w:rsidRPr="00D109DA" w:rsidRDefault="00094004" w:rsidP="00D109DA">
      <w:pPr>
        <w:pStyle w:val="Listparagraphbullets"/>
        <w:numPr>
          <w:ilvl w:val="1"/>
          <w:numId w:val="4"/>
        </w:numPr>
        <w:ind w:left="993"/>
      </w:pPr>
      <w:r w:rsidRPr="00D109DA">
        <w:t>Arriving at the overbridge in lift 1:</w:t>
      </w:r>
    </w:p>
    <w:p w14:paraId="1F92F167" w14:textId="10799146" w:rsidR="00094004" w:rsidRPr="00D109DA" w:rsidRDefault="00094004" w:rsidP="00D109DA">
      <w:pPr>
        <w:pStyle w:val="Listparagraphbullets"/>
        <w:numPr>
          <w:ilvl w:val="1"/>
          <w:numId w:val="4"/>
        </w:numPr>
        <w:ind w:left="993"/>
      </w:pPr>
      <w:r w:rsidRPr="00D109DA">
        <w:t>“Overbridge. Lifts and stairs to platform and then to Jones Street to the right.”</w:t>
      </w:r>
    </w:p>
    <w:p w14:paraId="6343C1E0" w14:textId="336B6333" w:rsidR="00094004" w:rsidRPr="00D109DA" w:rsidRDefault="00094004" w:rsidP="00D109DA">
      <w:pPr>
        <w:pStyle w:val="Listparagraphbullets"/>
        <w:numPr>
          <w:ilvl w:val="1"/>
          <w:numId w:val="4"/>
        </w:numPr>
        <w:ind w:left="993"/>
      </w:pPr>
      <w:r w:rsidRPr="00D109DA">
        <w:t>Arriving at Smith Street in lift 1:</w:t>
      </w:r>
    </w:p>
    <w:p w14:paraId="397196D3" w14:textId="345559D6" w:rsidR="00094004" w:rsidRPr="00097442" w:rsidRDefault="00094004" w:rsidP="00D109DA">
      <w:pPr>
        <w:pStyle w:val="Listparagraphbullets"/>
        <w:numPr>
          <w:ilvl w:val="1"/>
          <w:numId w:val="4"/>
        </w:numPr>
        <w:ind w:left="993"/>
      </w:pPr>
      <w:r w:rsidRPr="00D109DA">
        <w:t>“Smith Street</w:t>
      </w:r>
      <w:r w:rsidRPr="00097442">
        <w:t>. Bus stop to the left as you leave the station, passenger pickup to the right.”</w:t>
      </w:r>
    </w:p>
    <w:p w14:paraId="55B3FE6F" w14:textId="77777777" w:rsidR="00094004" w:rsidRDefault="00094004" w:rsidP="00094004">
      <w:pPr>
        <w:pStyle w:val="Heading5"/>
      </w:pPr>
      <w:r>
        <w:t>Regulatory option</w:t>
      </w:r>
    </w:p>
    <w:p w14:paraId="7534C3BC" w14:textId="77777777" w:rsidR="00094004" w:rsidRPr="00097442" w:rsidRDefault="00094004" w:rsidP="00094004">
      <w:pPr>
        <w:keepNext/>
      </w:pPr>
      <w:r>
        <w:t xml:space="preserve">Transport Standards section 13.1 </w:t>
      </w:r>
      <w:r w:rsidRPr="00AE59E0">
        <w:t>would be amended to include the following (including any requirements retained or amended from the status quo)</w:t>
      </w:r>
      <w:r>
        <w:t>.</w:t>
      </w:r>
    </w:p>
    <w:p w14:paraId="0445F438" w14:textId="77777777" w:rsidR="00094004" w:rsidRPr="00097442" w:rsidRDefault="00094004" w:rsidP="00094004">
      <w:r w:rsidRPr="00097442">
        <w:t xml:space="preserve">There are two regulatory options proposed. Both options would </w:t>
      </w:r>
      <w:r>
        <w:t xml:space="preserve">apply </w:t>
      </w:r>
      <w:r w:rsidRPr="00097442">
        <w:t xml:space="preserve">to premises </w:t>
      </w:r>
      <w:r>
        <w:t>(</w:t>
      </w:r>
      <w:r w:rsidRPr="00097442">
        <w:t>except premises which the Premises Standards apply</w:t>
      </w:r>
      <w:r>
        <w:t>)</w:t>
      </w:r>
      <w:r w:rsidRPr="00097442">
        <w:t xml:space="preserve"> and infrastructure </w:t>
      </w:r>
      <w:r>
        <w:t>(</w:t>
      </w:r>
      <w:r w:rsidRPr="00097442">
        <w:t>except airports that do not accept regular public transport services</w:t>
      </w:r>
      <w:r>
        <w:t>)</w:t>
      </w:r>
      <w:r w:rsidRPr="00097442">
        <w:t>.</w:t>
      </w:r>
    </w:p>
    <w:p w14:paraId="0AB6B1A2" w14:textId="77777777" w:rsidR="00094004" w:rsidRPr="00097442" w:rsidRDefault="00094004" w:rsidP="00094004">
      <w:pPr>
        <w:pStyle w:val="Heading5"/>
      </w:pPr>
      <w:r w:rsidRPr="00097442">
        <w:lastRenderedPageBreak/>
        <w:t>Option 1</w:t>
      </w:r>
    </w:p>
    <w:p w14:paraId="1DC94A8D" w14:textId="77777777" w:rsidR="00094004" w:rsidRPr="00097442" w:rsidRDefault="00094004" w:rsidP="00094004">
      <w:r w:rsidRPr="00097442">
        <w:t xml:space="preserve">New requirements in the </w:t>
      </w:r>
      <w:r>
        <w:t>Transport Standards</w:t>
      </w:r>
      <w:r w:rsidRPr="00097442">
        <w:t xml:space="preserve"> would include:</w:t>
      </w:r>
    </w:p>
    <w:p w14:paraId="4E3DCDA0" w14:textId="77777777" w:rsidR="00094004" w:rsidRPr="00097442" w:rsidRDefault="00094004" w:rsidP="00094004">
      <w:pPr>
        <w:pStyle w:val="Listparagraphbullets"/>
        <w:autoSpaceDE w:val="0"/>
        <w:autoSpaceDN w:val="0"/>
        <w:spacing w:after="0"/>
      </w:pPr>
      <w:r w:rsidRPr="00097442">
        <w:t>Lift cars arriving at platform landings must announce the platform number.</w:t>
      </w:r>
    </w:p>
    <w:p w14:paraId="34065B20" w14:textId="77777777" w:rsidR="00094004" w:rsidRDefault="00094004" w:rsidP="00094004">
      <w:pPr>
        <w:pStyle w:val="Listparagraphbullets"/>
        <w:autoSpaceDE w:val="0"/>
        <w:autoSpaceDN w:val="0"/>
        <w:spacing w:after="0"/>
      </w:pPr>
      <w:r w:rsidRPr="00097442">
        <w:t>Lift cars arriving at landings in road reserves, parking or passenger loading areas must announce the name of the street or facility.</w:t>
      </w:r>
    </w:p>
    <w:p w14:paraId="72E2B8F5" w14:textId="77777777" w:rsidR="00094004" w:rsidRPr="00097442" w:rsidRDefault="00094004" w:rsidP="00094004">
      <w:pPr>
        <w:pStyle w:val="Listparagraphbullets"/>
        <w:autoSpaceDE w:val="0"/>
        <w:autoSpaceDN w:val="0"/>
        <w:spacing w:after="0"/>
      </w:pPr>
      <w:r w:rsidRPr="00097442">
        <w:t>Lift cars arriving at overbridges or concourses must announce the level and give succinct instructions directing passengers to exits and to lifts that access other platforms.</w:t>
      </w:r>
    </w:p>
    <w:p w14:paraId="7EDE8324" w14:textId="77777777" w:rsidR="00094004" w:rsidRPr="00097442" w:rsidRDefault="00094004" w:rsidP="00094004">
      <w:pPr>
        <w:pStyle w:val="Heading5"/>
      </w:pPr>
      <w:r w:rsidRPr="00097442">
        <w:t>Option 2</w:t>
      </w:r>
    </w:p>
    <w:p w14:paraId="3959EAE6" w14:textId="77777777" w:rsidR="00094004" w:rsidRPr="00097442" w:rsidRDefault="00094004" w:rsidP="00094004">
      <w:r w:rsidRPr="00097442">
        <w:t xml:space="preserve">New requirements in the </w:t>
      </w:r>
      <w:r>
        <w:t>Transport Standards</w:t>
      </w:r>
      <w:r w:rsidRPr="00097442">
        <w:t xml:space="preserve"> would include:</w:t>
      </w:r>
    </w:p>
    <w:p w14:paraId="499545E8" w14:textId="77777777" w:rsidR="00094004" w:rsidRPr="00097442" w:rsidRDefault="00094004" w:rsidP="00094004">
      <w:pPr>
        <w:pStyle w:val="Listparagraphbullets"/>
        <w:autoSpaceDE w:val="0"/>
        <w:autoSpaceDN w:val="0"/>
        <w:spacing w:after="0"/>
      </w:pPr>
      <w:r w:rsidRPr="00097442">
        <w:t>Lift cars must provide succinct audio information on arriving at landings that permits passengers to confirm where they have arrived and to make basic orientation decisions.</w:t>
      </w:r>
    </w:p>
    <w:p w14:paraId="7EA7B2A3" w14:textId="77777777" w:rsidR="00094004" w:rsidRPr="00097442" w:rsidRDefault="00094004" w:rsidP="00094004">
      <w:r w:rsidRPr="00097442">
        <w:t xml:space="preserve">The </w:t>
      </w:r>
      <w:r>
        <w:t>Transport Standards</w:t>
      </w:r>
      <w:r w:rsidRPr="00097442">
        <w:t xml:space="preserve"> Guidelines and / or The Whole Journey Guide would be updated to include the following guidance for both options:</w:t>
      </w:r>
    </w:p>
    <w:p w14:paraId="027D23DC" w14:textId="77777777" w:rsidR="00094004" w:rsidRPr="00097442" w:rsidRDefault="00094004" w:rsidP="00094004">
      <w:pPr>
        <w:pStyle w:val="Listparagraphbullets"/>
        <w:autoSpaceDE w:val="0"/>
        <w:autoSpaceDN w:val="0"/>
        <w:spacing w:after="0"/>
      </w:pPr>
      <w:r w:rsidRPr="00097442">
        <w:t>On multi-platform infrastructure, lift cars arriving at platform landings should announce the platform number or numbers. This is a valuable location and wayfinding cue for people who have a vision impairment. For the same reason, lift cars arriving at landings in road reserves, parking or passenger loading areas should announce the name of the street or facility.</w:t>
      </w:r>
    </w:p>
    <w:p w14:paraId="15D56027" w14:textId="77777777" w:rsidR="00094004" w:rsidRPr="00097442" w:rsidRDefault="00094004" w:rsidP="00094004">
      <w:pPr>
        <w:pStyle w:val="Listparagraphbullets"/>
        <w:autoSpaceDE w:val="0"/>
        <w:autoSpaceDN w:val="0"/>
        <w:spacing w:after="0"/>
      </w:pPr>
      <w:r w:rsidRPr="00097442">
        <w:t>Lifts arriving at overbridges, subways or concourses should also audibly confirm the place in which they had arrived. Informing passengers with vision or cognitive impairments if the car was a through or turnaround unit would also be of assistance.</w:t>
      </w:r>
    </w:p>
    <w:p w14:paraId="35D6789C" w14:textId="77777777" w:rsidR="00094004" w:rsidRDefault="00094004" w:rsidP="00094004">
      <w:pPr>
        <w:pStyle w:val="Listparagraphbullets"/>
        <w:autoSpaceDE w:val="0"/>
        <w:autoSpaceDN w:val="0"/>
        <w:spacing w:after="0"/>
      </w:pPr>
      <w:r w:rsidRPr="00097442">
        <w:t>If possible, basic orientation instructions should be included in the audio announcement. The verbal information is intended to be succinct rather than detailed.</w:t>
      </w:r>
    </w:p>
    <w:p w14:paraId="7FDDCB3D" w14:textId="77777777" w:rsidR="00094004" w:rsidRDefault="00094004" w:rsidP="00094004">
      <w:pPr>
        <w:pStyle w:val="Listparagraphbullets"/>
        <w:autoSpaceDE w:val="0"/>
        <w:autoSpaceDN w:val="0"/>
        <w:spacing w:after="0"/>
      </w:pPr>
      <w:r w:rsidRPr="00097442">
        <w:t>Announcements should be succinct, not more than five to ten seconds, based on the assumption that once the passenger has confirmed their location, they have enough knowledge of the location to safely continue their journey.</w:t>
      </w:r>
    </w:p>
    <w:p w14:paraId="7ACAE9CE" w14:textId="77777777" w:rsidR="00094004" w:rsidRDefault="00094004" w:rsidP="00094004">
      <w:pPr>
        <w:pStyle w:val="Listparagraphbullets"/>
        <w:autoSpaceDE w:val="0"/>
        <w:autoSpaceDN w:val="0"/>
        <w:spacing w:after="0"/>
      </w:pPr>
      <w:r>
        <w:t>An example scenario would also be included in the guidance.</w:t>
      </w:r>
    </w:p>
    <w:p w14:paraId="55786D69" w14:textId="77777777" w:rsidR="00094004" w:rsidRDefault="00094004" w:rsidP="00094004"/>
    <w:p w14:paraId="080A2C71" w14:textId="31CAA77B" w:rsidR="00094004" w:rsidRDefault="00094004" w:rsidP="006F65FB">
      <w:pPr>
        <w:pStyle w:val="Heading3"/>
        <w:numPr>
          <w:ilvl w:val="0"/>
          <w:numId w:val="66"/>
        </w:numPr>
        <w:ind w:left="567" w:hanging="567"/>
      </w:pPr>
      <w:bookmarkStart w:id="862" w:name="_Toc113956262"/>
      <w:bookmarkStart w:id="863" w:name="_Toc127351838"/>
      <w:bookmarkStart w:id="864" w:name="_Toc130914516"/>
      <w:bookmarkStart w:id="865" w:name="_Toc140239810"/>
      <w:r>
        <w:t>Lifts: emergency communication in lift cars</w:t>
      </w:r>
      <w:bookmarkEnd w:id="862"/>
      <w:bookmarkEnd w:id="863"/>
      <w:bookmarkEnd w:id="864"/>
      <w:bookmarkEnd w:id="865"/>
    </w:p>
    <w:p w14:paraId="09578F9F" w14:textId="77777777" w:rsidR="00094004" w:rsidRDefault="00094004" w:rsidP="00094004">
      <w:pPr>
        <w:pStyle w:val="Heading4"/>
      </w:pPr>
      <w:r>
        <w:t>Status quo</w:t>
      </w:r>
    </w:p>
    <w:p w14:paraId="7F2D6C72" w14:textId="77777777" w:rsidR="00094004" w:rsidRPr="002A7AC6" w:rsidRDefault="00094004" w:rsidP="00094004">
      <w:r w:rsidRPr="002A7AC6">
        <w:t xml:space="preserve">No changes to the </w:t>
      </w:r>
      <w:r>
        <w:t>Transport Standards</w:t>
      </w:r>
      <w:r w:rsidRPr="002A7AC6">
        <w:t xml:space="preserve"> or guidance would be made. The </w:t>
      </w:r>
      <w:r>
        <w:t>Transport Standards s</w:t>
      </w:r>
      <w:r w:rsidRPr="002A7AC6">
        <w:t>ection 13.1 would remain unchanged.</w:t>
      </w:r>
    </w:p>
    <w:p w14:paraId="0CA65FA2" w14:textId="77777777" w:rsidR="00094004" w:rsidRPr="002A7AC6" w:rsidRDefault="00094004" w:rsidP="00094004">
      <w:pPr>
        <w:ind w:left="567"/>
        <w:rPr>
          <w:b/>
        </w:rPr>
      </w:pPr>
      <w:r w:rsidRPr="002A7AC6">
        <w:rPr>
          <w:b/>
        </w:rPr>
        <w:t>13.1</w:t>
      </w:r>
      <w:r w:rsidRPr="002A7AC6">
        <w:rPr>
          <w:b/>
        </w:rPr>
        <w:tab/>
        <w:t>Compliance with Australian Standard</w:t>
      </w:r>
      <w:r>
        <w:rPr>
          <w:b/>
        </w:rPr>
        <w:t>—</w:t>
      </w:r>
      <w:r w:rsidRPr="002A7AC6">
        <w:rPr>
          <w:b/>
        </w:rPr>
        <w:t>premises and infrastructure</w:t>
      </w:r>
    </w:p>
    <w:p w14:paraId="65AF7409" w14:textId="77777777" w:rsidR="00094004" w:rsidRPr="002A7AC6" w:rsidRDefault="00094004" w:rsidP="00094004">
      <w:pPr>
        <w:ind w:left="567"/>
      </w:pPr>
      <w:r w:rsidRPr="002A7AC6">
        <w:t>Lift facilities must comply with AS1735.12 (1999)</w:t>
      </w:r>
    </w:p>
    <w:p w14:paraId="1703613A" w14:textId="77777777" w:rsidR="00094004" w:rsidRPr="002A7AC6" w:rsidRDefault="00094004" w:rsidP="00094004">
      <w:pPr>
        <w:ind w:left="567"/>
      </w:pPr>
      <w:r>
        <w:t>This s</w:t>
      </w:r>
      <w:r w:rsidRPr="002A7AC6">
        <w:t>ection pertains to premises, except premises to which the Premises Standards apply and infrastructure, except airports that do not accepts regular public transport services.</w:t>
      </w:r>
    </w:p>
    <w:p w14:paraId="77B5AD62" w14:textId="77777777" w:rsidR="00094004" w:rsidRDefault="00094004" w:rsidP="00094004">
      <w:pPr>
        <w:pStyle w:val="Heading5"/>
      </w:pPr>
      <w:r w:rsidRPr="002A7AC6">
        <w:t>Non-</w:t>
      </w:r>
      <w:r>
        <w:t>Regulatory option</w:t>
      </w:r>
    </w:p>
    <w:p w14:paraId="0FC9751A" w14:textId="77777777" w:rsidR="00094004" w:rsidRPr="002A7AC6" w:rsidRDefault="00094004" w:rsidP="00094004">
      <w:r w:rsidRPr="002A7AC6">
        <w:t xml:space="preserve">The </w:t>
      </w:r>
      <w:r>
        <w:t>Transport Standards</w:t>
      </w:r>
      <w:r w:rsidRPr="002A7AC6">
        <w:t xml:space="preserve"> Guidelines and / or The Whole Journey Guide would be updated to include best practice guidance for emergency communication systems in lift cars to ensure deaf, hard of hearing, speech impaired or non-verbal passengers are able to communicate with staff in an emergency and receive a message confirming their call.</w:t>
      </w:r>
    </w:p>
    <w:p w14:paraId="3E9E1A85" w14:textId="77777777" w:rsidR="00094004" w:rsidRPr="002A7AC6" w:rsidRDefault="00094004" w:rsidP="00094004">
      <w:r w:rsidRPr="002A7AC6">
        <w:lastRenderedPageBreak/>
        <w:t>The advice would pertain to premises (except premises to which the Premises Standards apply) and infrastructure (except airports that do not accept regular public transport services).</w:t>
      </w:r>
    </w:p>
    <w:p w14:paraId="526C435F" w14:textId="77777777" w:rsidR="00094004" w:rsidRPr="002A7AC6" w:rsidRDefault="00094004" w:rsidP="00094004">
      <w:pPr>
        <w:keepNext/>
      </w:pPr>
      <w:r w:rsidRPr="002A7AC6">
        <w:t>Specific guidance may include the following:</w:t>
      </w:r>
    </w:p>
    <w:p w14:paraId="1E61724C" w14:textId="77777777" w:rsidR="00094004" w:rsidRPr="002A7AC6" w:rsidRDefault="00094004" w:rsidP="00094004">
      <w:pPr>
        <w:pStyle w:val="Listparagraphbullets"/>
        <w:autoSpaceDE w:val="0"/>
        <w:autoSpaceDN w:val="0"/>
        <w:spacing w:after="0"/>
      </w:pPr>
      <w:r w:rsidRPr="002A7AC6">
        <w:t xml:space="preserve">Emergency communication systems in lift cars should comply with </w:t>
      </w:r>
      <w:r w:rsidRPr="002A7AC6">
        <w:rPr>
          <w:bCs/>
        </w:rPr>
        <w:t xml:space="preserve">AS1428.5 (2010) </w:t>
      </w:r>
      <w:r w:rsidRPr="002A7AC6">
        <w:rPr>
          <w:bCs/>
          <w:i/>
        </w:rPr>
        <w:t>Clause 6.4</w:t>
      </w:r>
      <w:r w:rsidRPr="002A7AC6">
        <w:rPr>
          <w:bCs/>
        </w:rPr>
        <w:t xml:space="preserve"> </w:t>
      </w:r>
      <w:r w:rsidRPr="002A7AC6">
        <w:t xml:space="preserve">and </w:t>
      </w:r>
      <w:r w:rsidRPr="002A7AC6">
        <w:rPr>
          <w:bCs/>
        </w:rPr>
        <w:t xml:space="preserve">AS1735.12 (2020) </w:t>
      </w:r>
      <w:r w:rsidRPr="002A7AC6">
        <w:rPr>
          <w:bCs/>
          <w:i/>
        </w:rPr>
        <w:t>Clause 5.4.2.5</w:t>
      </w:r>
      <w:r w:rsidRPr="002A7AC6">
        <w:t xml:space="preserve">. Deaf, hard of </w:t>
      </w:r>
      <w:r>
        <w:t>hearing, speech impaired or non</w:t>
      </w:r>
      <w:r>
        <w:noBreakHyphen/>
      </w:r>
      <w:r w:rsidRPr="002A7AC6">
        <w:t>verbal passengers travelling in a lift car should be as able to communicate with staff in an emergency in an equivalent means to other passengers. If any of these passengers initiate the emergency call, they should receive a message or signal confirming their call has been received and will be acted upon.</w:t>
      </w:r>
    </w:p>
    <w:p w14:paraId="1B6A9ED6" w14:textId="77777777" w:rsidR="00094004" w:rsidRDefault="00094004" w:rsidP="00094004">
      <w:pPr>
        <w:pStyle w:val="Listparagraphbullets"/>
        <w:autoSpaceDE w:val="0"/>
        <w:autoSpaceDN w:val="0"/>
        <w:spacing w:after="0"/>
      </w:pPr>
      <w:r w:rsidRPr="002A7AC6">
        <w:t>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w:t>
      </w:r>
    </w:p>
    <w:p w14:paraId="645C2752" w14:textId="77777777" w:rsidR="00094004" w:rsidRPr="002A7AC6" w:rsidRDefault="00094004" w:rsidP="00094004">
      <w:pPr>
        <w:pStyle w:val="Listparagraphbullets"/>
        <w:autoSpaceDE w:val="0"/>
        <w:autoSpaceDN w:val="0"/>
        <w:spacing w:after="0"/>
      </w:pPr>
      <w:r w:rsidRPr="002A7AC6">
        <w:t>If the communication system involves an induction loop system the symbol for hearing should be located adjacent to the microphone.</w:t>
      </w:r>
    </w:p>
    <w:p w14:paraId="3E5D5BBE" w14:textId="77777777" w:rsidR="00094004" w:rsidRDefault="00094004" w:rsidP="00094004">
      <w:pPr>
        <w:pStyle w:val="Heading5"/>
      </w:pPr>
      <w:r>
        <w:t>Regulatory option</w:t>
      </w:r>
    </w:p>
    <w:p w14:paraId="1E955188" w14:textId="77777777" w:rsidR="00094004" w:rsidRPr="002A7AC6" w:rsidRDefault="00094004" w:rsidP="00094004">
      <w:r>
        <w:t xml:space="preserve">Transport Standards section 13.1 </w:t>
      </w:r>
      <w:r w:rsidRPr="00AE59E0">
        <w:t>would be amended to include the following (including any requirements retained or amended from the status quo):</w:t>
      </w:r>
    </w:p>
    <w:p w14:paraId="61658926" w14:textId="77777777" w:rsidR="00094004" w:rsidRPr="002A7AC6" w:rsidRDefault="00094004" w:rsidP="00094004">
      <w:pPr>
        <w:pStyle w:val="Listparagraphbullets"/>
        <w:autoSpaceDE w:val="0"/>
        <w:autoSpaceDN w:val="0"/>
        <w:spacing w:after="0"/>
      </w:pPr>
      <w:r w:rsidRPr="002A7AC6">
        <w:t xml:space="preserve">Emergency communication systems in lift cars must comply with AS1428.5 (2021) </w:t>
      </w:r>
      <w:r w:rsidRPr="002A7AC6">
        <w:rPr>
          <w:i/>
        </w:rPr>
        <w:t>Clauses 2.4 and 3.2</w:t>
      </w:r>
      <w:r w:rsidRPr="002A7AC6">
        <w:t xml:space="preserve"> and AS1735.12 (2020) </w:t>
      </w:r>
      <w:r w:rsidRPr="002A7AC6">
        <w:rPr>
          <w:i/>
        </w:rPr>
        <w:t>Clause 5.4.2.5</w:t>
      </w:r>
      <w:r w:rsidRPr="002A7AC6">
        <w:t>.</w:t>
      </w:r>
    </w:p>
    <w:p w14:paraId="0F4B603B" w14:textId="77777777" w:rsidR="00094004" w:rsidRPr="002A7AC6" w:rsidRDefault="00094004" w:rsidP="00094004">
      <w:r w:rsidRPr="002A7AC6">
        <w:t>The new requirements would apply to premises (except premises to which the Premises Standards apply) and infrastructure (except airports that do not accept regular public transport services).</w:t>
      </w:r>
    </w:p>
    <w:p w14:paraId="59B780B6"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 and include guidance for premises (except premises to which the Premises Standards apply) and infrastructure (except airports that do not accept regular public transport services).</w:t>
      </w:r>
    </w:p>
    <w:p w14:paraId="6FD1B8AE" w14:textId="77777777" w:rsidR="00094004" w:rsidRPr="002A7AC6" w:rsidRDefault="00094004" w:rsidP="00094004">
      <w:r w:rsidRPr="002A7AC6">
        <w:t>Specific guidance may include the following:</w:t>
      </w:r>
    </w:p>
    <w:p w14:paraId="5BA6E0FF" w14:textId="77777777" w:rsidR="00094004" w:rsidRDefault="00094004" w:rsidP="00094004">
      <w:pPr>
        <w:pStyle w:val="Listparagraphbullets"/>
        <w:autoSpaceDE w:val="0"/>
        <w:autoSpaceDN w:val="0"/>
        <w:spacing w:after="0"/>
      </w:pPr>
      <w:r w:rsidRPr="002A7AC6">
        <w:t>Deaf, hard of hearing, speech impaired or non-verbal passengers travelling in a lift car should be as able to communicate with staff in an emergency in an equivalent means to other passengers. If any of these passengers initiate the emergency call, they should receive a message or signal confirming their call has been received and will be acted upon.</w:t>
      </w:r>
    </w:p>
    <w:p w14:paraId="2C128528" w14:textId="77777777" w:rsidR="00094004" w:rsidRDefault="00094004" w:rsidP="00094004">
      <w:pPr>
        <w:pStyle w:val="Listparagraphbullets"/>
        <w:autoSpaceDE w:val="0"/>
        <w:autoSpaceDN w:val="0"/>
        <w:spacing w:after="0"/>
      </w:pPr>
      <w:r w:rsidRPr="002A7AC6">
        <w:t>This confirmation should be verbal but also include a text message located adjacent to the emergency communication system. The text should state 'help coming' or similar and illuminate on the control room's receipt of the emergency call by the passenger. This is in excess of the requirements of AS1735.12 (2020) but will be of reassurance for passengers not able to verbally interact with staff over the intercom system.</w:t>
      </w:r>
    </w:p>
    <w:p w14:paraId="5D8B264C" w14:textId="77777777" w:rsidR="00094004" w:rsidRDefault="00094004" w:rsidP="00094004">
      <w:pPr>
        <w:pStyle w:val="Listparagraphbullets"/>
        <w:autoSpaceDE w:val="0"/>
        <w:autoSpaceDN w:val="0"/>
        <w:spacing w:after="0"/>
      </w:pPr>
      <w:r w:rsidRPr="002A7AC6">
        <w:t>If the communication system involves an induction loop system, the symbol for hearing should be located adjacent to the microphone.</w:t>
      </w:r>
    </w:p>
    <w:p w14:paraId="3E49187D" w14:textId="77777777" w:rsidR="00094004" w:rsidRDefault="00094004" w:rsidP="00094004"/>
    <w:p w14:paraId="153D35F3" w14:textId="026FFF1C" w:rsidR="00094004" w:rsidRDefault="00094004" w:rsidP="006F65FB">
      <w:pPr>
        <w:pStyle w:val="Heading3"/>
        <w:numPr>
          <w:ilvl w:val="0"/>
          <w:numId w:val="66"/>
        </w:numPr>
        <w:ind w:left="567" w:hanging="567"/>
      </w:pPr>
      <w:bookmarkStart w:id="866" w:name="_Toc113956263"/>
      <w:bookmarkStart w:id="867" w:name="_Toc127351839"/>
      <w:bookmarkStart w:id="868" w:name="_Toc130914517"/>
      <w:bookmarkStart w:id="869" w:name="_Toc140239811"/>
      <w:r>
        <w:lastRenderedPageBreak/>
        <w:t>Lifts: reference for lift car communication and information systems</w:t>
      </w:r>
      <w:bookmarkEnd w:id="866"/>
      <w:bookmarkEnd w:id="867"/>
      <w:bookmarkEnd w:id="868"/>
      <w:bookmarkEnd w:id="869"/>
    </w:p>
    <w:p w14:paraId="684B6A24" w14:textId="77777777" w:rsidR="00094004" w:rsidRDefault="00094004" w:rsidP="00094004">
      <w:pPr>
        <w:pStyle w:val="Heading4"/>
      </w:pPr>
      <w:r>
        <w:t>Status quo</w:t>
      </w:r>
    </w:p>
    <w:p w14:paraId="3033D021" w14:textId="77777777" w:rsidR="00094004" w:rsidRPr="002A7AC6" w:rsidRDefault="00094004" w:rsidP="00094004">
      <w:pPr>
        <w:keepNext/>
      </w:pPr>
      <w:r w:rsidRPr="002A7AC6">
        <w:t xml:space="preserve">No changes to the </w:t>
      </w:r>
      <w:r>
        <w:t>Transport Standards</w:t>
      </w:r>
      <w:r w:rsidRPr="002A7AC6">
        <w:t xml:space="preserve"> or guidance would be made. The </w:t>
      </w:r>
      <w:r>
        <w:t>Transport Standards s</w:t>
      </w:r>
      <w:r w:rsidRPr="002A7AC6">
        <w:t>ection 13.1 would remain unchanged.</w:t>
      </w:r>
    </w:p>
    <w:p w14:paraId="4EC44ECA" w14:textId="77777777" w:rsidR="00094004" w:rsidRPr="002A7AC6" w:rsidRDefault="00094004" w:rsidP="00094004">
      <w:pPr>
        <w:keepNext/>
        <w:ind w:left="567"/>
        <w:rPr>
          <w:b/>
        </w:rPr>
      </w:pPr>
      <w:r w:rsidRPr="002A7AC6">
        <w:rPr>
          <w:b/>
        </w:rPr>
        <w:t>13.1</w:t>
      </w:r>
      <w:r w:rsidRPr="002A7AC6">
        <w:rPr>
          <w:b/>
        </w:rPr>
        <w:tab/>
        <w:t>Compliance with Australian Standard</w:t>
      </w:r>
      <w:r>
        <w:rPr>
          <w:b/>
        </w:rPr>
        <w:t>—</w:t>
      </w:r>
      <w:r w:rsidRPr="002A7AC6">
        <w:rPr>
          <w:b/>
        </w:rPr>
        <w:t>premises and infrastructure</w:t>
      </w:r>
    </w:p>
    <w:p w14:paraId="5C0F7C30" w14:textId="77777777" w:rsidR="00094004" w:rsidRPr="002A7AC6" w:rsidRDefault="00094004" w:rsidP="00094004">
      <w:pPr>
        <w:keepNext/>
        <w:ind w:left="567"/>
      </w:pPr>
      <w:r w:rsidRPr="002A7AC6">
        <w:t>Lift facilities must comply with AS1735.12 (1999)</w:t>
      </w:r>
    </w:p>
    <w:p w14:paraId="591C315A" w14:textId="77777777" w:rsidR="00094004" w:rsidRPr="002A7AC6" w:rsidRDefault="00094004" w:rsidP="00094004">
      <w:pPr>
        <w:ind w:left="567"/>
      </w:pPr>
      <w:r w:rsidRPr="002A7AC6">
        <w:t>Thi</w:t>
      </w:r>
      <w:r>
        <w:t>s section pertains to premises (</w:t>
      </w:r>
      <w:r w:rsidRPr="002A7AC6">
        <w:t>except premises to which the Premises Standards apply</w:t>
      </w:r>
      <w:r>
        <w:t>)</w:t>
      </w:r>
      <w:r w:rsidRPr="002A7AC6">
        <w:t xml:space="preserve"> and infrastructure</w:t>
      </w:r>
      <w:r>
        <w:t xml:space="preserve"> (e</w:t>
      </w:r>
      <w:r w:rsidRPr="002A7AC6">
        <w:t>xcept airports that do not accept regular public Transport services</w:t>
      </w:r>
      <w:r>
        <w:t>)</w:t>
      </w:r>
      <w:r w:rsidRPr="002A7AC6">
        <w:t>.</w:t>
      </w:r>
    </w:p>
    <w:p w14:paraId="299E2376" w14:textId="77777777" w:rsidR="00094004" w:rsidRDefault="00094004" w:rsidP="00094004">
      <w:pPr>
        <w:pStyle w:val="Heading5"/>
      </w:pPr>
      <w:r w:rsidRPr="002A7AC6">
        <w:t>Non-</w:t>
      </w:r>
      <w:r>
        <w:t>Regulatory option</w:t>
      </w:r>
    </w:p>
    <w:p w14:paraId="32C33092" w14:textId="77777777" w:rsidR="00094004" w:rsidRPr="002A7AC6" w:rsidRDefault="00094004" w:rsidP="00094004">
      <w:r w:rsidRPr="002A7AC6">
        <w:t xml:space="preserve">The </w:t>
      </w:r>
      <w:r>
        <w:t>Transport Standards</w:t>
      </w:r>
      <w:r w:rsidRPr="002A7AC6">
        <w:t xml:space="preserve"> Guidelines and /or The Whole Journey Guide would be updated to include best practice guidance on accessible lift car communication and information systems and advise that deaf passengers should receive the same audible information in the lift car as other passengers.</w:t>
      </w:r>
    </w:p>
    <w:p w14:paraId="052B2E8E" w14:textId="77777777" w:rsidR="00094004" w:rsidRDefault="00094004" w:rsidP="00094004">
      <w:r w:rsidRPr="002A7AC6">
        <w:t>The advice would pertain to premises (except premises to which the Premises Standards apply) and infrastructure (except airports that do not accept regular public transport services).</w:t>
      </w:r>
    </w:p>
    <w:p w14:paraId="64A5A512" w14:textId="77777777" w:rsidR="00094004" w:rsidRPr="002A7AC6" w:rsidRDefault="00094004" w:rsidP="00094004">
      <w:pPr>
        <w:keepNext/>
      </w:pPr>
      <w:r>
        <w:t>Specific guidance may include:</w:t>
      </w:r>
    </w:p>
    <w:p w14:paraId="41BA992D" w14:textId="77777777" w:rsidR="00094004" w:rsidRPr="002A7AC6" w:rsidRDefault="00094004" w:rsidP="00094004">
      <w:pPr>
        <w:pStyle w:val="Listparagraphbullets"/>
        <w:autoSpaceDE w:val="0"/>
        <w:autoSpaceDN w:val="0"/>
        <w:spacing w:after="0"/>
      </w:pPr>
      <w:r w:rsidRPr="002A7AC6">
        <w:t>An in-car assistive listening (hearing loop) system should be installed to allow people who are hard of hearing and wearing hearing aids to receive audio messages broadcasted in the car and to communicate externally over the help phone.</w:t>
      </w:r>
    </w:p>
    <w:p w14:paraId="2E9333EE" w14:textId="77777777" w:rsidR="00094004" w:rsidRPr="002A7AC6" w:rsidRDefault="00094004" w:rsidP="00094004">
      <w:pPr>
        <w:pStyle w:val="Listparagraphbullets"/>
        <w:autoSpaceDE w:val="0"/>
        <w:autoSpaceDN w:val="0"/>
        <w:spacing w:after="0"/>
      </w:pPr>
      <w:r w:rsidRPr="002A7AC6">
        <w:t>If service-related information that is being broadcast on an external public address system is simultaneously broadcasted in lift cars, the car should also relay these announcements via an induction loop system.</w:t>
      </w:r>
    </w:p>
    <w:p w14:paraId="603C1078" w14:textId="77777777" w:rsidR="00094004" w:rsidRDefault="00094004" w:rsidP="00094004">
      <w:pPr>
        <w:pStyle w:val="Listparagraphbullets"/>
        <w:autoSpaceDE w:val="0"/>
        <w:autoSpaceDN w:val="0"/>
        <w:spacing w:after="0"/>
      </w:pPr>
      <w:r w:rsidRPr="002A7AC6">
        <w:t xml:space="preserve">The international symbol for deafness as per </w:t>
      </w:r>
      <w:r w:rsidRPr="002A7AC6">
        <w:rPr>
          <w:bCs/>
        </w:rPr>
        <w:t xml:space="preserve">AS1428.1 (2009) </w:t>
      </w:r>
      <w:r w:rsidRPr="002A7AC6">
        <w:rPr>
          <w:bCs/>
          <w:i/>
        </w:rPr>
        <w:t>Design for access and mobility, Clause 8.2.2</w:t>
      </w:r>
      <w:r w:rsidRPr="002A7AC6">
        <w:t xml:space="preserve"> should be displayed where a hearing loop is provided.</w:t>
      </w:r>
    </w:p>
    <w:p w14:paraId="7B50B1B8" w14:textId="77777777" w:rsidR="00094004" w:rsidRDefault="00094004" w:rsidP="00094004">
      <w:pPr>
        <w:pStyle w:val="Heading5"/>
      </w:pPr>
      <w:r>
        <w:t>Regulatory option</w:t>
      </w:r>
    </w:p>
    <w:p w14:paraId="61BECFC9" w14:textId="77777777" w:rsidR="00094004" w:rsidRPr="002A7AC6" w:rsidRDefault="00094004" w:rsidP="00094004">
      <w:r>
        <w:t xml:space="preserve">Transport Standards section 13.1 </w:t>
      </w:r>
      <w:r w:rsidRPr="00AE59E0">
        <w:t>would be amended to include the following (including any requirements retained or amended from the status quo):</w:t>
      </w:r>
    </w:p>
    <w:p w14:paraId="70363A3E" w14:textId="77777777" w:rsidR="00094004" w:rsidRPr="002A7AC6" w:rsidRDefault="00094004" w:rsidP="00094004">
      <w:pPr>
        <w:pStyle w:val="Listparagraphbullets"/>
        <w:autoSpaceDE w:val="0"/>
        <w:autoSpaceDN w:val="0"/>
        <w:spacing w:after="0"/>
      </w:pPr>
      <w:r w:rsidRPr="002A7AC6">
        <w:t xml:space="preserve">If service-related information that is being broadcast on an external public address system is simultaneously broadcasted in lift cars, the car must also relay these announcements via an induction loop system as described in AS1735.12 (2020) </w:t>
      </w:r>
      <w:r w:rsidRPr="002A7AC6">
        <w:rPr>
          <w:i/>
        </w:rPr>
        <w:t>Clause 5.4.2.5.4</w:t>
      </w:r>
      <w:r w:rsidRPr="002A7AC6">
        <w:t>.</w:t>
      </w:r>
    </w:p>
    <w:p w14:paraId="6B654FC3" w14:textId="77777777" w:rsidR="00094004" w:rsidRPr="002A7AC6" w:rsidRDefault="00094004" w:rsidP="00094004">
      <w:pPr>
        <w:pStyle w:val="Listparagraphbullets"/>
        <w:autoSpaceDE w:val="0"/>
        <w:autoSpaceDN w:val="0"/>
        <w:spacing w:after="0"/>
      </w:pPr>
      <w:r w:rsidRPr="002A7AC6">
        <w:t xml:space="preserve">Lift car communication systems, including those that announce the level at which the car has arrived, must comply with AS1735.12 (2020) </w:t>
      </w:r>
      <w:r w:rsidRPr="002A7AC6">
        <w:rPr>
          <w:i/>
        </w:rPr>
        <w:t>Clause 5.4.2.5.4</w:t>
      </w:r>
      <w:r w:rsidRPr="002A7AC6">
        <w:t>.</w:t>
      </w:r>
    </w:p>
    <w:p w14:paraId="28B1D3C4" w14:textId="77777777" w:rsidR="00094004" w:rsidRDefault="00094004" w:rsidP="00094004">
      <w:pPr>
        <w:pStyle w:val="Listparagraphbullets"/>
        <w:autoSpaceDE w:val="0"/>
        <w:autoSpaceDN w:val="0"/>
        <w:spacing w:after="0"/>
      </w:pPr>
      <w:r w:rsidRPr="002A7AC6">
        <w:t xml:space="preserve">The international symbol for deafness as per AS1428.1 (2009) </w:t>
      </w:r>
      <w:r w:rsidRPr="002A7AC6">
        <w:rPr>
          <w:i/>
        </w:rPr>
        <w:t>Design for access and mobility,</w:t>
      </w:r>
      <w:r w:rsidRPr="002A7AC6">
        <w:t xml:space="preserve"> </w:t>
      </w:r>
      <w:r w:rsidRPr="002A7AC6">
        <w:rPr>
          <w:i/>
        </w:rPr>
        <w:t>Clause 8.2.2,</w:t>
      </w:r>
      <w:r w:rsidRPr="002A7AC6">
        <w:t xml:space="preserve"> shall be displayed where a hearing loop is provided.</w:t>
      </w:r>
    </w:p>
    <w:p w14:paraId="4915DDA5" w14:textId="77777777" w:rsidR="00094004" w:rsidRPr="002A7AC6" w:rsidRDefault="00094004" w:rsidP="00094004">
      <w:r w:rsidRPr="002A7AC6">
        <w:t>This new section would apply to premises (except premises to which the Premises Standards apply) and infrastructure (except airports that do not accept regular public transport services).</w:t>
      </w:r>
    </w:p>
    <w:p w14:paraId="66E4DBCE" w14:textId="77777777" w:rsidR="00094004" w:rsidRPr="002A7AC6" w:rsidRDefault="00094004" w:rsidP="00094004">
      <w:r w:rsidRPr="002A7AC6">
        <w:t xml:space="preserve">The </w:t>
      </w:r>
      <w:r>
        <w:t>Transport Standards</w:t>
      </w:r>
      <w:r w:rsidRPr="002A7AC6">
        <w:t xml:space="preserve"> Guidelines and The Whole Journey Guide would also be updated to reflect the new regulatory requirements.</w:t>
      </w:r>
    </w:p>
    <w:p w14:paraId="74D15802" w14:textId="77777777" w:rsidR="00094004" w:rsidRPr="002A7AC6" w:rsidRDefault="00094004" w:rsidP="00094004">
      <w:pPr>
        <w:keepNext/>
      </w:pPr>
      <w:r>
        <w:lastRenderedPageBreak/>
        <w:t>Specific guidance may include:</w:t>
      </w:r>
    </w:p>
    <w:p w14:paraId="1E2A2D54" w14:textId="77777777" w:rsidR="00094004" w:rsidRDefault="00094004" w:rsidP="00094004">
      <w:pPr>
        <w:pStyle w:val="Listparagraphbullets"/>
        <w:autoSpaceDE w:val="0"/>
        <w:autoSpaceDN w:val="0"/>
        <w:spacing w:after="0"/>
      </w:pPr>
      <w:r w:rsidRPr="002A7AC6">
        <w:t>People who are hard of hearing and who wear hearing aids benefit from an in-car induction loop system that allows them to receive audio messages broadcast in the car such as the announcement of the level at which the car has arrived. If the car has the capacity to broadcast service-related information that is also being broadcast over an external public address system, these announcements should also be captured by the assistive listening system.</w:t>
      </w:r>
    </w:p>
    <w:p w14:paraId="5319B8DF" w14:textId="77777777" w:rsidR="00094004" w:rsidRDefault="00094004" w:rsidP="00094004"/>
    <w:p w14:paraId="1CD6162F" w14:textId="3EE77175" w:rsidR="00094004" w:rsidRDefault="00094004" w:rsidP="006F65FB">
      <w:pPr>
        <w:pStyle w:val="Heading3"/>
        <w:numPr>
          <w:ilvl w:val="0"/>
          <w:numId w:val="66"/>
        </w:numPr>
        <w:ind w:left="567" w:hanging="567"/>
      </w:pPr>
      <w:bookmarkStart w:id="870" w:name="_Toc113956264"/>
      <w:bookmarkStart w:id="871" w:name="_Toc127351840"/>
      <w:bookmarkStart w:id="872" w:name="_Toc130914518"/>
      <w:bookmarkStart w:id="873" w:name="_Toc140239812"/>
      <w:r>
        <w:t>Information and communication technologies (ICT) procurement</w:t>
      </w:r>
      <w:bookmarkEnd w:id="870"/>
      <w:bookmarkEnd w:id="871"/>
      <w:bookmarkEnd w:id="872"/>
      <w:bookmarkEnd w:id="873"/>
    </w:p>
    <w:p w14:paraId="5C1DD460" w14:textId="77777777" w:rsidR="00094004" w:rsidRDefault="00094004" w:rsidP="00094004">
      <w:pPr>
        <w:pStyle w:val="Heading4"/>
      </w:pPr>
      <w:r>
        <w:t>Status quo</w:t>
      </w:r>
    </w:p>
    <w:p w14:paraId="7F6955C4" w14:textId="77777777" w:rsidR="00094004" w:rsidRDefault="00094004" w:rsidP="00094004">
      <w:r w:rsidRPr="002A7AC6">
        <w:t xml:space="preserve">The </w:t>
      </w:r>
      <w:r>
        <w:t>Transport Standards</w:t>
      </w:r>
      <w:r w:rsidRPr="002A7AC6">
        <w:t xml:space="preserve"> would remain unchanged and no new guidance would be issued.</w:t>
      </w:r>
    </w:p>
    <w:p w14:paraId="070C39D1" w14:textId="77777777" w:rsidR="00094004" w:rsidRPr="002A7AC6" w:rsidRDefault="00094004" w:rsidP="00094004">
      <w:r w:rsidRPr="002A7AC6">
        <w:t xml:space="preserve">The </w:t>
      </w:r>
      <w:r>
        <w:t>Transport Standards</w:t>
      </w:r>
      <w:r w:rsidRPr="002A7AC6">
        <w:t xml:space="preserve"> would continue to be silent on requirements for ICT hardware, services and software procurement.</w:t>
      </w:r>
    </w:p>
    <w:p w14:paraId="7B12B2E8" w14:textId="77777777" w:rsidR="00094004" w:rsidRPr="002A7AC6" w:rsidRDefault="00094004" w:rsidP="00094004">
      <w:pPr>
        <w:pStyle w:val="Heading5"/>
      </w:pPr>
      <w:r w:rsidRPr="002A7AC6">
        <w:t>Non-regulatory options</w:t>
      </w:r>
    </w:p>
    <w:p w14:paraId="17666006" w14:textId="77777777" w:rsidR="00094004" w:rsidRPr="002A7AC6" w:rsidRDefault="00094004" w:rsidP="00094004">
      <w:r w:rsidRPr="002A7AC6">
        <w:t xml:space="preserve">The Whole Journey Guide and the </w:t>
      </w:r>
      <w:r>
        <w:t>Transport Standards</w:t>
      </w:r>
      <w:r w:rsidRPr="002A7AC6">
        <w:t xml:space="preserve"> Guidelines would be updated to include guidance for ICT hardware, services and software procurement to provide advice that ICT product accessibility requirements should be considered at procurement and suggest technical standards to adhere to.</w:t>
      </w:r>
    </w:p>
    <w:p w14:paraId="4D7E95D4" w14:textId="77777777" w:rsidR="00094004" w:rsidRPr="002A7AC6" w:rsidRDefault="00094004" w:rsidP="00094004">
      <w:r w:rsidRPr="002A7AC6">
        <w:t>Three non-regulatory options are provided which are based on either performance-based requirements, or varied levels of WCAG compliance and editions of AS</w:t>
      </w:r>
      <w:r>
        <w:t>/</w:t>
      </w:r>
      <w:r w:rsidRPr="002A7AC6">
        <w:t>EN301549. Guidance would pertain to all public transport conveyances, infrastructure and premises to which the Premises Standards do not apply.</w:t>
      </w:r>
    </w:p>
    <w:p w14:paraId="0C46C314" w14:textId="77777777" w:rsidR="00094004" w:rsidRPr="002A7AC6" w:rsidRDefault="00094004" w:rsidP="00094004">
      <w:pPr>
        <w:pStyle w:val="Heading6"/>
      </w:pPr>
      <w:r w:rsidRPr="002A7AC6">
        <w:t>Option 1</w:t>
      </w:r>
    </w:p>
    <w:p w14:paraId="11B6A0AC" w14:textId="77777777" w:rsidR="00094004" w:rsidRDefault="00094004" w:rsidP="00094004">
      <w:r w:rsidRPr="002A7AC6">
        <w:t>This option provides performance-based requirements to ensure ICT procurement is accessible and meets the needs of people with disability. The option also recommends using the requirements of AS/EN301549 (2020) as a guideline for best practice ICT procurement.</w:t>
      </w:r>
    </w:p>
    <w:p w14:paraId="263EA820" w14:textId="77777777" w:rsidR="00094004" w:rsidRPr="002A7AC6" w:rsidRDefault="00094004" w:rsidP="00094004">
      <w:r w:rsidRPr="002A7AC6">
        <w:t>Specific guidance may include the following:</w:t>
      </w:r>
    </w:p>
    <w:p w14:paraId="4CC48B99" w14:textId="77777777" w:rsidR="00094004" w:rsidRPr="002A7AC6" w:rsidRDefault="00094004" w:rsidP="00094004">
      <w:pPr>
        <w:pStyle w:val="Listparagraphbullets"/>
        <w:autoSpaceDE w:val="0"/>
        <w:autoSpaceDN w:val="0"/>
        <w:spacing w:after="0"/>
      </w:pPr>
      <w:r w:rsidRPr="002A7AC6">
        <w:t>Any ICT hardware, services or software intended for public use by a public transport operator or provider should be accessible to people with disability. Various means of achieving this might be considered including:</w:t>
      </w:r>
    </w:p>
    <w:p w14:paraId="2B2C3A5C" w14:textId="77777777" w:rsidR="00094004" w:rsidRPr="002A7AC6" w:rsidRDefault="00094004" w:rsidP="00094004">
      <w:pPr>
        <w:pStyle w:val="Listparagraphbullets"/>
        <w:autoSpaceDE w:val="0"/>
        <w:autoSpaceDN w:val="0"/>
        <w:spacing w:after="0"/>
      </w:pPr>
      <w:r w:rsidRPr="002A7AC6">
        <w:t>Being guided by AS/EN301549 (2020) when procuring products.</w:t>
      </w:r>
    </w:p>
    <w:p w14:paraId="5AC7A3BA" w14:textId="77777777" w:rsidR="00094004" w:rsidRPr="002A7AC6" w:rsidRDefault="00094004" w:rsidP="00094004">
      <w:pPr>
        <w:pStyle w:val="Listparagraphbullets"/>
        <w:autoSpaceDE w:val="0"/>
        <w:autoSpaceDN w:val="0"/>
        <w:spacing w:after="0"/>
      </w:pPr>
      <w:r w:rsidRPr="002A7AC6">
        <w:t>Meeting the requirements of WCAG 2.1 AA for mobile, web and non-web software and where feasible those of WCAG 2.1 AAA.</w:t>
      </w:r>
    </w:p>
    <w:p w14:paraId="37E0FB46" w14:textId="77777777" w:rsidR="00094004" w:rsidRPr="002A7AC6" w:rsidRDefault="00094004" w:rsidP="00094004">
      <w:pPr>
        <w:pStyle w:val="Listparagraphbullets"/>
        <w:autoSpaceDE w:val="0"/>
        <w:autoSpaceDN w:val="0"/>
        <w:spacing w:after="0"/>
      </w:pPr>
      <w:r w:rsidRPr="002A7AC6">
        <w:t>Passengers with disabilities will benefit from the digital technologies if care is taken to ensure that products procured meet access standards from the outset. Retrofitting products that are not fully accessible post procurement is a difficult and often expensive task.</w:t>
      </w:r>
    </w:p>
    <w:p w14:paraId="4D148B10" w14:textId="77777777" w:rsidR="00094004" w:rsidRDefault="00094004" w:rsidP="00094004">
      <w:pPr>
        <w:pStyle w:val="Listparagraphbullets"/>
        <w:autoSpaceDE w:val="0"/>
        <w:autoSpaceDN w:val="0"/>
        <w:spacing w:after="0"/>
      </w:pPr>
      <w:r w:rsidRPr="002A7AC6">
        <w:t>As technology evolves rapidly, operators and providers should always consider using the latest published Australian Standards when procuring ICT products.</w:t>
      </w:r>
    </w:p>
    <w:p w14:paraId="2827CE77" w14:textId="77777777" w:rsidR="00094004" w:rsidRPr="002A7AC6" w:rsidRDefault="00094004" w:rsidP="00094004">
      <w:pPr>
        <w:pStyle w:val="Heading6"/>
      </w:pPr>
      <w:r w:rsidRPr="002A7AC6">
        <w:t>Option 2</w:t>
      </w:r>
    </w:p>
    <w:p w14:paraId="1A28630E" w14:textId="77777777" w:rsidR="00094004" w:rsidRDefault="00094004" w:rsidP="00094004">
      <w:r w:rsidRPr="002A7AC6">
        <w:t>This option encourages meeting compliance with AS/EN301549 (2016)</w:t>
      </w:r>
      <w:r w:rsidRPr="002A7AC6">
        <w:rPr>
          <w:b/>
        </w:rPr>
        <w:t xml:space="preserve"> </w:t>
      </w:r>
      <w:r>
        <w:t>and provides two sub</w:t>
      </w:r>
      <w:r>
        <w:noBreakHyphen/>
      </w:r>
      <w:r w:rsidRPr="002A7AC6">
        <w:t>options in relation to the level of WCAG compliance for operators and providers to meet.</w:t>
      </w:r>
    </w:p>
    <w:p w14:paraId="1A6CCFED" w14:textId="77777777" w:rsidR="00094004" w:rsidRPr="002A7AC6" w:rsidRDefault="00094004" w:rsidP="00094004">
      <w:pPr>
        <w:spacing w:after="120"/>
      </w:pPr>
      <w:r w:rsidRPr="002A7AC6">
        <w:lastRenderedPageBreak/>
        <w:t>Specific guidance may include the following:</w:t>
      </w:r>
    </w:p>
    <w:p w14:paraId="5B7187A5" w14:textId="77777777" w:rsidR="00094004" w:rsidRPr="002A7AC6" w:rsidRDefault="00094004" w:rsidP="00094004">
      <w:pPr>
        <w:pStyle w:val="Listparagraphbullets"/>
        <w:autoSpaceDE w:val="0"/>
        <w:autoSpaceDN w:val="0"/>
        <w:spacing w:after="0"/>
      </w:pPr>
      <w:r w:rsidRPr="002A7AC6">
        <w:t>Procurement of ICT hardware, services and software should comply with AS/EN301549 (2016).</w:t>
      </w:r>
    </w:p>
    <w:p w14:paraId="2D6DA8E6" w14:textId="77777777" w:rsidR="00094004" w:rsidRPr="002A7AC6" w:rsidRDefault="00094004" w:rsidP="00094004">
      <w:pPr>
        <w:pStyle w:val="Listparagraphbullets"/>
        <w:autoSpaceDE w:val="0"/>
        <w:autoSpaceDN w:val="0"/>
        <w:spacing w:after="0"/>
      </w:pPr>
      <w:r w:rsidRPr="002A7AC6">
        <w:t>Specifically, for web bases and non-web software, procurement should meet one of the following WCAG 2.0 requirements:</w:t>
      </w:r>
    </w:p>
    <w:p w14:paraId="62F53EDE" w14:textId="77777777" w:rsidR="00094004" w:rsidRPr="002A7AC6" w:rsidRDefault="00094004" w:rsidP="00094004">
      <w:pPr>
        <w:pStyle w:val="Heading7"/>
        <w:ind w:left="1134"/>
        <w:rPr>
          <w:lang w:val="en-AU"/>
        </w:rPr>
      </w:pPr>
      <w:r w:rsidRPr="002A7AC6">
        <w:rPr>
          <w:lang w:val="en-AU"/>
        </w:rPr>
        <w:t>Sub-option 1</w:t>
      </w:r>
    </w:p>
    <w:p w14:paraId="7579B724" w14:textId="77777777" w:rsidR="00094004" w:rsidRPr="002A7AC6" w:rsidRDefault="00094004" w:rsidP="00094004">
      <w:pPr>
        <w:spacing w:after="120"/>
        <w:ind w:left="1134"/>
      </w:pPr>
      <w:r w:rsidRPr="002A7AC6">
        <w:t>WCAG 2.0 AA</w:t>
      </w:r>
    </w:p>
    <w:p w14:paraId="5973E0E1" w14:textId="77777777" w:rsidR="00094004" w:rsidRPr="002A7AC6" w:rsidRDefault="00094004" w:rsidP="00094004">
      <w:pPr>
        <w:pStyle w:val="Heading7"/>
        <w:ind w:left="1134"/>
        <w:rPr>
          <w:lang w:val="en-AU"/>
        </w:rPr>
      </w:pPr>
      <w:r w:rsidRPr="002A7AC6">
        <w:rPr>
          <w:lang w:val="en-AU"/>
        </w:rPr>
        <w:t>Sub-option 2</w:t>
      </w:r>
    </w:p>
    <w:p w14:paraId="4D86FADE" w14:textId="77777777" w:rsidR="00094004" w:rsidRPr="002A7AC6" w:rsidRDefault="00094004" w:rsidP="00094004">
      <w:pPr>
        <w:spacing w:after="0"/>
        <w:ind w:left="1134"/>
      </w:pPr>
      <w:r w:rsidRPr="002A7AC6">
        <w:t>WCAG 2.0 AAA</w:t>
      </w:r>
      <w:r>
        <w:t>.</w:t>
      </w:r>
    </w:p>
    <w:p w14:paraId="4E52FC67"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60A9C884" w14:textId="77777777" w:rsidR="00094004" w:rsidRPr="002A7AC6" w:rsidRDefault="00094004" w:rsidP="00094004">
      <w:pPr>
        <w:pStyle w:val="Heading6"/>
      </w:pPr>
      <w:r w:rsidRPr="002A7AC6">
        <w:t>Option 3</w:t>
      </w:r>
    </w:p>
    <w:p w14:paraId="6C7E6CA2" w14:textId="77777777" w:rsidR="00094004" w:rsidRPr="002A7AC6" w:rsidRDefault="00094004" w:rsidP="00094004">
      <w:pPr>
        <w:spacing w:after="120"/>
      </w:pPr>
      <w:r w:rsidRPr="002A7AC6">
        <w:t>This option suggests meeting compliance with AS/EN301549 (2020)</w:t>
      </w:r>
      <w:r w:rsidRPr="002A7AC6">
        <w:rPr>
          <w:b/>
        </w:rPr>
        <w:t xml:space="preserve"> </w:t>
      </w:r>
      <w:r w:rsidRPr="002A7AC6">
        <w:t>and provides two sub-options in relation to the level of WCAG compliance that is advisable to meet. The following specific guidance may be included:</w:t>
      </w:r>
    </w:p>
    <w:p w14:paraId="491A6648" w14:textId="77777777" w:rsidR="00094004" w:rsidRPr="002A7AC6" w:rsidRDefault="00094004" w:rsidP="00094004">
      <w:pPr>
        <w:pStyle w:val="Listparagraphbullets"/>
        <w:autoSpaceDE w:val="0"/>
        <w:autoSpaceDN w:val="0"/>
        <w:spacing w:after="0"/>
      </w:pPr>
      <w:r w:rsidRPr="002A7AC6">
        <w:t>Procurement of ICT hardware, services and software should comply with AS/EN301549 (2020).</w:t>
      </w:r>
    </w:p>
    <w:p w14:paraId="14D2B37F" w14:textId="77777777" w:rsidR="00094004" w:rsidRPr="002A7AC6" w:rsidRDefault="00094004" w:rsidP="00094004">
      <w:pPr>
        <w:pStyle w:val="Listparagraphbullets"/>
        <w:autoSpaceDE w:val="0"/>
        <w:autoSpaceDN w:val="0"/>
        <w:spacing w:after="0"/>
      </w:pPr>
      <w:r w:rsidRPr="002A7AC6">
        <w:t>Specifically, for web bases and non-web software, procurement should meet either one of the following WCAG 2.1 requirements:</w:t>
      </w:r>
    </w:p>
    <w:p w14:paraId="723CD2B8" w14:textId="77777777" w:rsidR="00094004" w:rsidRPr="002A7AC6" w:rsidRDefault="00094004" w:rsidP="00094004">
      <w:pPr>
        <w:pStyle w:val="Heading7"/>
        <w:ind w:left="1134"/>
        <w:rPr>
          <w:lang w:val="en-AU"/>
        </w:rPr>
      </w:pPr>
      <w:r w:rsidRPr="002A7AC6">
        <w:rPr>
          <w:lang w:val="en-AU"/>
        </w:rPr>
        <w:t>Sub-option 1</w:t>
      </w:r>
    </w:p>
    <w:p w14:paraId="226CD6E7" w14:textId="77777777" w:rsidR="00094004" w:rsidRPr="002A7AC6" w:rsidRDefault="00094004" w:rsidP="00094004">
      <w:pPr>
        <w:spacing w:after="120"/>
        <w:ind w:left="1134"/>
      </w:pPr>
      <w:r w:rsidRPr="002A7AC6">
        <w:t>WCAG 2.1 AA</w:t>
      </w:r>
    </w:p>
    <w:p w14:paraId="447D31B6" w14:textId="77777777" w:rsidR="00094004" w:rsidRPr="002A7AC6" w:rsidRDefault="00094004" w:rsidP="00094004">
      <w:pPr>
        <w:pStyle w:val="Heading7"/>
        <w:ind w:left="1134"/>
        <w:rPr>
          <w:lang w:val="en-AU"/>
        </w:rPr>
      </w:pPr>
      <w:r w:rsidRPr="002A7AC6">
        <w:rPr>
          <w:lang w:val="en-AU"/>
        </w:rPr>
        <w:t>Sub-option 2</w:t>
      </w:r>
    </w:p>
    <w:p w14:paraId="11E8EC23" w14:textId="77777777" w:rsidR="00094004" w:rsidRPr="002A7AC6" w:rsidRDefault="00094004" w:rsidP="00094004">
      <w:pPr>
        <w:spacing w:after="0"/>
        <w:ind w:left="1134"/>
      </w:pPr>
      <w:r w:rsidRPr="002A7AC6">
        <w:t>WCAG 2.1 AAA</w:t>
      </w:r>
    </w:p>
    <w:p w14:paraId="2FB7A61A" w14:textId="77777777" w:rsidR="00094004" w:rsidRDefault="00094004" w:rsidP="00094004">
      <w:pPr>
        <w:pStyle w:val="Listparagraphbullets"/>
        <w:autoSpaceDE w:val="0"/>
        <w:autoSpaceDN w:val="0"/>
        <w:spacing w:after="0"/>
      </w:pPr>
      <w:r w:rsidRPr="002A7AC6">
        <w:t xml:space="preserve">If there is any conflict with AS/EN301549 (2020) and other requirements listed in the </w:t>
      </w:r>
      <w:r>
        <w:t>Transport Standards</w:t>
      </w:r>
      <w:r w:rsidRPr="002A7AC6">
        <w:t xml:space="preserve">, the </w:t>
      </w:r>
      <w:r>
        <w:t>Transport Standards</w:t>
      </w:r>
      <w:r w:rsidRPr="002A7AC6">
        <w:t xml:space="preserve"> take precedence.</w:t>
      </w:r>
    </w:p>
    <w:p w14:paraId="336BED71" w14:textId="77777777" w:rsidR="00094004" w:rsidRPr="002A7AC6" w:rsidRDefault="00094004" w:rsidP="00094004">
      <w:pPr>
        <w:pStyle w:val="Heading5"/>
      </w:pPr>
      <w:r w:rsidRPr="002A7AC6">
        <w:t>Regulatory options</w:t>
      </w:r>
    </w:p>
    <w:p w14:paraId="4E80D228" w14:textId="77777777" w:rsidR="00094004" w:rsidRPr="002A7AC6" w:rsidRDefault="00094004" w:rsidP="00094004">
      <w:r w:rsidRPr="002A7AC6">
        <w:t xml:space="preserve">The </w:t>
      </w:r>
      <w:r>
        <w:t>Transport Standards</w:t>
      </w:r>
      <w:r w:rsidRPr="002A7AC6">
        <w:t xml:space="preserve"> would include new requirements for ICT hardware, services and software procurement to ensure that ICT hardware, services and software procurement results in products that are suitable for </w:t>
      </w:r>
      <w:r>
        <w:t>people with disability</w:t>
      </w:r>
      <w:r w:rsidRPr="002A7AC6">
        <w:t>.</w:t>
      </w:r>
    </w:p>
    <w:p w14:paraId="3F0B14A9" w14:textId="77777777" w:rsidR="00094004" w:rsidRPr="002A7AC6" w:rsidRDefault="00094004" w:rsidP="00094004">
      <w:r w:rsidRPr="002A7AC6">
        <w:t>Five regulatory options are provided which are based on either performance-based requirements, or different editions of the AS/EN301549 standard and varied WCAG requirements. The regulatory requirements would pertain to all public transport conveyances, infrastructure and premises (except to which the Premises Standards apply).</w:t>
      </w:r>
    </w:p>
    <w:p w14:paraId="27245FDA" w14:textId="77777777" w:rsidR="00094004" w:rsidRPr="002A7AC6" w:rsidRDefault="00094004" w:rsidP="00094004">
      <w:r w:rsidRPr="002A7AC6">
        <w:t xml:space="preserve">The </w:t>
      </w:r>
      <w:r>
        <w:t>Transport Standards</w:t>
      </w:r>
      <w:r w:rsidRPr="002A7AC6">
        <w:t xml:space="preserve"> Guidelines and / or The Whole Journey Guide would be updated for all five options to include advice on ICT procurement.</w:t>
      </w:r>
    </w:p>
    <w:p w14:paraId="397DFA79" w14:textId="77777777" w:rsidR="00094004" w:rsidRPr="002A7AC6" w:rsidRDefault="00094004" w:rsidP="00094004">
      <w:pPr>
        <w:keepNext/>
      </w:pPr>
      <w:r>
        <w:t>Specific guidance may include:</w:t>
      </w:r>
    </w:p>
    <w:p w14:paraId="30FECA5A" w14:textId="77777777" w:rsidR="00094004" w:rsidRPr="002A7AC6" w:rsidRDefault="00094004" w:rsidP="00094004">
      <w:pPr>
        <w:pStyle w:val="Listparagraphbullets"/>
        <w:autoSpaceDE w:val="0"/>
        <w:autoSpaceDN w:val="0"/>
        <w:spacing w:after="0"/>
      </w:pPr>
      <w:r w:rsidRPr="002A7AC6">
        <w:t>Any ICT hardware, services or software intended for public use by a public transport operator or provider should be accessible to people with disability, for example:</w:t>
      </w:r>
    </w:p>
    <w:p w14:paraId="39A5A2BB" w14:textId="77777777" w:rsidR="00094004" w:rsidRPr="002A7AC6" w:rsidRDefault="00094004" w:rsidP="00094004">
      <w:pPr>
        <w:pStyle w:val="Listparagraphbullets"/>
        <w:autoSpaceDE w:val="0"/>
        <w:autoSpaceDN w:val="0"/>
        <w:spacing w:after="0"/>
      </w:pPr>
      <w:r w:rsidRPr="002A7AC6">
        <w:t>Being guided by AS/EN301549 (2020) when procuring products.</w:t>
      </w:r>
    </w:p>
    <w:p w14:paraId="2260B714" w14:textId="77777777" w:rsidR="00094004" w:rsidRPr="002A7AC6" w:rsidRDefault="00094004" w:rsidP="00094004">
      <w:pPr>
        <w:pStyle w:val="Listparagraphbullets"/>
        <w:autoSpaceDE w:val="0"/>
        <w:autoSpaceDN w:val="0"/>
        <w:spacing w:after="0"/>
      </w:pPr>
      <w:r w:rsidRPr="002A7AC6">
        <w:t>Meeting the requirements of WCAG 2.1 AA for mobile, web and non-web software and where feasible those of WCAG 2.1 AAA.</w:t>
      </w:r>
    </w:p>
    <w:p w14:paraId="735C3741" w14:textId="77777777" w:rsidR="00094004" w:rsidRDefault="00094004" w:rsidP="00094004">
      <w:pPr>
        <w:pStyle w:val="Listparagraphbullets"/>
        <w:autoSpaceDE w:val="0"/>
        <w:autoSpaceDN w:val="0"/>
        <w:spacing w:after="0"/>
      </w:pPr>
      <w:r w:rsidRPr="002A7AC6">
        <w:t>As technology evolves rapidly, operators and providers should always consider using the latest published Standards when procuring ICT products.</w:t>
      </w:r>
    </w:p>
    <w:p w14:paraId="33C0B346" w14:textId="77777777" w:rsidR="00094004" w:rsidRPr="002A7AC6" w:rsidRDefault="00094004" w:rsidP="00094004">
      <w:pPr>
        <w:pStyle w:val="Heading6"/>
      </w:pPr>
      <w:r w:rsidRPr="002A7AC6">
        <w:t>Option 1</w:t>
      </w:r>
    </w:p>
    <w:p w14:paraId="02AA453F" w14:textId="77777777" w:rsidR="00094004" w:rsidRPr="002A7AC6" w:rsidRDefault="00094004" w:rsidP="00094004">
      <w:pPr>
        <w:rPr>
          <w:b/>
        </w:rPr>
      </w:pPr>
      <w:r w:rsidRPr="002A7AC6">
        <w:t xml:space="preserve">The </w:t>
      </w:r>
      <w:r>
        <w:t>Transport Standards</w:t>
      </w:r>
      <w:r w:rsidRPr="002A7AC6">
        <w:t xml:space="preserve"> would be amended to </w:t>
      </w:r>
      <w:r w:rsidRPr="002A7AC6">
        <w:rPr>
          <w:b/>
        </w:rPr>
        <w:t>set performance requirements for ICT procurement.</w:t>
      </w:r>
    </w:p>
    <w:p w14:paraId="592F39EF" w14:textId="77777777" w:rsidR="00094004" w:rsidRPr="002A7AC6" w:rsidRDefault="00094004" w:rsidP="00094004">
      <w:r w:rsidRPr="002A7AC6">
        <w:lastRenderedPageBreak/>
        <w:t xml:space="preserve">The </w:t>
      </w:r>
      <w:r>
        <w:t>Transport Standards</w:t>
      </w:r>
      <w:r w:rsidRPr="002A7AC6">
        <w:t xml:space="preserve"> would include the following new requirements:</w:t>
      </w:r>
    </w:p>
    <w:p w14:paraId="03CE5A93" w14:textId="77777777" w:rsidR="00094004" w:rsidRDefault="00094004" w:rsidP="00094004">
      <w:pPr>
        <w:pStyle w:val="Listparagraphbullets"/>
        <w:autoSpaceDE w:val="0"/>
        <w:autoSpaceDN w:val="0"/>
        <w:spacing w:after="0"/>
      </w:pPr>
      <w:r w:rsidRPr="002A7AC6">
        <w:t>Any ICT hardware, services or software intended for public use by a public transport operator or provider must be accessible to people with disability.</w:t>
      </w:r>
    </w:p>
    <w:p w14:paraId="1E756E3B" w14:textId="77777777" w:rsidR="00094004" w:rsidRPr="002A7AC6" w:rsidRDefault="00094004" w:rsidP="00094004">
      <w:pPr>
        <w:pStyle w:val="Heading6"/>
      </w:pPr>
      <w:r w:rsidRPr="002A7AC6">
        <w:t>Option 2</w:t>
      </w:r>
    </w:p>
    <w:p w14:paraId="1A128316" w14:textId="77777777" w:rsidR="00094004" w:rsidRPr="002A7AC6" w:rsidRDefault="00094004" w:rsidP="00094004">
      <w:r w:rsidRPr="002A7AC6">
        <w:t xml:space="preserve">The </w:t>
      </w:r>
      <w:r>
        <w:t>Transport Standards</w:t>
      </w:r>
      <w:r w:rsidRPr="002A7AC6">
        <w:t xml:space="preserve"> would be amended to require </w:t>
      </w:r>
      <w:r w:rsidRPr="002A7AC6">
        <w:rPr>
          <w:b/>
        </w:rPr>
        <w:t>compliance with AS/EN301549 (2016).</w:t>
      </w:r>
    </w:p>
    <w:p w14:paraId="533B9891" w14:textId="77777777" w:rsidR="00094004" w:rsidRPr="002A7AC6" w:rsidRDefault="00094004" w:rsidP="00094004">
      <w:r w:rsidRPr="002A7AC6">
        <w:t xml:space="preserve">The </w:t>
      </w:r>
      <w:r>
        <w:t>Transport Standards</w:t>
      </w:r>
      <w:r w:rsidRPr="002A7AC6">
        <w:t xml:space="preserve"> would include the following new requirements:</w:t>
      </w:r>
    </w:p>
    <w:p w14:paraId="3058C7A5"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(2016) </w:t>
      </w:r>
      <w:r w:rsidRPr="002A7AC6">
        <w:rPr>
          <w:i/>
        </w:rPr>
        <w:t>Accessibility requirements suitable for public procurement of ICT products and services</w:t>
      </w:r>
      <w:r w:rsidRPr="002A7AC6">
        <w:t>.</w:t>
      </w:r>
    </w:p>
    <w:p w14:paraId="58EFDE08"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0525B1A0" w14:textId="77777777" w:rsidR="00094004" w:rsidRPr="002A7AC6" w:rsidRDefault="00094004" w:rsidP="00094004">
      <w:pPr>
        <w:pStyle w:val="Heading6"/>
      </w:pPr>
      <w:r w:rsidRPr="002A7AC6">
        <w:t>Option 3</w:t>
      </w:r>
    </w:p>
    <w:p w14:paraId="121BFD00" w14:textId="77777777" w:rsidR="00094004" w:rsidRPr="002A7AC6" w:rsidRDefault="00094004" w:rsidP="00094004">
      <w:r w:rsidRPr="002A7AC6">
        <w:t xml:space="preserve">The </w:t>
      </w:r>
      <w:r>
        <w:t>Transport Standards</w:t>
      </w:r>
      <w:r w:rsidRPr="002A7AC6">
        <w:t xml:space="preserve"> would be amended to </w:t>
      </w:r>
      <w:r w:rsidRPr="002A7AC6">
        <w:rPr>
          <w:b/>
        </w:rPr>
        <w:t>require compliance with AS/EN301549 (2016) and prescribe additional minimum WCAG 2.0 AAA requirements.</w:t>
      </w:r>
    </w:p>
    <w:p w14:paraId="56C5B37A" w14:textId="77777777" w:rsidR="00094004" w:rsidRPr="002A7AC6" w:rsidRDefault="00094004" w:rsidP="00094004">
      <w:r w:rsidRPr="002A7AC6">
        <w:t xml:space="preserve">The </w:t>
      </w:r>
      <w:r>
        <w:t>Transport Standards</w:t>
      </w:r>
      <w:r w:rsidRPr="002A7AC6">
        <w:t xml:space="preserve"> would include the following new requirements:</w:t>
      </w:r>
    </w:p>
    <w:p w14:paraId="79833E49"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(2016) </w:t>
      </w:r>
      <w:r w:rsidRPr="002A7AC6">
        <w:rPr>
          <w:i/>
        </w:rPr>
        <w:t>Accessibility requirements suitable for public procurement of ICT products and services</w:t>
      </w:r>
      <w:r w:rsidRPr="002A7AC6">
        <w:t>, with the following exceptions:</w:t>
      </w:r>
    </w:p>
    <w:p w14:paraId="3AF97719" w14:textId="77777777" w:rsidR="00094004" w:rsidRPr="002A7AC6" w:rsidRDefault="00094004" w:rsidP="00094004">
      <w:pPr>
        <w:pStyle w:val="Listparagraphbullets"/>
        <w:autoSpaceDE w:val="0"/>
        <w:autoSpaceDN w:val="0"/>
        <w:spacing w:after="0"/>
      </w:pPr>
      <w:r w:rsidRPr="002A7AC6">
        <w:t>WCAG 2.0 AAA must be met.</w:t>
      </w:r>
    </w:p>
    <w:p w14:paraId="0F5AC83C" w14:textId="77777777" w:rsidR="00094004" w:rsidRDefault="00094004" w:rsidP="00094004">
      <w:pPr>
        <w:pStyle w:val="Listparagraphbullets"/>
        <w:autoSpaceDE w:val="0"/>
        <w:autoSpaceDN w:val="0"/>
        <w:spacing w:after="0"/>
      </w:pPr>
      <w:r w:rsidRPr="002A7AC6">
        <w:t xml:space="preserve">If there is any conflict with AS/EN301549 (2016) and other requirements listed in the </w:t>
      </w:r>
      <w:r>
        <w:t>Transport Standards</w:t>
      </w:r>
      <w:r w:rsidRPr="002A7AC6">
        <w:t xml:space="preserve">, the </w:t>
      </w:r>
      <w:r>
        <w:t>Transport Standards</w:t>
      </w:r>
      <w:r w:rsidRPr="002A7AC6">
        <w:t xml:space="preserve"> take precedence.</w:t>
      </w:r>
    </w:p>
    <w:p w14:paraId="28C06A95" w14:textId="77777777" w:rsidR="00094004" w:rsidRPr="002A7AC6" w:rsidRDefault="00094004" w:rsidP="00094004">
      <w:pPr>
        <w:pStyle w:val="Heading6"/>
      </w:pPr>
      <w:r w:rsidRPr="002A7AC6">
        <w:t>Option 4</w:t>
      </w:r>
    </w:p>
    <w:p w14:paraId="78C5A639" w14:textId="77777777" w:rsidR="00094004" w:rsidRPr="002A7AC6" w:rsidRDefault="00094004" w:rsidP="00094004">
      <w:pPr>
        <w:rPr>
          <w:b/>
        </w:rPr>
      </w:pPr>
      <w:r w:rsidRPr="002A7AC6">
        <w:t xml:space="preserve">The </w:t>
      </w:r>
      <w:r>
        <w:t>Transport Standards</w:t>
      </w:r>
      <w:r w:rsidRPr="002A7AC6">
        <w:t xml:space="preserve"> would be amended to require </w:t>
      </w:r>
      <w:r w:rsidRPr="002A7AC6">
        <w:rPr>
          <w:b/>
        </w:rPr>
        <w:t>compliance with AS/EN301549 (2020).</w:t>
      </w:r>
    </w:p>
    <w:p w14:paraId="5186DF94" w14:textId="77777777" w:rsidR="00094004" w:rsidRPr="002A7AC6" w:rsidRDefault="00094004" w:rsidP="00094004">
      <w:r w:rsidRPr="002A7AC6">
        <w:t xml:space="preserve">The </w:t>
      </w:r>
      <w:r>
        <w:t>Transport Standards</w:t>
      </w:r>
      <w:r w:rsidRPr="002A7AC6">
        <w:t xml:space="preserve"> would include the following new requirements:</w:t>
      </w:r>
    </w:p>
    <w:p w14:paraId="3E3C08CF" w14:textId="77777777" w:rsidR="00094004" w:rsidRPr="002A7AC6" w:rsidRDefault="00094004" w:rsidP="00094004">
      <w:pPr>
        <w:pStyle w:val="Listparagraphbullets"/>
        <w:autoSpaceDE w:val="0"/>
        <w:autoSpaceDN w:val="0"/>
        <w:spacing w:after="0"/>
      </w:pPr>
      <w:r w:rsidRPr="002A7AC6">
        <w:t>Procurement of ICT hardware, services and software must comply with AS/EN301549 (2020), Accessibility requirements suitable for public procurement of ICT products and services.</w:t>
      </w:r>
    </w:p>
    <w:p w14:paraId="202AB116" w14:textId="77777777" w:rsidR="00094004" w:rsidRDefault="00094004" w:rsidP="00094004">
      <w:pPr>
        <w:pStyle w:val="Listparagraphbullets"/>
        <w:autoSpaceDE w:val="0"/>
        <w:autoSpaceDN w:val="0"/>
        <w:spacing w:after="0"/>
      </w:pPr>
      <w:r w:rsidRPr="002A7AC6">
        <w:t xml:space="preserve">If there is any conflict with AS/EN301549 (2020) and other requirements listed in the </w:t>
      </w:r>
      <w:r>
        <w:t>Transport Standards</w:t>
      </w:r>
      <w:r w:rsidRPr="002A7AC6">
        <w:t xml:space="preserve">, the </w:t>
      </w:r>
      <w:r>
        <w:t>Transport Standards</w:t>
      </w:r>
      <w:r w:rsidRPr="002A7AC6">
        <w:t xml:space="preserve"> take precedence.</w:t>
      </w:r>
    </w:p>
    <w:p w14:paraId="20D86233" w14:textId="77777777" w:rsidR="00094004" w:rsidRPr="002A7AC6" w:rsidRDefault="00094004" w:rsidP="00094004">
      <w:pPr>
        <w:pStyle w:val="Heading6"/>
      </w:pPr>
      <w:r w:rsidRPr="002A7AC6">
        <w:t>Option 5</w:t>
      </w:r>
    </w:p>
    <w:p w14:paraId="283C03C3" w14:textId="77777777" w:rsidR="00094004" w:rsidRPr="002A7AC6" w:rsidRDefault="00094004" w:rsidP="00094004">
      <w:pPr>
        <w:rPr>
          <w:b/>
        </w:rPr>
      </w:pPr>
      <w:r w:rsidRPr="002A7AC6">
        <w:t xml:space="preserve">The </w:t>
      </w:r>
      <w:r>
        <w:t>Transport Standards</w:t>
      </w:r>
      <w:r w:rsidRPr="002A7AC6">
        <w:t xml:space="preserve"> would be amended to require </w:t>
      </w:r>
      <w:r w:rsidRPr="002A7AC6">
        <w:rPr>
          <w:b/>
        </w:rPr>
        <w:t>compliance with AS/EN301549 (2020) and prescribes additional minimum WCAG 2.1 AAA requirements.</w:t>
      </w:r>
    </w:p>
    <w:p w14:paraId="21692363" w14:textId="77777777" w:rsidR="00094004" w:rsidRPr="002A7AC6" w:rsidRDefault="00094004" w:rsidP="00094004">
      <w:r w:rsidRPr="002A7AC6">
        <w:t xml:space="preserve">The </w:t>
      </w:r>
      <w:r>
        <w:t>Transport Standards</w:t>
      </w:r>
      <w:r w:rsidRPr="002A7AC6">
        <w:t xml:space="preserve"> would include the following new requirements:</w:t>
      </w:r>
    </w:p>
    <w:p w14:paraId="597F54BF" w14:textId="77777777" w:rsidR="00094004" w:rsidRPr="002A7AC6" w:rsidRDefault="00094004" w:rsidP="00094004">
      <w:pPr>
        <w:pStyle w:val="Listparagraphbullets"/>
        <w:autoSpaceDE w:val="0"/>
        <w:autoSpaceDN w:val="0"/>
        <w:spacing w:after="0"/>
      </w:pPr>
      <w:r w:rsidRPr="002A7AC6">
        <w:t xml:space="preserve">Procurement of ICT hardware, services and software must comply with AS/EN301549 (2020) </w:t>
      </w:r>
      <w:r w:rsidRPr="002A7AC6">
        <w:rPr>
          <w:i/>
        </w:rPr>
        <w:t>Accessibility requirements suitable for public procurement of ICT products and services</w:t>
      </w:r>
      <w:r w:rsidRPr="002A7AC6">
        <w:t>, with the following exceptions:</w:t>
      </w:r>
    </w:p>
    <w:p w14:paraId="04E2FDAE" w14:textId="77777777" w:rsidR="00094004" w:rsidRPr="002A7AC6" w:rsidRDefault="00094004" w:rsidP="00094004">
      <w:pPr>
        <w:pStyle w:val="Listparagraphbullets"/>
        <w:autoSpaceDE w:val="0"/>
        <w:autoSpaceDN w:val="0"/>
        <w:spacing w:after="0"/>
      </w:pPr>
      <w:r w:rsidRPr="002A7AC6">
        <w:t>WCAG 2.1 AAA must be met.</w:t>
      </w:r>
    </w:p>
    <w:p w14:paraId="132AAAF8" w14:textId="77777777" w:rsidR="00094004" w:rsidRPr="00354A61" w:rsidRDefault="00094004" w:rsidP="00094004">
      <w:pPr>
        <w:pStyle w:val="Listparagraphbullets"/>
        <w:autoSpaceDE w:val="0"/>
        <w:autoSpaceDN w:val="0"/>
        <w:spacing w:after="0"/>
      </w:pPr>
      <w:r w:rsidRPr="002A7AC6">
        <w:t xml:space="preserve">If there is any conflict AS/EN301549 (2020) and other requirements listed in the </w:t>
      </w:r>
      <w:r>
        <w:t>Transport Standards</w:t>
      </w:r>
      <w:r w:rsidRPr="002A7AC6">
        <w:t xml:space="preserve">, the </w:t>
      </w:r>
      <w:r>
        <w:t>Transport Standards</w:t>
      </w:r>
      <w:r w:rsidRPr="002A7AC6">
        <w:t xml:space="preserve"> take precedence.</w:t>
      </w:r>
    </w:p>
    <w:p w14:paraId="66EDACC1" w14:textId="2A6FBF7B" w:rsidR="00094004" w:rsidRDefault="00094004" w:rsidP="00094004"/>
    <w:p w14:paraId="47095EF3" w14:textId="43DD1543" w:rsidR="00094004" w:rsidRDefault="00094004" w:rsidP="006F65FB">
      <w:pPr>
        <w:pStyle w:val="Heading3"/>
        <w:numPr>
          <w:ilvl w:val="0"/>
          <w:numId w:val="66"/>
        </w:numPr>
        <w:ind w:left="567" w:hanging="567"/>
      </w:pPr>
      <w:bookmarkStart w:id="874" w:name="_Toc127351841"/>
      <w:bookmarkStart w:id="875" w:name="_Toc130914519"/>
      <w:bookmarkStart w:id="876" w:name="_Toc140239813"/>
      <w:r>
        <w:lastRenderedPageBreak/>
        <w:t>Mobile web systems</w:t>
      </w:r>
      <w:bookmarkEnd w:id="874"/>
      <w:bookmarkEnd w:id="875"/>
      <w:bookmarkEnd w:id="876"/>
    </w:p>
    <w:p w14:paraId="4D8C6D43" w14:textId="77777777" w:rsidR="00094004" w:rsidRDefault="00094004" w:rsidP="00094004">
      <w:pPr>
        <w:pStyle w:val="Heading4"/>
      </w:pPr>
      <w:r>
        <w:t>Status quo</w:t>
      </w:r>
    </w:p>
    <w:p w14:paraId="1F488D24" w14:textId="77777777" w:rsidR="00094004" w:rsidRPr="002A7AC6" w:rsidRDefault="00094004" w:rsidP="00094004">
      <w:r w:rsidRPr="002A7AC6">
        <w:t xml:space="preserve">The </w:t>
      </w:r>
      <w:r>
        <w:t>Transport Standards</w:t>
      </w:r>
      <w:r w:rsidRPr="002A7AC6">
        <w:t xml:space="preserve"> would remain unchanged and no </w:t>
      </w:r>
      <w:r>
        <w:t>Guidance</w:t>
      </w:r>
      <w:r w:rsidRPr="002A7AC6">
        <w:t xml:space="preserve"> would be issued. The </w:t>
      </w:r>
      <w:r>
        <w:t>Transport Standards</w:t>
      </w:r>
      <w:r w:rsidRPr="002A7AC6">
        <w:t xml:space="preserve"> would continue to</w:t>
      </w:r>
      <w:r w:rsidRPr="002A7AC6">
        <w:rPr>
          <w:rFonts w:cstheme="minorHAnsi"/>
        </w:rPr>
        <w:t xml:space="preserve"> have no provisions for mobile web systems.</w:t>
      </w:r>
    </w:p>
    <w:p w14:paraId="3D5B63D6" w14:textId="77777777" w:rsidR="00094004" w:rsidRDefault="00094004" w:rsidP="00094004">
      <w:pPr>
        <w:pStyle w:val="Heading5"/>
      </w:pPr>
      <w:r>
        <w:t>Non-regulatory option</w:t>
      </w:r>
    </w:p>
    <w:p w14:paraId="7611E6B3" w14:textId="77777777" w:rsidR="00094004" w:rsidRPr="002A7AC6" w:rsidRDefault="00094004" w:rsidP="00094004">
      <w:pPr>
        <w:rPr>
          <w:rFonts w:cstheme="minorHAnsi"/>
        </w:rPr>
      </w:pPr>
      <w:r w:rsidRPr="002A7AC6">
        <w:t xml:space="preserve">The </w:t>
      </w:r>
      <w:r>
        <w:t>Transport Standards</w:t>
      </w:r>
      <w:r w:rsidRPr="002A7AC6">
        <w:t xml:space="preserve"> Guidelines and / or The Whole Journey Guide would </w:t>
      </w:r>
      <w:r>
        <w:t xml:space="preserve">be </w:t>
      </w:r>
      <w:r w:rsidRPr="002A7AC6">
        <w:rPr>
          <w:rFonts w:cstheme="minorHAnsi"/>
        </w:rPr>
        <w:t>updated to include best practise guidance concerning WCAG requirements and the benefits of user testing when developing apps and tools.</w:t>
      </w:r>
    </w:p>
    <w:p w14:paraId="27CC58B1" w14:textId="77777777" w:rsidR="00094004" w:rsidRPr="002A7AC6" w:rsidRDefault="00094004" w:rsidP="00094004">
      <w:pPr>
        <w:keepNext/>
        <w:rPr>
          <w:rFonts w:cstheme="minorHAnsi"/>
        </w:rPr>
      </w:pPr>
      <w:r>
        <w:rPr>
          <w:rFonts w:cstheme="minorHAnsi"/>
        </w:rPr>
        <w:t>Specific guidance may include:</w:t>
      </w:r>
    </w:p>
    <w:p w14:paraId="657334EC" w14:textId="77777777" w:rsidR="00094004" w:rsidRDefault="00094004" w:rsidP="006F65FB">
      <w:pPr>
        <w:numPr>
          <w:ilvl w:val="0"/>
          <w:numId w:val="72"/>
        </w:numPr>
        <w:ind w:left="567" w:hanging="567"/>
        <w:contextualSpacing/>
        <w:rPr>
          <w:rFonts w:cstheme="minorHAnsi"/>
        </w:rPr>
      </w:pPr>
      <w:r w:rsidRPr="002A7AC6">
        <w:rPr>
          <w:rFonts w:cstheme="minorHAnsi"/>
        </w:rPr>
        <w:t>The minimum level of WCAG compliance for information provided in this format.</w:t>
      </w:r>
    </w:p>
    <w:p w14:paraId="0FC22B89" w14:textId="77777777" w:rsidR="00094004" w:rsidRDefault="00094004" w:rsidP="006F65FB">
      <w:pPr>
        <w:numPr>
          <w:ilvl w:val="0"/>
          <w:numId w:val="72"/>
        </w:numPr>
        <w:ind w:left="567" w:hanging="567"/>
        <w:contextualSpacing/>
        <w:rPr>
          <w:rFonts w:cstheme="minorHAnsi"/>
        </w:rPr>
      </w:pPr>
      <w:r w:rsidRPr="002A7AC6">
        <w:rPr>
          <w:rFonts w:cstheme="minorHAnsi"/>
        </w:rPr>
        <w:t>As a minimum when information is provided through mobile web systems involving apps or websites it should meet the requirements of WCAG 2.1 AA.</w:t>
      </w:r>
    </w:p>
    <w:p w14:paraId="270CEC88" w14:textId="77777777" w:rsidR="00094004" w:rsidRPr="002A7AC6" w:rsidRDefault="00094004" w:rsidP="006F65FB">
      <w:pPr>
        <w:numPr>
          <w:ilvl w:val="0"/>
          <w:numId w:val="72"/>
        </w:numPr>
        <w:ind w:left="567" w:hanging="567"/>
        <w:contextualSpacing/>
        <w:rPr>
          <w:rFonts w:cstheme="minorHAnsi"/>
        </w:rPr>
      </w:pPr>
      <w:r w:rsidRPr="002A7AC6">
        <w:rPr>
          <w:rFonts w:cstheme="minorHAnsi"/>
        </w:rPr>
        <w:t>Information provided by external third parties as opposed to directly from transport operators and providers should also consider minimal levels of accessibility as best practice. Where practicable the most recent version of WCAG AA should be adopted.</w:t>
      </w:r>
    </w:p>
    <w:p w14:paraId="35DAD501" w14:textId="77777777" w:rsidR="00094004" w:rsidRDefault="00094004" w:rsidP="006F65FB">
      <w:pPr>
        <w:numPr>
          <w:ilvl w:val="0"/>
          <w:numId w:val="72"/>
        </w:numPr>
        <w:ind w:left="567" w:hanging="567"/>
        <w:contextualSpacing/>
        <w:rPr>
          <w:rFonts w:cstheme="minorHAnsi"/>
        </w:rPr>
      </w:pPr>
      <w:r w:rsidRPr="002A7AC6">
        <w:rPr>
          <w:rFonts w:cstheme="minorHAnsi"/>
        </w:rPr>
        <w:t>Whilst WCAG AAA criteria is not recommended for whole websites or systems, some elements could be adopted where practicable to maximise the accessibility of information provided in this format.</w:t>
      </w:r>
    </w:p>
    <w:p w14:paraId="272A58AA" w14:textId="77777777" w:rsidR="00094004" w:rsidRDefault="00094004" w:rsidP="006F65FB">
      <w:pPr>
        <w:numPr>
          <w:ilvl w:val="0"/>
          <w:numId w:val="72"/>
        </w:numPr>
        <w:ind w:left="567" w:hanging="567"/>
        <w:contextualSpacing/>
        <w:rPr>
          <w:rFonts w:cstheme="minorHAnsi"/>
        </w:rPr>
      </w:pPr>
      <w:r w:rsidRPr="002A7AC6">
        <w:rPr>
          <w:rFonts w:cstheme="minorHAnsi"/>
        </w:rPr>
        <w:t>User testing and engagement on products and tools should be undertaken to validate systems are accessible for a wide range of people with disability.</w:t>
      </w:r>
    </w:p>
    <w:p w14:paraId="1E98284F" w14:textId="77777777" w:rsidR="00094004" w:rsidRDefault="00094004" w:rsidP="00094004">
      <w:pPr>
        <w:pStyle w:val="Heading5"/>
      </w:pPr>
      <w:r>
        <w:t>Regulatory option</w:t>
      </w:r>
    </w:p>
    <w:p w14:paraId="4E4F1B2A" w14:textId="77777777" w:rsidR="00094004" w:rsidRPr="007C754A" w:rsidRDefault="00094004" w:rsidP="00094004">
      <w:r w:rsidRPr="002A7AC6">
        <w:t xml:space="preserve">There are two regulatory options proposed. </w:t>
      </w:r>
      <w:r>
        <w:t>The first option prescribes minimum WCAG requirements for all information provided in a mobile format, including discretionary information that some systems provide. The second option prescribes minimum WCAG requirements only for information related to transport services provided in mobile formats.</w:t>
      </w:r>
    </w:p>
    <w:p w14:paraId="4BD20A80" w14:textId="77777777" w:rsidR="00094004" w:rsidRDefault="00094004" w:rsidP="00094004">
      <w:pPr>
        <w:pStyle w:val="Heading6"/>
      </w:pPr>
      <w:r w:rsidRPr="002A7AC6">
        <w:t>Option 1</w:t>
      </w:r>
    </w:p>
    <w:p w14:paraId="53E9AE16" w14:textId="77777777" w:rsidR="00094004" w:rsidRDefault="00094004" w:rsidP="00094004">
      <w:pPr>
        <w:pStyle w:val="Listparagraphbullets"/>
        <w:numPr>
          <w:ilvl w:val="0"/>
          <w:numId w:val="0"/>
        </w:numPr>
      </w:pPr>
      <w:r w:rsidRPr="002A7AC6">
        <w:t xml:space="preserve">Where information is provided </w:t>
      </w:r>
      <w:r>
        <w:t xml:space="preserve">by an operator or provider </w:t>
      </w:r>
      <w:r w:rsidRPr="002A7AC6">
        <w:t>to passengers in a mobile web format</w:t>
      </w:r>
      <w:r>
        <w:t>, all information</w:t>
      </w:r>
      <w:r w:rsidRPr="002A7AC6">
        <w:t xml:space="preserve"> must meet WCAG 2.1 AA requirements as a minimum.</w:t>
      </w:r>
    </w:p>
    <w:p w14:paraId="46C856D0" w14:textId="77777777" w:rsidR="00094004" w:rsidRPr="002A7AC6" w:rsidRDefault="00094004" w:rsidP="00094004">
      <w:pPr>
        <w:pStyle w:val="Heading6"/>
      </w:pPr>
      <w:r w:rsidRPr="002A7AC6">
        <w:t>Option 2</w:t>
      </w:r>
    </w:p>
    <w:p w14:paraId="0EB734B8" w14:textId="77777777" w:rsidR="00094004" w:rsidRDefault="00094004" w:rsidP="006F65FB">
      <w:pPr>
        <w:pStyle w:val="ListParagraph"/>
        <w:numPr>
          <w:ilvl w:val="6"/>
          <w:numId w:val="24"/>
        </w:numPr>
        <w:autoSpaceDE w:val="0"/>
        <w:autoSpaceDN w:val="0"/>
        <w:spacing w:before="40" w:after="40"/>
        <w:ind w:left="638"/>
      </w:pPr>
      <w:r w:rsidRPr="002A7AC6">
        <w:t xml:space="preserve">Where </w:t>
      </w:r>
      <w:r>
        <w:t>information is provided by an operator or provider to passengers in a mobile web format, only information related to transport services must meet WCAG 2.1 AA requirements as a minimum.</w:t>
      </w:r>
    </w:p>
    <w:p w14:paraId="256E3171" w14:textId="77777777" w:rsidR="00094004" w:rsidRDefault="00094004" w:rsidP="00094004">
      <w:pPr>
        <w:spacing w:after="0"/>
      </w:pPr>
      <w:r w:rsidRPr="002A7AC6">
        <w:rPr>
          <w:bCs/>
        </w:rPr>
        <w:t>The new requirements would pertain to conveyances, premises and infrastructure.</w:t>
      </w:r>
    </w:p>
    <w:p w14:paraId="0F6B712E" w14:textId="77777777" w:rsidR="00094004" w:rsidRPr="002A7AC6" w:rsidRDefault="00094004" w:rsidP="00094004">
      <w:pPr>
        <w:rPr>
          <w:rFonts w:cstheme="minorHAnsi"/>
        </w:rPr>
      </w:pPr>
      <w:r w:rsidRPr="002A7AC6">
        <w:rPr>
          <w:rFonts w:cstheme="minorHAnsi"/>
        </w:rPr>
        <w:t xml:space="preserve">The </w:t>
      </w:r>
      <w:r>
        <w:rPr>
          <w:rFonts w:cstheme="minorHAnsi"/>
        </w:rPr>
        <w:t>Transport Standards</w:t>
      </w:r>
      <w:r w:rsidRPr="002A7AC6">
        <w:rPr>
          <w:rFonts w:cstheme="minorHAnsi"/>
        </w:rPr>
        <w:t xml:space="preserve"> Guidelines and / or the Whole Journey Guide may also be updated for both options to reflect and provide advice concerning the new regulatory requirements and may make additional commentary on the applicability of requirements when considering WCAG AA and AAA requirements.</w:t>
      </w:r>
    </w:p>
    <w:p w14:paraId="27E19CDF" w14:textId="77777777" w:rsidR="00094004" w:rsidRPr="002A7AC6" w:rsidRDefault="00094004" w:rsidP="00094004">
      <w:pPr>
        <w:rPr>
          <w:rFonts w:cstheme="minorHAnsi"/>
        </w:rPr>
      </w:pPr>
      <w:r w:rsidRPr="002A7AC6">
        <w:rPr>
          <w:rFonts w:cstheme="minorHAnsi"/>
        </w:rPr>
        <w:t>Specific advice may include:</w:t>
      </w:r>
    </w:p>
    <w:p w14:paraId="154BE278" w14:textId="77777777" w:rsidR="00094004" w:rsidRDefault="00094004" w:rsidP="006F65FB">
      <w:pPr>
        <w:numPr>
          <w:ilvl w:val="0"/>
          <w:numId w:val="71"/>
        </w:numPr>
        <w:ind w:left="567" w:hanging="567"/>
        <w:contextualSpacing/>
      </w:pPr>
      <w:r w:rsidRPr="002A7AC6">
        <w:t>Information would cover the use of online mobile web systems involving apps and websites which can be accessed via smartphones or other devices. As a minimum when information is provided through these systems it should meet the requirements of WCAG 2.1 AA.</w:t>
      </w:r>
    </w:p>
    <w:p w14:paraId="1B3BC5B3" w14:textId="77777777" w:rsidR="00094004" w:rsidRDefault="00094004" w:rsidP="006F65FB">
      <w:pPr>
        <w:numPr>
          <w:ilvl w:val="0"/>
          <w:numId w:val="71"/>
        </w:numPr>
        <w:ind w:left="567" w:hanging="567"/>
        <w:contextualSpacing/>
      </w:pPr>
      <w:r w:rsidRPr="002A7AC6">
        <w:lastRenderedPageBreak/>
        <w:t>Where practicable the most recent version of WCAG AA should be adopted. The WCAG provides recommendation for making content more accessible to a wide range of people with disability.</w:t>
      </w:r>
    </w:p>
    <w:p w14:paraId="5F1C2F07" w14:textId="77777777" w:rsidR="00094004" w:rsidRPr="002A7AC6" w:rsidRDefault="00094004" w:rsidP="006F65FB">
      <w:pPr>
        <w:numPr>
          <w:ilvl w:val="0"/>
          <w:numId w:val="71"/>
        </w:numPr>
        <w:ind w:left="567" w:hanging="567"/>
        <w:contextualSpacing/>
      </w:pPr>
      <w:r w:rsidRPr="002A7AC6">
        <w:t>It is advised that user testing and engagement on products and tools is undertaken to validate systems are accessible for a wide range of people with disability.</w:t>
      </w:r>
    </w:p>
    <w:p w14:paraId="574518ED" w14:textId="77777777" w:rsidR="00094004" w:rsidRDefault="00094004" w:rsidP="006F65FB">
      <w:pPr>
        <w:numPr>
          <w:ilvl w:val="0"/>
          <w:numId w:val="71"/>
        </w:numPr>
        <w:ind w:left="567" w:hanging="567"/>
        <w:contextualSpacing/>
      </w:pPr>
      <w:r w:rsidRPr="002A7AC6">
        <w:t>General transport information may include, but is not limited to, timetables, routes, fares, payment methods, next stop information and next service information.</w:t>
      </w:r>
    </w:p>
    <w:p w14:paraId="10DA1FD5" w14:textId="77777777" w:rsidR="00094004" w:rsidRDefault="00094004" w:rsidP="00094004"/>
    <w:p w14:paraId="1B03D8CA" w14:textId="1F3B1D64" w:rsidR="00094004" w:rsidRDefault="00094004" w:rsidP="006F65FB">
      <w:pPr>
        <w:pStyle w:val="Heading3"/>
        <w:numPr>
          <w:ilvl w:val="0"/>
          <w:numId w:val="66"/>
        </w:numPr>
        <w:ind w:left="567" w:hanging="567"/>
      </w:pPr>
      <w:bookmarkStart w:id="877" w:name="_Toc127351842"/>
      <w:bookmarkStart w:id="878" w:name="_Toc130914520"/>
      <w:bookmarkStart w:id="879" w:name="_Toc140239814"/>
      <w:r>
        <w:t>Accessible fare system elements</w:t>
      </w:r>
      <w:bookmarkEnd w:id="877"/>
      <w:bookmarkEnd w:id="878"/>
      <w:bookmarkEnd w:id="879"/>
    </w:p>
    <w:p w14:paraId="7DA08FE0" w14:textId="77777777" w:rsidR="00094004" w:rsidRDefault="00094004" w:rsidP="00094004">
      <w:pPr>
        <w:pStyle w:val="Heading4"/>
      </w:pPr>
      <w:r>
        <w:t>Status quo</w:t>
      </w:r>
    </w:p>
    <w:p w14:paraId="13BC840E" w14:textId="77777777" w:rsidR="00094004" w:rsidRPr="002A7AC6" w:rsidRDefault="00094004" w:rsidP="00094004">
      <w:pPr>
        <w:keepNext/>
      </w:pPr>
      <w:r>
        <w:t>Transport Standards s</w:t>
      </w:r>
      <w:r w:rsidRPr="002A7AC6">
        <w:t>e</w:t>
      </w:r>
      <w:r>
        <w:t>ction 17.5 Electronic notices, s</w:t>
      </w:r>
      <w:r w:rsidRPr="002A7AC6">
        <w:t>ection 24.1 Gateways and checkouts and Part</w:t>
      </w:r>
      <w:r>
        <w:t> </w:t>
      </w:r>
      <w:r w:rsidRPr="002A7AC6">
        <w:t>25 Payments and fares, will remain unchanged and no guidance will be developed.</w:t>
      </w:r>
    </w:p>
    <w:p w14:paraId="4222D458" w14:textId="77777777" w:rsidR="00094004" w:rsidRPr="002A7AC6" w:rsidRDefault="00094004" w:rsidP="00094004">
      <w:pPr>
        <w:spacing w:after="120"/>
        <w:ind w:left="1134" w:hanging="567"/>
        <w:rPr>
          <w:b/>
        </w:rPr>
      </w:pPr>
      <w:r w:rsidRPr="002A7AC6">
        <w:rPr>
          <w:b/>
        </w:rPr>
        <w:t>17.5</w:t>
      </w:r>
      <w:r w:rsidRPr="002A7AC6">
        <w:rPr>
          <w:b/>
        </w:rPr>
        <w:tab/>
        <w:t>Electronic notices</w:t>
      </w:r>
    </w:p>
    <w:p w14:paraId="4D3903D8" w14:textId="77777777" w:rsidR="00094004" w:rsidRPr="002A7AC6" w:rsidRDefault="00094004" w:rsidP="00094004">
      <w:pPr>
        <w:spacing w:after="120"/>
        <w:ind w:left="1134" w:hanging="567"/>
      </w:pPr>
      <w:r w:rsidRPr="002A7AC6">
        <w:t>(1)</w:t>
      </w:r>
      <w:r w:rsidRPr="002A7AC6">
        <w:tab/>
        <w:t>Presentations of words or numbers on electronic notices must be visible for at least 10 seconds, unless the electronic notice is for the purpose of ticket validation.</w:t>
      </w:r>
    </w:p>
    <w:p w14:paraId="1F554113" w14:textId="77777777" w:rsidR="00094004" w:rsidRPr="002A7AC6" w:rsidRDefault="00094004" w:rsidP="00094004">
      <w:pPr>
        <w:spacing w:after="120"/>
        <w:ind w:left="1134" w:hanging="567"/>
      </w:pPr>
      <w:r w:rsidRPr="002A7AC6">
        <w:t>(2)</w:t>
      </w:r>
      <w:r w:rsidRPr="002A7AC6">
        <w:tab/>
        <w:t>If the electronic notice is for this purpose, the words or numbers on the notice must cease to be visible before the end of 10 seconds if the ticket validation device is used by another person within that time.</w:t>
      </w:r>
    </w:p>
    <w:p w14:paraId="24AE33F2" w14:textId="77777777" w:rsidR="00094004" w:rsidRPr="002A7AC6" w:rsidRDefault="00094004" w:rsidP="00094004">
      <w:pPr>
        <w:ind w:left="1134" w:hanging="567"/>
      </w:pPr>
      <w:r>
        <w:t>This s</w:t>
      </w:r>
      <w:r w:rsidRPr="002A7AC6">
        <w:t>ection pertains to premises and infrastructure.</w:t>
      </w:r>
    </w:p>
    <w:p w14:paraId="4A0B8DAD" w14:textId="77777777" w:rsidR="00094004" w:rsidRPr="002A7AC6" w:rsidRDefault="00094004" w:rsidP="00094004">
      <w:pPr>
        <w:ind w:left="1134" w:hanging="567"/>
        <w:rPr>
          <w:b/>
        </w:rPr>
      </w:pPr>
      <w:r w:rsidRPr="002A7AC6">
        <w:rPr>
          <w:b/>
        </w:rPr>
        <w:t>24.1</w:t>
      </w:r>
      <w:r w:rsidRPr="002A7AC6">
        <w:rPr>
          <w:b/>
        </w:rPr>
        <w:tab/>
        <w:t>Gateways and checkouts</w:t>
      </w:r>
    </w:p>
    <w:p w14:paraId="3846F99E" w14:textId="77777777" w:rsidR="00094004" w:rsidRPr="002A7AC6" w:rsidRDefault="00094004" w:rsidP="00094004">
      <w:pPr>
        <w:spacing w:after="120"/>
        <w:ind w:left="1134" w:hanging="567"/>
      </w:pPr>
      <w:r w:rsidRPr="002A7AC6">
        <w:t>(1)</w:t>
      </w:r>
      <w:r w:rsidRPr="002A7AC6">
        <w:tab/>
        <w:t>Gateways and checkouts, such as ticket barriers, must comply with AS1428.2 (1992) Clause 28, Gateways and checkouts.</w:t>
      </w:r>
    </w:p>
    <w:p w14:paraId="15E2FF16" w14:textId="4C08CBA0" w:rsidR="00094004" w:rsidRPr="002A7AC6" w:rsidRDefault="00094004" w:rsidP="00094004">
      <w:pPr>
        <w:spacing w:after="120"/>
        <w:ind w:left="1134" w:hanging="567"/>
      </w:pPr>
      <w:r w:rsidRPr="002A7AC6">
        <w:t>(2)</w:t>
      </w:r>
      <w:r w:rsidRPr="002A7AC6">
        <w:tab/>
        <w:t xml:space="preserve">However, the width of an accessible gateway or checkout mentioned in AS1428.2 (1992) Clause 28.2 must be at least 850 </w:t>
      </w:r>
      <w:r w:rsidR="009134C0" w:rsidRPr="002A7AC6">
        <w:t>millimetres</w:t>
      </w:r>
      <w:r w:rsidRPr="002A7AC6">
        <w:t>.</w:t>
      </w:r>
    </w:p>
    <w:p w14:paraId="4060BCEB" w14:textId="77777777" w:rsidR="00094004" w:rsidRPr="002A7AC6" w:rsidRDefault="00094004" w:rsidP="00094004">
      <w:pPr>
        <w:ind w:left="1134"/>
      </w:pPr>
      <w:r>
        <w:t>This s</w:t>
      </w:r>
      <w:r w:rsidRPr="002A7AC6">
        <w:t>ection pertains to premises and infrastructure, expect airports that do not accept regular public transport.</w:t>
      </w:r>
    </w:p>
    <w:p w14:paraId="5A3C599D" w14:textId="77777777" w:rsidR="00094004" w:rsidRPr="002A7AC6" w:rsidRDefault="00094004" w:rsidP="00094004">
      <w:pPr>
        <w:ind w:left="1134" w:hanging="851"/>
        <w:rPr>
          <w:b/>
        </w:rPr>
      </w:pPr>
      <w:r>
        <w:rPr>
          <w:b/>
        </w:rPr>
        <w:t xml:space="preserve">Part 25 </w:t>
      </w:r>
      <w:r>
        <w:rPr>
          <w:b/>
        </w:rPr>
        <w:tab/>
      </w:r>
      <w:r w:rsidRPr="002A7AC6">
        <w:rPr>
          <w:b/>
        </w:rPr>
        <w:t>Payment of fares</w:t>
      </w:r>
    </w:p>
    <w:p w14:paraId="5846B87F" w14:textId="77777777" w:rsidR="00094004" w:rsidRPr="002A7AC6" w:rsidRDefault="00094004" w:rsidP="00094004">
      <w:pPr>
        <w:spacing w:after="120"/>
        <w:ind w:left="1134" w:hanging="567"/>
        <w:rPr>
          <w:b/>
        </w:rPr>
      </w:pPr>
      <w:r w:rsidRPr="002A7AC6">
        <w:rPr>
          <w:b/>
        </w:rPr>
        <w:t>25.1</w:t>
      </w:r>
      <w:r w:rsidRPr="002A7AC6">
        <w:rPr>
          <w:b/>
        </w:rPr>
        <w:tab/>
        <w:t>Passengers to pay fares</w:t>
      </w:r>
    </w:p>
    <w:p w14:paraId="2C20BF86" w14:textId="77777777" w:rsidR="00094004" w:rsidRPr="002A7AC6" w:rsidRDefault="00094004" w:rsidP="00094004">
      <w:pPr>
        <w:spacing w:after="120"/>
        <w:ind w:left="1134" w:hanging="567"/>
      </w:pPr>
      <w:r w:rsidRPr="002A7AC6">
        <w:t>All passengers must be prepared to pay fares.</w:t>
      </w:r>
    </w:p>
    <w:p w14:paraId="7F6033EB" w14:textId="77777777" w:rsidR="00094004" w:rsidRPr="002A7AC6" w:rsidRDefault="00094004" w:rsidP="00094004">
      <w:pPr>
        <w:spacing w:after="120"/>
        <w:ind w:left="1134" w:hanging="567"/>
      </w:pPr>
      <w:r>
        <w:t>This s</w:t>
      </w:r>
      <w:r w:rsidRPr="002A7AC6">
        <w:t>ection pertains to conveyances, premises and infrastructure.</w:t>
      </w:r>
    </w:p>
    <w:p w14:paraId="28B4C013" w14:textId="77777777" w:rsidR="00094004" w:rsidRPr="002A7AC6" w:rsidRDefault="00094004" w:rsidP="00094004">
      <w:pPr>
        <w:spacing w:after="120"/>
        <w:ind w:left="1134" w:hanging="567"/>
        <w:rPr>
          <w:b/>
        </w:rPr>
      </w:pPr>
      <w:r w:rsidRPr="002A7AC6">
        <w:rPr>
          <w:b/>
        </w:rPr>
        <w:t>25.2</w:t>
      </w:r>
      <w:r w:rsidRPr="002A7AC6">
        <w:rPr>
          <w:b/>
        </w:rPr>
        <w:tab/>
        <w:t>Fare payment and ticket validation systems</w:t>
      </w:r>
    </w:p>
    <w:p w14:paraId="39395C90" w14:textId="77777777" w:rsidR="00094004" w:rsidRPr="002A7AC6" w:rsidRDefault="00094004" w:rsidP="00094004">
      <w:pPr>
        <w:spacing w:after="120"/>
        <w:ind w:left="1134" w:hanging="567"/>
      </w:pPr>
      <w:r w:rsidRPr="002A7AC6">
        <w:t>(1)</w:t>
      </w:r>
      <w:r w:rsidRPr="002A7AC6">
        <w:tab/>
        <w:t>Fare payment and ticket validation systems must not require actions from passengers with disabilities that exceed the requirements for other passengers.</w:t>
      </w:r>
    </w:p>
    <w:p w14:paraId="68A0DAF9" w14:textId="77777777" w:rsidR="00094004" w:rsidRPr="002A7AC6" w:rsidRDefault="00094004" w:rsidP="00094004">
      <w:pPr>
        <w:spacing w:after="120"/>
        <w:ind w:left="1134" w:hanging="567"/>
      </w:pPr>
      <w:r w:rsidRPr="002A7AC6">
        <w:t>(2)</w:t>
      </w:r>
      <w:r w:rsidRPr="002A7AC6">
        <w:tab/>
        <w:t>For passengers who have difficulties with standard fare payment systems, operators and providers must offer a form of payment that meets equivalent access principles.</w:t>
      </w:r>
    </w:p>
    <w:p w14:paraId="7DFD7A6A" w14:textId="77777777" w:rsidR="00094004" w:rsidRPr="002A7AC6" w:rsidRDefault="00094004" w:rsidP="00094004">
      <w:pPr>
        <w:spacing w:after="120"/>
        <w:ind w:left="1134" w:hanging="567"/>
      </w:pPr>
      <w:r w:rsidRPr="002A7AC6">
        <w:t>Note, See sections 33.3 to 33.5 in relation to equivalent access.</w:t>
      </w:r>
    </w:p>
    <w:p w14:paraId="004E2D4C" w14:textId="77777777" w:rsidR="00094004" w:rsidRPr="002A7AC6" w:rsidRDefault="00094004" w:rsidP="00094004">
      <w:pPr>
        <w:spacing w:after="120"/>
        <w:ind w:left="1134" w:hanging="567"/>
      </w:pPr>
      <w:r>
        <w:t>This s</w:t>
      </w:r>
      <w:r w:rsidRPr="002A7AC6">
        <w:t>ection pertains to conveyances, premises and infrastructure.</w:t>
      </w:r>
    </w:p>
    <w:p w14:paraId="522C6897" w14:textId="77777777" w:rsidR="00094004" w:rsidRPr="002A7AC6" w:rsidRDefault="00094004" w:rsidP="00094004">
      <w:pPr>
        <w:spacing w:after="120"/>
        <w:ind w:left="1134" w:hanging="567"/>
        <w:rPr>
          <w:b/>
        </w:rPr>
      </w:pPr>
      <w:r w:rsidRPr="002A7AC6">
        <w:rPr>
          <w:b/>
        </w:rPr>
        <w:t>25.3</w:t>
      </w:r>
      <w:r w:rsidRPr="002A7AC6">
        <w:rPr>
          <w:b/>
        </w:rPr>
        <w:tab/>
        <w:t>Vending machines</w:t>
      </w:r>
    </w:p>
    <w:p w14:paraId="0CB55A9A" w14:textId="77777777" w:rsidR="00094004" w:rsidRPr="002A7AC6" w:rsidRDefault="00094004" w:rsidP="00094004">
      <w:pPr>
        <w:spacing w:after="120"/>
        <w:ind w:left="1134"/>
      </w:pPr>
      <w:r w:rsidRPr="002A7AC6">
        <w:lastRenderedPageBreak/>
        <w:t>Vending machines must comply with AS1428.2 (1992) Clause 29.1, Height, Clause 29.2, Controls, and Clause 29.3, Illumination.</w:t>
      </w:r>
    </w:p>
    <w:p w14:paraId="24617D78" w14:textId="77777777" w:rsidR="00094004" w:rsidRPr="002A7AC6" w:rsidRDefault="00094004" w:rsidP="00094004">
      <w:pPr>
        <w:ind w:left="1134" w:hanging="567"/>
      </w:pPr>
      <w:r>
        <w:t>This s</w:t>
      </w:r>
      <w:r w:rsidRPr="002A7AC6">
        <w:t>ection pertains to conveyances, premises and infrastructure.</w:t>
      </w:r>
    </w:p>
    <w:p w14:paraId="4B172EEC" w14:textId="77777777" w:rsidR="00094004" w:rsidRPr="002A7AC6" w:rsidRDefault="00094004" w:rsidP="00094004">
      <w:pPr>
        <w:ind w:left="1134" w:hanging="567"/>
        <w:rPr>
          <w:b/>
        </w:rPr>
      </w:pPr>
      <w:r w:rsidRPr="002A7AC6">
        <w:rPr>
          <w:b/>
        </w:rPr>
        <w:t>25.4</w:t>
      </w:r>
      <w:r w:rsidRPr="002A7AC6">
        <w:rPr>
          <w:b/>
        </w:rPr>
        <w:tab/>
        <w:t>Circulation space in front of vending machine</w:t>
      </w:r>
    </w:p>
    <w:p w14:paraId="536FF4C4" w14:textId="77777777" w:rsidR="00094004" w:rsidRPr="002A7AC6" w:rsidRDefault="00094004" w:rsidP="00094004">
      <w:pPr>
        <w:spacing w:after="120"/>
        <w:ind w:left="1134"/>
      </w:pPr>
      <w:r w:rsidRPr="002A7AC6">
        <w:t>The circulation space in front of any vending machine must allow for a 180 degree turn as in AS1428.2 (1992) Clause 6.2, Circulation space for 180-degree wheelchair turn.</w:t>
      </w:r>
    </w:p>
    <w:p w14:paraId="090DE5AA" w14:textId="77777777" w:rsidR="00094004" w:rsidRPr="002A7AC6" w:rsidRDefault="00094004" w:rsidP="00094004">
      <w:pPr>
        <w:ind w:left="1134"/>
      </w:pPr>
      <w:r>
        <w:t>This s</w:t>
      </w:r>
      <w:r w:rsidRPr="002A7AC6">
        <w:t>ection pertains to premises and infrastructure, except airports that do not accept regular public transport services.</w:t>
      </w:r>
    </w:p>
    <w:p w14:paraId="753051CB" w14:textId="77777777" w:rsidR="00094004" w:rsidRDefault="00094004" w:rsidP="00094004">
      <w:pPr>
        <w:pStyle w:val="Heading5"/>
      </w:pPr>
      <w:r>
        <w:t>Non-regulatory option</w:t>
      </w:r>
    </w:p>
    <w:p w14:paraId="59BECAF0" w14:textId="77777777" w:rsidR="00094004" w:rsidRPr="002A7AC6" w:rsidRDefault="00094004" w:rsidP="00094004">
      <w:r w:rsidRPr="002A7AC6">
        <w:t xml:space="preserve">The intended outcome is, through guidance, to encourage the uptake of accessible fare system elements in line with best practice, to meet to meet not only the current and future needs of people with disability but also provide clarity, certainty and flexibility to providers and operators. Guidance on best practice fare system processes would be included in The Whole Journey Guide. The </w:t>
      </w:r>
      <w:r>
        <w:t>Transport Standards</w:t>
      </w:r>
      <w:r w:rsidRPr="002A7AC6">
        <w:t xml:space="preserve"> Guidelines may also contain additional guidance material as required.</w:t>
      </w:r>
    </w:p>
    <w:p w14:paraId="077C2C23" w14:textId="77777777" w:rsidR="00094004" w:rsidRPr="002A7AC6" w:rsidRDefault="00094004" w:rsidP="00094004">
      <w:pPr>
        <w:keepNext/>
      </w:pPr>
      <w:r>
        <w:t>Specific guidance may include:</w:t>
      </w:r>
    </w:p>
    <w:p w14:paraId="41B5F11D" w14:textId="77777777" w:rsidR="00094004" w:rsidRPr="002A7AC6" w:rsidRDefault="00094004" w:rsidP="00EF10C7">
      <w:pPr>
        <w:pStyle w:val="Listparagraphbullets"/>
      </w:pPr>
      <w:r w:rsidRPr="002A7AC6">
        <w:t>To provide a non-discriminatory fare system and ensure people with disability can travel independently, accessible fare payment options must not incur more expensive prices to other fare payment options for equivalent travel. Alternative payment and validation methods should also be available without additional fees or surcharges.</w:t>
      </w:r>
    </w:p>
    <w:p w14:paraId="7BEFBA6D" w14:textId="77777777" w:rsidR="00094004" w:rsidRDefault="00094004" w:rsidP="00EF10C7">
      <w:pPr>
        <w:pStyle w:val="Listparagraphbullets"/>
      </w:pPr>
      <w:r w:rsidRPr="002A7AC6">
        <w:t>International ICT guidelines, WCAG, or similar should be considered for the consistent accessibility attributes found in other industries, including retail and banking.</w:t>
      </w:r>
    </w:p>
    <w:p w14:paraId="36CFE015" w14:textId="77777777" w:rsidR="00094004" w:rsidRPr="002A7AC6" w:rsidRDefault="00094004" w:rsidP="00EF10C7">
      <w:pPr>
        <w:pStyle w:val="Listparagraphbullets"/>
      </w:pPr>
      <w:r w:rsidRPr="002A7AC6">
        <w:t>This includes referral to AS/EN301549 (2016 or 2020) Accessibility requirements suitable for public procurement for ICT products and services.</w:t>
      </w:r>
    </w:p>
    <w:p w14:paraId="5FD46277" w14:textId="77777777" w:rsidR="00094004" w:rsidRDefault="00094004" w:rsidP="00EF10C7">
      <w:pPr>
        <w:pStyle w:val="Listparagraphbullets"/>
      </w:pPr>
      <w:r w:rsidRPr="002A7AC6">
        <w:t xml:space="preserve">To meet the needs of people who are blind or have low vision, fare system elements should meet the requirements of AS/EN301549 (2020) </w:t>
      </w:r>
      <w:r>
        <w:rPr>
          <w:i/>
        </w:rPr>
        <w:t>s</w:t>
      </w:r>
      <w:r w:rsidRPr="002A7AC6">
        <w:rPr>
          <w:i/>
        </w:rPr>
        <w:t>ection 5.1.3.1 Audio</w:t>
      </w:r>
      <w:r>
        <w:rPr>
          <w:i/>
        </w:rPr>
        <w:t xml:space="preserve"> output of visual information, s</w:t>
      </w:r>
      <w:r w:rsidRPr="002A7AC6">
        <w:rPr>
          <w:i/>
        </w:rPr>
        <w:t xml:space="preserve">ection 5.1.3.3 Auditory output correlation, and </w:t>
      </w:r>
      <w:r>
        <w:rPr>
          <w:i/>
        </w:rPr>
        <w:t>s</w:t>
      </w:r>
      <w:r w:rsidRPr="002A7AC6">
        <w:rPr>
          <w:i/>
        </w:rPr>
        <w:t>ection 8.5 tactile indication of speech mode</w:t>
      </w:r>
      <w:r w:rsidRPr="002A7AC6">
        <w:t>.</w:t>
      </w:r>
    </w:p>
    <w:p w14:paraId="71D24B17" w14:textId="77777777" w:rsidR="00094004" w:rsidRPr="002A7AC6" w:rsidRDefault="00094004" w:rsidP="00094004">
      <w:pPr>
        <w:pStyle w:val="Heading5"/>
      </w:pPr>
      <w:r w:rsidRPr="002A7AC6">
        <w:t>Regulatory options</w:t>
      </w:r>
    </w:p>
    <w:p w14:paraId="2B97A5B8" w14:textId="77777777" w:rsidR="00094004" w:rsidRPr="002A7AC6" w:rsidRDefault="00094004" w:rsidP="00094004">
      <w:r w:rsidRPr="002A7AC6">
        <w:t>Three regulatory proposals are presented for consideration. Option 1 is performance based and does not require compliance with a specific standard for fare system hardware and software. Option 2 contains prescriptive requirements, and requires compliance with a version of AS/EN301549. Option 3 also contains prescriptive requirements, and includes an additional sub-option requiring compliance with a specific version of WCAG.</w:t>
      </w:r>
    </w:p>
    <w:p w14:paraId="73BD6120" w14:textId="77777777" w:rsidR="00094004" w:rsidRPr="002A7AC6" w:rsidRDefault="00094004" w:rsidP="00094004">
      <w:r>
        <w:t>For all options, the following s</w:t>
      </w:r>
      <w:r w:rsidRPr="002A7AC6">
        <w:t xml:space="preserve">ections of the </w:t>
      </w:r>
      <w:r>
        <w:t>Transport Standards</w:t>
      </w:r>
      <w:r w:rsidRPr="002A7AC6">
        <w:t xml:space="preserve"> would be replaced:</w:t>
      </w:r>
    </w:p>
    <w:p w14:paraId="43440E4C" w14:textId="77777777" w:rsidR="00094004" w:rsidRPr="002A7AC6" w:rsidRDefault="00094004" w:rsidP="00EF10C7">
      <w:pPr>
        <w:pStyle w:val="Listparagraphbullets"/>
      </w:pPr>
      <w:r w:rsidRPr="002A7AC6">
        <w:t>Section 24.1, Gateways and checkouts</w:t>
      </w:r>
      <w:r>
        <w:t>.</w:t>
      </w:r>
    </w:p>
    <w:p w14:paraId="24E55540" w14:textId="77777777" w:rsidR="00094004" w:rsidRPr="002A7AC6" w:rsidRDefault="00094004" w:rsidP="00EF10C7">
      <w:pPr>
        <w:pStyle w:val="Listparagraphbullets"/>
      </w:pPr>
      <w:r w:rsidRPr="002A7AC6">
        <w:t>Section 25.2, Fare payment and ticket validation systems</w:t>
      </w:r>
      <w:r>
        <w:t>.</w:t>
      </w:r>
    </w:p>
    <w:p w14:paraId="0D043159" w14:textId="77777777" w:rsidR="00094004" w:rsidRDefault="00094004" w:rsidP="00EF10C7">
      <w:pPr>
        <w:pStyle w:val="Listparagraphbullets"/>
      </w:pPr>
      <w:r w:rsidRPr="002A7AC6">
        <w:t>Section 25.3, Vending machines</w:t>
      </w:r>
      <w:r>
        <w:t>.</w:t>
      </w:r>
    </w:p>
    <w:p w14:paraId="74E5E68A" w14:textId="77777777" w:rsidR="00094004" w:rsidRPr="002A7AC6" w:rsidRDefault="00094004" w:rsidP="00094004">
      <w:r>
        <w:t>These s</w:t>
      </w:r>
      <w:r w:rsidRPr="002A7AC6">
        <w:t>ections would be replaced by new requirements added to cover reach ranges, viewing angles, electronic notices for ticket validation, width of accessible fare system gates and or barriers. These requirements would apply to all conveyances, premises and infrastructure.</w:t>
      </w:r>
    </w:p>
    <w:p w14:paraId="32CA39B7" w14:textId="77777777" w:rsidR="00094004" w:rsidRPr="002A7AC6" w:rsidRDefault="00094004" w:rsidP="00094004">
      <w:pPr>
        <w:pStyle w:val="Heading6"/>
      </w:pPr>
      <w:r w:rsidRPr="002A7AC6">
        <w:lastRenderedPageBreak/>
        <w:t>Option 1</w:t>
      </w:r>
    </w:p>
    <w:p w14:paraId="1314E572" w14:textId="77777777" w:rsidR="00094004" w:rsidRPr="002A7AC6" w:rsidRDefault="00094004" w:rsidP="00094004">
      <w:r w:rsidRPr="002A7AC6">
        <w:t xml:space="preserve">The </w:t>
      </w:r>
      <w:r>
        <w:t>Transport Standards</w:t>
      </w:r>
      <w:r w:rsidRPr="002A7AC6">
        <w:t xml:space="preserve"> would be amended to include </w:t>
      </w:r>
      <w:r w:rsidRPr="002A7AC6">
        <w:rPr>
          <w:b/>
        </w:rPr>
        <w:t>new requirements for fare and ticketing systems, including a performance standard for fare system hardware and software</w:t>
      </w:r>
      <w:r w:rsidRPr="002A7AC6">
        <w:t>.</w:t>
      </w:r>
    </w:p>
    <w:p w14:paraId="23B2F03A" w14:textId="77777777" w:rsidR="00094004" w:rsidRPr="002A7AC6" w:rsidRDefault="00094004" w:rsidP="00094004">
      <w:pPr>
        <w:rPr>
          <w:i/>
        </w:rPr>
      </w:pPr>
      <w:r>
        <w:t>Transport Standards s</w:t>
      </w:r>
      <w:r w:rsidRPr="002A7AC6">
        <w:t>ection 17.5 Electronic Notices, would be amended to include the following:</w:t>
      </w:r>
    </w:p>
    <w:p w14:paraId="22B6A22F" w14:textId="77777777" w:rsidR="00094004" w:rsidRDefault="00094004" w:rsidP="00EF10C7">
      <w:pPr>
        <w:pStyle w:val="Listparagraphbullets"/>
      </w:pPr>
      <w:r w:rsidRPr="000E2E5E">
        <w:t>Presentations of words or numbers on electronic notices must be visible for at least ten seconds.</w:t>
      </w:r>
    </w:p>
    <w:p w14:paraId="5378B8FE" w14:textId="77777777" w:rsidR="00094004" w:rsidRPr="000E2E5E" w:rsidRDefault="00094004" w:rsidP="00094004">
      <w:r w:rsidRPr="000E2E5E">
        <w:t>These requirements would apply to all conveyances, premises and infrastructure.</w:t>
      </w:r>
    </w:p>
    <w:p w14:paraId="595DD2E5" w14:textId="77777777" w:rsidR="00094004" w:rsidRPr="002A7AC6" w:rsidRDefault="00094004" w:rsidP="00094004">
      <w:r w:rsidRPr="002A7AC6">
        <w:t xml:space="preserve">The </w:t>
      </w:r>
      <w:r>
        <w:t>Transport Standards</w:t>
      </w:r>
      <w:r w:rsidRPr="002A7AC6">
        <w:t xml:space="preserve"> would also include the following new requirements:</w:t>
      </w:r>
    </w:p>
    <w:p w14:paraId="7F70873C"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1B010628" w14:textId="77777777" w:rsidR="00094004" w:rsidRPr="002A7AC6" w:rsidRDefault="00094004" w:rsidP="00EF10C7">
      <w:pPr>
        <w:pStyle w:val="Listparagraphbullets"/>
      </w:pPr>
      <w:r w:rsidRPr="002A7AC6">
        <w:t>For passengers with disabilities who have difficulties with standard fare systems, operators and providers must offer a form of payment that meets equivalent access principles.</w:t>
      </w:r>
      <w:bookmarkStart w:id="880" w:name="_Hlk64016179"/>
      <w:r w:rsidRPr="002A7AC6">
        <w:t xml:space="preserve"> </w:t>
      </w:r>
      <w:bookmarkEnd w:id="880"/>
      <w:r w:rsidRPr="002A7AC6">
        <w:t>Forms of payment offered:</w:t>
      </w:r>
    </w:p>
    <w:p w14:paraId="1155DBAA" w14:textId="77777777" w:rsidR="00094004" w:rsidRPr="002A7AC6" w:rsidRDefault="00094004" w:rsidP="00EF10C7">
      <w:pPr>
        <w:pStyle w:val="Listparagraphbullets"/>
      </w:pPr>
      <w:r w:rsidRPr="002A7AC6">
        <w:t>Must not incur a surcharge for a device or be charged at a higher rate than other fare payment options.</w:t>
      </w:r>
    </w:p>
    <w:p w14:paraId="25D8C5E7" w14:textId="77777777" w:rsidR="00094004" w:rsidRPr="002A7AC6" w:rsidRDefault="00094004" w:rsidP="00EF10C7">
      <w:pPr>
        <w:pStyle w:val="Listparagraphbullets"/>
      </w:pPr>
      <w:r w:rsidRPr="002A7AC6">
        <w:t>Should facilitate independent access through fare gates.</w:t>
      </w:r>
    </w:p>
    <w:p w14:paraId="082CEACA" w14:textId="1AB6B886" w:rsidR="00094004" w:rsidRPr="002A7AC6" w:rsidRDefault="00094004" w:rsidP="00EF10C7">
      <w:pPr>
        <w:pStyle w:val="Listparagraphbullets"/>
      </w:pPr>
      <w:r w:rsidRPr="002A7AC6">
        <w:t>Access gates forming a barrier between paid and unpaid areas of a station or interchange must have a minimum width of 850</w:t>
      </w:r>
      <w:r w:rsidR="009134C0" w:rsidRPr="009134C0">
        <w:t xml:space="preserve"> </w:t>
      </w:r>
      <w:r w:rsidR="009134C0" w:rsidRPr="002A7AC6">
        <w:t>millimetres</w:t>
      </w:r>
      <w:r w:rsidRPr="002A7AC6">
        <w:t>.</w:t>
      </w:r>
    </w:p>
    <w:p w14:paraId="3E37FFE1" w14:textId="77777777" w:rsidR="00094004" w:rsidRDefault="00094004" w:rsidP="00EF10C7">
      <w:pPr>
        <w:pStyle w:val="Listparagraphbullets"/>
      </w:pPr>
      <w:r w:rsidRPr="002A7AC6">
        <w:t>The digital display of information for the purposes of ticket validation should remain visible for the average length of time required for the person to acknowledge content of the display.</w:t>
      </w:r>
    </w:p>
    <w:p w14:paraId="056032EF" w14:textId="77777777" w:rsidR="00094004" w:rsidRDefault="00094004" w:rsidP="00EF10C7">
      <w:pPr>
        <w:pStyle w:val="Listparagraphbullets"/>
      </w:pPr>
      <w:r w:rsidRPr="002A7AC6">
        <w:t>Any fare system hardware or software intended for public use by a public transport operator or provider must comply with applicable Australian Standards for disability access concerning reach range, viewing angles, controls, audible methods of communicating information for people who are blind or vision impaired, visual methods of communicating information, compatibility with assistive technology, and logical flow of the software operation.</w:t>
      </w:r>
    </w:p>
    <w:p w14:paraId="568EA648" w14:textId="77777777" w:rsidR="00094004" w:rsidRPr="002A7AC6" w:rsidRDefault="00094004" w:rsidP="00094004">
      <w:pPr>
        <w:pStyle w:val="Heading6"/>
      </w:pPr>
      <w:r w:rsidRPr="002A7AC6">
        <w:t>Option 2</w:t>
      </w:r>
    </w:p>
    <w:p w14:paraId="398DFF7C" w14:textId="77777777" w:rsidR="00094004" w:rsidRPr="002A7AC6" w:rsidRDefault="00094004" w:rsidP="00094004">
      <w:r w:rsidRPr="002A7AC6">
        <w:t xml:space="preserve">The </w:t>
      </w:r>
      <w:r>
        <w:t>Transport Standards</w:t>
      </w:r>
      <w:r w:rsidRPr="002A7AC6">
        <w:t xml:space="preserve"> would be amended to include </w:t>
      </w:r>
      <w:r w:rsidRPr="002A7AC6">
        <w:rPr>
          <w:b/>
        </w:rPr>
        <w:t>new requirements for fare and ticketing systems, including compliance with AS/EN301549 standards for fare system hardware and software</w:t>
      </w:r>
      <w:r w:rsidRPr="002A7AC6">
        <w:t>, rather than a performance standard. Two sub-options are presented for consideration regarding which version of AS/EN301549 (2016 or 2020) should be mandated.</w:t>
      </w:r>
    </w:p>
    <w:p w14:paraId="178EFE08" w14:textId="77777777" w:rsidR="00094004" w:rsidRPr="002A7AC6" w:rsidRDefault="00094004" w:rsidP="00094004">
      <w:pPr>
        <w:rPr>
          <w:i/>
        </w:rPr>
      </w:pPr>
      <w:r>
        <w:t>Transport Standards</w:t>
      </w:r>
      <w:r w:rsidRPr="002A7AC6">
        <w:t xml:space="preserve"> </w:t>
      </w:r>
      <w:r>
        <w:t>s</w:t>
      </w:r>
      <w:r w:rsidRPr="002A7AC6">
        <w:t>ection 17.5 Electronic Notices, would be amended to include the following:</w:t>
      </w:r>
    </w:p>
    <w:p w14:paraId="63B44568" w14:textId="77777777" w:rsidR="00094004" w:rsidRDefault="00094004" w:rsidP="00EF10C7">
      <w:pPr>
        <w:pStyle w:val="Listparagraphbullets"/>
      </w:pPr>
      <w:r w:rsidRPr="002A7AC6">
        <w:t>Presentations of words or numbers on electronic notices must be vi</w:t>
      </w:r>
      <w:r>
        <w:t>sible for at least ten seconds.</w:t>
      </w:r>
    </w:p>
    <w:p w14:paraId="15D79215" w14:textId="77777777" w:rsidR="00094004" w:rsidRDefault="00094004" w:rsidP="00094004">
      <w:r w:rsidRPr="000E2E5E">
        <w:t>These requirements would apply to all conveyances, premises and infrastructure.</w:t>
      </w:r>
    </w:p>
    <w:p w14:paraId="0A0BE74E" w14:textId="77777777" w:rsidR="00094004" w:rsidRPr="002A7AC6" w:rsidRDefault="00094004" w:rsidP="00094004">
      <w:r w:rsidRPr="002A7AC6">
        <w:t xml:space="preserve">The </w:t>
      </w:r>
      <w:r>
        <w:t>Transport Standards</w:t>
      </w:r>
      <w:r w:rsidRPr="002A7AC6">
        <w:t xml:space="preserve"> would also include the following new requirements:</w:t>
      </w:r>
    </w:p>
    <w:p w14:paraId="05B54D3E"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1760F5F4" w14:textId="77777777" w:rsidR="00094004" w:rsidRDefault="00094004" w:rsidP="00EF10C7">
      <w:pPr>
        <w:pStyle w:val="Listparagraphbullets"/>
      </w:pPr>
      <w:r w:rsidRPr="002A7AC6">
        <w:t>For passengers with disabilities who have difficulties with standard fare systems, operators and providers must offer a form of payment that meets equivalent access principles. Forms of payment offered:</w:t>
      </w:r>
    </w:p>
    <w:p w14:paraId="7DC84E7B" w14:textId="77777777" w:rsidR="00094004" w:rsidRPr="002A7AC6" w:rsidRDefault="00094004" w:rsidP="00EF10C7">
      <w:pPr>
        <w:pStyle w:val="Listparagraphbullets"/>
      </w:pPr>
      <w:r w:rsidRPr="002A7AC6">
        <w:t>Must not incur a surcharge for a device or be charged at a higher rate than other fare payment options.</w:t>
      </w:r>
    </w:p>
    <w:p w14:paraId="0877B169" w14:textId="77777777" w:rsidR="00094004" w:rsidRPr="002A7AC6" w:rsidRDefault="00094004" w:rsidP="00EF10C7">
      <w:pPr>
        <w:pStyle w:val="Listparagraphbullets"/>
      </w:pPr>
      <w:r w:rsidRPr="002A7AC6">
        <w:t>Should facilitate independent access through fare gates.</w:t>
      </w:r>
    </w:p>
    <w:p w14:paraId="72DDABD5" w14:textId="77777777" w:rsidR="00094004" w:rsidRPr="002A7AC6" w:rsidRDefault="00094004" w:rsidP="00EF10C7">
      <w:pPr>
        <w:pStyle w:val="Listparagraphbullets"/>
      </w:pPr>
      <w:r w:rsidRPr="002A7AC6">
        <w:lastRenderedPageBreak/>
        <w:t xml:space="preserve">In order to ensure the needs of people with disability who are blind or vision impaired, fare system elements must meet the requirements of AS/EN301549 </w:t>
      </w:r>
      <w:r>
        <w:rPr>
          <w:i/>
        </w:rPr>
        <w:t>s</w:t>
      </w:r>
      <w:r w:rsidRPr="002A7AC6">
        <w:rPr>
          <w:i/>
        </w:rPr>
        <w:t>ection 5.1.3.1 Audio</w:t>
      </w:r>
      <w:r>
        <w:rPr>
          <w:i/>
        </w:rPr>
        <w:t xml:space="preserve"> output of visual information, s</w:t>
      </w:r>
      <w:r w:rsidRPr="002A7AC6">
        <w:rPr>
          <w:i/>
        </w:rPr>
        <w:t>ection 5.1.3.3 Auditory output correlatio</w:t>
      </w:r>
      <w:r>
        <w:rPr>
          <w:i/>
        </w:rPr>
        <w:t>n, and s</w:t>
      </w:r>
      <w:r w:rsidRPr="002A7AC6">
        <w:rPr>
          <w:i/>
        </w:rPr>
        <w:t>ection 8.5 tactile indication of speech mode</w:t>
      </w:r>
      <w:r w:rsidRPr="002A7AC6">
        <w:t>.</w:t>
      </w:r>
    </w:p>
    <w:p w14:paraId="3D160E67" w14:textId="77777777" w:rsidR="00094004" w:rsidRPr="002A7AC6" w:rsidRDefault="00094004" w:rsidP="00EF10C7">
      <w:pPr>
        <w:pStyle w:val="Listparagraphbullets"/>
      </w:pPr>
      <w:r w:rsidRPr="002A7AC6">
        <w:t xml:space="preserve">Where any conflict of requirements exists, the </w:t>
      </w:r>
      <w:r>
        <w:t>Transport Standards</w:t>
      </w:r>
      <w:r w:rsidRPr="002A7AC6">
        <w:t xml:space="preserve"> take precedence over ASEN301549.</w:t>
      </w:r>
    </w:p>
    <w:p w14:paraId="1233615C" w14:textId="007E4001" w:rsidR="00094004" w:rsidRPr="002A7AC6" w:rsidRDefault="00094004" w:rsidP="00EF10C7">
      <w:pPr>
        <w:pStyle w:val="Listparagraphbullets"/>
      </w:pPr>
      <w:r w:rsidRPr="002A7AC6">
        <w:t>Access gates forming a barrier between paid and unpaid areas of a station or interchange must have a minimum width of 850</w:t>
      </w:r>
      <w:r w:rsidR="009134C0" w:rsidRPr="009134C0">
        <w:t xml:space="preserve"> </w:t>
      </w:r>
      <w:r w:rsidR="009134C0" w:rsidRPr="002A7AC6">
        <w:t>millimetres</w:t>
      </w:r>
      <w:r w:rsidRPr="002A7AC6">
        <w:t>.</w:t>
      </w:r>
    </w:p>
    <w:p w14:paraId="582AB507" w14:textId="77777777" w:rsidR="00094004" w:rsidRPr="002A7AC6" w:rsidRDefault="00094004" w:rsidP="00EF10C7">
      <w:pPr>
        <w:pStyle w:val="Listparagraphbullets"/>
      </w:pPr>
      <w:r w:rsidRPr="002A7AC6">
        <w:t>The digital display of information for the purposes of ticket validation should remain visible for the average length of time required for the person to acknowledge content of the display.</w:t>
      </w:r>
    </w:p>
    <w:p w14:paraId="796FA6A1" w14:textId="77777777" w:rsidR="00094004" w:rsidRPr="002A7AC6" w:rsidRDefault="00094004" w:rsidP="00EF10C7">
      <w:pPr>
        <w:pStyle w:val="Listparagraphbullets"/>
      </w:pPr>
      <w:r w:rsidRPr="002A7AC6">
        <w:t xml:space="preserve">Any fare system hardware or software intended for public use by a public transport operator or provider must comply with AS/EN301549 </w:t>
      </w:r>
      <w:r w:rsidRPr="002A7AC6">
        <w:rPr>
          <w:i/>
        </w:rPr>
        <w:t>Accessibility requirements suitable for public procurement of ICT products and service</w:t>
      </w:r>
      <w:r w:rsidRPr="002A7AC6">
        <w:t>, as a minimum standard for ICT procurement.</w:t>
      </w:r>
    </w:p>
    <w:p w14:paraId="4B586D91" w14:textId="77777777" w:rsidR="00094004" w:rsidRPr="002A7AC6" w:rsidRDefault="00094004" w:rsidP="00094004">
      <w:pPr>
        <w:pStyle w:val="Heading7"/>
        <w:ind w:left="1134"/>
        <w:rPr>
          <w:lang w:val="en-AU"/>
        </w:rPr>
      </w:pPr>
      <w:r w:rsidRPr="002A7AC6">
        <w:rPr>
          <w:lang w:val="en-AU"/>
        </w:rPr>
        <w:t>Sub-option 1</w:t>
      </w:r>
    </w:p>
    <w:p w14:paraId="1A702FEA" w14:textId="77777777" w:rsidR="00094004" w:rsidRPr="002A7AC6" w:rsidRDefault="00094004" w:rsidP="00094004">
      <w:pPr>
        <w:ind w:left="1134"/>
      </w:pPr>
      <w:r w:rsidRPr="002A7AC6">
        <w:t>Compliance with AS/EN301549 (2016).</w:t>
      </w:r>
    </w:p>
    <w:p w14:paraId="5CEAEE7C" w14:textId="77777777" w:rsidR="00094004" w:rsidRPr="002A7AC6" w:rsidRDefault="00094004" w:rsidP="00094004">
      <w:pPr>
        <w:pStyle w:val="Heading7"/>
        <w:ind w:left="1134"/>
        <w:rPr>
          <w:lang w:val="en-AU"/>
        </w:rPr>
      </w:pPr>
      <w:r w:rsidRPr="002A7AC6">
        <w:rPr>
          <w:lang w:val="en-AU"/>
        </w:rPr>
        <w:t>Sub-option 2</w:t>
      </w:r>
    </w:p>
    <w:p w14:paraId="3BCBFA04" w14:textId="77777777" w:rsidR="00094004" w:rsidRPr="002A7AC6" w:rsidRDefault="00094004" w:rsidP="00094004">
      <w:pPr>
        <w:ind w:left="1134"/>
      </w:pPr>
      <w:r w:rsidRPr="002A7AC6">
        <w:t>Compliance with AS/EN301549 (2020).</w:t>
      </w:r>
    </w:p>
    <w:p w14:paraId="1B4345AB" w14:textId="77777777" w:rsidR="00094004" w:rsidRPr="002A7AC6" w:rsidRDefault="00094004" w:rsidP="00094004">
      <w:pPr>
        <w:pStyle w:val="Heading6"/>
      </w:pPr>
      <w:r w:rsidRPr="002A7AC6">
        <w:t>Option 3</w:t>
      </w:r>
    </w:p>
    <w:p w14:paraId="7ED47F45" w14:textId="77777777" w:rsidR="00094004" w:rsidRDefault="00094004" w:rsidP="00094004">
      <w:r w:rsidRPr="002A7AC6">
        <w:t xml:space="preserve">The </w:t>
      </w:r>
      <w:r>
        <w:t>Transport Standards</w:t>
      </w:r>
      <w:r w:rsidRPr="002A7AC6">
        <w:t xml:space="preserve"> would be amended to include </w:t>
      </w:r>
      <w:r w:rsidRPr="002A7AC6">
        <w:rPr>
          <w:b/>
        </w:rPr>
        <w:t xml:space="preserve">new requirements for fare and ticketing systems, including compliance with AS/EN301549 standards for fare system hardware and software, </w:t>
      </w:r>
      <w:r w:rsidRPr="002A7AC6">
        <w:t>rather than a performance standard</w:t>
      </w:r>
      <w:r w:rsidRPr="002A7AC6">
        <w:rPr>
          <w:b/>
        </w:rPr>
        <w:t>, and additionally compliance with WCAG requirements</w:t>
      </w:r>
      <w:r w:rsidRPr="002A7AC6">
        <w:t>. Two components of the regulatory option contain sub-options, relating to the version of AS/EN301549 (2016 or 2020) and version of WCAG to be mandated, respectively.</w:t>
      </w:r>
    </w:p>
    <w:p w14:paraId="39236537" w14:textId="77777777" w:rsidR="00094004" w:rsidRPr="002A7AC6" w:rsidRDefault="00094004" w:rsidP="00094004">
      <w:pPr>
        <w:rPr>
          <w:i/>
        </w:rPr>
      </w:pPr>
      <w:r>
        <w:t>Transport Standards s</w:t>
      </w:r>
      <w:r w:rsidRPr="002A7AC6">
        <w:t>ection 17.5 Electronic Notices, would be amended to include the following:</w:t>
      </w:r>
    </w:p>
    <w:p w14:paraId="1DEEBF3B" w14:textId="77777777" w:rsidR="00094004" w:rsidRDefault="00094004" w:rsidP="00EF10C7">
      <w:pPr>
        <w:pStyle w:val="Listparagraphbullets"/>
      </w:pPr>
      <w:r w:rsidRPr="002A7AC6">
        <w:t>Presentations of words or numbers on electronic notices must be visible for at least ten seconds.</w:t>
      </w:r>
    </w:p>
    <w:p w14:paraId="6B2B0283" w14:textId="77777777" w:rsidR="00094004" w:rsidRDefault="00094004" w:rsidP="00094004">
      <w:pPr>
        <w:contextualSpacing/>
      </w:pPr>
      <w:r w:rsidRPr="002A7AC6">
        <w:t>These requirements would apply to all conveyances, premises and infrastructure.</w:t>
      </w:r>
    </w:p>
    <w:p w14:paraId="6C0C51C0" w14:textId="77777777" w:rsidR="00094004" w:rsidRPr="002A7AC6" w:rsidRDefault="00094004" w:rsidP="00094004">
      <w:pPr>
        <w:contextualSpacing/>
      </w:pPr>
      <w:r w:rsidRPr="002A7AC6">
        <w:t xml:space="preserve">The </w:t>
      </w:r>
      <w:r>
        <w:t>Transport Standards</w:t>
      </w:r>
      <w:r w:rsidRPr="002A7AC6">
        <w:t xml:space="preserve"> would include the following new requirements:</w:t>
      </w:r>
    </w:p>
    <w:p w14:paraId="2FA91DD3" w14:textId="77777777" w:rsidR="00094004" w:rsidRPr="002A7AC6" w:rsidRDefault="00094004" w:rsidP="00EF10C7">
      <w:pPr>
        <w:pStyle w:val="Listparagraphbullets"/>
      </w:pPr>
      <w:r w:rsidRPr="002A7AC6">
        <w:t>Fare systems must not require actions from passengers with disabilities that exceed the requirements for other passengers.</w:t>
      </w:r>
    </w:p>
    <w:p w14:paraId="05E9F0DC" w14:textId="77777777" w:rsidR="00094004" w:rsidRPr="002A7AC6" w:rsidRDefault="00094004" w:rsidP="00EF10C7">
      <w:pPr>
        <w:pStyle w:val="Listparagraphbullets"/>
      </w:pPr>
      <w:r w:rsidRPr="002A7AC6">
        <w:t>For passengers with disabilities who have difficulties with standard fare systems, operators and providers must offer a form of payment that meets equivalent access principles. Forms of payment offered:</w:t>
      </w:r>
    </w:p>
    <w:p w14:paraId="7AC9ED27" w14:textId="77777777" w:rsidR="00094004" w:rsidRPr="002A7AC6" w:rsidRDefault="00094004" w:rsidP="00EF10C7">
      <w:pPr>
        <w:pStyle w:val="Listparagraphbullets"/>
      </w:pPr>
      <w:r w:rsidRPr="002A7AC6">
        <w:t>Must not incur a surcharge for a device or be charged at a higher rate than other fare payment options.</w:t>
      </w:r>
    </w:p>
    <w:p w14:paraId="2F9BEB14" w14:textId="77777777" w:rsidR="00094004" w:rsidRPr="002A7AC6" w:rsidRDefault="00094004" w:rsidP="00EF10C7">
      <w:pPr>
        <w:pStyle w:val="Listparagraphbullets"/>
      </w:pPr>
      <w:r w:rsidRPr="002A7AC6">
        <w:t>Should facilitate independent access through fare gates.</w:t>
      </w:r>
    </w:p>
    <w:p w14:paraId="0B962620" w14:textId="77777777" w:rsidR="00094004" w:rsidRPr="002A7AC6" w:rsidRDefault="00094004" w:rsidP="00EF10C7">
      <w:pPr>
        <w:pStyle w:val="Listparagraphbullets"/>
      </w:pPr>
      <w:r w:rsidRPr="002A7AC6">
        <w:t xml:space="preserve">In order to ensure the needs of people with disability who are blind or vision impaired, fare system elements must meet the requirements of AS/EN301549 </w:t>
      </w:r>
      <w:r>
        <w:rPr>
          <w:i/>
        </w:rPr>
        <w:t>s</w:t>
      </w:r>
      <w:r w:rsidRPr="002A7AC6">
        <w:rPr>
          <w:i/>
        </w:rPr>
        <w:t>ection 5.1.3.1 Audio output of visua</w:t>
      </w:r>
      <w:r>
        <w:rPr>
          <w:i/>
        </w:rPr>
        <w:t>l information, s</w:t>
      </w:r>
      <w:r w:rsidRPr="002A7AC6">
        <w:rPr>
          <w:i/>
        </w:rPr>
        <w:t>ection 5.1.3.3 Au</w:t>
      </w:r>
      <w:r>
        <w:rPr>
          <w:i/>
        </w:rPr>
        <w:t>ditory output correlation, and s</w:t>
      </w:r>
      <w:r w:rsidRPr="002A7AC6">
        <w:rPr>
          <w:i/>
        </w:rPr>
        <w:t>ection 8.5 tactile indication of speech mode</w:t>
      </w:r>
      <w:r w:rsidRPr="002A7AC6">
        <w:t>.</w:t>
      </w:r>
    </w:p>
    <w:p w14:paraId="1A415485" w14:textId="77777777" w:rsidR="00094004" w:rsidRPr="002A7AC6" w:rsidRDefault="00094004" w:rsidP="00EF10C7">
      <w:pPr>
        <w:pStyle w:val="Listparagraphbullets"/>
      </w:pPr>
      <w:r w:rsidRPr="002A7AC6">
        <w:t xml:space="preserve">Where any conflict of requirements exists, the </w:t>
      </w:r>
      <w:r>
        <w:t>Transport Standards</w:t>
      </w:r>
      <w:r w:rsidRPr="002A7AC6">
        <w:t xml:space="preserve"> take precedence over ASEN301549.</w:t>
      </w:r>
    </w:p>
    <w:p w14:paraId="57544350" w14:textId="77777777" w:rsidR="00094004" w:rsidRPr="002A7AC6" w:rsidRDefault="00094004" w:rsidP="00EF10C7">
      <w:pPr>
        <w:pStyle w:val="Listparagraphbullets"/>
      </w:pPr>
      <w:r w:rsidRPr="002A7AC6">
        <w:t>Sub-option 1</w:t>
      </w:r>
    </w:p>
    <w:p w14:paraId="56A73B76" w14:textId="77777777" w:rsidR="00094004" w:rsidRPr="002A7AC6" w:rsidRDefault="00094004" w:rsidP="00EF10C7">
      <w:pPr>
        <w:pStyle w:val="Listparagraphbullets"/>
      </w:pPr>
      <w:r w:rsidRPr="002A7AC6">
        <w:t>Compliance with AS/EN301549 (2016).</w:t>
      </w:r>
    </w:p>
    <w:p w14:paraId="68A1112E" w14:textId="77777777" w:rsidR="00094004" w:rsidRPr="002A7AC6" w:rsidRDefault="00094004" w:rsidP="00EF10C7">
      <w:pPr>
        <w:pStyle w:val="Listparagraphbullets"/>
      </w:pPr>
      <w:r w:rsidRPr="002A7AC6">
        <w:t>Sub-option 2</w:t>
      </w:r>
    </w:p>
    <w:p w14:paraId="061D0075" w14:textId="77777777" w:rsidR="00094004" w:rsidRPr="002A7AC6" w:rsidRDefault="00094004" w:rsidP="00EF10C7">
      <w:pPr>
        <w:pStyle w:val="Listparagraphbullets"/>
      </w:pPr>
      <w:r w:rsidRPr="002A7AC6">
        <w:t>Compliance with AS/EN301549 (2020).</w:t>
      </w:r>
    </w:p>
    <w:p w14:paraId="21A74DD1" w14:textId="5B69C87B" w:rsidR="00094004" w:rsidRPr="00054E9D" w:rsidRDefault="00094004" w:rsidP="00EF10C7">
      <w:pPr>
        <w:pStyle w:val="Listparagraphbullets"/>
      </w:pPr>
      <w:r w:rsidRPr="002A7AC6">
        <w:lastRenderedPageBreak/>
        <w:t>Access gates forming a barrier between paid and unpaid areas of a station or interchange m</w:t>
      </w:r>
      <w:r w:rsidRPr="00054E9D">
        <w:t>ust have a minimum width of 850</w:t>
      </w:r>
      <w:r w:rsidR="009134C0" w:rsidRPr="009134C0">
        <w:t xml:space="preserve"> </w:t>
      </w:r>
      <w:r w:rsidR="009134C0" w:rsidRPr="002A7AC6">
        <w:t>millimetres</w:t>
      </w:r>
      <w:r w:rsidRPr="00054E9D">
        <w:t>.</w:t>
      </w:r>
    </w:p>
    <w:p w14:paraId="2A60FF14" w14:textId="77777777" w:rsidR="00094004" w:rsidRPr="00054E9D" w:rsidRDefault="00094004" w:rsidP="00EF10C7">
      <w:pPr>
        <w:pStyle w:val="Listparagraphbullets"/>
      </w:pPr>
      <w:r w:rsidRPr="00054E9D">
        <w:t>The digital display of information for the purposes of ticket validation should remain visible for the average length of time required for the person to acknowledge content of the display.</w:t>
      </w:r>
    </w:p>
    <w:p w14:paraId="662665ED" w14:textId="77777777" w:rsidR="00094004" w:rsidRPr="002A7AC6" w:rsidRDefault="00094004" w:rsidP="00EF10C7">
      <w:pPr>
        <w:pStyle w:val="Listparagraphbullets"/>
      </w:pPr>
      <w:r w:rsidRPr="00054E9D">
        <w:t>An</w:t>
      </w:r>
      <w:r w:rsidRPr="002A7AC6">
        <w:t xml:space="preserve">y fare system hardware or software intended for public use by a public transport operator or provider must comply with ASEN301549 </w:t>
      </w:r>
      <w:r w:rsidRPr="002A7AC6">
        <w:rPr>
          <w:i/>
        </w:rPr>
        <w:t>Accessibility requirements suitable for public procurement of ICT products and service</w:t>
      </w:r>
      <w:r w:rsidRPr="002A7AC6">
        <w:t>, as a minimum standard for ICT procurement and one of the following sub-options:</w:t>
      </w:r>
    </w:p>
    <w:p w14:paraId="6A210FC2" w14:textId="77777777" w:rsidR="00094004" w:rsidRPr="002A7AC6" w:rsidRDefault="00094004" w:rsidP="00094004">
      <w:pPr>
        <w:pStyle w:val="Heading7"/>
        <w:ind w:left="1134"/>
        <w:rPr>
          <w:lang w:val="en-AU"/>
        </w:rPr>
      </w:pPr>
      <w:r w:rsidRPr="002A7AC6">
        <w:rPr>
          <w:lang w:val="en-AU"/>
        </w:rPr>
        <w:t>Sub-option 1</w:t>
      </w:r>
    </w:p>
    <w:p w14:paraId="11667D71" w14:textId="77777777" w:rsidR="00094004" w:rsidRPr="002A7AC6" w:rsidRDefault="00094004" w:rsidP="00094004">
      <w:pPr>
        <w:ind w:left="1134"/>
      </w:pPr>
      <w:r w:rsidRPr="002A7AC6">
        <w:t xml:space="preserve">WCAG 2.0 AA must be met. Applies only to ASEN 301 549 (2016) </w:t>
      </w:r>
      <w:r w:rsidRPr="002A7AC6">
        <w:rPr>
          <w:i/>
        </w:rPr>
        <w:t>Accessibility requirements suitable for public procurement of ICT products and services</w:t>
      </w:r>
      <w:r w:rsidRPr="002A7AC6">
        <w:t>. This requirement does not address mobile applications or some web pages.</w:t>
      </w:r>
    </w:p>
    <w:p w14:paraId="23E7041C" w14:textId="77777777" w:rsidR="00094004" w:rsidRPr="002A7AC6" w:rsidRDefault="00094004" w:rsidP="00094004">
      <w:pPr>
        <w:pStyle w:val="Heading7"/>
        <w:ind w:left="1134"/>
        <w:rPr>
          <w:lang w:val="en-AU"/>
        </w:rPr>
      </w:pPr>
      <w:r w:rsidRPr="002A7AC6">
        <w:rPr>
          <w:lang w:val="en-AU"/>
        </w:rPr>
        <w:t>Sub-option 2</w:t>
      </w:r>
    </w:p>
    <w:p w14:paraId="70957884" w14:textId="77777777" w:rsidR="00094004" w:rsidRDefault="00094004" w:rsidP="00094004">
      <w:pPr>
        <w:ind w:left="1134"/>
      </w:pPr>
      <w:r w:rsidRPr="002A7AC6">
        <w:t>WCAG 2.1 AA must be met. These requirements allow mobile device applications.</w:t>
      </w:r>
    </w:p>
    <w:p w14:paraId="313D51B2" w14:textId="77777777" w:rsidR="00094004" w:rsidRPr="002A7AC6" w:rsidRDefault="00094004" w:rsidP="00094004">
      <w:pPr>
        <w:pStyle w:val="Heading7"/>
        <w:ind w:left="1134"/>
        <w:rPr>
          <w:lang w:val="en-AU"/>
        </w:rPr>
      </w:pPr>
      <w:r w:rsidRPr="002A7AC6">
        <w:rPr>
          <w:lang w:val="en-AU"/>
        </w:rPr>
        <w:t>Sub-option 3</w:t>
      </w:r>
    </w:p>
    <w:p w14:paraId="1873E951" w14:textId="77777777" w:rsidR="00094004" w:rsidRPr="002A7AC6" w:rsidRDefault="00094004" w:rsidP="00094004">
      <w:pPr>
        <w:ind w:left="1134"/>
      </w:pPr>
      <w:r w:rsidRPr="002A7AC6">
        <w:t>WCAG 2.1 AA+ must be met. Includes further inclusion of the following higher-level success criterion:</w:t>
      </w:r>
    </w:p>
    <w:p w14:paraId="31CA7F20" w14:textId="77777777" w:rsidR="00094004" w:rsidRPr="002A7AC6" w:rsidRDefault="00094004" w:rsidP="00094004">
      <w:pPr>
        <w:ind w:left="1134"/>
      </w:pPr>
      <w:r w:rsidRPr="002A7AC6">
        <w:t>Success Criterion 1.2.6 Sign Language (Pre-recorded). The intent of this success criterion is to enable people who are deaf or hard of hearing and who are fluent in a sign language to understand the content of the audio track of synchronized media presentations.</w:t>
      </w:r>
    </w:p>
    <w:p w14:paraId="407BB907" w14:textId="77777777" w:rsidR="00094004" w:rsidRPr="002A7AC6" w:rsidRDefault="00094004" w:rsidP="00094004">
      <w:pPr>
        <w:ind w:left="1134"/>
      </w:pPr>
      <w:r w:rsidRPr="002A7AC6">
        <w:t>Success Criterion 1.4.6 Contrast (Enhanced). The intent of this success criterion is to provide enough contrast between text and its background so that it can be read by people with moderately low vision.</w:t>
      </w:r>
    </w:p>
    <w:p w14:paraId="6576298B" w14:textId="77777777" w:rsidR="00094004" w:rsidRPr="00224729" w:rsidRDefault="00094004" w:rsidP="00094004">
      <w:r w:rsidRPr="002A7AC6">
        <w:t xml:space="preserve">The </w:t>
      </w:r>
      <w:r>
        <w:t>Transport Standards</w:t>
      </w:r>
      <w:r w:rsidRPr="002A7AC6">
        <w:t xml:space="preserve"> Guidelines and / or The Whole Journey Guide would be updated to</w:t>
      </w:r>
      <w:r>
        <w:t xml:space="preserve"> reflect new requirements.</w:t>
      </w:r>
    </w:p>
    <w:p w14:paraId="2FFD8AD7" w14:textId="55777B7B" w:rsidR="00094004" w:rsidRDefault="00094004" w:rsidP="00F85D91">
      <w:pPr>
        <w:pStyle w:val="Heading3"/>
        <w:numPr>
          <w:ilvl w:val="0"/>
          <w:numId w:val="66"/>
        </w:numPr>
        <w:ind w:hanging="720"/>
      </w:pPr>
      <w:bookmarkStart w:id="881" w:name="_Toc127351844"/>
      <w:bookmarkStart w:id="882" w:name="_Toc130914522"/>
      <w:bookmarkStart w:id="883" w:name="_Toc140239815"/>
      <w:r>
        <w:t>Doors on access paths</w:t>
      </w:r>
      <w:bookmarkEnd w:id="881"/>
      <w:bookmarkEnd w:id="882"/>
      <w:bookmarkEnd w:id="883"/>
    </w:p>
    <w:p w14:paraId="2CC42410" w14:textId="77777777" w:rsidR="00094004" w:rsidRDefault="00094004" w:rsidP="00094004">
      <w:pPr>
        <w:pStyle w:val="Heading4"/>
      </w:pPr>
      <w:r>
        <w:t>Status quo</w:t>
      </w:r>
    </w:p>
    <w:p w14:paraId="7BA83800" w14:textId="77777777" w:rsidR="00094004" w:rsidRDefault="00094004" w:rsidP="00094004">
      <w:pPr>
        <w:keepNext/>
      </w:pPr>
      <w:r>
        <w:t>Transport Standards s</w:t>
      </w:r>
      <w:r w:rsidRPr="002A7AC6">
        <w:t>ection 1</w:t>
      </w:r>
      <w:r>
        <w:t>2.1, Doors on access paths and s</w:t>
      </w:r>
      <w:r w:rsidRPr="002A7AC6">
        <w:t>ection 12.6, Automatic or power assisted doors, would remain unchanged and no additional guidance would be issued.</w:t>
      </w:r>
    </w:p>
    <w:p w14:paraId="7F794F0F" w14:textId="77777777" w:rsidR="00094004" w:rsidRPr="002A7AC6" w:rsidRDefault="00094004" w:rsidP="00094004">
      <w:pPr>
        <w:keepNext/>
        <w:ind w:left="1130" w:hanging="566"/>
      </w:pPr>
      <w:r w:rsidRPr="002A7AC6">
        <w:rPr>
          <w:b/>
          <w:bCs/>
        </w:rPr>
        <w:t xml:space="preserve">12.1 </w:t>
      </w:r>
      <w:r w:rsidRPr="002A7AC6">
        <w:rPr>
          <w:b/>
          <w:bCs/>
        </w:rPr>
        <w:tab/>
        <w:t>Doors on access paths</w:t>
      </w:r>
    </w:p>
    <w:p w14:paraId="6BDAE46A" w14:textId="77777777" w:rsidR="00094004" w:rsidRPr="002A7AC6" w:rsidRDefault="00094004" w:rsidP="00094004">
      <w:pPr>
        <w:keepNext/>
        <w:ind w:left="1130" w:hanging="567"/>
      </w:pPr>
      <w:r w:rsidRPr="002A7AC6">
        <w:t xml:space="preserve">(1) </w:t>
      </w:r>
      <w:r w:rsidRPr="002A7AC6">
        <w:tab/>
        <w:t>Any doors along an access path must not present a barrier to independent passenger travel.</w:t>
      </w:r>
    </w:p>
    <w:p w14:paraId="47799AFD" w14:textId="77777777" w:rsidR="00094004" w:rsidRDefault="00094004" w:rsidP="00094004">
      <w:pPr>
        <w:ind w:left="1130" w:hanging="567"/>
      </w:pPr>
      <w:r w:rsidRPr="002A7AC6">
        <w:t xml:space="preserve">(2) </w:t>
      </w:r>
      <w:r w:rsidRPr="002A7AC6">
        <w:tab/>
        <w:t>Direct assistance may be provided through security check points.</w:t>
      </w:r>
    </w:p>
    <w:p w14:paraId="1F3BA5B8" w14:textId="77777777" w:rsidR="00094004" w:rsidRPr="002A7AC6" w:rsidRDefault="00094004" w:rsidP="00094004">
      <w:pPr>
        <w:ind w:left="563"/>
      </w:pPr>
      <w:r>
        <w:t>This section pertains to conveyances (except dedicated school buses and small aircraft), premises, and infrastructure (except airports that do not accept regular public transport services).</w:t>
      </w:r>
    </w:p>
    <w:p w14:paraId="4E513419" w14:textId="77777777" w:rsidR="00094004" w:rsidRPr="002A7AC6" w:rsidRDefault="00094004" w:rsidP="00094004">
      <w:pPr>
        <w:ind w:left="1130" w:hanging="566"/>
        <w:rPr>
          <w:b/>
          <w:bCs/>
        </w:rPr>
      </w:pPr>
      <w:r w:rsidRPr="002A7AC6">
        <w:rPr>
          <w:b/>
          <w:bCs/>
        </w:rPr>
        <w:t xml:space="preserve">12.6 </w:t>
      </w:r>
      <w:r w:rsidRPr="002A7AC6">
        <w:rPr>
          <w:b/>
          <w:bCs/>
        </w:rPr>
        <w:tab/>
        <w:t>Automatic or power assisted doors</w:t>
      </w:r>
    </w:p>
    <w:p w14:paraId="1C487C06" w14:textId="77777777" w:rsidR="00094004" w:rsidRPr="002A7AC6" w:rsidRDefault="00094004" w:rsidP="00094004">
      <w:pPr>
        <w:ind w:left="1130" w:hanging="567"/>
      </w:pPr>
      <w:r w:rsidRPr="002A7AC6">
        <w:t xml:space="preserve">(1) </w:t>
      </w:r>
      <w:r w:rsidRPr="002A7AC6">
        <w:tab/>
        <w:t>Doors may be fully automatic.</w:t>
      </w:r>
    </w:p>
    <w:p w14:paraId="23CABCF6" w14:textId="77777777" w:rsidR="00094004" w:rsidRPr="002A7AC6" w:rsidRDefault="00094004" w:rsidP="00094004">
      <w:pPr>
        <w:ind w:left="1130" w:hanging="567"/>
      </w:pPr>
      <w:r w:rsidRPr="002A7AC6">
        <w:t xml:space="preserve">(2) </w:t>
      </w:r>
      <w:r w:rsidRPr="002A7AC6">
        <w:tab/>
        <w:t>Power assisted doors must not require passengers to grip or twist controls in order to operate opening devices.</w:t>
      </w:r>
    </w:p>
    <w:p w14:paraId="33BFE77C" w14:textId="77777777" w:rsidR="00094004" w:rsidRDefault="00094004" w:rsidP="00094004">
      <w:pPr>
        <w:ind w:left="1130" w:hanging="567"/>
      </w:pPr>
      <w:r w:rsidRPr="002A7AC6">
        <w:lastRenderedPageBreak/>
        <w:t xml:space="preserve">(3) </w:t>
      </w:r>
      <w:r w:rsidRPr="002A7AC6">
        <w:tab/>
        <w:t>Operators may provide equivalent access to conveyances by opening manual doors for people with disabilities.</w:t>
      </w:r>
    </w:p>
    <w:p w14:paraId="642049C6" w14:textId="77777777" w:rsidR="00094004" w:rsidRPr="002A7AC6" w:rsidRDefault="00094004" w:rsidP="00094004">
      <w:pPr>
        <w:ind w:left="563"/>
      </w:pPr>
      <w:r>
        <w:t>This section pertains to conveyances (except dedicated school buses and small aircraft).</w:t>
      </w:r>
    </w:p>
    <w:p w14:paraId="45BB26F1" w14:textId="77777777" w:rsidR="00094004" w:rsidRDefault="00094004" w:rsidP="00094004">
      <w:pPr>
        <w:pStyle w:val="Heading5"/>
      </w:pPr>
      <w:r>
        <w:t>Non-regulatory option</w:t>
      </w:r>
    </w:p>
    <w:p w14:paraId="37D1C89D" w14:textId="77777777" w:rsidR="00094004" w:rsidRDefault="00094004" w:rsidP="00094004">
      <w:r w:rsidRPr="002A7AC6">
        <w:t xml:space="preserve">Guidance would be provided in the </w:t>
      </w:r>
      <w:r>
        <w:t>Transport Standards</w:t>
      </w:r>
      <w:r w:rsidRPr="002A7AC6">
        <w:t xml:space="preserve"> Guidelines and / or The Whole Journey Guide to advise that all doors on access paths that are opened by passengers, and in particular accessible and ambulant toilet doors, should be automatic or power assisted, so that doors on access paths do not present a barrier to </w:t>
      </w:r>
      <w:r>
        <w:t>people with disability</w:t>
      </w:r>
      <w:r w:rsidRPr="002A7AC6">
        <w:t>.</w:t>
      </w:r>
    </w:p>
    <w:p w14:paraId="0609F971" w14:textId="77777777" w:rsidR="00094004" w:rsidRDefault="00094004" w:rsidP="00094004">
      <w:r w:rsidRPr="002A7AC6">
        <w:t>This guidance would pertain to conveyances (except dedicated school buses, taxis and small aircraft), premises (except premises to which the Premises Standards apply), and, infrastructure (except airports that do not accept regular public transport services).</w:t>
      </w:r>
    </w:p>
    <w:p w14:paraId="47B325B0" w14:textId="77777777" w:rsidR="00094004" w:rsidRPr="002A7AC6" w:rsidRDefault="00094004" w:rsidP="00094004">
      <w:pPr>
        <w:keepNext/>
      </w:pPr>
      <w:r>
        <w:t>Specific guidance may include:</w:t>
      </w:r>
    </w:p>
    <w:p w14:paraId="3EB9AF46" w14:textId="77777777" w:rsidR="00094004" w:rsidRPr="002A7AC6" w:rsidRDefault="00094004" w:rsidP="00EF10C7">
      <w:pPr>
        <w:pStyle w:val="Listparagraphbullets"/>
      </w:pPr>
      <w:r w:rsidRPr="002A7AC6">
        <w:t>Any door along an access path should not present a barrier to independent passenger travel.</w:t>
      </w:r>
    </w:p>
    <w:p w14:paraId="7485DE34" w14:textId="77777777" w:rsidR="00094004" w:rsidRDefault="00094004" w:rsidP="00EF10C7">
      <w:pPr>
        <w:pStyle w:val="Listparagraphbullets"/>
      </w:pPr>
      <w:r w:rsidRPr="002A7AC6">
        <w:t>Doors and gates on an access path should be automatic or power assisted rather than requiring passengers to push or pull the door or gate to open or close it.</w:t>
      </w:r>
    </w:p>
    <w:p w14:paraId="4EAA5F8F" w14:textId="77777777" w:rsidR="00094004" w:rsidRDefault="00094004" w:rsidP="00EF10C7">
      <w:pPr>
        <w:pStyle w:val="Listparagraphbullets"/>
      </w:pPr>
      <w:r w:rsidRPr="002A7AC6">
        <w:t>Automatic doors are preferable along an access path as they require no action from a passenger to open or close and are activated by sensors, by staff or through software programming. They would be inappropriate in some locations however. For example, toilet doors should be opened and locked by passengers or people assisting passengers.</w:t>
      </w:r>
    </w:p>
    <w:p w14:paraId="7920D5B9" w14:textId="77777777" w:rsidR="00094004" w:rsidRPr="002A7AC6" w:rsidRDefault="00094004" w:rsidP="00EF10C7">
      <w:pPr>
        <w:pStyle w:val="Listparagraphbullets"/>
      </w:pPr>
      <w:r w:rsidRPr="002A7AC6">
        <w:t>Power assisted doors should not require passengers to grip or twist controls or apply constant pressure in order to operate opening devices.</w:t>
      </w:r>
    </w:p>
    <w:p w14:paraId="7BB4262B" w14:textId="77777777" w:rsidR="00094004" w:rsidRDefault="00094004" w:rsidP="00EF10C7">
      <w:pPr>
        <w:pStyle w:val="Listparagraphbullets"/>
      </w:pPr>
      <w:r w:rsidRPr="002A7AC6">
        <w:t>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w:t>
      </w:r>
    </w:p>
    <w:p w14:paraId="49294B83" w14:textId="77777777" w:rsidR="00094004" w:rsidRPr="002A7AC6" w:rsidRDefault="00094004" w:rsidP="00EF10C7">
      <w:pPr>
        <w:pStyle w:val="Listparagraphbullets"/>
      </w:pPr>
      <w:r w:rsidRPr="002A7AC6">
        <w:t>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vehicles for all passengers. Drivers of wheelchair accessible taxis will open the boarding doors for passengers in wheelchairs or other mobility aids. Cabin crew on wide bodied aircraft may open accessible toilet doors. Direct assistance may be provided through security check points.</w:t>
      </w:r>
    </w:p>
    <w:p w14:paraId="5042BF39" w14:textId="77777777" w:rsidR="00094004" w:rsidRPr="002A7AC6" w:rsidRDefault="00094004" w:rsidP="00EF10C7">
      <w:pPr>
        <w:pStyle w:val="Listparagraphbullets"/>
      </w:pPr>
      <w:r w:rsidRPr="002A7AC6">
        <w:t>In locations that lack electrical power it may not be practicable to have power assisted doors. Rising butt hinges or other means of allowing doors to self-close, and that have very light closing pressure, should be considered in these locations.</w:t>
      </w:r>
    </w:p>
    <w:p w14:paraId="2BAED75C" w14:textId="77777777" w:rsidR="00094004" w:rsidRPr="002A7AC6" w:rsidRDefault="00094004" w:rsidP="00EF10C7">
      <w:pPr>
        <w:pStyle w:val="Listparagraphbullets"/>
      </w:pPr>
      <w:r w:rsidRPr="002A7AC6">
        <w:t>The internal geometry of a legacy conveyance may prevent manual controls for power assisted doors being placed at least 500 millimetres from an internal corner. If so, the clearance to an internal corner should be maximised to the extent possible.</w:t>
      </w:r>
    </w:p>
    <w:p w14:paraId="6D889C3E" w14:textId="77777777" w:rsidR="00094004" w:rsidRPr="002A7AC6" w:rsidRDefault="00094004" w:rsidP="00094004">
      <w:pPr>
        <w:pStyle w:val="Heading5"/>
      </w:pPr>
      <w:r w:rsidRPr="002A7AC6">
        <w:t>Regulatory options</w:t>
      </w:r>
    </w:p>
    <w:p w14:paraId="2CDEDCBA" w14:textId="77777777" w:rsidR="00094004" w:rsidRDefault="00094004" w:rsidP="00094004">
      <w:pPr>
        <w:spacing w:before="180" w:after="120" w:line="280" w:lineRule="atLeast"/>
        <w:rPr>
          <w:rFonts w:eastAsia="Times New Roman" w:cstheme="minorHAnsi"/>
          <w:szCs w:val="20"/>
          <w:lang w:eastAsia="en-AU"/>
        </w:rPr>
      </w:pPr>
      <w:r>
        <w:rPr>
          <w:rFonts w:eastAsia="Times New Roman" w:cstheme="minorHAnsi"/>
          <w:szCs w:val="20"/>
          <w:lang w:eastAsia="en-AU"/>
        </w:rPr>
        <w:t xml:space="preserve">Transport Standards section 12.1 and 12.6 </w:t>
      </w:r>
      <w:r w:rsidRPr="007F4FF7">
        <w:rPr>
          <w:rFonts w:eastAsia="Times New Roman" w:cstheme="minorHAnsi"/>
          <w:szCs w:val="20"/>
          <w:lang w:eastAsia="en-AU"/>
        </w:rPr>
        <w:t xml:space="preserve">would be amended to include the following (including any requirements retained </w:t>
      </w:r>
      <w:r>
        <w:rPr>
          <w:rFonts w:eastAsia="Times New Roman" w:cstheme="minorHAnsi"/>
          <w:szCs w:val="20"/>
          <w:lang w:eastAsia="en-AU"/>
        </w:rPr>
        <w:t>or amended from the status quo).</w:t>
      </w:r>
    </w:p>
    <w:p w14:paraId="7CC69C1D" w14:textId="77777777" w:rsidR="00094004" w:rsidRDefault="00094004" w:rsidP="00094004">
      <w:pPr>
        <w:spacing w:before="180" w:after="120" w:line="280" w:lineRule="atLeast"/>
        <w:rPr>
          <w:rFonts w:eastAsia="Times New Roman" w:cstheme="minorHAnsi"/>
          <w:szCs w:val="20"/>
          <w:lang w:eastAsia="en-AU"/>
        </w:rPr>
      </w:pPr>
      <w:r w:rsidRPr="002A7AC6">
        <w:rPr>
          <w:rFonts w:eastAsia="Times New Roman" w:cstheme="minorHAnsi"/>
          <w:szCs w:val="20"/>
          <w:lang w:eastAsia="en-AU"/>
        </w:rPr>
        <w:t>Two regulatory options are presented for consideration. The first option stipulates requirements for all doors that are opened by passengers on access paths, while the second option stipulates requirements only for power assisted unisex accessible and ambulant toilet doors.</w:t>
      </w:r>
    </w:p>
    <w:p w14:paraId="6A600EDA" w14:textId="77777777" w:rsidR="00094004" w:rsidRPr="002A7AC6" w:rsidRDefault="00094004" w:rsidP="00094004">
      <w:pPr>
        <w:pStyle w:val="Heading6"/>
        <w:rPr>
          <w:bCs/>
        </w:rPr>
      </w:pPr>
      <w:r w:rsidRPr="002A7AC6">
        <w:lastRenderedPageBreak/>
        <w:t>Option 1</w:t>
      </w:r>
    </w:p>
    <w:p w14:paraId="0226A707" w14:textId="77777777" w:rsidR="00094004" w:rsidRPr="002A7AC6" w:rsidRDefault="00094004" w:rsidP="00094004">
      <w:pPr>
        <w:rPr>
          <w:i/>
        </w:rPr>
      </w:pPr>
      <w:r w:rsidRPr="002A7AC6">
        <w:t xml:space="preserve">The </w:t>
      </w:r>
      <w:r>
        <w:t>Transport Standards</w:t>
      </w:r>
      <w:r w:rsidRPr="002A7AC6">
        <w:t xml:space="preserve"> would be amended to include requirements that all doors that are opened by passengers must be automatic or power assisted to ensure that doors on access paths do not present a barrier to </w:t>
      </w:r>
      <w:r>
        <w:t>people with disability</w:t>
      </w:r>
      <w:r w:rsidRPr="002A7AC6">
        <w:t>.</w:t>
      </w:r>
    </w:p>
    <w:p w14:paraId="1FE26540" w14:textId="77777777" w:rsidR="00094004" w:rsidRPr="002A7AC6" w:rsidRDefault="00094004" w:rsidP="00094004">
      <w:r w:rsidRPr="002A7AC6">
        <w:t xml:space="preserve">The </w:t>
      </w:r>
      <w:r>
        <w:t>Transport Standards</w:t>
      </w:r>
      <w:r w:rsidRPr="002A7AC6">
        <w:t xml:space="preserve"> would be amended to include the following requirements:</w:t>
      </w:r>
    </w:p>
    <w:p w14:paraId="4B531A73" w14:textId="77777777" w:rsidR="00094004" w:rsidRPr="002A7AC6" w:rsidRDefault="00094004" w:rsidP="00EF10C7">
      <w:pPr>
        <w:pStyle w:val="Listparagraphbullets"/>
      </w:pPr>
      <w:r w:rsidRPr="002A7AC6">
        <w:t>Any doors along an access path must not present a barrier to independent passenger travel.</w:t>
      </w:r>
    </w:p>
    <w:p w14:paraId="4E2A8239" w14:textId="77777777" w:rsidR="00094004" w:rsidRPr="002A7AC6" w:rsidRDefault="00094004" w:rsidP="00EF10C7">
      <w:pPr>
        <w:pStyle w:val="Listparagraphbullets"/>
      </w:pPr>
      <w:r w:rsidRPr="002A7AC6">
        <w:t>Doors may be fully automatic, passenger or staff operated.</w:t>
      </w:r>
    </w:p>
    <w:p w14:paraId="4FD29362" w14:textId="77777777" w:rsidR="00094004" w:rsidRPr="002A7AC6" w:rsidRDefault="00094004" w:rsidP="00EF10C7">
      <w:pPr>
        <w:pStyle w:val="Listparagraphbullets"/>
      </w:pPr>
      <w:r w:rsidRPr="002A7AC6">
        <w:t>Direct assistance may be provided through security check points.</w:t>
      </w:r>
    </w:p>
    <w:p w14:paraId="5C6CE5CD" w14:textId="77777777" w:rsidR="00094004" w:rsidRDefault="00094004" w:rsidP="00EF10C7">
      <w:pPr>
        <w:pStyle w:val="Listparagraphbullets"/>
      </w:pPr>
      <w:r w:rsidRPr="002A7AC6">
        <w:t>Doors and gates on an access path that are to be opened by passengers must be automatic or power assisted rather than requiring passengers to push or pull the door or gate in order to open or close it.</w:t>
      </w:r>
    </w:p>
    <w:p w14:paraId="58B8C316" w14:textId="77777777" w:rsidR="00094004" w:rsidRPr="002A7AC6" w:rsidRDefault="00094004" w:rsidP="00EF10C7">
      <w:pPr>
        <w:pStyle w:val="Listparagraphbullets"/>
      </w:pPr>
      <w:r w:rsidRPr="002A7AC6">
        <w:t>Power assisted doors must not require passengers to grip or twist controls or apply constant pressure in order to operate opening devices.</w:t>
      </w:r>
    </w:p>
    <w:p w14:paraId="4321061F" w14:textId="77777777" w:rsidR="00094004" w:rsidRDefault="00094004" w:rsidP="00094004">
      <w:r w:rsidRPr="002A7AC6">
        <w:t>These requirements would apply to conveyances (except dedicated school buses, taxis and wide bodied and small aircraft), premises (except premises to which the Premises Standards apply), and infrastructure (except airports that do not accept regular public transport services).</w:t>
      </w:r>
    </w:p>
    <w:p w14:paraId="64F4B903" w14:textId="77777777" w:rsidR="00094004" w:rsidRDefault="00094004" w:rsidP="00094004">
      <w:pPr>
        <w:pStyle w:val="Heading6"/>
      </w:pPr>
      <w:r w:rsidRPr="002A7AC6">
        <w:t>Option 2</w:t>
      </w:r>
    </w:p>
    <w:p w14:paraId="1B6A9B8F" w14:textId="77777777" w:rsidR="00094004" w:rsidRPr="002A7AC6" w:rsidRDefault="00094004" w:rsidP="00094004">
      <w:pPr>
        <w:rPr>
          <w:i/>
        </w:rPr>
      </w:pPr>
      <w:r w:rsidRPr="002A7AC6">
        <w:t xml:space="preserve">The </w:t>
      </w:r>
      <w:r>
        <w:t>Transport Standards</w:t>
      </w:r>
      <w:r w:rsidRPr="002A7AC6">
        <w:t xml:space="preserve"> would be amended to include requirements for power assisted </w:t>
      </w:r>
      <w:r w:rsidRPr="002A7AC6">
        <w:rPr>
          <w:rFonts w:cstheme="minorHAnsi"/>
        </w:rPr>
        <w:t>unisex accessible and ambulant toilet doors only</w:t>
      </w:r>
      <w:r w:rsidRPr="002A7AC6">
        <w:t xml:space="preserve"> to ensure that unisex accessible toilet and ambulant toilet doors do not present a barrier to </w:t>
      </w:r>
      <w:r>
        <w:t>people with disability</w:t>
      </w:r>
      <w:r w:rsidRPr="002A7AC6">
        <w:t>.</w:t>
      </w:r>
      <w:r w:rsidRPr="002A7AC6">
        <w:rPr>
          <w:rFonts w:cstheme="minorHAnsi"/>
        </w:rPr>
        <w:t xml:space="preserve"> All other doors could be automatic, staff operated, power assisted by passengers or manual.</w:t>
      </w:r>
    </w:p>
    <w:p w14:paraId="63DE6CE7" w14:textId="77777777" w:rsidR="00094004" w:rsidRPr="002A7AC6" w:rsidRDefault="00094004" w:rsidP="00094004">
      <w:pPr>
        <w:keepNext/>
      </w:pPr>
      <w:r>
        <w:t>Transport Standards s</w:t>
      </w:r>
      <w:r w:rsidRPr="002A7AC6">
        <w:t>ection 12.1 and 12.6 would be amended to include the following:</w:t>
      </w:r>
    </w:p>
    <w:p w14:paraId="6704BD59" w14:textId="77777777" w:rsidR="00094004" w:rsidRDefault="00094004" w:rsidP="00EF10C7">
      <w:pPr>
        <w:pStyle w:val="Listparagraphbullets"/>
      </w:pPr>
      <w:r w:rsidRPr="002A7AC6">
        <w:t>Any doors along an access path must not present a barrier to independent passenger travel.</w:t>
      </w:r>
    </w:p>
    <w:p w14:paraId="3BE0DA98" w14:textId="77777777" w:rsidR="00094004" w:rsidRPr="002A7AC6" w:rsidRDefault="00094004" w:rsidP="00EF10C7">
      <w:pPr>
        <w:pStyle w:val="Listparagraphbullets"/>
      </w:pPr>
      <w:r w:rsidRPr="002A7AC6">
        <w:t>Doors may be fully automatic, passenger or staff operated.</w:t>
      </w:r>
    </w:p>
    <w:p w14:paraId="3C2EDC33" w14:textId="77777777" w:rsidR="00094004" w:rsidRPr="002A7AC6" w:rsidRDefault="00094004" w:rsidP="00EF10C7">
      <w:pPr>
        <w:pStyle w:val="Listparagraphbullets"/>
      </w:pPr>
      <w:r w:rsidRPr="002A7AC6">
        <w:t>Direct assistance may be provided through security check points.</w:t>
      </w:r>
    </w:p>
    <w:p w14:paraId="6CC26857" w14:textId="77777777" w:rsidR="00094004" w:rsidRDefault="00094004" w:rsidP="00EF10C7">
      <w:pPr>
        <w:pStyle w:val="Listparagraphbullets"/>
      </w:pPr>
      <w:r w:rsidRPr="002A7AC6">
        <w:t>Unisex accessible toilet and ambulant toilet doors must be power assisted. Passengers or those assisting passengers must not be required to push or pull the door in order to open or close it.</w:t>
      </w:r>
    </w:p>
    <w:p w14:paraId="7929CD4F" w14:textId="77777777" w:rsidR="00094004" w:rsidRPr="002A7AC6" w:rsidRDefault="00094004" w:rsidP="00EF10C7">
      <w:pPr>
        <w:pStyle w:val="Listparagraphbullets"/>
      </w:pPr>
      <w:r w:rsidRPr="002A7AC6">
        <w:t>Power assisted doors must not require passengers to grip or twist controls or apply constant pressure in order to operate opening devices.</w:t>
      </w:r>
    </w:p>
    <w:p w14:paraId="53B64BB4" w14:textId="77777777" w:rsidR="00094004" w:rsidRDefault="00094004" w:rsidP="00094004">
      <w:r w:rsidRPr="002A7AC6">
        <w:t>These requirements would apply to conveyances (except dedicated school buses, taxis and wide bodied and small aircraft), premises (except premises to which the Premises Standards apply), and infrastructure (except airports that do not accept regular public transport services).</w:t>
      </w:r>
    </w:p>
    <w:p w14:paraId="138329E9" w14:textId="77777777" w:rsidR="00094004" w:rsidRPr="002A7AC6" w:rsidRDefault="00094004" w:rsidP="00094004">
      <w:r w:rsidRPr="002A7AC6">
        <w:t xml:space="preserve">The </w:t>
      </w:r>
      <w:r>
        <w:t>Transport Standards</w:t>
      </w:r>
      <w:r w:rsidRPr="002A7AC6">
        <w:t xml:space="preserve"> Guidelines and /or The Whole Journey Guide would be updated to reflect the new requirements.</w:t>
      </w:r>
    </w:p>
    <w:p w14:paraId="29EB8A3D" w14:textId="77777777" w:rsidR="00094004" w:rsidRPr="002A7AC6" w:rsidRDefault="00094004" w:rsidP="00094004">
      <w:r w:rsidRPr="002A7AC6">
        <w:t>Specific guidance for both options may include:</w:t>
      </w:r>
    </w:p>
    <w:p w14:paraId="4C2321A6" w14:textId="77777777" w:rsidR="00094004" w:rsidRDefault="00094004" w:rsidP="00EF10C7">
      <w:pPr>
        <w:pStyle w:val="Listparagraphbullets"/>
      </w:pPr>
      <w:r w:rsidRPr="002A7AC6">
        <w:t>If power assisted or automatic doors are installed, cavity sliding doors give the best result for accessibility and are the least likely to be damaged. Wall mounted sliding doors are also an option. Passengers often misunderstand the operation of power assisted or automatic swing doors or become impatient with them. By pushing them they will often damage the mechanism causing the door to malfunction.</w:t>
      </w:r>
    </w:p>
    <w:p w14:paraId="7ACEAED3" w14:textId="77777777" w:rsidR="00094004" w:rsidRDefault="00094004" w:rsidP="00EF10C7">
      <w:pPr>
        <w:pStyle w:val="Listparagraphbullets"/>
      </w:pPr>
      <w:r w:rsidRPr="002A7AC6">
        <w:t xml:space="preserve">If for technical, safety or operational reasons passengers are not able to operate or open doors and gates on access paths then doors and gates should be opened by an authorised and trained staff member. For example, for safety reasons, only ferry deckhands are permitted to open the ferry boarding gates. Likewise, for operational reasons bus drivers will open the doors of their </w:t>
      </w:r>
      <w:r w:rsidRPr="002A7AC6">
        <w:lastRenderedPageBreak/>
        <w:t>vehicles for all passengers. Drivers of wheelchair accessible taxis will open the boarding doors for passengers in wheelchairs or other mobility aids. Cabin crew on wide bodied aircraft may open accessible toilet doors.</w:t>
      </w:r>
    </w:p>
    <w:p w14:paraId="6615C677" w14:textId="77777777" w:rsidR="00094004" w:rsidRPr="002A7AC6" w:rsidRDefault="00094004" w:rsidP="00EF10C7">
      <w:pPr>
        <w:pStyle w:val="Listparagraphbullets"/>
      </w:pPr>
      <w:r w:rsidRPr="002A7AC6">
        <w:t>In locations that lack electrical power it may not be practicable to have power assisted doors. Rising butt hinges or other means of allowing doors to self-close, and that have very light closing pressure, should be considered in these locations.</w:t>
      </w:r>
    </w:p>
    <w:p w14:paraId="6C6BC022" w14:textId="77777777" w:rsidR="00094004" w:rsidRPr="005D3E3D" w:rsidRDefault="00094004" w:rsidP="00EF10C7">
      <w:pPr>
        <w:pStyle w:val="Listparagraphbullets"/>
      </w:pPr>
      <w:r w:rsidRPr="005D3E3D">
        <w:t>The internal geometry of a legacy conveyance may prevent manual controls for power assisted doors being placed at least 500 millimetres from an internal corner. If so, the clearance to an internal corner should be maximised to the extent possible.</w:t>
      </w:r>
    </w:p>
    <w:p w14:paraId="7CB6D0AF" w14:textId="77777777" w:rsidR="00094004" w:rsidRDefault="00094004" w:rsidP="00094004"/>
    <w:p w14:paraId="0C70BEFE" w14:textId="7B57ECDC" w:rsidR="00094004" w:rsidRDefault="00094004" w:rsidP="00F85D91">
      <w:pPr>
        <w:pStyle w:val="Heading3"/>
        <w:numPr>
          <w:ilvl w:val="0"/>
          <w:numId w:val="66"/>
        </w:numPr>
        <w:ind w:hanging="720"/>
      </w:pPr>
      <w:bookmarkStart w:id="884" w:name="_Toc127351845"/>
      <w:bookmarkStart w:id="885" w:name="_Toc130914523"/>
      <w:bookmarkStart w:id="886" w:name="_Toc140239816"/>
      <w:r>
        <w:t>Continuous accessibility on access paths</w:t>
      </w:r>
      <w:bookmarkEnd w:id="884"/>
      <w:bookmarkEnd w:id="885"/>
      <w:bookmarkEnd w:id="886"/>
    </w:p>
    <w:p w14:paraId="5C5BBBA9" w14:textId="77777777" w:rsidR="00094004" w:rsidRDefault="00094004" w:rsidP="00094004">
      <w:pPr>
        <w:pStyle w:val="Heading4"/>
      </w:pPr>
      <w:r>
        <w:t>Status quo</w:t>
      </w:r>
    </w:p>
    <w:p w14:paraId="463B34BC" w14:textId="77777777" w:rsidR="00094004" w:rsidRDefault="00094004" w:rsidP="00094004">
      <w:r>
        <w:t>Transport Standards s</w:t>
      </w:r>
      <w:r w:rsidRPr="002A7AC6">
        <w:t xml:space="preserve">ection 2.2 Continuous accessibility, of the </w:t>
      </w:r>
      <w:r>
        <w:t>Transport Standards</w:t>
      </w:r>
      <w:r w:rsidRPr="002A7AC6">
        <w:t xml:space="preserve"> would remain unchanged and no </w:t>
      </w:r>
      <w:r>
        <w:t>Guidance</w:t>
      </w:r>
      <w:r w:rsidRPr="002A7AC6">
        <w:t xml:space="preserve"> would be issued.</w:t>
      </w:r>
    </w:p>
    <w:p w14:paraId="6862F12D" w14:textId="77777777" w:rsidR="00094004" w:rsidRPr="002A7AC6" w:rsidRDefault="00094004" w:rsidP="00094004">
      <w:pPr>
        <w:ind w:left="1134" w:hanging="567"/>
        <w:rPr>
          <w:b/>
        </w:rPr>
      </w:pPr>
      <w:r w:rsidRPr="002A7AC6">
        <w:rPr>
          <w:b/>
        </w:rPr>
        <w:t xml:space="preserve">2.2 </w:t>
      </w:r>
      <w:r w:rsidRPr="002A7AC6">
        <w:rPr>
          <w:b/>
        </w:rPr>
        <w:tab/>
        <w:t>Continuous accessibility</w:t>
      </w:r>
    </w:p>
    <w:p w14:paraId="36CB463B" w14:textId="77777777" w:rsidR="00094004" w:rsidRPr="002A7AC6" w:rsidRDefault="00094004" w:rsidP="00094004">
      <w:pPr>
        <w:ind w:left="567"/>
      </w:pPr>
      <w:r w:rsidRPr="002A7AC6">
        <w:t>An access path must comply with AS1428.2 (1992) Clause 7, continuous accessible path of travel.</w:t>
      </w:r>
    </w:p>
    <w:p w14:paraId="2F521B14" w14:textId="77777777" w:rsidR="00094004" w:rsidRPr="002A7AC6" w:rsidRDefault="00094004" w:rsidP="00094004">
      <w:pPr>
        <w:ind w:left="567"/>
      </w:pPr>
      <w:r w:rsidRPr="002A7AC6">
        <w:t>Thi</w:t>
      </w:r>
      <w:r>
        <w:t>s section pertains to premises (</w:t>
      </w:r>
      <w:r w:rsidRPr="002A7AC6">
        <w:t>except premises to which the Premises Standards apply</w:t>
      </w:r>
      <w:r>
        <w:t>)</w:t>
      </w:r>
      <w:r w:rsidRPr="002A7AC6">
        <w:t xml:space="preserve"> and </w:t>
      </w:r>
      <w:r>
        <w:t>infrastructure (</w:t>
      </w:r>
      <w:r w:rsidRPr="002A7AC6">
        <w:t>except airports that do not accept regular public transport services</w:t>
      </w:r>
      <w:r>
        <w:t>)</w:t>
      </w:r>
      <w:r w:rsidRPr="002A7AC6">
        <w:t>.</w:t>
      </w:r>
    </w:p>
    <w:p w14:paraId="7BE59957" w14:textId="77777777" w:rsidR="00094004" w:rsidRDefault="00094004" w:rsidP="00094004">
      <w:pPr>
        <w:pStyle w:val="Heading5"/>
      </w:pPr>
      <w:r>
        <w:t>Non-regulatory option</w:t>
      </w:r>
    </w:p>
    <w:p w14:paraId="32389EF5" w14:textId="77777777" w:rsidR="00094004" w:rsidRPr="002A7AC6" w:rsidRDefault="00094004" w:rsidP="00094004">
      <w:r w:rsidRPr="002A7AC6">
        <w:t xml:space="preserve">The </w:t>
      </w:r>
      <w:r>
        <w:t>Transport Standards</w:t>
      </w:r>
      <w:r w:rsidRPr="002A7AC6">
        <w:t xml:space="preserve"> Guidelines and / or The Whole Journey Guide would be updated to include advice on continuous accessibility to encourage the maintenance of continuous accessibility to and within public transport nodes. </w:t>
      </w:r>
      <w:r>
        <w:t>G</w:t>
      </w:r>
      <w:r w:rsidRPr="002A7AC6">
        <w:t xml:space="preserve">uidance </w:t>
      </w:r>
      <w:r>
        <w:t>may be based on s</w:t>
      </w:r>
      <w:r w:rsidRPr="002A7AC6">
        <w:t>ection DP1 of the Premises Standard</w:t>
      </w:r>
      <w:r>
        <w:t>s.</w:t>
      </w:r>
    </w:p>
    <w:p w14:paraId="4136FCB0" w14:textId="77777777" w:rsidR="00094004" w:rsidRPr="002A7AC6" w:rsidRDefault="00094004" w:rsidP="00094004">
      <w:r w:rsidRPr="002A7AC6">
        <w:t>The advisory text would pertain to premises (except premises to which the Premises Standards apply), and infrastructure (except airports that do not accept regular public transport services).</w:t>
      </w:r>
    </w:p>
    <w:p w14:paraId="7588C40D" w14:textId="77777777" w:rsidR="00094004" w:rsidRPr="002A7AC6" w:rsidRDefault="00094004" w:rsidP="00094004">
      <w:pPr>
        <w:keepNext/>
      </w:pPr>
      <w:r>
        <w:t>Specific guidance may include:</w:t>
      </w:r>
    </w:p>
    <w:p w14:paraId="1AD617F1" w14:textId="77777777" w:rsidR="00094004" w:rsidRDefault="00094004" w:rsidP="00EF10C7">
      <w:pPr>
        <w:pStyle w:val="Listparagraphbullets"/>
      </w:pPr>
      <w:r w:rsidRPr="002A7AC6">
        <w:t>Access paths should be provided to enable passengers to approach the premises or infrastructure from any accessible car parking space associated with the premises or infrastructure and from passenger loading zones associated with the premises or infrastructure.</w:t>
      </w:r>
    </w:p>
    <w:p w14:paraId="22613DB6" w14:textId="77777777" w:rsidR="00094004" w:rsidRPr="002A7AC6" w:rsidRDefault="00094004" w:rsidP="00EF10C7">
      <w:pPr>
        <w:pStyle w:val="Listparagraphbullets"/>
      </w:pPr>
      <w:r w:rsidRPr="002A7AC6">
        <w:t>Passengers should be able to enter the premises or infrastructure from any connected and / or associated public transport premises or infrastructure.</w:t>
      </w:r>
    </w:p>
    <w:p w14:paraId="07893BB3" w14:textId="77777777" w:rsidR="00094004" w:rsidRPr="002A7AC6" w:rsidRDefault="00094004" w:rsidP="00EF10C7">
      <w:pPr>
        <w:pStyle w:val="Listparagraphbullets"/>
      </w:pPr>
      <w:r w:rsidRPr="002A7AC6">
        <w:t>Passengers should be able to enter the premises or infrastructure from adjoining public streets or walkways. 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36C3E791" w14:textId="77777777" w:rsidR="00094004" w:rsidRDefault="00094004" w:rsidP="00EF10C7">
      <w:pPr>
        <w:pStyle w:val="Listparagraphbullets"/>
      </w:pPr>
      <w:r w:rsidRPr="002A7AC6">
        <w:t xml:space="preserve">At times, these footpaths and pedestrian crossings will connect public transport nodes. For example, a bus stop may be located close to a ferry pontoon with the two assets linked by a public footpath and pedestrian crossing. To ensure an accessible whole of journey for a </w:t>
      </w:r>
      <w:r w:rsidRPr="002A7AC6">
        <w:lastRenderedPageBreak/>
        <w:t>passenger with disability, these footpaths and pedestrian crossings connecting transport nodes should be as accessible as possible.</w:t>
      </w:r>
    </w:p>
    <w:p w14:paraId="14977F98" w14:textId="77777777" w:rsidR="00094004" w:rsidRPr="002A7AC6" w:rsidRDefault="00094004" w:rsidP="00EF10C7">
      <w:pPr>
        <w:pStyle w:val="Listparagraphbullets"/>
      </w:pPr>
      <w:r w:rsidRPr="002A7AC6">
        <w:t xml:space="preserve">The Australian Human Rights Commission's </w:t>
      </w:r>
      <w:r w:rsidRPr="002A7AC6">
        <w:rPr>
          <w:iCs/>
        </w:rPr>
        <w:t>Advisory Note on streetscape, public outdoor areas, fixtures, fittings and furniture</w:t>
      </w:r>
      <w:r w:rsidRPr="002A7AC6">
        <w:rPr>
          <w:iCs/>
          <w:vertAlign w:val="superscript"/>
        </w:rPr>
        <w:footnoteReference w:id="19"/>
      </w:r>
      <w:r w:rsidRPr="002A7AC6">
        <w:t xml:space="preserve"> provides useful guidance on accessible streetscapes for local authorities.</w:t>
      </w:r>
    </w:p>
    <w:p w14:paraId="13069C80" w14:textId="77777777" w:rsidR="00094004" w:rsidRDefault="00094004" w:rsidP="00EF10C7">
      <w:pPr>
        <w:pStyle w:val="Listparagraphbullets"/>
      </w:pPr>
      <w:r w:rsidRPr="002A7AC6">
        <w:t>Public spaces and accessible facilities within the premises or infrastructure should be accessible to all passengers. Access paths should be designed to enable minimisation of distances to be travelled to or from entry points and between accessible facilities within the premises or infrastructure. There should be easy identification of access paths</w:t>
      </w:r>
      <w:r w:rsidRPr="002A7AC6">
        <w:rPr>
          <w:i/>
          <w:iCs/>
        </w:rPr>
        <w:t xml:space="preserve"> </w:t>
      </w:r>
      <w:r w:rsidRPr="002A7AC6">
        <w:t>at appropriate locations which are easy to find.</w:t>
      </w:r>
    </w:p>
    <w:p w14:paraId="7FAE8967" w14:textId="77777777" w:rsidR="00094004" w:rsidRDefault="00094004" w:rsidP="00094004">
      <w:pPr>
        <w:pStyle w:val="Heading5"/>
      </w:pPr>
      <w:r>
        <w:t>Regulatory option</w:t>
      </w:r>
    </w:p>
    <w:p w14:paraId="65DA2961" w14:textId="77777777" w:rsidR="00094004" w:rsidRPr="002A7AC6" w:rsidRDefault="00094004" w:rsidP="00094004">
      <w:r>
        <w:t xml:space="preserve">Transport Standards section 2.2 </w:t>
      </w:r>
      <w:r w:rsidRPr="007F4FF7">
        <w:t xml:space="preserve">would be amended to include the following (including any requirements retained </w:t>
      </w:r>
      <w:r>
        <w:t>or amended from the status quo)</w:t>
      </w:r>
      <w:r w:rsidRPr="002A7AC6">
        <w:t>:</w:t>
      </w:r>
    </w:p>
    <w:p w14:paraId="7D725CE7" w14:textId="77777777" w:rsidR="00094004" w:rsidRPr="002A7AC6" w:rsidRDefault="00094004" w:rsidP="00EF10C7">
      <w:pPr>
        <w:pStyle w:val="Listparagraphbullets"/>
      </w:pPr>
      <w:r w:rsidRPr="002A7AC6">
        <w:t>Access paths must be provided to enable passengers to:</w:t>
      </w:r>
    </w:p>
    <w:p w14:paraId="276314FD" w14:textId="77777777" w:rsidR="00094004" w:rsidRPr="00EF10C7" w:rsidRDefault="00094004" w:rsidP="00EF10C7">
      <w:pPr>
        <w:pStyle w:val="Listparagraphbullets"/>
        <w:numPr>
          <w:ilvl w:val="1"/>
          <w:numId w:val="4"/>
        </w:numPr>
        <w:ind w:left="851"/>
      </w:pPr>
      <w:r w:rsidRPr="00EF10C7">
        <w:t>Approach the premises or infrastructure from any accessible car parking spaces associated with the premises or infrastructure.</w:t>
      </w:r>
    </w:p>
    <w:p w14:paraId="1F28E62F" w14:textId="77777777" w:rsidR="00094004" w:rsidRPr="00EF10C7" w:rsidRDefault="00094004" w:rsidP="00EF10C7">
      <w:pPr>
        <w:pStyle w:val="Listparagraphbullets"/>
        <w:numPr>
          <w:ilvl w:val="1"/>
          <w:numId w:val="4"/>
        </w:numPr>
        <w:ind w:left="851"/>
      </w:pPr>
      <w:r w:rsidRPr="00EF10C7">
        <w:t>Enter the premises or infrastructure from adjoining public streets or walkways, and from associated public transport premises or infrastructure.</w:t>
      </w:r>
    </w:p>
    <w:p w14:paraId="7F135C5B" w14:textId="77777777" w:rsidR="00094004" w:rsidRPr="00EF10C7" w:rsidRDefault="00094004" w:rsidP="00EF10C7">
      <w:pPr>
        <w:pStyle w:val="Listparagraphbullets"/>
        <w:numPr>
          <w:ilvl w:val="1"/>
          <w:numId w:val="4"/>
        </w:numPr>
        <w:ind w:left="851"/>
      </w:pPr>
      <w:r w:rsidRPr="00EF10C7">
        <w:t>Enter the premises or infrastructure from any connected premises or infrastructure.</w:t>
      </w:r>
    </w:p>
    <w:p w14:paraId="24CB139C" w14:textId="77777777" w:rsidR="00094004" w:rsidRPr="00EF10C7" w:rsidRDefault="00094004" w:rsidP="00EF10C7">
      <w:pPr>
        <w:pStyle w:val="Listparagraphbullets"/>
        <w:numPr>
          <w:ilvl w:val="1"/>
          <w:numId w:val="4"/>
        </w:numPr>
        <w:ind w:left="851"/>
      </w:pPr>
      <w:r w:rsidRPr="00EF10C7">
        <w:t>Access public spaces and accessible facilities within the premises or infrastructure.</w:t>
      </w:r>
    </w:p>
    <w:p w14:paraId="1DBC0797" w14:textId="77777777" w:rsidR="00094004" w:rsidRPr="00EF10C7" w:rsidRDefault="00094004" w:rsidP="00EF10C7">
      <w:pPr>
        <w:pStyle w:val="Listparagraphbullets"/>
      </w:pPr>
      <w:r w:rsidRPr="00EF10C7">
        <w:t>Access paths must:</w:t>
      </w:r>
    </w:p>
    <w:p w14:paraId="517BDD02" w14:textId="77777777" w:rsidR="00094004" w:rsidRPr="00EF10C7" w:rsidRDefault="00094004" w:rsidP="00EF10C7">
      <w:pPr>
        <w:pStyle w:val="Listparagraphbullets"/>
        <w:numPr>
          <w:ilvl w:val="1"/>
          <w:numId w:val="4"/>
        </w:numPr>
        <w:ind w:left="851"/>
      </w:pPr>
      <w:r w:rsidRPr="00EF10C7">
        <w:t>Be designed to enable identification of access paths at appropriate locations which are easy to find.</w:t>
      </w:r>
    </w:p>
    <w:p w14:paraId="17DA7590" w14:textId="77777777" w:rsidR="00094004" w:rsidRDefault="00094004" w:rsidP="00EF10C7">
      <w:pPr>
        <w:pStyle w:val="Listparagraphbullets"/>
        <w:numPr>
          <w:ilvl w:val="1"/>
          <w:numId w:val="4"/>
        </w:numPr>
        <w:ind w:left="851"/>
      </w:pPr>
      <w:r w:rsidRPr="00EF10C7">
        <w:t>Comply</w:t>
      </w:r>
      <w:r w:rsidRPr="002A7AC6">
        <w:t xml:space="preserve"> with AS1428.2 (</w:t>
      </w:r>
      <w:r w:rsidRPr="0039756D">
        <w:t>1992) Clause 7(e)</w:t>
      </w:r>
      <w:r>
        <w:t>.</w:t>
      </w:r>
    </w:p>
    <w:p w14:paraId="32DCD501" w14:textId="77777777" w:rsidR="00094004" w:rsidRDefault="00094004" w:rsidP="00094004">
      <w:r w:rsidRPr="002A7AC6">
        <w:t>These requirements would apply to premises (except premises to which the Premises Standards apply) and infrastructure (except airports that do not accept regular public transport services).</w:t>
      </w:r>
    </w:p>
    <w:p w14:paraId="5CE449F9" w14:textId="77777777" w:rsidR="00094004" w:rsidRPr="002A7AC6" w:rsidRDefault="00094004" w:rsidP="00094004">
      <w:r w:rsidRPr="002A7AC6">
        <w:t xml:space="preserve">The </w:t>
      </w:r>
      <w:r>
        <w:t>Transport Standards</w:t>
      </w:r>
      <w:r w:rsidRPr="002A7AC6">
        <w:t xml:space="preserve"> Guidelines and / The Whole Journey Guide would be updated to reflect the new requirements.</w:t>
      </w:r>
    </w:p>
    <w:p w14:paraId="3CF6C1A7" w14:textId="77777777" w:rsidR="00094004" w:rsidRPr="002A7AC6" w:rsidRDefault="00094004" w:rsidP="00094004">
      <w:r w:rsidRPr="002A7AC6">
        <w:t>Specific guidance may include the following:</w:t>
      </w:r>
    </w:p>
    <w:p w14:paraId="2206A2C3" w14:textId="18B1273F" w:rsidR="00094004" w:rsidRPr="002A7AC6" w:rsidRDefault="00094004" w:rsidP="0089014F">
      <w:pPr>
        <w:pStyle w:val="Listparagraphbullets"/>
        <w:autoSpaceDE w:val="0"/>
        <w:autoSpaceDN w:val="0"/>
        <w:spacing w:after="0"/>
      </w:pPr>
      <w:r w:rsidRPr="002A7AC6">
        <w:t>Public footpaths and pedestrian crossings in road reserves are usually the responsibility of the local authority. These footpaths and pedestrian crossings are subject to the DDA and the anti-discrimination legislation of the various states and territories. Local authorities should be aware of their responsibility under the DDA to ensure the accessibility of public footpaths insofar as this does not impose an unjustifiable hardship.</w:t>
      </w:r>
    </w:p>
    <w:p w14:paraId="739EC9C2" w14:textId="77777777" w:rsidR="00094004" w:rsidRDefault="00094004" w:rsidP="00EF10C7">
      <w:pPr>
        <w:pStyle w:val="Listparagraphbullets"/>
      </w:pPr>
      <w:r w:rsidRPr="002A7AC6">
        <w:t>At times these footpaths and pedestrian crossings will connect public transport nodes. For example, a bus stop may be located close to a ferry pontoon with the two assets linked by a public footpath, tram stops located mid-street must be accessed via pedestrian crossings. To ensure an accessible whole of journey for a passenger with disability these footpaths and pedestrian crossings connecting transport nodes should be as accessible as possible.</w:t>
      </w:r>
    </w:p>
    <w:p w14:paraId="2DAF1D26" w14:textId="77777777" w:rsidR="00094004" w:rsidRDefault="00094004" w:rsidP="00EF10C7">
      <w:pPr>
        <w:pStyle w:val="Listparagraphbullets"/>
        <w:rPr>
          <w:rFonts w:cs="Calibri"/>
        </w:rPr>
      </w:pPr>
      <w:r w:rsidRPr="002A7AC6">
        <w:t>The Australian Human Rights Commission's Advisory Note on streetscape, public outdoor areas, fixtures, fittings and furniture provides useful guidance on accessible streetscapes for local authorities.</w:t>
      </w:r>
    </w:p>
    <w:p w14:paraId="7BAFCC82" w14:textId="302FAF48" w:rsidR="00094004" w:rsidRDefault="00094004" w:rsidP="00F85D91">
      <w:pPr>
        <w:pStyle w:val="Heading3"/>
        <w:numPr>
          <w:ilvl w:val="0"/>
          <w:numId w:val="66"/>
        </w:numPr>
        <w:ind w:hanging="720"/>
      </w:pPr>
      <w:bookmarkStart w:id="887" w:name="_Toc127351846"/>
      <w:bookmarkStart w:id="888" w:name="_Toc130914524"/>
      <w:bookmarkStart w:id="889" w:name="_Toc140239817"/>
      <w:r>
        <w:lastRenderedPageBreak/>
        <w:t>Flange gaps within access paths</w:t>
      </w:r>
      <w:bookmarkEnd w:id="887"/>
      <w:bookmarkEnd w:id="888"/>
      <w:bookmarkEnd w:id="889"/>
    </w:p>
    <w:p w14:paraId="224580CD" w14:textId="77777777" w:rsidR="00094004" w:rsidRDefault="00094004" w:rsidP="00094004">
      <w:pPr>
        <w:pStyle w:val="Heading4"/>
      </w:pPr>
      <w:r>
        <w:t>Status quo</w:t>
      </w:r>
    </w:p>
    <w:p w14:paraId="5F6B0FC3" w14:textId="77777777" w:rsidR="00094004" w:rsidRDefault="00094004" w:rsidP="00094004">
      <w:r w:rsidRPr="002A7AC6">
        <w:t xml:space="preserve">The </w:t>
      </w:r>
      <w:r>
        <w:t>Transport Standards</w:t>
      </w:r>
      <w:r w:rsidRPr="002A7AC6">
        <w:t xml:space="preserve"> would remain unchanged and no </w:t>
      </w:r>
      <w:r>
        <w:t>Guidance</w:t>
      </w:r>
      <w:r w:rsidRPr="002A7AC6">
        <w:t xml:space="preserve"> would be issued.</w:t>
      </w:r>
    </w:p>
    <w:p w14:paraId="29489D22" w14:textId="77777777" w:rsidR="00094004" w:rsidRDefault="00094004" w:rsidP="00094004">
      <w:pPr>
        <w:pStyle w:val="Heading4"/>
      </w:pPr>
      <w:r>
        <w:t>Non-regulatory option</w:t>
      </w:r>
    </w:p>
    <w:p w14:paraId="61C0ED67" w14:textId="77777777" w:rsidR="00094004" w:rsidRPr="002A7AC6" w:rsidRDefault="00094004" w:rsidP="00094004">
      <w:r w:rsidRPr="002A7AC6">
        <w:t xml:space="preserve">Guidance would be provided in the </w:t>
      </w:r>
      <w:r>
        <w:t>Transport Standards</w:t>
      </w:r>
      <w:r w:rsidRPr="002A7AC6">
        <w:t xml:space="preserve"> Guidelines or The Whole Journey Guide to include advice on flange gap filler products and to promote the safe traversing of level crossings for people who use mobility devices, those who have low vision or are blind or utilise a cane, cyclists, those with prams and luggage. This guidance should ensure that until a new ‘flange gap filler’ product is regulated and rolled out across the rail networks, public transport operators and providers are able to provide appropriate information and guidance to persons with mobility devices to improve their knowledge of how to safely cross access paths at level crossings that have not had a ‘flange gap filler’ product installed.</w:t>
      </w:r>
    </w:p>
    <w:p w14:paraId="41607045" w14:textId="77777777" w:rsidR="00094004" w:rsidRPr="002A7AC6" w:rsidRDefault="00094004" w:rsidP="00094004">
      <w:r w:rsidRPr="002A7AC6">
        <w:t>Specific guidance for operators and providers may include:</w:t>
      </w:r>
    </w:p>
    <w:p w14:paraId="2BBFD777" w14:textId="77777777" w:rsidR="00094004" w:rsidRPr="002A7AC6" w:rsidRDefault="00094004" w:rsidP="00EF10C7">
      <w:pPr>
        <w:pStyle w:val="Listparagraphbullets"/>
      </w:pPr>
      <w:r w:rsidRPr="002A7AC6">
        <w:t xml:space="preserve">Where </w:t>
      </w:r>
      <w:r w:rsidRPr="002A7AC6">
        <w:rPr>
          <w:bCs/>
        </w:rPr>
        <w:t xml:space="preserve">possible, ensure level crossings do not form part of an access path and </w:t>
      </w:r>
      <w:r w:rsidRPr="002A7AC6">
        <w:t>continue to upgrade and remove railway level crossings, which will remove the safety risk for people getting stuck in the gap wile traversing a level crossing.</w:t>
      </w:r>
    </w:p>
    <w:p w14:paraId="79B9C63F" w14:textId="77777777" w:rsidR="00094004" w:rsidRDefault="00094004" w:rsidP="00EF10C7">
      <w:pPr>
        <w:pStyle w:val="Listparagraphbullets"/>
      </w:pPr>
      <w:r w:rsidRPr="002A7AC6">
        <w:t>Drive research and trials of new ‘flange gap filler’ products and technologies to minimise the gap and their subsequent rollout should these products prove successful and are approved by the Office of the National Rail Safety Regulator.</w:t>
      </w:r>
    </w:p>
    <w:p w14:paraId="66F74CCE" w14:textId="77777777" w:rsidR="00094004" w:rsidRPr="002A7AC6" w:rsidRDefault="00094004" w:rsidP="00EF10C7">
      <w:pPr>
        <w:pStyle w:val="Listparagraphbullets"/>
      </w:pPr>
      <w:r w:rsidRPr="002A7AC6">
        <w:t>Develop and release guidance material on what constitutes good design in traversing a flange gap at a level crossing.</w:t>
      </w:r>
    </w:p>
    <w:p w14:paraId="384A66A9" w14:textId="77777777" w:rsidR="00094004" w:rsidRDefault="00094004" w:rsidP="00EF10C7">
      <w:pPr>
        <w:pStyle w:val="Listparagraphbullets"/>
      </w:pPr>
      <w:r w:rsidRPr="002A7AC6">
        <w:t xml:space="preserve">Work with local </w:t>
      </w:r>
      <w:r>
        <w:t>passengers</w:t>
      </w:r>
      <w:r w:rsidRPr="002A7AC6">
        <w:t xml:space="preserve"> on how to introduce a safe equivalent access option for traversing of a level crossing where it forms part of an access path without getting stuck in the gap.</w:t>
      </w:r>
    </w:p>
    <w:p w14:paraId="1951237C" w14:textId="77777777" w:rsidR="00094004" w:rsidRPr="002A7AC6" w:rsidRDefault="00094004" w:rsidP="00094004">
      <w:pPr>
        <w:pStyle w:val="Heading4"/>
      </w:pPr>
      <w:r w:rsidRPr="002A7AC6">
        <w:t>Regulatory options</w:t>
      </w:r>
    </w:p>
    <w:p w14:paraId="58CB0777" w14:textId="77777777" w:rsidR="00094004" w:rsidRPr="002A7AC6" w:rsidRDefault="00094004" w:rsidP="00094004">
      <w:r w:rsidRPr="002A7AC6">
        <w:t xml:space="preserve">The </w:t>
      </w:r>
      <w:r>
        <w:t>Transport Standards</w:t>
      </w:r>
      <w:r w:rsidRPr="002A7AC6">
        <w:t xml:space="preserve"> would be </w:t>
      </w:r>
      <w:r>
        <w:t>amended to include new requirements that</w:t>
      </w:r>
      <w:r w:rsidRPr="002A7AC6">
        <w:t xml:space="preserve"> recognise flange gaps within access paths at level crossings, encourage that they only be used where necessary, and encourage flange gap filler products be used where available. Two regulatory options are proposed for consideration.</w:t>
      </w:r>
    </w:p>
    <w:p w14:paraId="7FEA3BA4" w14:textId="77777777" w:rsidR="00094004" w:rsidRDefault="00094004" w:rsidP="00094004">
      <w:r w:rsidRPr="002A7AC6">
        <w:t xml:space="preserve">The </w:t>
      </w:r>
      <w:r>
        <w:t>Transport Standards</w:t>
      </w:r>
      <w:r w:rsidRPr="002A7AC6">
        <w:t xml:space="preserve"> Guidelines and / or The Whole Journey Guide would be updated for both options to include advice for improving accessibility where flange gaps are located within access paths at level crossings.</w:t>
      </w:r>
    </w:p>
    <w:p w14:paraId="57FEF37E" w14:textId="77777777" w:rsidR="00094004" w:rsidRPr="002A7AC6" w:rsidRDefault="00094004" w:rsidP="00094004">
      <w:pPr>
        <w:pStyle w:val="Heading6"/>
      </w:pPr>
      <w:r w:rsidRPr="002A7AC6">
        <w:t>Option 1</w:t>
      </w:r>
    </w:p>
    <w:p w14:paraId="6AD01EC9" w14:textId="77777777" w:rsidR="00094004" w:rsidRPr="002A7AC6" w:rsidRDefault="00094004" w:rsidP="00094004">
      <w:r w:rsidRPr="002A7AC6">
        <w:t xml:space="preserve">The </w:t>
      </w:r>
      <w:r>
        <w:t>Transport Standards</w:t>
      </w:r>
      <w:r w:rsidRPr="002A7AC6">
        <w:t xml:space="preserve"> would include the following new requirements:</w:t>
      </w:r>
    </w:p>
    <w:p w14:paraId="4D39E214" w14:textId="77777777" w:rsidR="00094004" w:rsidRPr="002A7AC6" w:rsidRDefault="00094004" w:rsidP="00EF10C7">
      <w:pPr>
        <w:pStyle w:val="Listparagraphbullets"/>
      </w:pPr>
      <w:r w:rsidRPr="002A7AC6">
        <w:t>Where possible, level crossings must not form part of an access path, thereby removing the safety risk for people getting stuck in the flange gap wile traversing a level crossing.</w:t>
      </w:r>
    </w:p>
    <w:p w14:paraId="40A30A2F" w14:textId="77777777" w:rsidR="00094004" w:rsidRDefault="00094004" w:rsidP="00EF10C7">
      <w:pPr>
        <w:pStyle w:val="Listparagraphbullets"/>
      </w:pPr>
      <w:r w:rsidRPr="002A7AC6">
        <w:t>Where a ‘flange gap filler’ product or technology has been approved by the Office of the National Rail Safety Regulator for each mode of transport, it must be used to eliminate, or if not feasible, reduce the gap to be no greater than 40 millimetres.</w:t>
      </w:r>
    </w:p>
    <w:p w14:paraId="49CA7CA6" w14:textId="77777777" w:rsidR="00094004" w:rsidRPr="002A7AC6" w:rsidRDefault="00094004" w:rsidP="00094004">
      <w:r w:rsidRPr="002A7AC6">
        <w:t>These requir</w:t>
      </w:r>
      <w:r>
        <w:t>ements would apply to premises (</w:t>
      </w:r>
      <w:r w:rsidRPr="002A7AC6">
        <w:t>except premises to which the Premises Standards apply</w:t>
      </w:r>
      <w:r>
        <w:t>), and infrastructure (</w:t>
      </w:r>
      <w:r w:rsidRPr="002A7AC6">
        <w:t>except airports provides that do not accept regular public transport services</w:t>
      </w:r>
      <w:r>
        <w:t>)</w:t>
      </w:r>
      <w:r w:rsidRPr="002A7AC6">
        <w:t>.</w:t>
      </w:r>
    </w:p>
    <w:p w14:paraId="781CC265" w14:textId="77777777" w:rsidR="00094004" w:rsidRPr="002A7AC6" w:rsidRDefault="00094004" w:rsidP="00094004">
      <w:pPr>
        <w:pStyle w:val="Heading6"/>
      </w:pPr>
      <w:r w:rsidRPr="002A7AC6">
        <w:lastRenderedPageBreak/>
        <w:t>Option 2</w:t>
      </w:r>
    </w:p>
    <w:p w14:paraId="025A9195" w14:textId="77777777" w:rsidR="00094004" w:rsidRPr="002A7AC6" w:rsidRDefault="00094004" w:rsidP="00094004">
      <w:r w:rsidRPr="002A7AC6">
        <w:t xml:space="preserve">The </w:t>
      </w:r>
      <w:r>
        <w:t>Transport Standards</w:t>
      </w:r>
      <w:r w:rsidRPr="002A7AC6">
        <w:t xml:space="preserve"> may also include the following new requirement:</w:t>
      </w:r>
    </w:p>
    <w:p w14:paraId="678FC264" w14:textId="77777777" w:rsidR="00094004" w:rsidRPr="002A7AC6" w:rsidRDefault="00094004" w:rsidP="00D73720">
      <w:pPr>
        <w:pStyle w:val="Listparagraphbullets"/>
      </w:pPr>
      <w:r w:rsidRPr="002A7AC6">
        <w:t>Where possible, level crossings must not form part of an access path, thereby removing the safety risk for people getting stuck in the flange gap wile traversing a level crossing.</w:t>
      </w:r>
    </w:p>
    <w:p w14:paraId="11215831" w14:textId="5BC1C5BC" w:rsidR="00094004" w:rsidRPr="002A7AC6" w:rsidRDefault="00094004" w:rsidP="00D73720">
      <w:pPr>
        <w:pStyle w:val="Listparagraphbullets"/>
      </w:pPr>
      <w:r w:rsidRPr="002A7AC6">
        <w:t>Where a ‘flange gap filler’ product or technology has been approved by the Office of the National Rail Safety Regulator for each mode of transport, it must be used to eliminate, or if not feasible, reduce the gap to be no greater than 40</w:t>
      </w:r>
      <w:r w:rsidR="009134C0" w:rsidRPr="009134C0">
        <w:t xml:space="preserve"> </w:t>
      </w:r>
      <w:r w:rsidR="009134C0" w:rsidRPr="002A7AC6">
        <w:t>millimetres</w:t>
      </w:r>
      <w:r w:rsidRPr="002A7AC6">
        <w:t>.</w:t>
      </w:r>
    </w:p>
    <w:p w14:paraId="4740FC75" w14:textId="77777777" w:rsidR="00094004" w:rsidRDefault="00094004" w:rsidP="00D73720">
      <w:pPr>
        <w:pStyle w:val="Listparagraphbullets"/>
      </w:pPr>
      <w:r w:rsidRPr="002A7AC6">
        <w:t xml:space="preserve">Where an access path must be provided at a level crossing, the flange gaps at the level crossing must comply with AS1742.7 </w:t>
      </w:r>
      <w:r w:rsidRPr="002A7AC6">
        <w:rPr>
          <w:i/>
        </w:rPr>
        <w:t>Manual of uniform of traffic control devices</w:t>
      </w:r>
      <w:r w:rsidRPr="002A7AC6">
        <w:t>, which stipulates that flange gaps must be constructed to no wider than 65 millimetres for newly constructed level crossings and maintained to a maximum width of 75 millimetres and have a maximum depth of 50 millimetres.</w:t>
      </w:r>
    </w:p>
    <w:p w14:paraId="2321F83C" w14:textId="77777777" w:rsidR="00094004" w:rsidRPr="002A7AC6" w:rsidRDefault="00094004" w:rsidP="00094004">
      <w:r w:rsidRPr="002A7AC6">
        <w:t>These requirements would apply to premises (except premises to which the Premises Standards apply) and infrastructure (except airports provides that do not accept regu</w:t>
      </w:r>
      <w:r>
        <w:t>lar public transport services).</w:t>
      </w:r>
    </w:p>
    <w:p w14:paraId="693CE691" w14:textId="77777777" w:rsidR="00094004" w:rsidRDefault="00094004" w:rsidP="00094004">
      <w:r w:rsidRPr="002A7AC6">
        <w:t xml:space="preserve">The </w:t>
      </w:r>
      <w:r>
        <w:t>Transport Standards</w:t>
      </w:r>
      <w:r w:rsidRPr="002A7AC6">
        <w:t xml:space="preserve"> Guidelines and /or The Whole Journey Guide would be updated to reflect the new requirements for both options.</w:t>
      </w:r>
    </w:p>
    <w:p w14:paraId="60664189" w14:textId="77777777" w:rsidR="00094004" w:rsidRPr="002A7AC6" w:rsidRDefault="00094004" w:rsidP="00094004">
      <w:r w:rsidRPr="002A7AC6">
        <w:t>Specific guidance for may include:</w:t>
      </w:r>
    </w:p>
    <w:p w14:paraId="4DECFE15" w14:textId="77777777" w:rsidR="00094004" w:rsidRPr="002A7AC6" w:rsidRDefault="00094004" w:rsidP="00D73720">
      <w:pPr>
        <w:pStyle w:val="Listparagraphbullets"/>
      </w:pPr>
      <w:r w:rsidRPr="002A7AC6">
        <w:t>Information on the safe traversing of level crossings for people who use mobility devices, those who have low vision or who are blind or utilise a cane.</w:t>
      </w:r>
    </w:p>
    <w:p w14:paraId="17DC5940" w14:textId="77777777" w:rsidR="00094004" w:rsidRDefault="00094004" w:rsidP="00D73720">
      <w:pPr>
        <w:pStyle w:val="Listparagraphbullets"/>
      </w:pPr>
      <w:r w:rsidRPr="002A7AC6">
        <w:t>Guidance that advises operators and providers to make their level crossing as safe as possible in the interim of a ‘flange gap filler’ product being installed.</w:t>
      </w:r>
    </w:p>
    <w:p w14:paraId="7B58BC1F" w14:textId="77777777" w:rsidR="00094004" w:rsidRDefault="00094004" w:rsidP="00094004"/>
    <w:p w14:paraId="1635E33B" w14:textId="75137BF7" w:rsidR="00094004" w:rsidRDefault="00094004" w:rsidP="00F85D91">
      <w:pPr>
        <w:pStyle w:val="Heading3"/>
        <w:numPr>
          <w:ilvl w:val="0"/>
          <w:numId w:val="66"/>
        </w:numPr>
        <w:ind w:hanging="720"/>
      </w:pPr>
      <w:bookmarkStart w:id="890" w:name="_Toc127351847"/>
      <w:bookmarkStart w:id="891" w:name="_Toc130914525"/>
      <w:bookmarkStart w:id="892" w:name="_Toc140239818"/>
      <w:r>
        <w:t>Resting points</w:t>
      </w:r>
      <w:bookmarkEnd w:id="890"/>
      <w:bookmarkEnd w:id="891"/>
      <w:bookmarkEnd w:id="892"/>
    </w:p>
    <w:p w14:paraId="2C5B0C8D" w14:textId="77777777" w:rsidR="00094004" w:rsidRDefault="00094004" w:rsidP="00094004">
      <w:pPr>
        <w:pStyle w:val="Heading4"/>
      </w:pPr>
      <w:r>
        <w:t>Status quo</w:t>
      </w:r>
    </w:p>
    <w:p w14:paraId="3BFD46F4" w14:textId="77777777" w:rsidR="00094004" w:rsidRDefault="00094004" w:rsidP="00094004">
      <w:r>
        <w:t>Transport Standards</w:t>
      </w:r>
      <w:r w:rsidRPr="002A7AC6">
        <w:t xml:space="preserve"> Part 5 Resting points, would remain unchanged and no additional guidance would be issued.</w:t>
      </w:r>
    </w:p>
    <w:p w14:paraId="7E97CE49" w14:textId="77777777" w:rsidR="00094004" w:rsidRPr="002A7AC6" w:rsidRDefault="00094004" w:rsidP="00094004">
      <w:pPr>
        <w:ind w:left="1418" w:hanging="851"/>
        <w:rPr>
          <w:b/>
        </w:rPr>
      </w:pPr>
      <w:r w:rsidRPr="002A7AC6">
        <w:rPr>
          <w:b/>
        </w:rPr>
        <w:t>Part 5</w:t>
      </w:r>
      <w:r w:rsidRPr="002A7AC6">
        <w:rPr>
          <w:b/>
        </w:rPr>
        <w:tab/>
        <w:t>Resting points</w:t>
      </w:r>
    </w:p>
    <w:p w14:paraId="20D1C9F2" w14:textId="77777777" w:rsidR="00094004" w:rsidRPr="002A7AC6" w:rsidRDefault="00094004" w:rsidP="00094004">
      <w:pPr>
        <w:ind w:left="1134" w:hanging="567"/>
        <w:rPr>
          <w:b/>
        </w:rPr>
      </w:pPr>
      <w:r w:rsidRPr="002A7AC6">
        <w:rPr>
          <w:b/>
        </w:rPr>
        <w:t>5.1</w:t>
      </w:r>
      <w:r w:rsidRPr="002A7AC6">
        <w:rPr>
          <w:b/>
        </w:rPr>
        <w:tab/>
        <w:t>When resting points must be provided</w:t>
      </w:r>
    </w:p>
    <w:p w14:paraId="2B3D1378" w14:textId="77777777" w:rsidR="00094004" w:rsidRPr="002A7AC6" w:rsidRDefault="00094004" w:rsidP="00094004">
      <w:pPr>
        <w:ind w:left="1134" w:hanging="567"/>
      </w:pPr>
      <w:r w:rsidRPr="002A7AC6">
        <w:t>(1)</w:t>
      </w:r>
      <w:r w:rsidRPr="002A7AC6">
        <w:tab/>
        <w:t>There must be resting points for passengers along an access path if the walking distance between facilities or services exceeds 60 metres (AS1428.2 (1992) Note to Clause 7, Continuous accessible path of travel).</w:t>
      </w:r>
    </w:p>
    <w:p w14:paraId="6120B22A" w14:textId="77777777" w:rsidR="00094004" w:rsidRPr="002A7AC6" w:rsidRDefault="00094004" w:rsidP="00094004">
      <w:pPr>
        <w:ind w:left="1134" w:hanging="567"/>
      </w:pPr>
      <w:r w:rsidRPr="002A7AC6">
        <w:t>(2)</w:t>
      </w:r>
      <w:r w:rsidRPr="002A7AC6">
        <w:tab/>
        <w:t>A resting point must provide seats (AS1428.2 (1992) Clause 27.1(a), Street Furniture).</w:t>
      </w:r>
    </w:p>
    <w:p w14:paraId="3E5FF1B7" w14:textId="77777777" w:rsidR="00094004" w:rsidRPr="002A7AC6" w:rsidRDefault="00094004" w:rsidP="00094004">
      <w:pPr>
        <w:ind w:left="567"/>
      </w:pPr>
      <w:r>
        <w:t>This s</w:t>
      </w:r>
      <w:r w:rsidRPr="002A7AC6">
        <w:t xml:space="preserve">ection pertains </w:t>
      </w:r>
      <w:r>
        <w:t>to premises and infrastructure (</w:t>
      </w:r>
      <w:r w:rsidRPr="002A7AC6">
        <w:t>except airports that do not accept regular public transport services</w:t>
      </w:r>
      <w:r>
        <w:t>)</w:t>
      </w:r>
      <w:r w:rsidRPr="002A7AC6">
        <w:t>.</w:t>
      </w:r>
    </w:p>
    <w:p w14:paraId="01C8C802" w14:textId="77777777" w:rsidR="00094004" w:rsidRDefault="00094004" w:rsidP="00094004">
      <w:pPr>
        <w:pStyle w:val="Heading5"/>
      </w:pPr>
      <w:r>
        <w:t>Non-regulatory option</w:t>
      </w:r>
    </w:p>
    <w:p w14:paraId="0EADB5FE" w14:textId="77777777" w:rsidR="00094004" w:rsidRPr="002A7AC6" w:rsidRDefault="00094004" w:rsidP="00094004">
      <w:r w:rsidRPr="002A7AC6">
        <w:t xml:space="preserve">The </w:t>
      </w:r>
      <w:r>
        <w:t>Transport Standards</w:t>
      </w:r>
      <w:r w:rsidRPr="002A7AC6">
        <w:t xml:space="preserve"> Guidelines and /or The Whole Journey Guide </w:t>
      </w:r>
      <w:r>
        <w:t xml:space="preserve">may be updated to </w:t>
      </w:r>
      <w:r w:rsidRPr="002A7AC6">
        <w:t xml:space="preserve">include </w:t>
      </w:r>
      <w:r>
        <w:t>guidance</w:t>
      </w:r>
      <w:r w:rsidRPr="002A7AC6">
        <w:t xml:space="preserve"> on the provision of allocated spaces at resting points.</w:t>
      </w:r>
    </w:p>
    <w:p w14:paraId="392B8CC5" w14:textId="77777777" w:rsidR="00094004" w:rsidRPr="002A7AC6" w:rsidRDefault="00094004" w:rsidP="00094004">
      <w:pPr>
        <w:keepNext/>
      </w:pPr>
      <w:r>
        <w:lastRenderedPageBreak/>
        <w:t>Specific guidance may include:</w:t>
      </w:r>
    </w:p>
    <w:p w14:paraId="56C43496" w14:textId="77777777" w:rsidR="00094004" w:rsidRPr="002A7AC6" w:rsidRDefault="00094004" w:rsidP="00D73720">
      <w:pPr>
        <w:pStyle w:val="Listparagraphbullets"/>
      </w:pPr>
      <w:r w:rsidRPr="002A7AC6">
        <w:t>A 1300 by 800 millimetre flat and stable space, suitable for a resting point allocated space, should be provided besides resting point seats. The resting point should be configured so that the backrest of the resting point seat aligns with the backrest of a device positioned in the allocated space.</w:t>
      </w:r>
    </w:p>
    <w:p w14:paraId="40224239" w14:textId="77777777" w:rsidR="00094004" w:rsidRDefault="00094004" w:rsidP="00D73720">
      <w:pPr>
        <w:pStyle w:val="Listparagraphbullets"/>
      </w:pPr>
      <w:r w:rsidRPr="002A7AC6">
        <w:t>The resting point allocated space must not overlap the access path.</w:t>
      </w:r>
    </w:p>
    <w:p w14:paraId="7D53557A" w14:textId="77777777" w:rsidR="00094004" w:rsidRDefault="00094004" w:rsidP="00D73720">
      <w:pPr>
        <w:pStyle w:val="Listparagraphbullets"/>
      </w:pPr>
      <w:r w:rsidRPr="002A7AC6">
        <w:t xml:space="preserve">The intent of AS1428.2 (1992) </w:t>
      </w:r>
      <w:r w:rsidRPr="002A7AC6">
        <w:rPr>
          <w:i/>
        </w:rPr>
        <w:t>Design for access and mobility, Clause 27.1(a) Street Furniture</w:t>
      </w:r>
      <w:r w:rsidRPr="002A7AC6">
        <w:t>, is to ensure seat setback is sufficient so that people using the resting point seat do not in any way obstruct pedestrian traffic on the access path. Similarly, resting point allocated spaces should allow the mobility aid to be clear of the access path.</w:t>
      </w:r>
    </w:p>
    <w:p w14:paraId="0103222F" w14:textId="77777777" w:rsidR="00094004" w:rsidRPr="002A7AC6" w:rsidRDefault="00094004" w:rsidP="00D73720">
      <w:pPr>
        <w:pStyle w:val="Listparagraphbullets"/>
      </w:pPr>
      <w:r w:rsidRPr="002A7AC6">
        <w:t>Where more than one resting point is provided along an access path, resting points should be placed alternately on either side of the access path in equal or near equal proportions.</w:t>
      </w:r>
    </w:p>
    <w:p w14:paraId="70431819" w14:textId="77777777" w:rsidR="00094004" w:rsidRDefault="00094004" w:rsidP="00D73720">
      <w:pPr>
        <w:pStyle w:val="Listparagraphbullets"/>
      </w:pPr>
      <w:r w:rsidRPr="002A7AC6">
        <w:t>Access paths may be located on local council footpaths where these footpaths connect transport nodes such as bus and tram stops. Resting points</w:t>
      </w:r>
      <w:r>
        <w:t xml:space="preserve"> with seating and resting points at </w:t>
      </w:r>
      <w:r w:rsidRPr="002A7AC6">
        <w:t>allocated spaces may therefore be located on council footpaths.</w:t>
      </w:r>
    </w:p>
    <w:p w14:paraId="59006BAC" w14:textId="77777777" w:rsidR="00094004" w:rsidRDefault="00094004" w:rsidP="00094004">
      <w:pPr>
        <w:pStyle w:val="Heading5"/>
      </w:pPr>
      <w:r>
        <w:t>Regulatory option</w:t>
      </w:r>
    </w:p>
    <w:p w14:paraId="002F7CC8" w14:textId="77777777" w:rsidR="00094004" w:rsidRDefault="00094004" w:rsidP="00094004">
      <w:r>
        <w:t xml:space="preserve">Transport Standards Part 5 Resting points, </w:t>
      </w:r>
      <w:r w:rsidRPr="00322C2B">
        <w:t>would be amended to include the following (including any requirements retained or amended from the status quo)</w:t>
      </w:r>
      <w:r>
        <w:t>.</w:t>
      </w:r>
    </w:p>
    <w:p w14:paraId="38D2A939" w14:textId="77777777" w:rsidR="00094004" w:rsidRPr="002A7AC6" w:rsidRDefault="00094004" w:rsidP="00094004">
      <w:r w:rsidRPr="002A7AC6">
        <w:t xml:space="preserve">The </w:t>
      </w:r>
      <w:r>
        <w:t>Transport Standards</w:t>
      </w:r>
      <w:r w:rsidRPr="002A7AC6">
        <w:t xml:space="preserve"> would be amended to include the following requirements:</w:t>
      </w:r>
    </w:p>
    <w:p w14:paraId="04B2BBC4" w14:textId="77777777" w:rsidR="00094004" w:rsidRPr="002A7AC6" w:rsidRDefault="00094004" w:rsidP="00D73720">
      <w:pPr>
        <w:pStyle w:val="Listparagraphbullets"/>
      </w:pPr>
      <w:r w:rsidRPr="002A7AC6">
        <w:t>There must be resting points for passengers along an access path if the walking distance between facilities or services exceeds 60 metres.</w:t>
      </w:r>
    </w:p>
    <w:p w14:paraId="57D9F7B6" w14:textId="77777777" w:rsidR="00094004" w:rsidRPr="002A7AC6" w:rsidRDefault="00094004" w:rsidP="00D73720">
      <w:pPr>
        <w:pStyle w:val="Listparagraphbullets"/>
      </w:pPr>
      <w:r w:rsidRPr="002A7AC6">
        <w:t xml:space="preserve">A resting point must provide a seat or seats placed as per AS1428.2 (1992) </w:t>
      </w:r>
      <w:r w:rsidRPr="002A7AC6">
        <w:rPr>
          <w:i/>
        </w:rPr>
        <w:t>Clause 27.1(a), Street Furniture</w:t>
      </w:r>
      <w:r w:rsidRPr="002A7AC6">
        <w:t>.</w:t>
      </w:r>
    </w:p>
    <w:p w14:paraId="6000F315" w14:textId="77777777" w:rsidR="00094004" w:rsidRDefault="00094004" w:rsidP="00D73720">
      <w:pPr>
        <w:pStyle w:val="Listparagraphbullets"/>
      </w:pPr>
      <w:r w:rsidRPr="002A7AC6">
        <w:t>A 1300 by 800 millimetre flat and stable space must be provided beside the seats suitable for a wheelchair or mobility aid. The mobility aid space must not overlap the access path.</w:t>
      </w:r>
    </w:p>
    <w:p w14:paraId="1F7A5109" w14:textId="77777777" w:rsidR="00094004" w:rsidRDefault="00094004" w:rsidP="00D73720">
      <w:pPr>
        <w:pStyle w:val="Listparagraphbullets"/>
      </w:pPr>
      <w:r w:rsidRPr="002A7AC6">
        <w:t>Allocated spaces at resting points do not require signage or ground marking.</w:t>
      </w:r>
    </w:p>
    <w:p w14:paraId="32838908" w14:textId="77777777" w:rsidR="00094004" w:rsidRPr="002A7AC6" w:rsidRDefault="00094004" w:rsidP="00094004">
      <w:r w:rsidRPr="002A7AC6">
        <w:t>These requirements would apply to public transport premises and infrastructure (except airports that do not accept regular public transport services).</w:t>
      </w:r>
    </w:p>
    <w:p w14:paraId="7B2CCBAC" w14:textId="77777777" w:rsidR="00094004" w:rsidRDefault="00094004" w:rsidP="00094004">
      <w:r w:rsidRPr="002A7AC6">
        <w:t xml:space="preserve">The </w:t>
      </w:r>
      <w:r>
        <w:t>Transport Standards</w:t>
      </w:r>
      <w:r w:rsidRPr="002A7AC6">
        <w:t xml:space="preserve"> Guidelines and / or The Whole Journey Guide would be updated to reflect new requirements.</w:t>
      </w:r>
    </w:p>
    <w:p w14:paraId="008E888A" w14:textId="77777777" w:rsidR="00094004" w:rsidRPr="002A7AC6" w:rsidRDefault="00094004" w:rsidP="00094004">
      <w:r w:rsidRPr="002A7AC6">
        <w:t>Specific guidance may include the following:</w:t>
      </w:r>
    </w:p>
    <w:p w14:paraId="7718BDC4" w14:textId="77777777" w:rsidR="00094004" w:rsidRDefault="00094004" w:rsidP="00D73720">
      <w:pPr>
        <w:pStyle w:val="Listparagraphbullets"/>
      </w:pPr>
      <w:r w:rsidRPr="002A7AC6">
        <w:t xml:space="preserve">The intent of AS1428.2 (1992) </w:t>
      </w:r>
      <w:r w:rsidRPr="002A7AC6">
        <w:rPr>
          <w:i/>
        </w:rPr>
        <w:t>Clause 27.1(a) Street furniture</w:t>
      </w:r>
      <w:r w:rsidRPr="002A7AC6">
        <w:t>, is to ensure mobility aid spaces besides resting point seats should allow the mobility aid to be clear of the access path. The resting point should be configured so that the backrest of the resting point seat aligns with the backrest of a device positioned in the allocated space.</w:t>
      </w:r>
    </w:p>
    <w:p w14:paraId="0B350BC8" w14:textId="77777777" w:rsidR="00094004" w:rsidRPr="002A7AC6" w:rsidRDefault="00094004" w:rsidP="00D73720">
      <w:pPr>
        <w:pStyle w:val="Listparagraphbullets"/>
      </w:pPr>
      <w:r w:rsidRPr="002A7AC6">
        <w:t>Where more than one resting point is provided along an access path resting points should be placed alternately on either side of the access path in equal or near equal proportions.</w:t>
      </w:r>
    </w:p>
    <w:p w14:paraId="0D11B52D" w14:textId="77777777" w:rsidR="00094004" w:rsidRDefault="00094004" w:rsidP="00D73720">
      <w:pPr>
        <w:pStyle w:val="Listparagraphbullets"/>
      </w:pPr>
      <w:r w:rsidRPr="002A7AC6">
        <w:t xml:space="preserve">Access paths may be located on local council footpaths where these footpaths connect transport nodes such as bus and tram stops. </w:t>
      </w:r>
      <w:r>
        <w:t>Therefore, r</w:t>
      </w:r>
      <w:r w:rsidRPr="002A7AC6">
        <w:t>esting points with seating and resting point allocated spaces may be located on council footpaths.</w:t>
      </w:r>
    </w:p>
    <w:p w14:paraId="7B6037B1" w14:textId="77777777" w:rsidR="00094004" w:rsidRDefault="00094004" w:rsidP="00094004"/>
    <w:p w14:paraId="354571EB" w14:textId="5574E03A" w:rsidR="00094004" w:rsidRDefault="00094004" w:rsidP="00F85D91">
      <w:pPr>
        <w:pStyle w:val="Heading3"/>
        <w:numPr>
          <w:ilvl w:val="0"/>
          <w:numId w:val="66"/>
        </w:numPr>
        <w:ind w:hanging="720"/>
      </w:pPr>
      <w:bookmarkStart w:id="893" w:name="_Toc127351848"/>
      <w:bookmarkStart w:id="894" w:name="_Toc130914526"/>
      <w:bookmarkStart w:id="895" w:name="_Toc140239819"/>
      <w:r>
        <w:lastRenderedPageBreak/>
        <w:t>Requirements for handrails in over bridges and subways</w:t>
      </w:r>
      <w:bookmarkEnd w:id="893"/>
      <w:bookmarkEnd w:id="894"/>
      <w:bookmarkEnd w:id="895"/>
    </w:p>
    <w:p w14:paraId="44301E83" w14:textId="77777777" w:rsidR="00094004" w:rsidRDefault="00094004" w:rsidP="00094004">
      <w:pPr>
        <w:pStyle w:val="Heading4"/>
      </w:pPr>
      <w:r>
        <w:t>Status quo</w:t>
      </w:r>
    </w:p>
    <w:p w14:paraId="050F4EC7" w14:textId="77777777" w:rsidR="00094004" w:rsidRDefault="00094004" w:rsidP="00094004">
      <w:r>
        <w:t>Transport Standards s</w:t>
      </w:r>
      <w:r w:rsidRPr="002A7AC6">
        <w:t>ection 11.2 Handrails to be provided on access paths, would remain unchanged and no additional guidance would be issued.</w:t>
      </w:r>
    </w:p>
    <w:p w14:paraId="374DCAD6" w14:textId="77777777" w:rsidR="00094004" w:rsidRDefault="00094004" w:rsidP="00094004">
      <w:pPr>
        <w:ind w:left="1134" w:hanging="567"/>
        <w:rPr>
          <w:b/>
        </w:rPr>
      </w:pPr>
      <w:r w:rsidRPr="002A7AC6">
        <w:rPr>
          <w:b/>
        </w:rPr>
        <w:t>11.2</w:t>
      </w:r>
      <w:r w:rsidRPr="002A7AC6">
        <w:rPr>
          <w:b/>
        </w:rPr>
        <w:tab/>
        <w:t>Handrails to be provided on access paths</w:t>
      </w:r>
    </w:p>
    <w:p w14:paraId="3E6B4377" w14:textId="77777777" w:rsidR="00094004" w:rsidRDefault="00094004" w:rsidP="00094004">
      <w:pPr>
        <w:ind w:left="1134" w:hanging="567"/>
      </w:pPr>
      <w:r w:rsidRPr="002A7AC6">
        <w:t>(1)</w:t>
      </w:r>
      <w:r w:rsidRPr="002A7AC6">
        <w:tab/>
        <w:t>Handrails must be placed along an access path wherever passengers are likely to require additional support or passive guidance.</w:t>
      </w:r>
    </w:p>
    <w:p w14:paraId="34081043" w14:textId="77777777" w:rsidR="00094004" w:rsidRPr="002A7AC6" w:rsidRDefault="00094004" w:rsidP="00094004">
      <w:pPr>
        <w:ind w:left="1134" w:hanging="567"/>
      </w:pPr>
      <w:r w:rsidRPr="002A7AC6">
        <w:t>(2)</w:t>
      </w:r>
      <w:r w:rsidRPr="002A7AC6">
        <w:tab/>
        <w:t>A handrail must not infringe an area on a roadside boarding point that may be needed to deploy a boarding device.</w:t>
      </w:r>
    </w:p>
    <w:p w14:paraId="3464A0A0" w14:textId="77777777" w:rsidR="00094004" w:rsidRPr="002A7AC6" w:rsidRDefault="00094004" w:rsidP="00094004">
      <w:pPr>
        <w:ind w:left="567"/>
      </w:pPr>
      <w:r>
        <w:t>This s</w:t>
      </w:r>
      <w:r w:rsidRPr="002A7AC6">
        <w:t xml:space="preserve">ection </w:t>
      </w:r>
      <w:r>
        <w:t>pertains to premises (</w:t>
      </w:r>
      <w:r w:rsidRPr="002A7AC6">
        <w:t>except premises to which the Premises Standards apply</w:t>
      </w:r>
      <w:r>
        <w:t>) and infrastructure (</w:t>
      </w:r>
      <w:r w:rsidRPr="002A7AC6">
        <w:t>except airports that do not accept regular public transport services</w:t>
      </w:r>
      <w:r>
        <w:t>)</w:t>
      </w:r>
      <w:r w:rsidRPr="002A7AC6">
        <w:t>.</w:t>
      </w:r>
    </w:p>
    <w:p w14:paraId="1372DC24" w14:textId="77777777" w:rsidR="00094004" w:rsidRDefault="00094004" w:rsidP="00094004">
      <w:pPr>
        <w:pStyle w:val="Heading5"/>
      </w:pPr>
      <w:r>
        <w:t>Non-regulatory option</w:t>
      </w:r>
    </w:p>
    <w:p w14:paraId="38740587" w14:textId="77777777" w:rsidR="00094004" w:rsidRDefault="00094004" w:rsidP="00094004">
      <w:r>
        <w:t>The Transport Standards</w:t>
      </w:r>
      <w:r w:rsidRPr="002A7AC6">
        <w:t xml:space="preserve"> Guidelines and/ or The Whole Journey Guide </w:t>
      </w:r>
      <w:r>
        <w:t xml:space="preserve">may be updated to </w:t>
      </w:r>
      <w:r w:rsidRPr="002A7AC6">
        <w:t xml:space="preserve">encourage </w:t>
      </w:r>
      <w:r>
        <w:t xml:space="preserve">operators and providers </w:t>
      </w:r>
      <w:r w:rsidRPr="002A7AC6">
        <w:t>that overbridges and subways have continuous handrails on both sides, broken only at entry and exit points.</w:t>
      </w:r>
    </w:p>
    <w:p w14:paraId="5604EB93" w14:textId="77777777" w:rsidR="00094004" w:rsidRDefault="00094004" w:rsidP="00094004">
      <w:r w:rsidRPr="002A7AC6">
        <w:t>Guidance would be relevant to premises (except premises to which the Premises Standards apply) and infrastructure (except airports that do not accept regular public transport services).</w:t>
      </w:r>
    </w:p>
    <w:p w14:paraId="15CE56F3" w14:textId="77777777" w:rsidR="00094004" w:rsidRPr="002A7AC6" w:rsidRDefault="00094004" w:rsidP="00094004">
      <w:pPr>
        <w:keepNext/>
      </w:pPr>
      <w:r>
        <w:t>Specific guidance may include:</w:t>
      </w:r>
    </w:p>
    <w:p w14:paraId="27EA5503" w14:textId="77777777" w:rsidR="00094004" w:rsidRDefault="00094004" w:rsidP="00D73720">
      <w:pPr>
        <w:pStyle w:val="Listparagraphbullets"/>
      </w:pPr>
      <w:r w:rsidRPr="002A7AC6">
        <w:t>Access paths on overbridges and through subways should have handrails on both sides. Continuous handrails on overbridges and in subways assist people with vision impairment in wayfinding and offer support to people who have fatigue or balance difficulties.</w:t>
      </w:r>
    </w:p>
    <w:p w14:paraId="63CC186C" w14:textId="77777777" w:rsidR="00094004" w:rsidRPr="002A7AC6" w:rsidRDefault="00094004" w:rsidP="00D73720">
      <w:pPr>
        <w:pStyle w:val="Listparagraphbullets"/>
      </w:pPr>
      <w:r w:rsidRPr="002A7AC6">
        <w:t>Handrails may be broken at stair, walkway and ramp entry points, at lift doors, and at any other entry and exit points for the overbridge or subway. If a concourse serves as an overbridge or subway, handrails may need to break at service-related facilities and fixtures.</w:t>
      </w:r>
    </w:p>
    <w:p w14:paraId="27D1DA40" w14:textId="77777777" w:rsidR="00094004" w:rsidRPr="002A7AC6" w:rsidRDefault="00094004" w:rsidP="00D73720">
      <w:pPr>
        <w:pStyle w:val="Listparagraphbullets"/>
      </w:pPr>
      <w:r w:rsidRPr="002A7AC6">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38AE9C1F" w14:textId="77777777" w:rsidR="00094004" w:rsidRDefault="00094004" w:rsidP="00D73720">
      <w:pPr>
        <w:pStyle w:val="Listparagraphbullets"/>
      </w:pPr>
      <w:r w:rsidRPr="002A7AC6">
        <w:t>If 1800 millimetre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w:t>
      </w:r>
    </w:p>
    <w:p w14:paraId="1DA8270F" w14:textId="77777777" w:rsidR="00094004" w:rsidRPr="002A7AC6" w:rsidRDefault="00094004" w:rsidP="00D73720">
      <w:pPr>
        <w:pStyle w:val="Listparagraphbullets"/>
      </w:pPr>
      <w:r w:rsidRPr="002A7AC6">
        <w:t>It is important that design accounts for safety concerns such as potential shorting from overhead wires.</w:t>
      </w:r>
    </w:p>
    <w:p w14:paraId="56EF1D1A" w14:textId="77777777" w:rsidR="00094004" w:rsidRDefault="00094004" w:rsidP="00D73720">
      <w:pPr>
        <w:pStyle w:val="Listparagraphbullets"/>
      </w:pPr>
      <w:r w:rsidRPr="002A7AC6">
        <w:t xml:space="preserve">While the above advice pertains to overbridges and subways, other access paths such as walkways also benefit from installation of handrails. This is recognised in </w:t>
      </w:r>
      <w:r>
        <w:t>Transport Standards s</w:t>
      </w:r>
      <w:r w:rsidRPr="002A7AC6">
        <w:t>ection 11.2 and it would be regarded as good practice to consider handrails along walkways provided that they do not interfere with functions at such locations as boarding points, rest areas, manoeuvring areas and the like.</w:t>
      </w:r>
    </w:p>
    <w:p w14:paraId="2E3C4032" w14:textId="77777777" w:rsidR="00094004" w:rsidRDefault="00094004" w:rsidP="00D73720">
      <w:pPr>
        <w:pStyle w:val="Listparagraphbullets"/>
      </w:pPr>
      <w:r w:rsidRPr="002A7AC6">
        <w:t>While handrails may have an outside diameter of 30 to 50 millimetres, an outside diameter of 30 to 40 millimetres is seen as the optimal range for people who have smaller hands and for children.</w:t>
      </w:r>
    </w:p>
    <w:p w14:paraId="58777828" w14:textId="77777777" w:rsidR="00094004" w:rsidRDefault="00094004" w:rsidP="00094004">
      <w:pPr>
        <w:pStyle w:val="Heading5"/>
      </w:pPr>
      <w:r>
        <w:lastRenderedPageBreak/>
        <w:t>Regulatory option</w:t>
      </w:r>
    </w:p>
    <w:p w14:paraId="7A4986FF" w14:textId="77777777" w:rsidR="00094004" w:rsidRPr="002A7AC6" w:rsidRDefault="00094004" w:rsidP="00094004">
      <w:r>
        <w:t xml:space="preserve">Transport Standards section 11.2 </w:t>
      </w:r>
      <w:r w:rsidRPr="00D509CD">
        <w:t>would be amended to include the following (including any requirements retained or amended from the status quo):</w:t>
      </w:r>
    </w:p>
    <w:p w14:paraId="71CCD720" w14:textId="77777777" w:rsidR="00094004" w:rsidRDefault="00094004" w:rsidP="00D73720">
      <w:pPr>
        <w:pStyle w:val="Listparagraphbullets"/>
      </w:pPr>
      <w:r w:rsidRPr="002A7AC6">
        <w:t>Access paths on overbridges and through subways must have handrails on both sides.</w:t>
      </w:r>
    </w:p>
    <w:p w14:paraId="5A65D571" w14:textId="77777777" w:rsidR="00094004" w:rsidRPr="002A7AC6" w:rsidRDefault="00094004" w:rsidP="00D73720">
      <w:pPr>
        <w:pStyle w:val="Listparagraphbullets"/>
      </w:pPr>
      <w:r w:rsidRPr="002A7AC6">
        <w:t>Handrails may be broken at stair, walkway and ramp entry points, at lift doors, and at any other entry and exit points for the overbridge or subway.</w:t>
      </w:r>
    </w:p>
    <w:p w14:paraId="0FBA42C5" w14:textId="77777777" w:rsidR="00094004" w:rsidRDefault="00094004" w:rsidP="00D73720">
      <w:pPr>
        <w:pStyle w:val="Listparagraphbullets"/>
      </w:pPr>
      <w:r w:rsidRPr="002A7AC6">
        <w:t>When concourses serve as overbridges or subways, handrails may break at facilities and fixtures such as fare gates, ticket vending machines, public information displays, service counters, staff doors, public toilet doors or access corridors and the like.</w:t>
      </w:r>
    </w:p>
    <w:p w14:paraId="77A03690" w14:textId="77777777" w:rsidR="00094004" w:rsidRPr="002A7AC6" w:rsidRDefault="00094004" w:rsidP="00094004">
      <w:r w:rsidRPr="002A7AC6">
        <w:t>These requirements would pertain to premises (except premises to which the Premises Standards apply) and infrastructure (except airports that do not accept regular public transport services).</w:t>
      </w:r>
    </w:p>
    <w:p w14:paraId="585A1897"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w:t>
      </w:r>
    </w:p>
    <w:p w14:paraId="136E3073" w14:textId="77777777" w:rsidR="00094004" w:rsidRPr="002A7AC6" w:rsidRDefault="00094004" w:rsidP="00094004">
      <w:pPr>
        <w:keepNext/>
      </w:pPr>
      <w:r>
        <w:t>Specific guidance may include:</w:t>
      </w:r>
    </w:p>
    <w:p w14:paraId="05456C38" w14:textId="77777777" w:rsidR="00094004" w:rsidRPr="002A7AC6" w:rsidRDefault="00094004" w:rsidP="00D73720">
      <w:pPr>
        <w:pStyle w:val="Listparagraphbullets"/>
      </w:pPr>
      <w:r w:rsidRPr="002A7AC6">
        <w:t>Continuous handrails on overbridges and in subways assist people with vision impairment in wayfinding and offer support to people who have fatigue or balance difficulties. If a concourse serves as an overbridge or subway, handrails may need to break at service related facilities and fixtures.</w:t>
      </w:r>
    </w:p>
    <w:p w14:paraId="53555BE9" w14:textId="77777777" w:rsidR="00094004" w:rsidRDefault="00094004" w:rsidP="00D73720">
      <w:pPr>
        <w:pStyle w:val="Listparagraphbullets"/>
      </w:pPr>
      <w:r w:rsidRPr="002A7AC6">
        <w:t>Safety and access must not be compromised by the installation of continuous handrails on overbridges and subways. If retrofitting handrails to existing narrow overbridges or subways, the viability of the access path must be considered. Free-flowing two-way access and emergency egress should not be compromised by installation of handrails.</w:t>
      </w:r>
    </w:p>
    <w:p w14:paraId="0CB3E2FF" w14:textId="77777777" w:rsidR="00094004" w:rsidRDefault="00094004" w:rsidP="00D73720">
      <w:pPr>
        <w:pStyle w:val="Listparagraphbullets"/>
      </w:pPr>
      <w:r w:rsidRPr="002A7AC6">
        <w:t>If 1800 millimetres or more clear space between opposite handrails cannot be achieved on overbridges and subways, one or both handrails should be omitted. If only a single handrail is viable due to space constraints, the continuous handrail should be on the side of the overbridge or subway on which the stairs, lifts or ramps enter.</w:t>
      </w:r>
    </w:p>
    <w:p w14:paraId="6C1812F2" w14:textId="77777777" w:rsidR="00094004" w:rsidRPr="002A7AC6" w:rsidRDefault="00094004" w:rsidP="00D73720">
      <w:pPr>
        <w:pStyle w:val="Listparagraphbullets"/>
      </w:pPr>
      <w:r w:rsidRPr="002A7AC6">
        <w:t>It is important that design accounts for safety concerns such as potential shorting from overhead wires.</w:t>
      </w:r>
    </w:p>
    <w:p w14:paraId="729BC499" w14:textId="77777777" w:rsidR="00094004" w:rsidRDefault="00094004" w:rsidP="00D73720">
      <w:pPr>
        <w:pStyle w:val="Listparagraphbullets"/>
      </w:pPr>
      <w:r w:rsidRPr="002A7AC6">
        <w:t xml:space="preserve">While the above advice pertains to overbridges and subways, other access paths such as walkways also benefit from installation of handrails. This is recognised in </w:t>
      </w:r>
      <w:r>
        <w:t>Transport Standards s</w:t>
      </w:r>
      <w:r w:rsidRPr="002A7AC6">
        <w:t>ection 11.2 and it would be regarded as good practice to consider handrails along walkways provided that they did not interfere with functions at such locations as boarding points, rest areas, manoeuvring areas and the like.</w:t>
      </w:r>
    </w:p>
    <w:p w14:paraId="5CD216FE" w14:textId="77777777" w:rsidR="00094004" w:rsidRDefault="00094004" w:rsidP="00D73720">
      <w:pPr>
        <w:pStyle w:val="Listparagraphbullets"/>
      </w:pPr>
      <w:r w:rsidRPr="002A7AC6">
        <w:t>While handrails may have an outside diameter of 30 to 50 millimetres, an outside diameter of 30 to 40 millimetres is seen as the optimal range for people who have smaller hands and for children.</w:t>
      </w:r>
    </w:p>
    <w:p w14:paraId="7420C84D" w14:textId="127FB43B" w:rsidR="00094004" w:rsidRDefault="00094004" w:rsidP="006F65FB">
      <w:pPr>
        <w:pStyle w:val="Heading3"/>
        <w:numPr>
          <w:ilvl w:val="0"/>
          <w:numId w:val="66"/>
        </w:numPr>
        <w:ind w:left="567" w:hanging="567"/>
      </w:pPr>
      <w:bookmarkStart w:id="896" w:name="_Toc127351849"/>
      <w:bookmarkStart w:id="897" w:name="_Toc130914527"/>
      <w:bookmarkStart w:id="898" w:name="_Toc140239820"/>
      <w:r>
        <w:t>Location of fare system elements</w:t>
      </w:r>
      <w:bookmarkEnd w:id="896"/>
      <w:bookmarkEnd w:id="897"/>
      <w:bookmarkEnd w:id="898"/>
    </w:p>
    <w:p w14:paraId="28B13939" w14:textId="77777777" w:rsidR="00094004" w:rsidRDefault="00094004" w:rsidP="00094004">
      <w:pPr>
        <w:pStyle w:val="Heading4"/>
      </w:pPr>
      <w:r>
        <w:t>Status quo</w:t>
      </w:r>
    </w:p>
    <w:p w14:paraId="31ED04DE" w14:textId="77777777" w:rsidR="00094004" w:rsidRDefault="00094004" w:rsidP="00094004">
      <w:r w:rsidRPr="002A7AC6">
        <w:t xml:space="preserve">The </w:t>
      </w:r>
      <w:r>
        <w:t>Transport Standards</w:t>
      </w:r>
      <w:r w:rsidRPr="002A7AC6">
        <w:t xml:space="preserve"> would remain unchanged and no additional guidance would be issued.</w:t>
      </w:r>
    </w:p>
    <w:p w14:paraId="6CE08539" w14:textId="77777777" w:rsidR="00094004" w:rsidRPr="002A7AC6" w:rsidRDefault="00094004" w:rsidP="00094004">
      <w:r w:rsidRPr="002A7AC6">
        <w:t xml:space="preserve">The </w:t>
      </w:r>
      <w:r>
        <w:t>Transport Standards</w:t>
      </w:r>
      <w:r w:rsidRPr="002A7AC6">
        <w:t xml:space="preserve"> sections relevant to the location of fare system elements, such as those addressing minimum access paths, circulation spaces, manoeuvrability requirements, reach ranges, wayfinding signage and illumination, would remain disconnected from and without any specific reference to the location of fare system elements.</w:t>
      </w:r>
    </w:p>
    <w:p w14:paraId="7C63CDF8" w14:textId="77777777" w:rsidR="00094004" w:rsidRDefault="00094004" w:rsidP="00094004">
      <w:pPr>
        <w:pStyle w:val="Heading5"/>
      </w:pPr>
      <w:r>
        <w:lastRenderedPageBreak/>
        <w:t>Non-regulatory option</w:t>
      </w:r>
    </w:p>
    <w:p w14:paraId="1BE1A373" w14:textId="77777777" w:rsidR="00094004" w:rsidRDefault="00094004" w:rsidP="00094004">
      <w:r>
        <w:t>The Transport Standards</w:t>
      </w:r>
      <w:r w:rsidRPr="002A7AC6">
        <w:t xml:space="preserve"> Guidelines and / or The Whole Journey Guide </w:t>
      </w:r>
      <w:r>
        <w:t xml:space="preserve">may be updated </w:t>
      </w:r>
      <w:r w:rsidRPr="002A7AC6">
        <w:t>to encourage the uptake of best practice for locations of fare system elements to meet the current and future needs of people with disability and also provide clarity, certainty and flexibility to providers and operators.</w:t>
      </w:r>
    </w:p>
    <w:p w14:paraId="3A482C19" w14:textId="77777777" w:rsidR="00094004" w:rsidRDefault="00094004" w:rsidP="00094004">
      <w:pPr>
        <w:keepNext/>
      </w:pPr>
      <w:r>
        <w:t>Specific guidance may include:</w:t>
      </w:r>
    </w:p>
    <w:p w14:paraId="7DD09332" w14:textId="77777777" w:rsidR="00094004" w:rsidRDefault="00094004" w:rsidP="00D73720">
      <w:pPr>
        <w:pStyle w:val="Listparagraphbullets"/>
      </w:pPr>
      <w:r w:rsidRPr="002A7AC6">
        <w:t xml:space="preserve">Fare system elements should be installed in a manner that ensures all relevant </w:t>
      </w:r>
      <w:r>
        <w:t>Transport Standards</w:t>
      </w:r>
      <w:r w:rsidRPr="002A7AC6">
        <w:t xml:space="preserve"> requirements concerning access paths, passing areas, circulation spaces, manoeuvring areas, illumination and tactile ground surface indicator (TGSIs) are satisfied and maintained.</w:t>
      </w:r>
    </w:p>
    <w:p w14:paraId="45ABD661" w14:textId="77777777" w:rsidR="00094004" w:rsidRPr="002A7AC6" w:rsidRDefault="00094004" w:rsidP="00D73720">
      <w:pPr>
        <w:pStyle w:val="Listparagraphbullets"/>
      </w:pPr>
      <w:r w:rsidRPr="002A7AC6">
        <w:t>Fare system elements should be located to ensure appropriate circulation space to allow enhanced convenience.</w:t>
      </w:r>
    </w:p>
    <w:p w14:paraId="6C4C32C2" w14:textId="77777777" w:rsidR="00094004" w:rsidRPr="002A7AC6" w:rsidRDefault="00094004" w:rsidP="00D73720">
      <w:pPr>
        <w:pStyle w:val="Listparagraphbullets"/>
      </w:pPr>
      <w:r w:rsidRPr="002A7AC6">
        <w:t>People with disability should not have to undertake additional actions to access mobility aid accessible fare system elements.</w:t>
      </w:r>
    </w:p>
    <w:p w14:paraId="42442F6B" w14:textId="77777777" w:rsidR="00094004" w:rsidRPr="002A7AC6" w:rsidRDefault="00094004" w:rsidP="00D73720">
      <w:pPr>
        <w:pStyle w:val="Listparagraphbullets"/>
      </w:pPr>
      <w:r w:rsidRPr="002A7AC6">
        <w:t>Fare system elements specifically designed as mobility aid accessible, such as wide access gates, should be located:</w:t>
      </w:r>
    </w:p>
    <w:p w14:paraId="4CDBE7EC" w14:textId="77777777" w:rsidR="00094004" w:rsidRPr="002A7AC6" w:rsidRDefault="00094004" w:rsidP="00D73720">
      <w:pPr>
        <w:pStyle w:val="Listparagraphbullets"/>
      </w:pPr>
      <w:r w:rsidRPr="002A7AC6">
        <w:t>adjacent to standard access fare system elements with the same function</w:t>
      </w:r>
      <w:r>
        <w:t>.</w:t>
      </w:r>
    </w:p>
    <w:p w14:paraId="2B5D3096" w14:textId="77777777" w:rsidR="00094004" w:rsidRPr="002A7AC6" w:rsidRDefault="00094004" w:rsidP="00D73720">
      <w:pPr>
        <w:pStyle w:val="Listparagraphbullets"/>
      </w:pPr>
      <w:r w:rsidRPr="002A7AC6">
        <w:t>where possible, orientated to avoid the effect of glare on digital screens.</w:t>
      </w:r>
    </w:p>
    <w:p w14:paraId="311DBAE4" w14:textId="77777777" w:rsidR="00094004" w:rsidRPr="00530277" w:rsidRDefault="00094004" w:rsidP="00D73720">
      <w:pPr>
        <w:pStyle w:val="Listparagraphbullets"/>
      </w:pPr>
      <w:r w:rsidRPr="002A7AC6">
        <w:t xml:space="preserve">Where fare system elements are free-standing or installed, all elements required for operation should be within reach of all </w:t>
      </w:r>
      <w:r>
        <w:t>passengers</w:t>
      </w:r>
      <w:r w:rsidRPr="002A7AC6">
        <w:t xml:space="preserve"> and meet the requirements of ASEN301549 (2020) </w:t>
      </w:r>
      <w:r w:rsidRPr="002A7AC6">
        <w:rPr>
          <w:i/>
        </w:rPr>
        <w:t>Accessibility requirements suitable for public procurement</w:t>
      </w:r>
      <w:r>
        <w:rPr>
          <w:i/>
        </w:rPr>
        <w:t xml:space="preserve"> of ICT products and services, s</w:t>
      </w:r>
      <w:r w:rsidRPr="002A7AC6">
        <w:rPr>
          <w:i/>
        </w:rPr>
        <w:t>ection 8.3.1 Forward or side-reach</w:t>
      </w:r>
      <w:r w:rsidRPr="002A7AC6">
        <w:t>.</w:t>
      </w:r>
    </w:p>
    <w:p w14:paraId="5C9792D8" w14:textId="77777777" w:rsidR="00094004" w:rsidRPr="002A7AC6" w:rsidRDefault="00094004" w:rsidP="00D73720">
      <w:pPr>
        <w:pStyle w:val="Listparagraphbullets"/>
      </w:pPr>
      <w:r w:rsidRPr="002A7AC6">
        <w:t xml:space="preserve">Where any conflict of requirements between the </w:t>
      </w:r>
      <w:r>
        <w:t>Transport Standards</w:t>
      </w:r>
      <w:r w:rsidRPr="002A7AC6">
        <w:t xml:space="preserve"> and ASEN301549 (2020) or other Australian or International Standards exist, the </w:t>
      </w:r>
      <w:r>
        <w:t>Transport Standards</w:t>
      </w:r>
      <w:r w:rsidRPr="002A7AC6">
        <w:t xml:space="preserve"> requirements should take precedence.</w:t>
      </w:r>
    </w:p>
    <w:p w14:paraId="3DE95664" w14:textId="77777777" w:rsidR="00094004" w:rsidRDefault="00094004" w:rsidP="00D73720">
      <w:pPr>
        <w:pStyle w:val="Listparagraphbullets"/>
      </w:pPr>
      <w:r w:rsidRPr="002A7AC6">
        <w:t xml:space="preserve">Fare system elements should, where possible, be supplemented by either digital or physical wayfinding methods to support independent travel. Physical or digital signage must meet all relevant </w:t>
      </w:r>
      <w:r>
        <w:t>Transport Standards</w:t>
      </w:r>
      <w:r w:rsidRPr="002A7AC6">
        <w:t xml:space="preserve"> requirements.</w:t>
      </w:r>
    </w:p>
    <w:p w14:paraId="3BA3FFB6" w14:textId="77777777" w:rsidR="00094004" w:rsidRDefault="00094004" w:rsidP="00094004">
      <w:pPr>
        <w:pStyle w:val="Heading5"/>
      </w:pPr>
      <w:r>
        <w:t>Regulatory option</w:t>
      </w:r>
    </w:p>
    <w:p w14:paraId="1D95CA9A" w14:textId="77777777" w:rsidR="00094004" w:rsidRPr="002A7AC6" w:rsidRDefault="00094004" w:rsidP="00094004">
      <w:r w:rsidRPr="002A7AC6">
        <w:t xml:space="preserve">The </w:t>
      </w:r>
      <w:r>
        <w:t>Transport Standards</w:t>
      </w:r>
      <w:r w:rsidRPr="002A7AC6">
        <w:t xml:space="preserve"> would be amended to co-locate and simplify existing requirements relevant to the location of fa</w:t>
      </w:r>
      <w:r>
        <w:t>re system elements in a new s</w:t>
      </w:r>
      <w:r w:rsidRPr="002A7AC6">
        <w:t xml:space="preserve">ection of the </w:t>
      </w:r>
      <w:r>
        <w:t>Transport Standards. This s</w:t>
      </w:r>
      <w:r w:rsidRPr="002A7AC6">
        <w:t>ection would also contain some improved design requirements to improve accessibility, and would include the following:</w:t>
      </w:r>
    </w:p>
    <w:p w14:paraId="168A357D" w14:textId="77777777" w:rsidR="00094004" w:rsidRPr="002A7AC6" w:rsidRDefault="00094004" w:rsidP="00D73720">
      <w:pPr>
        <w:pStyle w:val="Listparagraphbullets"/>
      </w:pPr>
      <w:bookmarkStart w:id="899" w:name="_Hlk76902990"/>
      <w:r w:rsidRPr="002A7AC6">
        <w:t>Fare system elements specifically designed as mobility aid accessible:</w:t>
      </w:r>
    </w:p>
    <w:p w14:paraId="4F32B116" w14:textId="77777777" w:rsidR="00094004" w:rsidRPr="002A7AC6" w:rsidRDefault="00094004" w:rsidP="00D73720">
      <w:pPr>
        <w:pStyle w:val="Listparagraphbullets"/>
      </w:pPr>
      <w:r w:rsidRPr="002A7AC6">
        <w:t>must be located adjacent to other standard access fare system elements with the same function</w:t>
      </w:r>
    </w:p>
    <w:p w14:paraId="66C06711" w14:textId="77777777" w:rsidR="00094004" w:rsidRPr="002A7AC6" w:rsidRDefault="00094004" w:rsidP="00D73720">
      <w:pPr>
        <w:pStyle w:val="Listparagraphbullets"/>
      </w:pPr>
      <w:r w:rsidRPr="002A7AC6">
        <w:t>should, where possible, be oriented to minimise the effect of glare on digital screens.</w:t>
      </w:r>
      <w:bookmarkEnd w:id="899"/>
    </w:p>
    <w:p w14:paraId="7E3EDB5A" w14:textId="77777777" w:rsidR="00094004" w:rsidRPr="002A7AC6" w:rsidRDefault="00094004" w:rsidP="00D73720">
      <w:pPr>
        <w:pStyle w:val="Listparagraphbullets"/>
      </w:pPr>
      <w:r w:rsidRPr="002A7AC6">
        <w:t xml:space="preserve">Where fare system elements are free-standing or installed, all elements required for operation must be within reach of all </w:t>
      </w:r>
      <w:r>
        <w:t>passengers</w:t>
      </w:r>
      <w:r w:rsidRPr="002A7AC6">
        <w:t xml:space="preserve"> and meet the requirements of ASEN301549 (2020) </w:t>
      </w:r>
      <w:r>
        <w:t>s</w:t>
      </w:r>
      <w:r w:rsidRPr="002A7AC6">
        <w:t>ection 8.3.1 Forward or side-reach.</w:t>
      </w:r>
    </w:p>
    <w:p w14:paraId="4C720647" w14:textId="77777777" w:rsidR="00094004" w:rsidRPr="002A7AC6" w:rsidRDefault="00094004" w:rsidP="00D73720">
      <w:pPr>
        <w:pStyle w:val="Listparagraphbullets"/>
      </w:pPr>
      <w:r w:rsidRPr="002A7AC6">
        <w:t>After installation, required reach ranges must be maintained.</w:t>
      </w:r>
    </w:p>
    <w:p w14:paraId="4D67B1ED" w14:textId="77777777" w:rsidR="00094004" w:rsidRPr="002A7AC6" w:rsidRDefault="00094004" w:rsidP="00D73720">
      <w:pPr>
        <w:pStyle w:val="Listparagraphbullets"/>
      </w:pPr>
      <w:r w:rsidRPr="002A7AC6">
        <w:t xml:space="preserve">Where any conflict of requirements between the </w:t>
      </w:r>
      <w:r>
        <w:t>Transport Standards</w:t>
      </w:r>
      <w:r w:rsidRPr="002A7AC6">
        <w:t xml:space="preserve"> and ASEN301549 (2020) or other Australian or International Standards exist, </w:t>
      </w:r>
      <w:r>
        <w:t>Transport Standards</w:t>
      </w:r>
      <w:r w:rsidRPr="002A7AC6">
        <w:t xml:space="preserve"> requirements take precedence.</w:t>
      </w:r>
    </w:p>
    <w:p w14:paraId="1E21ACAA" w14:textId="77777777" w:rsidR="00094004" w:rsidRDefault="00094004" w:rsidP="00D73720">
      <w:pPr>
        <w:pStyle w:val="Listparagraphbullets"/>
      </w:pPr>
      <w:r w:rsidRPr="002A7AC6">
        <w:t xml:space="preserve">Fare system elements should, where possible, be supplemented by either digital or physical wayfinding methods to support independent travel. Physical or digital signage or TGSIs must meet all relevant </w:t>
      </w:r>
      <w:r>
        <w:t>Transport Standards</w:t>
      </w:r>
      <w:r w:rsidRPr="002A7AC6">
        <w:t xml:space="preserve"> requirements.</w:t>
      </w:r>
    </w:p>
    <w:p w14:paraId="0CE9A7E3" w14:textId="77777777" w:rsidR="00094004" w:rsidRDefault="00094004" w:rsidP="00D73720">
      <w:pPr>
        <w:pStyle w:val="Listparagraphbullets"/>
      </w:pPr>
      <w:r>
        <w:lastRenderedPageBreak/>
        <w:t>The new s</w:t>
      </w:r>
      <w:r w:rsidRPr="002A7AC6">
        <w:t xml:space="preserve">ection of the </w:t>
      </w:r>
      <w:r>
        <w:t>Transport Standards</w:t>
      </w:r>
      <w:r w:rsidRPr="002A7AC6">
        <w:t xml:space="preserve"> would also cross reference existing requirements in the </w:t>
      </w:r>
      <w:r>
        <w:t>Transport Standards</w:t>
      </w:r>
      <w:r w:rsidRPr="002A7AC6">
        <w:t>, stating fare system elements must be installed in a manner that ensures requirements concerning access paths, handrails, passing areas, appropriate circulation space, manoeuvring areas, illumination and TGSIs are satisfied and maintained.</w:t>
      </w:r>
    </w:p>
    <w:p w14:paraId="7ADA76CB" w14:textId="77777777" w:rsidR="00094004" w:rsidRDefault="00094004" w:rsidP="00094004"/>
    <w:p w14:paraId="2A0C46F4" w14:textId="0A063E3F" w:rsidR="00094004" w:rsidRDefault="00094004" w:rsidP="00F85D91">
      <w:pPr>
        <w:pStyle w:val="Heading3"/>
        <w:numPr>
          <w:ilvl w:val="0"/>
          <w:numId w:val="66"/>
        </w:numPr>
        <w:ind w:hanging="720"/>
      </w:pPr>
      <w:bookmarkStart w:id="900" w:name="_Toc127351850"/>
      <w:bookmarkStart w:id="901" w:name="_Toc130914528"/>
      <w:bookmarkStart w:id="902" w:name="_Toc140239821"/>
      <w:r>
        <w:t>Allocated spaces and priority seating in waiting areas</w:t>
      </w:r>
      <w:bookmarkEnd w:id="900"/>
      <w:bookmarkEnd w:id="901"/>
      <w:bookmarkEnd w:id="902"/>
    </w:p>
    <w:p w14:paraId="340AC633" w14:textId="77777777" w:rsidR="00094004" w:rsidRDefault="00094004" w:rsidP="00094004">
      <w:pPr>
        <w:pStyle w:val="Heading4"/>
      </w:pPr>
      <w:r>
        <w:t>Status quo</w:t>
      </w:r>
    </w:p>
    <w:p w14:paraId="1C6257EA" w14:textId="77777777" w:rsidR="00094004" w:rsidRPr="002A7AC6" w:rsidRDefault="00094004" w:rsidP="00094004">
      <w:r>
        <w:t>Transport Standards s</w:t>
      </w:r>
      <w:r w:rsidRPr="002A7AC6">
        <w:t>ection 7.1 Minimum numbe</w:t>
      </w:r>
      <w:r>
        <w:t>r of seats to be provided, and s</w:t>
      </w:r>
      <w:r w:rsidRPr="002A7AC6">
        <w:t>ection 7.2 Minimum number of allocated spaces to be provided, would remain unchanged and no new or additional guidance would be issued.</w:t>
      </w:r>
    </w:p>
    <w:p w14:paraId="03D36721" w14:textId="77777777" w:rsidR="00094004" w:rsidRPr="002A7AC6" w:rsidRDefault="00094004" w:rsidP="00094004">
      <w:pPr>
        <w:ind w:left="1134" w:hanging="567"/>
        <w:rPr>
          <w:b/>
        </w:rPr>
      </w:pPr>
      <w:r w:rsidRPr="002A7AC6">
        <w:rPr>
          <w:b/>
        </w:rPr>
        <w:t>7.1</w:t>
      </w:r>
      <w:r w:rsidRPr="002A7AC6">
        <w:rPr>
          <w:b/>
        </w:rPr>
        <w:tab/>
        <w:t>Minimum number of seats to be provided</w:t>
      </w:r>
    </w:p>
    <w:p w14:paraId="60281C87" w14:textId="77777777" w:rsidR="00094004" w:rsidRDefault="00094004" w:rsidP="00094004">
      <w:pPr>
        <w:ind w:left="567"/>
      </w:pPr>
      <w:r w:rsidRPr="002A7AC6">
        <w:t>If a waiting area is provided, a minimum number of 2 seats or 5% of the seats must be identified as available for passengers with disabilities if required.</w:t>
      </w:r>
    </w:p>
    <w:p w14:paraId="7DDB4214" w14:textId="77777777" w:rsidR="00094004" w:rsidRPr="002A7AC6" w:rsidRDefault="00094004" w:rsidP="00094004">
      <w:pPr>
        <w:ind w:left="567"/>
      </w:pPr>
      <w:r>
        <w:t>This Section pertains to premises and infrastructure (except airports that do not accept regular public transport services).</w:t>
      </w:r>
    </w:p>
    <w:p w14:paraId="5F82EDB4" w14:textId="77777777" w:rsidR="00094004" w:rsidRPr="002A7AC6" w:rsidRDefault="00094004" w:rsidP="00094004">
      <w:pPr>
        <w:ind w:left="1134" w:hanging="567"/>
        <w:rPr>
          <w:b/>
        </w:rPr>
      </w:pPr>
      <w:r w:rsidRPr="002A7AC6">
        <w:rPr>
          <w:b/>
        </w:rPr>
        <w:t>7.2</w:t>
      </w:r>
      <w:r w:rsidRPr="002A7AC6">
        <w:rPr>
          <w:b/>
        </w:rPr>
        <w:tab/>
        <w:t>Minimum number of allocated spaces to be provided</w:t>
      </w:r>
    </w:p>
    <w:p w14:paraId="3CE5F6B8" w14:textId="77777777" w:rsidR="00094004" w:rsidRPr="002A7AC6" w:rsidRDefault="00094004" w:rsidP="00094004">
      <w:pPr>
        <w:ind w:left="567"/>
      </w:pPr>
      <w:r w:rsidRPr="002A7AC6">
        <w:t>If a waiting area is provided, a minimum of 2 allocated spaces or 5% of the area must be available for passengers with disabilities if required.</w:t>
      </w:r>
    </w:p>
    <w:p w14:paraId="5D36D300" w14:textId="77777777" w:rsidR="00094004" w:rsidRPr="002A7AC6" w:rsidRDefault="00094004" w:rsidP="00094004">
      <w:pPr>
        <w:ind w:left="567"/>
      </w:pPr>
      <w:r>
        <w:t>This Section pertains to premises and infrastructure (except airports that do not accept regular public transport services).</w:t>
      </w:r>
    </w:p>
    <w:p w14:paraId="1B497EE5" w14:textId="77777777" w:rsidR="00094004" w:rsidRDefault="00094004" w:rsidP="00094004">
      <w:pPr>
        <w:pStyle w:val="Heading5"/>
      </w:pPr>
      <w:r>
        <w:t>Non-regulatory option</w:t>
      </w:r>
    </w:p>
    <w:p w14:paraId="6D95CD23" w14:textId="77777777" w:rsidR="00094004" w:rsidRPr="002A7AC6" w:rsidRDefault="00094004" w:rsidP="00094004">
      <w:pPr>
        <w:spacing w:line="252" w:lineRule="auto"/>
      </w:pPr>
      <w:r>
        <w:t>The Transport Standards</w:t>
      </w:r>
      <w:r w:rsidRPr="002A7AC6">
        <w:t xml:space="preserve"> Guidelines and</w:t>
      </w:r>
      <w:r>
        <w:t xml:space="preserve"> / or</w:t>
      </w:r>
      <w:r w:rsidRPr="002A7AC6">
        <w:t xml:space="preserve"> The Whole Journey Guide </w:t>
      </w:r>
      <w:r>
        <w:t xml:space="preserve">may be updated </w:t>
      </w:r>
      <w:r w:rsidRPr="002A7AC6">
        <w:t>to encourage adequate provision of allocated spaces and priority seating in waiting areas. Rather than a percentage that offers no indication of whether the number should be rounded up or down, the guidance would encourage that the number is clearly rounded up. This can be done by requiring allocated spaces and priority seats per quanta of total seats in the waiting area.</w:t>
      </w:r>
    </w:p>
    <w:p w14:paraId="26EBAF87" w14:textId="77777777" w:rsidR="00094004" w:rsidRPr="002A7AC6" w:rsidRDefault="00094004" w:rsidP="00094004">
      <w:r w:rsidRPr="002A7AC6">
        <w:t>Specific guidance may include the following:</w:t>
      </w:r>
    </w:p>
    <w:p w14:paraId="3AB9929A" w14:textId="77777777" w:rsidR="00094004" w:rsidRDefault="00094004" w:rsidP="00D73720">
      <w:pPr>
        <w:pStyle w:val="Listparagraphbullets"/>
      </w:pPr>
      <w:r w:rsidRPr="002A7AC6">
        <w:t xml:space="preserve">Allocated spaces and priority seating should be provided at a ratio of one per 20 seats or part thereof with a minimum of two allocated spaces and two priority seats required (refer to </w:t>
      </w:r>
      <w:r w:rsidRPr="00AF3B45">
        <w:t>Table 3</w:t>
      </w:r>
      <w:r>
        <w:t>,</w:t>
      </w:r>
      <w:r w:rsidRPr="00AF3B45">
        <w:t xml:space="preserve"> Number</w:t>
      </w:r>
      <w:r w:rsidRPr="002A7AC6">
        <w:t xml:space="preserve"> of allocated spaces and priority seats per total number of seats, in the regulatory option, for an illustrative example).</w:t>
      </w:r>
    </w:p>
    <w:p w14:paraId="7C39FF80" w14:textId="77777777" w:rsidR="00094004" w:rsidRPr="002A7AC6" w:rsidRDefault="00094004" w:rsidP="00D73720">
      <w:pPr>
        <w:pStyle w:val="Listparagraphbullets"/>
      </w:pPr>
      <w:bookmarkStart w:id="903" w:name="_Hlk73451871"/>
      <w:r w:rsidRPr="002A7AC6">
        <w:t>The allocated space should not compromise the access path.</w:t>
      </w:r>
      <w:bookmarkEnd w:id="903"/>
    </w:p>
    <w:p w14:paraId="580BBE5F" w14:textId="77777777" w:rsidR="00094004" w:rsidRPr="002A7AC6" w:rsidRDefault="00094004" w:rsidP="00D73720">
      <w:pPr>
        <w:pStyle w:val="Listparagraphbullets"/>
      </w:pPr>
      <w:r w:rsidRPr="002A7AC6">
        <w:t>If the seating consists of only a single bench seat, the entire seat should be considered priority seating. If multiple priority seats are designated as part of bench seating, each priority seat should have a width of no less than 450 millimetres.</w:t>
      </w:r>
    </w:p>
    <w:p w14:paraId="55931981" w14:textId="77777777" w:rsidR="00094004" w:rsidRPr="002A7AC6" w:rsidRDefault="00094004" w:rsidP="00D73720">
      <w:pPr>
        <w:pStyle w:val="Listparagraphbullets"/>
      </w:pPr>
      <w:r w:rsidRPr="002A7AC6">
        <w:t>A waiting area provides seating and / or shelter for the express use of passengers waiting for the arrival of a public transport conveyance. Priority seats and allocated spaces must be provided at waiting areas.</w:t>
      </w:r>
    </w:p>
    <w:p w14:paraId="07463F49" w14:textId="77777777" w:rsidR="00094004" w:rsidRPr="002A7AC6" w:rsidRDefault="00094004" w:rsidP="00D73720">
      <w:pPr>
        <w:pStyle w:val="Listparagraphbullets"/>
      </w:pPr>
      <w:r w:rsidRPr="002A7AC6">
        <w:t>Just as the entire platform edge is regarded as a boarding point so the entirety of a platform that offered seating and / or shelter at various points would be regarded as a waiting area.</w:t>
      </w:r>
    </w:p>
    <w:p w14:paraId="2CF689B2" w14:textId="77777777" w:rsidR="00094004" w:rsidRDefault="00094004" w:rsidP="00D73720">
      <w:pPr>
        <w:pStyle w:val="Listparagraphbullets"/>
      </w:pPr>
      <w:r w:rsidRPr="002A7AC6">
        <w:t>Waiting areas include any of the following that offer seating and / or shelter:</w:t>
      </w:r>
    </w:p>
    <w:p w14:paraId="090D31A8" w14:textId="77777777" w:rsidR="00094004" w:rsidRPr="002A7AC6" w:rsidRDefault="00094004" w:rsidP="00D73720">
      <w:pPr>
        <w:pStyle w:val="Listparagraphbullets"/>
      </w:pPr>
      <w:r w:rsidRPr="002A7AC6">
        <w:lastRenderedPageBreak/>
        <w:t>Departure lounges in airports or coach terminals.</w:t>
      </w:r>
    </w:p>
    <w:p w14:paraId="5A36B227" w14:textId="77777777" w:rsidR="00094004" w:rsidRPr="002A7AC6" w:rsidRDefault="00094004" w:rsidP="00D73720">
      <w:pPr>
        <w:pStyle w:val="Listparagraphbullets"/>
      </w:pPr>
      <w:r w:rsidRPr="002A7AC6">
        <w:t>Any rail station platform, light rail platform or tram stop platform.</w:t>
      </w:r>
    </w:p>
    <w:p w14:paraId="7F5D5DE0" w14:textId="77777777" w:rsidR="00094004" w:rsidRPr="002A7AC6" w:rsidRDefault="00094004" w:rsidP="00D73720">
      <w:pPr>
        <w:pStyle w:val="Listparagraphbullets"/>
      </w:pPr>
      <w:r w:rsidRPr="002A7AC6">
        <w:t>Bus stops, bus interchange platforms and bus station platforms (except where a stop is used exclusively for disembarkation and no seating or shelter is provided).</w:t>
      </w:r>
    </w:p>
    <w:p w14:paraId="3BE7672A" w14:textId="77777777" w:rsidR="00094004" w:rsidRDefault="00094004" w:rsidP="00D73720">
      <w:pPr>
        <w:pStyle w:val="Listparagraphbullets"/>
      </w:pPr>
      <w:r w:rsidRPr="002A7AC6">
        <w:t>Taxi ranks and passenger loading zones.</w:t>
      </w:r>
    </w:p>
    <w:p w14:paraId="376D9BC9" w14:textId="77777777" w:rsidR="00094004" w:rsidRPr="002A7AC6" w:rsidRDefault="00094004" w:rsidP="00D73720">
      <w:pPr>
        <w:pStyle w:val="Listparagraphbullets"/>
      </w:pPr>
      <w:r w:rsidRPr="002A7AC6">
        <w:t>Ferry wharves and pontoons.</w:t>
      </w:r>
    </w:p>
    <w:p w14:paraId="02FE4C95" w14:textId="77777777" w:rsidR="00094004" w:rsidRPr="002A7AC6" w:rsidRDefault="00094004" w:rsidP="00D73720">
      <w:pPr>
        <w:pStyle w:val="Listparagraphbullets"/>
      </w:pPr>
      <w:r w:rsidRPr="002A7AC6">
        <w:t>If a boarding point does not have seating and / or shelter associated with it, it would not be classed as a waiting area.</w:t>
      </w:r>
    </w:p>
    <w:p w14:paraId="70CCAC72" w14:textId="77777777" w:rsidR="00094004" w:rsidRPr="002A7AC6" w:rsidRDefault="00094004" w:rsidP="00D73720">
      <w:pPr>
        <w:pStyle w:val="Listparagraphbullets"/>
      </w:pPr>
      <w:r w:rsidRPr="002A7AC6">
        <w:t>Examples of this would be a basic accessible bus or tram stop comprising only a slab or platform, TGSIs and signs, or a basic accessible taxi rank comprising boarding points only.</w:t>
      </w:r>
    </w:p>
    <w:p w14:paraId="770073B8" w14:textId="77777777" w:rsidR="00094004" w:rsidRDefault="00094004" w:rsidP="00D73720">
      <w:pPr>
        <w:pStyle w:val="Listparagraphbullets"/>
      </w:pPr>
      <w:r w:rsidRPr="002A7AC6">
        <w:t>Allocated spaces and priority seating should offer the same amenity and convenience as other seats and should be distributed evenly around the waiting area.</w:t>
      </w:r>
    </w:p>
    <w:p w14:paraId="676456BF" w14:textId="77777777" w:rsidR="00094004" w:rsidRPr="002A7AC6" w:rsidRDefault="00094004" w:rsidP="00D73720">
      <w:pPr>
        <w:pStyle w:val="Listparagraphbullets"/>
      </w:pPr>
      <w:r w:rsidRPr="002A7AC6">
        <w:t>For example, on a train station platform with a dedicated waiting room, all allocated spaces and priority seats are not required to be located within the waiting room, rather they may be distributed throughout the platform.</w:t>
      </w:r>
    </w:p>
    <w:p w14:paraId="0F60D5CD" w14:textId="77777777" w:rsidR="00094004" w:rsidRDefault="00094004" w:rsidP="00D73720">
      <w:pPr>
        <w:pStyle w:val="Listparagraphbullets"/>
      </w:pPr>
      <w:bookmarkStart w:id="904" w:name="_Hlk73452215"/>
      <w:r w:rsidRPr="002A7AC6">
        <w:t>Allocated spaces and priority seating in waiting areas should be identified through signage or line marking</w:t>
      </w:r>
      <w:bookmarkEnd w:id="904"/>
      <w:r w:rsidRPr="002A7AC6">
        <w:t>. Where practicable, braille and tactile signage should be provided.</w:t>
      </w:r>
    </w:p>
    <w:p w14:paraId="10F6C8FB" w14:textId="77777777" w:rsidR="00094004" w:rsidRDefault="00094004" w:rsidP="00094004">
      <w:pPr>
        <w:pStyle w:val="Heading5"/>
      </w:pPr>
      <w:r>
        <w:t>Regulatory option</w:t>
      </w:r>
    </w:p>
    <w:p w14:paraId="6688FECD" w14:textId="77777777" w:rsidR="00094004" w:rsidRDefault="00094004" w:rsidP="00094004">
      <w:r>
        <w:t>Transport Standards</w:t>
      </w:r>
      <w:r w:rsidRPr="002A7AC6">
        <w:t xml:space="preserve"> </w:t>
      </w:r>
      <w:r>
        <w:t>Section</w:t>
      </w:r>
      <w:r w:rsidRPr="002A7AC6">
        <w:t xml:space="preserve">s 7.1 </w:t>
      </w:r>
      <w:r>
        <w:t xml:space="preserve">Minimum number of seats to be provided </w:t>
      </w:r>
      <w:r w:rsidRPr="002A7AC6">
        <w:t xml:space="preserve">and </w:t>
      </w:r>
      <w:r>
        <w:t xml:space="preserve">Section </w:t>
      </w:r>
      <w:r w:rsidRPr="002A7AC6">
        <w:t xml:space="preserve">7.2 </w:t>
      </w:r>
      <w:r>
        <w:t xml:space="preserve">Minimum number of allocated spaces to be provided, </w:t>
      </w:r>
      <w:r w:rsidRPr="00D509CD">
        <w:t>would be amended to include the following (including any requirements retained or amended from the status quo):</w:t>
      </w:r>
    </w:p>
    <w:p w14:paraId="30A3F277" w14:textId="77777777" w:rsidR="00094004" w:rsidRDefault="00094004" w:rsidP="00D73720">
      <w:pPr>
        <w:pStyle w:val="Listparagraphbullets"/>
      </w:pPr>
      <w:r w:rsidRPr="002A7AC6">
        <w:t>If seating is provided in a waiting area, clearly identified allocated spaces and priority seats available for passengers with disabilities must be provided at a ratio of one per 20 seats or part thereof with a minimum of two allocated spaces and two priority seats required.</w:t>
      </w:r>
    </w:p>
    <w:p w14:paraId="1C99799A" w14:textId="77777777" w:rsidR="00094004" w:rsidRPr="002A7AC6" w:rsidRDefault="00094004" w:rsidP="00D73720">
      <w:pPr>
        <w:pStyle w:val="Listparagraphbullets"/>
      </w:pPr>
      <w:r w:rsidRPr="002A7AC6">
        <w:t>The allocated space must not compromise the access path.</w:t>
      </w:r>
    </w:p>
    <w:p w14:paraId="46DACF87" w14:textId="77777777" w:rsidR="00094004" w:rsidRDefault="00094004" w:rsidP="00D73720">
      <w:pPr>
        <w:pStyle w:val="Listparagraphbullets"/>
      </w:pPr>
      <w:r w:rsidRPr="002A7AC6">
        <w:t>If the seating consists of only a single bench seat, the entire seat must be considered priority seating. If multiple priority seats are designated as part of bench seating, each priority seat must have a width of no less than of 450 millimetres.</w:t>
      </w:r>
    </w:p>
    <w:p w14:paraId="53584BED" w14:textId="17910B92" w:rsidR="00D73720" w:rsidRDefault="00094004" w:rsidP="00094004">
      <w:pPr>
        <w:rPr>
          <w:rFonts w:cstheme="minorHAnsi"/>
        </w:rPr>
      </w:pPr>
      <w:r w:rsidRPr="002A7AC6">
        <w:rPr>
          <w:rFonts w:cstheme="minorHAnsi"/>
        </w:rPr>
        <w:t>The number of allocated spaces and priority seats required using this approach versus the current percentage approach (with minimum of two seats) is illustrated below.</w:t>
      </w:r>
    </w:p>
    <w:p w14:paraId="7D65B3C9" w14:textId="77777777" w:rsidR="00094004" w:rsidRDefault="00094004" w:rsidP="00094004">
      <w:pPr>
        <w:pStyle w:val="Tablefigureheading"/>
      </w:pPr>
      <w:bookmarkStart w:id="905" w:name="_Toc96093709"/>
      <w:bookmarkStart w:id="906" w:name="_Toc102999853"/>
      <w:r w:rsidRPr="001A2E52">
        <w:t>T</w:t>
      </w:r>
      <w:r>
        <w:t>able 3</w:t>
      </w:r>
      <w:r w:rsidRPr="001A2E52">
        <w:t>: Number of allocated spaces and priority seats per total number of seats</w:t>
      </w:r>
      <w:bookmarkEnd w:id="905"/>
      <w:bookmarkEnd w:id="906"/>
    </w:p>
    <w:tbl>
      <w:tblPr>
        <w:tblStyle w:val="DefaultTable11"/>
        <w:tblW w:w="0" w:type="auto"/>
        <w:tblInd w:w="0" w:type="dxa"/>
        <w:tblLook w:val="0420" w:firstRow="1" w:lastRow="0" w:firstColumn="0" w:lastColumn="0" w:noHBand="0" w:noVBand="1"/>
        <w:tblCaption w:val="Number of allocated spaces and priority seats per total number of seats"/>
        <w:tblDescription w:val="Table 3: Number of allocated spaces and priority seats per total number of seats. This table outlines the incremental increase in number of allocated spaces and priority seats required as the total number of seats in the waiting area increases. It outlines the differences required between the 1:20 ratio and the 5% ratio."/>
      </w:tblPr>
      <w:tblGrid>
        <w:gridCol w:w="851"/>
        <w:gridCol w:w="1276"/>
        <w:gridCol w:w="2835"/>
      </w:tblGrid>
      <w:tr w:rsidR="00094004" w:rsidRPr="00824822" w14:paraId="4C550038" w14:textId="77777777" w:rsidTr="00094004">
        <w:trPr>
          <w:cnfStyle w:val="100000000000" w:firstRow="1" w:lastRow="0" w:firstColumn="0" w:lastColumn="0" w:oddVBand="0" w:evenVBand="0" w:oddHBand="0" w:evenHBand="0" w:firstRowFirstColumn="0" w:firstRowLastColumn="0" w:lastRowFirstColumn="0" w:lastRowLastColumn="0"/>
          <w:cantSplit/>
        </w:trPr>
        <w:tc>
          <w:tcPr>
            <w:tcW w:w="851" w:type="dxa"/>
            <w:vAlign w:val="center"/>
          </w:tcPr>
          <w:p w14:paraId="41AF2D6A" w14:textId="77777777" w:rsidR="00094004" w:rsidRPr="00635FCE" w:rsidRDefault="00094004" w:rsidP="00094004">
            <w:pPr>
              <w:pStyle w:val="Tablerowcolumnheadingcentred"/>
              <w:rPr>
                <w:b/>
              </w:rPr>
            </w:pPr>
            <w:r w:rsidRPr="00635FCE">
              <w:rPr>
                <w:b/>
              </w:rPr>
              <w:t>1:20</w:t>
            </w:r>
          </w:p>
        </w:tc>
        <w:tc>
          <w:tcPr>
            <w:tcW w:w="1276" w:type="dxa"/>
            <w:vAlign w:val="center"/>
          </w:tcPr>
          <w:p w14:paraId="786E1E09" w14:textId="77777777" w:rsidR="00094004" w:rsidRPr="00635FCE" w:rsidRDefault="00094004" w:rsidP="00094004">
            <w:pPr>
              <w:pStyle w:val="Tablerowcolumnheadingcentred"/>
              <w:rPr>
                <w:b/>
              </w:rPr>
            </w:pPr>
            <w:r w:rsidRPr="00635FCE">
              <w:rPr>
                <w:b/>
              </w:rPr>
              <w:t>5%</w:t>
            </w:r>
          </w:p>
        </w:tc>
        <w:tc>
          <w:tcPr>
            <w:tcW w:w="2835" w:type="dxa"/>
            <w:vAlign w:val="center"/>
          </w:tcPr>
          <w:p w14:paraId="33833A01" w14:textId="77777777" w:rsidR="00094004" w:rsidRPr="00635FCE" w:rsidRDefault="00094004" w:rsidP="00094004">
            <w:pPr>
              <w:pStyle w:val="Tablerowcolumnheadingcentred"/>
              <w:rPr>
                <w:b/>
              </w:rPr>
            </w:pPr>
            <w:r w:rsidRPr="00635FCE">
              <w:rPr>
                <w:b/>
              </w:rPr>
              <w:t>Total seats in waiting area</w:t>
            </w:r>
          </w:p>
        </w:tc>
      </w:tr>
      <w:tr w:rsidR="00094004" w:rsidRPr="00824822" w14:paraId="35D40E77" w14:textId="77777777" w:rsidTr="00094004">
        <w:trPr>
          <w:cantSplit/>
        </w:trPr>
        <w:tc>
          <w:tcPr>
            <w:tcW w:w="851" w:type="dxa"/>
            <w:vAlign w:val="center"/>
          </w:tcPr>
          <w:p w14:paraId="73F64599" w14:textId="77777777" w:rsidR="00094004" w:rsidRPr="00635FCE" w:rsidRDefault="00094004" w:rsidP="00094004">
            <w:pPr>
              <w:pStyle w:val="Tabletextcentred"/>
            </w:pPr>
            <w:r w:rsidRPr="00635FCE">
              <w:t>2</w:t>
            </w:r>
          </w:p>
        </w:tc>
        <w:tc>
          <w:tcPr>
            <w:tcW w:w="1276" w:type="dxa"/>
            <w:vAlign w:val="center"/>
          </w:tcPr>
          <w:p w14:paraId="49D8F5F1" w14:textId="77777777" w:rsidR="00094004" w:rsidRPr="00635FCE" w:rsidRDefault="00094004" w:rsidP="00094004">
            <w:pPr>
              <w:pStyle w:val="Tabletextcentred"/>
            </w:pPr>
            <w:r w:rsidRPr="00635FCE">
              <w:t>2</w:t>
            </w:r>
          </w:p>
        </w:tc>
        <w:tc>
          <w:tcPr>
            <w:tcW w:w="2835" w:type="dxa"/>
            <w:vAlign w:val="center"/>
          </w:tcPr>
          <w:p w14:paraId="23600607" w14:textId="77777777" w:rsidR="00094004" w:rsidRPr="00635FCE" w:rsidRDefault="00094004" w:rsidP="00094004">
            <w:pPr>
              <w:pStyle w:val="Tabletextcentred"/>
            </w:pPr>
            <w:r w:rsidRPr="00635FCE">
              <w:t>10</w:t>
            </w:r>
          </w:p>
        </w:tc>
      </w:tr>
      <w:tr w:rsidR="00094004" w:rsidRPr="00824822" w14:paraId="4849EA8E"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233BAF7E" w14:textId="77777777" w:rsidR="00094004" w:rsidRPr="00635FCE" w:rsidRDefault="00094004" w:rsidP="00094004">
            <w:pPr>
              <w:pStyle w:val="Tabletextcentred"/>
            </w:pPr>
            <w:r w:rsidRPr="00635FCE">
              <w:t>2</w:t>
            </w:r>
          </w:p>
        </w:tc>
        <w:tc>
          <w:tcPr>
            <w:tcW w:w="1276" w:type="dxa"/>
            <w:vAlign w:val="center"/>
          </w:tcPr>
          <w:p w14:paraId="43C83A75" w14:textId="77777777" w:rsidR="00094004" w:rsidRPr="00635FCE" w:rsidRDefault="00094004" w:rsidP="00094004">
            <w:pPr>
              <w:pStyle w:val="Tabletextcentred"/>
            </w:pPr>
            <w:r w:rsidRPr="00635FCE">
              <w:t>2</w:t>
            </w:r>
          </w:p>
        </w:tc>
        <w:tc>
          <w:tcPr>
            <w:tcW w:w="2835" w:type="dxa"/>
            <w:vAlign w:val="center"/>
          </w:tcPr>
          <w:p w14:paraId="7377717E" w14:textId="77777777" w:rsidR="00094004" w:rsidRPr="00635FCE" w:rsidRDefault="00094004" w:rsidP="00094004">
            <w:pPr>
              <w:pStyle w:val="Tabletextcentred"/>
            </w:pPr>
            <w:r w:rsidRPr="00635FCE">
              <w:t>20</w:t>
            </w:r>
          </w:p>
        </w:tc>
      </w:tr>
      <w:tr w:rsidR="00094004" w:rsidRPr="00824822" w14:paraId="29055C1B" w14:textId="77777777" w:rsidTr="00094004">
        <w:trPr>
          <w:cantSplit/>
        </w:trPr>
        <w:tc>
          <w:tcPr>
            <w:tcW w:w="851" w:type="dxa"/>
            <w:vAlign w:val="center"/>
          </w:tcPr>
          <w:p w14:paraId="56B8261F" w14:textId="77777777" w:rsidR="00094004" w:rsidRPr="00635FCE" w:rsidRDefault="00094004" w:rsidP="00094004">
            <w:pPr>
              <w:pStyle w:val="Tabletextcentred"/>
            </w:pPr>
            <w:r w:rsidRPr="00635FCE">
              <w:t>2</w:t>
            </w:r>
          </w:p>
        </w:tc>
        <w:tc>
          <w:tcPr>
            <w:tcW w:w="1276" w:type="dxa"/>
            <w:vAlign w:val="center"/>
          </w:tcPr>
          <w:p w14:paraId="719B599C" w14:textId="77777777" w:rsidR="00094004" w:rsidRPr="00635FCE" w:rsidRDefault="00094004" w:rsidP="00094004">
            <w:pPr>
              <w:pStyle w:val="Tabletextcentred"/>
            </w:pPr>
            <w:r w:rsidRPr="00635FCE">
              <w:t>2</w:t>
            </w:r>
          </w:p>
        </w:tc>
        <w:tc>
          <w:tcPr>
            <w:tcW w:w="2835" w:type="dxa"/>
            <w:vAlign w:val="center"/>
          </w:tcPr>
          <w:p w14:paraId="6FC9BA84" w14:textId="77777777" w:rsidR="00094004" w:rsidRPr="00635FCE" w:rsidRDefault="00094004" w:rsidP="00094004">
            <w:pPr>
              <w:pStyle w:val="Tabletextcentred"/>
            </w:pPr>
            <w:r w:rsidRPr="00635FCE">
              <w:t>30</w:t>
            </w:r>
          </w:p>
        </w:tc>
      </w:tr>
      <w:tr w:rsidR="00094004" w:rsidRPr="00824822" w14:paraId="0D9B3127"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4DAB3EEA" w14:textId="77777777" w:rsidR="00094004" w:rsidRPr="00635FCE" w:rsidRDefault="00094004" w:rsidP="00094004">
            <w:pPr>
              <w:pStyle w:val="Tabletextcentred"/>
            </w:pPr>
            <w:r w:rsidRPr="00635FCE">
              <w:t>2</w:t>
            </w:r>
          </w:p>
        </w:tc>
        <w:tc>
          <w:tcPr>
            <w:tcW w:w="1276" w:type="dxa"/>
            <w:vAlign w:val="center"/>
          </w:tcPr>
          <w:p w14:paraId="3D997F4F" w14:textId="77777777" w:rsidR="00094004" w:rsidRPr="00635FCE" w:rsidRDefault="00094004" w:rsidP="00094004">
            <w:pPr>
              <w:pStyle w:val="Tabletextcentred"/>
            </w:pPr>
            <w:r w:rsidRPr="00635FCE">
              <w:t>2</w:t>
            </w:r>
          </w:p>
        </w:tc>
        <w:tc>
          <w:tcPr>
            <w:tcW w:w="2835" w:type="dxa"/>
            <w:vAlign w:val="center"/>
          </w:tcPr>
          <w:p w14:paraId="44B5CD8B" w14:textId="77777777" w:rsidR="00094004" w:rsidRPr="00635FCE" w:rsidRDefault="00094004" w:rsidP="00094004">
            <w:pPr>
              <w:pStyle w:val="Tabletextcentred"/>
            </w:pPr>
            <w:r w:rsidRPr="00635FCE">
              <w:t>40</w:t>
            </w:r>
          </w:p>
        </w:tc>
      </w:tr>
      <w:tr w:rsidR="00094004" w:rsidRPr="00824822" w14:paraId="32E13B40" w14:textId="77777777" w:rsidTr="00094004">
        <w:trPr>
          <w:cantSplit/>
        </w:trPr>
        <w:tc>
          <w:tcPr>
            <w:tcW w:w="851" w:type="dxa"/>
            <w:vAlign w:val="center"/>
          </w:tcPr>
          <w:p w14:paraId="15B96EFA" w14:textId="77777777" w:rsidR="00094004" w:rsidRPr="00635FCE" w:rsidRDefault="00094004" w:rsidP="00094004">
            <w:pPr>
              <w:pStyle w:val="Tabletextcentred"/>
            </w:pPr>
            <w:r w:rsidRPr="00635FCE">
              <w:t>3</w:t>
            </w:r>
          </w:p>
        </w:tc>
        <w:tc>
          <w:tcPr>
            <w:tcW w:w="1276" w:type="dxa"/>
            <w:vAlign w:val="center"/>
          </w:tcPr>
          <w:p w14:paraId="05E31D14" w14:textId="77777777" w:rsidR="00094004" w:rsidRPr="00635FCE" w:rsidRDefault="00094004" w:rsidP="00094004">
            <w:pPr>
              <w:pStyle w:val="Tabletextcentred"/>
            </w:pPr>
            <w:r w:rsidRPr="00635FCE">
              <w:t>2.5</w:t>
            </w:r>
          </w:p>
        </w:tc>
        <w:tc>
          <w:tcPr>
            <w:tcW w:w="2835" w:type="dxa"/>
            <w:vAlign w:val="center"/>
          </w:tcPr>
          <w:p w14:paraId="74DF3AD7" w14:textId="77777777" w:rsidR="00094004" w:rsidRPr="00635FCE" w:rsidRDefault="00094004" w:rsidP="00094004">
            <w:pPr>
              <w:pStyle w:val="Tabletextcentred"/>
            </w:pPr>
            <w:r w:rsidRPr="00635FCE">
              <w:t>50</w:t>
            </w:r>
          </w:p>
        </w:tc>
      </w:tr>
      <w:tr w:rsidR="00094004" w:rsidRPr="00824822" w14:paraId="7AD7496E" w14:textId="77777777" w:rsidTr="00094004">
        <w:trPr>
          <w:cnfStyle w:val="000000010000" w:firstRow="0" w:lastRow="0" w:firstColumn="0" w:lastColumn="0" w:oddVBand="0" w:evenVBand="0" w:oddHBand="0" w:evenHBand="1" w:firstRowFirstColumn="0" w:firstRowLastColumn="0" w:lastRowFirstColumn="0" w:lastRowLastColumn="0"/>
          <w:cantSplit/>
        </w:trPr>
        <w:tc>
          <w:tcPr>
            <w:tcW w:w="851" w:type="dxa"/>
            <w:vAlign w:val="center"/>
          </w:tcPr>
          <w:p w14:paraId="05AAC485" w14:textId="77777777" w:rsidR="00094004" w:rsidRPr="00635FCE" w:rsidRDefault="00094004" w:rsidP="00094004">
            <w:pPr>
              <w:pStyle w:val="Tabletextcentred"/>
            </w:pPr>
            <w:r w:rsidRPr="00635FCE">
              <w:t>3</w:t>
            </w:r>
          </w:p>
        </w:tc>
        <w:tc>
          <w:tcPr>
            <w:tcW w:w="1276" w:type="dxa"/>
            <w:vAlign w:val="center"/>
          </w:tcPr>
          <w:p w14:paraId="0341D3A0" w14:textId="77777777" w:rsidR="00094004" w:rsidRPr="00635FCE" w:rsidRDefault="00094004" w:rsidP="00094004">
            <w:pPr>
              <w:pStyle w:val="Tabletextcentred"/>
            </w:pPr>
            <w:r w:rsidRPr="00635FCE">
              <w:t>3</w:t>
            </w:r>
          </w:p>
        </w:tc>
        <w:tc>
          <w:tcPr>
            <w:tcW w:w="2835" w:type="dxa"/>
            <w:vAlign w:val="center"/>
          </w:tcPr>
          <w:p w14:paraId="0F60422C" w14:textId="77777777" w:rsidR="00094004" w:rsidRPr="00635FCE" w:rsidRDefault="00094004" w:rsidP="00094004">
            <w:pPr>
              <w:pStyle w:val="Tabletextcentred"/>
            </w:pPr>
            <w:r w:rsidRPr="00635FCE">
              <w:t>60</w:t>
            </w:r>
          </w:p>
        </w:tc>
      </w:tr>
      <w:tr w:rsidR="00094004" w:rsidRPr="00824822" w14:paraId="3124169F" w14:textId="77777777" w:rsidTr="00094004">
        <w:trPr>
          <w:cantSplit/>
        </w:trPr>
        <w:tc>
          <w:tcPr>
            <w:tcW w:w="851" w:type="dxa"/>
            <w:vAlign w:val="center"/>
          </w:tcPr>
          <w:p w14:paraId="302901B0" w14:textId="77777777" w:rsidR="00094004" w:rsidRPr="00635FCE" w:rsidRDefault="00094004" w:rsidP="00094004">
            <w:pPr>
              <w:pStyle w:val="Tabletextcentred"/>
            </w:pPr>
            <w:r w:rsidRPr="00635FCE">
              <w:t>4</w:t>
            </w:r>
          </w:p>
        </w:tc>
        <w:tc>
          <w:tcPr>
            <w:tcW w:w="1276" w:type="dxa"/>
            <w:vAlign w:val="center"/>
          </w:tcPr>
          <w:p w14:paraId="3032992D" w14:textId="77777777" w:rsidR="00094004" w:rsidRPr="00635FCE" w:rsidRDefault="00094004" w:rsidP="00094004">
            <w:pPr>
              <w:pStyle w:val="Tabletextcentred"/>
            </w:pPr>
            <w:r w:rsidRPr="00635FCE">
              <w:t>3.5</w:t>
            </w:r>
          </w:p>
        </w:tc>
        <w:tc>
          <w:tcPr>
            <w:tcW w:w="2835" w:type="dxa"/>
            <w:vAlign w:val="center"/>
          </w:tcPr>
          <w:p w14:paraId="202B1DD4" w14:textId="77777777" w:rsidR="00094004" w:rsidRPr="00635FCE" w:rsidRDefault="00094004" w:rsidP="00094004">
            <w:pPr>
              <w:pStyle w:val="Tabletextcentred"/>
            </w:pPr>
            <w:r w:rsidRPr="00635FCE">
              <w:t>70</w:t>
            </w:r>
          </w:p>
        </w:tc>
      </w:tr>
    </w:tbl>
    <w:p w14:paraId="5084ABFA" w14:textId="77777777" w:rsidR="00094004" w:rsidRPr="002A7AC6" w:rsidRDefault="00094004" w:rsidP="00094004">
      <w:pPr>
        <w:spacing w:before="360"/>
        <w:rPr>
          <w:rFonts w:cstheme="minorHAnsi"/>
        </w:rPr>
      </w:pPr>
      <w:r w:rsidRPr="002A7AC6">
        <w:rPr>
          <w:rFonts w:cstheme="minorHAnsi"/>
        </w:rPr>
        <w:t>These requirements would apply to premises and infrastructure (except airports that do not accept regular public transport services).</w:t>
      </w:r>
    </w:p>
    <w:p w14:paraId="0CC663F9" w14:textId="77777777" w:rsidR="00094004" w:rsidRDefault="00094004" w:rsidP="00094004">
      <w:pPr>
        <w:rPr>
          <w:rFonts w:cstheme="minorHAnsi"/>
        </w:rPr>
      </w:pPr>
      <w:r w:rsidRPr="002A7AC6">
        <w:rPr>
          <w:rFonts w:cstheme="minorHAnsi"/>
        </w:rPr>
        <w:lastRenderedPageBreak/>
        <w:t xml:space="preserve">The </w:t>
      </w:r>
      <w:r>
        <w:rPr>
          <w:rFonts w:cstheme="minorHAnsi"/>
        </w:rPr>
        <w:t>Transport Standards</w:t>
      </w:r>
      <w:r w:rsidRPr="002A7AC6">
        <w:rPr>
          <w:rFonts w:cstheme="minorHAnsi"/>
        </w:rPr>
        <w:t xml:space="preserve"> Guidelines and / or The Whole Journey Guide would be updated to reflect the new requirements and provide additional information regarding the definition of a waiting area.</w:t>
      </w:r>
    </w:p>
    <w:p w14:paraId="31F60C3E" w14:textId="77777777" w:rsidR="00094004" w:rsidRPr="002A7AC6" w:rsidRDefault="00094004" w:rsidP="00094004">
      <w:pPr>
        <w:keepNext/>
        <w:rPr>
          <w:rFonts w:cstheme="minorHAnsi"/>
        </w:rPr>
      </w:pPr>
      <w:r>
        <w:rPr>
          <w:rFonts w:cstheme="minorHAnsi"/>
        </w:rPr>
        <w:t>Specific guidance may include:</w:t>
      </w:r>
    </w:p>
    <w:p w14:paraId="4740769F" w14:textId="77777777" w:rsidR="00094004" w:rsidRPr="002A7AC6" w:rsidRDefault="00094004" w:rsidP="006F65FB">
      <w:pPr>
        <w:numPr>
          <w:ilvl w:val="0"/>
          <w:numId w:val="73"/>
        </w:numPr>
        <w:ind w:left="567" w:hanging="567"/>
        <w:contextualSpacing/>
      </w:pPr>
      <w:r w:rsidRPr="002A7AC6">
        <w:t>A waiting area provides seating and / or shelter for the express use of passengers waiting for the arrival of a public transport conveyance. Priority seats and allocated spaces must be available to passengers with disabilities wherever waiting areas are provided.</w:t>
      </w:r>
    </w:p>
    <w:p w14:paraId="0F139246" w14:textId="77777777" w:rsidR="00094004" w:rsidRPr="002A7AC6" w:rsidRDefault="00094004" w:rsidP="006F65FB">
      <w:pPr>
        <w:numPr>
          <w:ilvl w:val="0"/>
          <w:numId w:val="73"/>
        </w:numPr>
        <w:ind w:left="567" w:hanging="567"/>
        <w:contextualSpacing/>
      </w:pPr>
      <w:r w:rsidRPr="002A7AC6">
        <w:t>Just as the entire platform edge is regarded as a boarding point so the entirety of a platform that offered seating and / or shelter at various points would be regarded as a waiting area.</w:t>
      </w:r>
    </w:p>
    <w:p w14:paraId="7CDF391B" w14:textId="77777777" w:rsidR="00094004" w:rsidRDefault="00094004" w:rsidP="006F65FB">
      <w:pPr>
        <w:numPr>
          <w:ilvl w:val="0"/>
          <w:numId w:val="73"/>
        </w:numPr>
        <w:ind w:left="567" w:hanging="567"/>
        <w:contextualSpacing/>
      </w:pPr>
      <w:r w:rsidRPr="002A7AC6">
        <w:t>Allocated spaces and priority seating in waiting areas should be identified through signage or line marking. Where practicable, braille and tactile signage should be provided to identify priority seats in waiting areas.</w:t>
      </w:r>
    </w:p>
    <w:p w14:paraId="1A9EAB0F" w14:textId="77777777" w:rsidR="00094004" w:rsidRDefault="00094004" w:rsidP="006F65FB">
      <w:pPr>
        <w:numPr>
          <w:ilvl w:val="0"/>
          <w:numId w:val="73"/>
        </w:numPr>
        <w:ind w:left="567" w:hanging="567"/>
        <w:contextualSpacing/>
      </w:pPr>
      <w:r w:rsidRPr="002A7AC6">
        <w:t>Waiting areas include any of the following that offer seating and/or shelter:</w:t>
      </w:r>
    </w:p>
    <w:p w14:paraId="541527CE" w14:textId="77777777" w:rsidR="00094004" w:rsidRDefault="00094004" w:rsidP="006F65FB">
      <w:pPr>
        <w:numPr>
          <w:ilvl w:val="0"/>
          <w:numId w:val="73"/>
        </w:numPr>
        <w:ind w:left="1134" w:hanging="567"/>
        <w:contextualSpacing/>
      </w:pPr>
      <w:r w:rsidRPr="002A7AC6">
        <w:t>Departure lounges in airports or coach terminals.</w:t>
      </w:r>
    </w:p>
    <w:p w14:paraId="4AA4DD02" w14:textId="77777777" w:rsidR="00094004" w:rsidRDefault="00094004" w:rsidP="006F65FB">
      <w:pPr>
        <w:numPr>
          <w:ilvl w:val="0"/>
          <w:numId w:val="73"/>
        </w:numPr>
        <w:ind w:left="1134" w:hanging="567"/>
        <w:contextualSpacing/>
      </w:pPr>
      <w:r w:rsidRPr="002A7AC6">
        <w:t>Any rail station platform, light rail platform or tram stop platform.</w:t>
      </w:r>
    </w:p>
    <w:p w14:paraId="31BF6108" w14:textId="77777777" w:rsidR="00094004" w:rsidRPr="002A7AC6" w:rsidRDefault="00094004" w:rsidP="006F65FB">
      <w:pPr>
        <w:numPr>
          <w:ilvl w:val="0"/>
          <w:numId w:val="73"/>
        </w:numPr>
        <w:ind w:left="1134" w:hanging="567"/>
        <w:contextualSpacing/>
      </w:pPr>
      <w:r w:rsidRPr="002A7AC6">
        <w:t>Bus stops, bus interchange platforms and bus station platforms.</w:t>
      </w:r>
    </w:p>
    <w:p w14:paraId="15FA3871" w14:textId="77777777" w:rsidR="00094004" w:rsidRPr="002A7AC6" w:rsidRDefault="00094004" w:rsidP="006F65FB">
      <w:pPr>
        <w:numPr>
          <w:ilvl w:val="0"/>
          <w:numId w:val="73"/>
        </w:numPr>
        <w:ind w:left="1134" w:hanging="567"/>
        <w:contextualSpacing/>
      </w:pPr>
      <w:r w:rsidRPr="002A7AC6">
        <w:t>Taxi ranks and passenger loading zones.</w:t>
      </w:r>
    </w:p>
    <w:p w14:paraId="3B53F3EF" w14:textId="77777777" w:rsidR="00094004" w:rsidRPr="002A7AC6" w:rsidRDefault="00094004" w:rsidP="006F65FB">
      <w:pPr>
        <w:numPr>
          <w:ilvl w:val="0"/>
          <w:numId w:val="73"/>
        </w:numPr>
        <w:ind w:left="1134" w:hanging="567"/>
        <w:contextualSpacing/>
      </w:pPr>
      <w:r w:rsidRPr="002A7AC6">
        <w:t>Ferry wharves and pontoons.</w:t>
      </w:r>
    </w:p>
    <w:p w14:paraId="1EC1EA19" w14:textId="77777777" w:rsidR="00094004" w:rsidRDefault="00094004" w:rsidP="006F65FB">
      <w:pPr>
        <w:numPr>
          <w:ilvl w:val="0"/>
          <w:numId w:val="73"/>
        </w:numPr>
        <w:ind w:left="567" w:hanging="567"/>
        <w:contextualSpacing/>
      </w:pPr>
      <w:r w:rsidRPr="002A7AC6">
        <w:t>If a boarding point did not have seating and / or shelter associated with it, it would not be classed as a waiting area.</w:t>
      </w:r>
    </w:p>
    <w:p w14:paraId="103E857F" w14:textId="77777777" w:rsidR="00094004" w:rsidRDefault="00094004" w:rsidP="006F65FB">
      <w:pPr>
        <w:numPr>
          <w:ilvl w:val="0"/>
          <w:numId w:val="73"/>
        </w:numPr>
        <w:ind w:left="1134" w:hanging="567"/>
        <w:contextualSpacing/>
      </w:pPr>
      <w:r w:rsidRPr="002A7AC6">
        <w:t>Examples of this would be a basic accessible bus or tram stop comprising only a slab or platform, TGSIs and signs, or a basic accessible taxi rank comprising boarding points only.</w:t>
      </w:r>
    </w:p>
    <w:p w14:paraId="49940665" w14:textId="77777777" w:rsidR="00094004" w:rsidRDefault="00094004" w:rsidP="006F65FB">
      <w:pPr>
        <w:numPr>
          <w:ilvl w:val="0"/>
          <w:numId w:val="73"/>
        </w:numPr>
        <w:ind w:left="1134" w:hanging="567"/>
        <w:contextualSpacing/>
      </w:pPr>
      <w:r w:rsidRPr="002A7AC6">
        <w:t>Stops used exclusively for disembarkation and where no seating or shelter is provided are not considered waiting areas.</w:t>
      </w:r>
    </w:p>
    <w:p w14:paraId="4EC61F71" w14:textId="77777777" w:rsidR="00094004" w:rsidRPr="006A519D" w:rsidRDefault="00094004" w:rsidP="00094004"/>
    <w:p w14:paraId="21B10838" w14:textId="6C5958B8" w:rsidR="00094004" w:rsidRDefault="00094004" w:rsidP="006F65FB">
      <w:pPr>
        <w:pStyle w:val="Heading3"/>
        <w:numPr>
          <w:ilvl w:val="0"/>
          <w:numId w:val="47"/>
        </w:numPr>
        <w:ind w:left="567" w:hanging="567"/>
      </w:pPr>
      <w:bookmarkStart w:id="907" w:name="_Toc127351851"/>
      <w:bookmarkStart w:id="908" w:name="_Toc130914529"/>
      <w:bookmarkStart w:id="909" w:name="_Toc140239822"/>
      <w:r w:rsidRPr="00814129">
        <w:t>Accessible toilets with equal proportion of left- and right-hand configurations</w:t>
      </w:r>
      <w:bookmarkEnd w:id="907"/>
      <w:bookmarkEnd w:id="908"/>
      <w:bookmarkEnd w:id="909"/>
    </w:p>
    <w:p w14:paraId="1F9521D7" w14:textId="77777777" w:rsidR="00094004" w:rsidRDefault="00094004" w:rsidP="00094004">
      <w:pPr>
        <w:pStyle w:val="Heading4"/>
      </w:pPr>
      <w:r>
        <w:t>Status quo</w:t>
      </w:r>
    </w:p>
    <w:p w14:paraId="373FF23F" w14:textId="77777777" w:rsidR="00094004" w:rsidRDefault="00094004" w:rsidP="00094004">
      <w:pPr>
        <w:rPr>
          <w:rFonts w:cstheme="minorHAnsi"/>
          <w:szCs w:val="24"/>
        </w:rPr>
      </w:pPr>
      <w:r>
        <w:rPr>
          <w:rFonts w:cstheme="minorHAnsi"/>
          <w:szCs w:val="24"/>
        </w:rPr>
        <w:t xml:space="preserve">The </w:t>
      </w:r>
      <w:r w:rsidRPr="00B04D0E">
        <w:rPr>
          <w:rFonts w:cstheme="minorHAnsi"/>
          <w:szCs w:val="24"/>
        </w:rPr>
        <w:t xml:space="preserve">Transport Standards </w:t>
      </w:r>
      <w:r>
        <w:rPr>
          <w:rFonts w:cstheme="minorHAnsi"/>
          <w:szCs w:val="24"/>
        </w:rPr>
        <w:t xml:space="preserve">do not contain </w:t>
      </w:r>
      <w:r w:rsidRPr="00B04D0E">
        <w:rPr>
          <w:rFonts w:cstheme="minorHAnsi"/>
          <w:szCs w:val="24"/>
        </w:rPr>
        <w:t>requirements for equal or near equal proportions of left or right-handed accessible toilets in ferries or trains</w:t>
      </w:r>
      <w:r>
        <w:rPr>
          <w:rFonts w:cstheme="minorHAnsi"/>
          <w:szCs w:val="24"/>
        </w:rPr>
        <w:t xml:space="preserve">. The Transport Standards only require </w:t>
      </w:r>
      <w:r w:rsidRPr="00B04D0E">
        <w:rPr>
          <w:rFonts w:cstheme="minorHAnsi"/>
          <w:szCs w:val="24"/>
        </w:rPr>
        <w:t>an accessible toilet be provided in addition to any other toilet</w:t>
      </w:r>
      <w:r>
        <w:rPr>
          <w:rFonts w:cstheme="minorHAnsi"/>
          <w:szCs w:val="24"/>
        </w:rPr>
        <w:t>/</w:t>
      </w:r>
      <w:r w:rsidRPr="00B04D0E">
        <w:rPr>
          <w:rFonts w:cstheme="minorHAnsi"/>
          <w:szCs w:val="24"/>
        </w:rPr>
        <w:t>s or as the only toilet.</w:t>
      </w:r>
    </w:p>
    <w:p w14:paraId="2B3D3D1F" w14:textId="77777777" w:rsidR="00094004" w:rsidRPr="002A7AC6" w:rsidRDefault="00094004" w:rsidP="00094004">
      <w:r>
        <w:t>Transport Standards</w:t>
      </w:r>
      <w:r w:rsidRPr="002A7AC6">
        <w:t xml:space="preserve"> </w:t>
      </w:r>
      <w:r>
        <w:t>section</w:t>
      </w:r>
      <w:r w:rsidRPr="002A7AC6">
        <w:t xml:space="preserve"> 15.3 Unisex accessible toilet – ferries and accessible rail cars, would remain unchanged and no additional guidance would be issued.</w:t>
      </w:r>
    </w:p>
    <w:p w14:paraId="675E86C1" w14:textId="77777777" w:rsidR="00094004" w:rsidRPr="002A7AC6" w:rsidRDefault="00094004" w:rsidP="00094004">
      <w:pPr>
        <w:ind w:left="567"/>
        <w:rPr>
          <w:b/>
        </w:rPr>
      </w:pPr>
      <w:r w:rsidRPr="002A7AC6">
        <w:rPr>
          <w:b/>
        </w:rPr>
        <w:t>15.3</w:t>
      </w:r>
      <w:r w:rsidRPr="002A7AC6">
        <w:rPr>
          <w:b/>
        </w:rPr>
        <w:tab/>
        <w:t>Unisex accessible toilet — ferries and accessible rail cars</w:t>
      </w:r>
    </w:p>
    <w:p w14:paraId="306498AB" w14:textId="77777777" w:rsidR="00094004" w:rsidRPr="002A7AC6" w:rsidRDefault="00094004" w:rsidP="00094004">
      <w:pPr>
        <w:ind w:left="567"/>
      </w:pPr>
      <w:r w:rsidRPr="002A7AC6">
        <w:t>If toilets are provided, there must be at least one unisex accessible toilet without airlock available to passengers using wheelchairs or mobility aids.</w:t>
      </w:r>
    </w:p>
    <w:p w14:paraId="1E41A9F2" w14:textId="77777777" w:rsidR="00094004" w:rsidRPr="002A7AC6" w:rsidRDefault="00094004" w:rsidP="00094004">
      <w:pPr>
        <w:ind w:left="567"/>
      </w:pPr>
      <w:r w:rsidRPr="002A7AC6">
        <w:t xml:space="preserve">This </w:t>
      </w:r>
      <w:r>
        <w:t>section</w:t>
      </w:r>
      <w:r w:rsidRPr="002A7AC6">
        <w:t xml:space="preserve"> </w:t>
      </w:r>
      <w:r>
        <w:t>pertains</w:t>
      </w:r>
      <w:r w:rsidRPr="002A7AC6">
        <w:t xml:space="preserve"> to ferries and accessible rail cars.</w:t>
      </w:r>
    </w:p>
    <w:p w14:paraId="582169E0" w14:textId="77777777" w:rsidR="00094004" w:rsidRPr="00340655" w:rsidRDefault="00094004" w:rsidP="00094004">
      <w:pPr>
        <w:pStyle w:val="Heading4"/>
      </w:pPr>
      <w:r>
        <w:t>Non-regulatory</w:t>
      </w:r>
      <w:r w:rsidRPr="00340655">
        <w:t xml:space="preserve"> option</w:t>
      </w:r>
    </w:p>
    <w:p w14:paraId="14E7A2B9" w14:textId="77777777" w:rsidR="00094004" w:rsidRPr="002A7AC6" w:rsidRDefault="00094004" w:rsidP="00094004">
      <w:pPr>
        <w:rPr>
          <w:b/>
        </w:rPr>
      </w:pPr>
      <w:r w:rsidRPr="002A7AC6">
        <w:t xml:space="preserve">Guidance would be provided in the </w:t>
      </w:r>
      <w:r>
        <w:t>Transport Standards</w:t>
      </w:r>
      <w:r w:rsidRPr="002A7AC6">
        <w:t xml:space="preserve"> Guidelines and / or The Whole Journey Guide to include advice for equal or near equal proportions of left and right-handed accessible toilets when a ferry or train set has more than one unisex accessible toilet</w:t>
      </w:r>
      <w:r w:rsidRPr="002A7AC6">
        <w:rPr>
          <w:b/>
        </w:rPr>
        <w:t>.</w:t>
      </w:r>
    </w:p>
    <w:p w14:paraId="155A5FB6" w14:textId="77777777" w:rsidR="00094004" w:rsidRPr="002A7AC6" w:rsidRDefault="00094004" w:rsidP="00094004">
      <w:r w:rsidRPr="002A7AC6">
        <w:lastRenderedPageBreak/>
        <w:t>Specific guidance may include the following:</w:t>
      </w:r>
    </w:p>
    <w:p w14:paraId="47168E0D" w14:textId="77777777" w:rsidR="00094004" w:rsidRPr="002A7AC6" w:rsidRDefault="00094004" w:rsidP="00D73720">
      <w:pPr>
        <w:pStyle w:val="Listparagraphbullets"/>
      </w:pPr>
      <w:r w:rsidRPr="002A7AC6">
        <w:t xml:space="preserve">The functionality of the toilets is enhanced by providing left hand and right-hand transfer options in a set of rail cars or on a ferry that has more than one accessible toilet. The toilets should be available in left and right hand in equal or near equal proportions. </w:t>
      </w:r>
    </w:p>
    <w:p w14:paraId="475466C2" w14:textId="77777777" w:rsidR="00094004" w:rsidRPr="002A7AC6" w:rsidRDefault="00094004" w:rsidP="00D73720">
      <w:pPr>
        <w:pStyle w:val="Listparagraphbullets"/>
      </w:pPr>
      <w:r w:rsidRPr="002A7AC6">
        <w:t>If toilets are provided, there should be at least one unisex accessible toilet without airlock available to passengers using wheelchairs or mobility aids.</w:t>
      </w:r>
    </w:p>
    <w:p w14:paraId="0BF6F8BF" w14:textId="77777777" w:rsidR="00094004" w:rsidRDefault="00094004" w:rsidP="00D73720">
      <w:pPr>
        <w:pStyle w:val="Listparagraphbullets"/>
      </w:pPr>
      <w:r w:rsidRPr="002A7AC6">
        <w:t>If unisex accessible toilets of left and right hand are in sections of trains or ferries reserved for a particular class of travel, operational processes should be in place to permit passengers in other classes and who require use of a unisex accessible toilet of that hand, to use the toilet and then return to their seating area.</w:t>
      </w:r>
    </w:p>
    <w:p w14:paraId="1CB169D1" w14:textId="77777777" w:rsidR="00094004" w:rsidRPr="00340655" w:rsidRDefault="00094004" w:rsidP="00094004">
      <w:pPr>
        <w:pStyle w:val="Heading4"/>
      </w:pPr>
      <w:r w:rsidRPr="00340655">
        <w:t>Regulatory option</w:t>
      </w:r>
    </w:p>
    <w:p w14:paraId="5D3533C4" w14:textId="77777777" w:rsidR="00094004" w:rsidRPr="002A7AC6" w:rsidRDefault="00094004" w:rsidP="00094004">
      <w:r>
        <w:t xml:space="preserve">Transport Standards section 15 </w:t>
      </w:r>
      <w:r w:rsidRPr="00D509CD">
        <w:t>would be amended to include the following (including any requirements retained or amended from the status quo):</w:t>
      </w:r>
    </w:p>
    <w:p w14:paraId="5D0FD2EC" w14:textId="77777777" w:rsidR="00094004" w:rsidRPr="002A7AC6" w:rsidRDefault="00094004" w:rsidP="00D73720">
      <w:pPr>
        <w:pStyle w:val="Listparagraphbullets"/>
      </w:pPr>
      <w:r w:rsidRPr="002A7AC6">
        <w:t>If toilets are provided, there must be at least one unisex accessible toilet without airlock available to passengers using wheelchairs or mobility aids.</w:t>
      </w:r>
    </w:p>
    <w:p w14:paraId="431B9714" w14:textId="77777777" w:rsidR="00094004" w:rsidRDefault="00094004" w:rsidP="00D73720">
      <w:pPr>
        <w:pStyle w:val="Listparagraphbullets"/>
      </w:pPr>
      <w:r w:rsidRPr="002A7AC6">
        <w:t>If two or more unisex accessible toilets are provided in a set of rail cars or on a ferry, these must be of both left and right hand and provided in equal or near equal proportion.</w:t>
      </w:r>
    </w:p>
    <w:p w14:paraId="147FB0F6" w14:textId="77777777" w:rsidR="00094004" w:rsidRPr="002A7AC6" w:rsidRDefault="00094004" w:rsidP="00094004">
      <w:r w:rsidRPr="002A7AC6">
        <w:t>These requirements would apply to ferries and trains.</w:t>
      </w:r>
    </w:p>
    <w:p w14:paraId="01B486EB" w14:textId="77777777" w:rsidR="00094004" w:rsidRPr="002A7AC6" w:rsidRDefault="00094004" w:rsidP="00094004">
      <w:r w:rsidRPr="002A7AC6">
        <w:t xml:space="preserve">The </w:t>
      </w:r>
      <w:r>
        <w:t>Transport Standards</w:t>
      </w:r>
      <w:r w:rsidRPr="002A7AC6">
        <w:t xml:space="preserve"> Guidelines and / or The Whole Journey Guide would be updated to reflect new requirements.</w:t>
      </w:r>
    </w:p>
    <w:p w14:paraId="05A885AB" w14:textId="77777777" w:rsidR="00094004" w:rsidRPr="002A7AC6" w:rsidRDefault="00094004" w:rsidP="00094004">
      <w:r w:rsidRPr="002A7AC6">
        <w:t>Specific guidance may include:</w:t>
      </w:r>
    </w:p>
    <w:p w14:paraId="2D1CAF9D" w14:textId="77777777" w:rsidR="00094004" w:rsidRPr="002A7AC6" w:rsidRDefault="00094004" w:rsidP="00D73720">
      <w:pPr>
        <w:pStyle w:val="Listparagraphbullets"/>
      </w:pPr>
      <w:r w:rsidRPr="002A7AC6">
        <w:t>If toilets are provided there should be accessible toilets in sufficient numbers to enable passengers who have disabilities to reach and use toilets with equal amenity, dignity and convenience as other passengers. Accessible toilets should therefore be connected to allocated spaces and priority seats via access paths, or direct assistance to reach the accessible toilets should be provided.</w:t>
      </w:r>
    </w:p>
    <w:p w14:paraId="4089F73D" w14:textId="77777777" w:rsidR="00094004" w:rsidRDefault="00094004" w:rsidP="00D73720">
      <w:pPr>
        <w:pStyle w:val="Listparagraphbullets"/>
      </w:pPr>
      <w:r w:rsidRPr="002A7AC6">
        <w:t xml:space="preserve">If two or more accessible toilets are provided in a set of rail cars or on a ferry procured after the commencement of the modernised </w:t>
      </w:r>
      <w:r>
        <w:t>Transport Standards</w:t>
      </w:r>
      <w:r w:rsidRPr="002A7AC6">
        <w:t>, the toilets should be available in left and right hand in equal or near equal proportions. If unisex accessible toilets of left and right hand are in sections of trains or ferries reserved for a particular class of travel, operators should assist passengers in other classes and who require use of a unisex accessible toilet of that hand to use the toilet and then return to their seating area.</w:t>
      </w:r>
    </w:p>
    <w:p w14:paraId="07DEA842" w14:textId="77777777" w:rsidR="00094004" w:rsidRDefault="00094004" w:rsidP="00D73720">
      <w:pPr>
        <w:autoSpaceDE w:val="0"/>
        <w:autoSpaceDN w:val="0"/>
        <w:spacing w:before="40" w:after="40"/>
      </w:pPr>
    </w:p>
    <w:p w14:paraId="03E9938B" w14:textId="5042E1AF" w:rsidR="00094004" w:rsidRDefault="00094004" w:rsidP="006F65FB">
      <w:pPr>
        <w:pStyle w:val="Heading3"/>
        <w:numPr>
          <w:ilvl w:val="0"/>
          <w:numId w:val="47"/>
        </w:numPr>
        <w:ind w:left="567" w:hanging="567"/>
      </w:pPr>
      <w:bookmarkStart w:id="910" w:name="_Toc127351852"/>
      <w:bookmarkStart w:id="911" w:name="_Toc130914530"/>
      <w:bookmarkStart w:id="912" w:name="_Toc140239823"/>
      <w:r w:rsidRPr="00814129">
        <w:t>Emergency call buttons in accessible toilets</w:t>
      </w:r>
      <w:bookmarkEnd w:id="910"/>
      <w:bookmarkEnd w:id="911"/>
      <w:bookmarkEnd w:id="912"/>
    </w:p>
    <w:p w14:paraId="32CDEB60" w14:textId="77777777" w:rsidR="00094004" w:rsidRPr="00FA6695" w:rsidRDefault="00094004" w:rsidP="00094004">
      <w:pPr>
        <w:pStyle w:val="Heading4"/>
      </w:pPr>
      <w:r w:rsidRPr="00FA6695">
        <w:t>Status quo</w:t>
      </w:r>
    </w:p>
    <w:p w14:paraId="20CB9E57" w14:textId="77777777" w:rsidR="00094004" w:rsidRPr="00FD22D4" w:rsidRDefault="00094004" w:rsidP="00094004">
      <w:r w:rsidRPr="00FD22D4">
        <w:t>The Transport Standards do not have requirements for emergency call buttons in accessible unisex toilets. As a result, people in emergency situations in accessible toilets may not be able to reach an emergency call button to request help.</w:t>
      </w:r>
    </w:p>
    <w:p w14:paraId="3E8628A0" w14:textId="77777777" w:rsidR="00094004" w:rsidRPr="00FD22D4" w:rsidRDefault="00094004" w:rsidP="00094004">
      <w:r w:rsidRPr="00FD22D4">
        <w:t>The Transport Standards would remain unchanged and no guidance would be issued.</w:t>
      </w:r>
    </w:p>
    <w:p w14:paraId="3BD164BB" w14:textId="77777777" w:rsidR="00094004" w:rsidRPr="00FA6695" w:rsidRDefault="00094004" w:rsidP="00094004">
      <w:pPr>
        <w:pStyle w:val="Heading4"/>
      </w:pPr>
      <w:r>
        <w:lastRenderedPageBreak/>
        <w:t>Non-regulatory</w:t>
      </w:r>
      <w:r w:rsidRPr="00FA6695">
        <w:t xml:space="preserve"> option</w:t>
      </w:r>
    </w:p>
    <w:p w14:paraId="6B123545" w14:textId="77777777" w:rsidR="00094004" w:rsidRPr="00FA6695" w:rsidRDefault="00094004" w:rsidP="00094004">
      <w:r w:rsidRPr="00FA6695">
        <w:t xml:space="preserve">The Transport Standards Guidelines and / or The Whole Journey Guide would be updated to include advice on accessible toilets to encourage the provision of emergency call buttons in accessible toilets and would recommend emergency call buttons be reachable from the floor and pan. Guidance would stipulate emergency call buttons should be installed at split level, to allow operation of the button by a person standing, sitting or a person collapsed on the floor. </w:t>
      </w:r>
    </w:p>
    <w:p w14:paraId="34928204" w14:textId="77777777" w:rsidR="00094004" w:rsidRPr="00FA6695" w:rsidRDefault="00094004" w:rsidP="00094004">
      <w:r w:rsidRPr="00FA6695">
        <w:t xml:space="preserve">Guidance would apply to ferries, accessible rail cars, premises except premises to which the Premises Standards apply, and infrastructure. </w:t>
      </w:r>
    </w:p>
    <w:p w14:paraId="7392A74C" w14:textId="77777777" w:rsidR="00094004" w:rsidRPr="00FA6695" w:rsidRDefault="00094004" w:rsidP="00094004">
      <w:r w:rsidRPr="00FA6695">
        <w:t>Specific guidance may include:</w:t>
      </w:r>
    </w:p>
    <w:p w14:paraId="5C28F243" w14:textId="77777777" w:rsidR="00094004" w:rsidRPr="00FA6695" w:rsidRDefault="00094004" w:rsidP="00D73720">
      <w:pPr>
        <w:pStyle w:val="Listparagraphbullets"/>
      </w:pPr>
      <w:r w:rsidRPr="00FA6695">
        <w:t xml:space="preserve">Unisex accessible toilets should have at least two emergency call buttons located in proximity to the pan. One button should be adjacent to the pan, 900 to 1200 millimetres above finished floor and within reach of a person sitting on the pan. The other button should be at 300 to 400 millimetres above finished floor and forward of the pan. </w:t>
      </w:r>
    </w:p>
    <w:p w14:paraId="29E2E4A9" w14:textId="77777777" w:rsidR="00094004" w:rsidRPr="00FA6695" w:rsidRDefault="00094004" w:rsidP="00D73720">
      <w:pPr>
        <w:pStyle w:val="Listparagraphbullets"/>
      </w:pPr>
      <w:r w:rsidRPr="00FA6695">
        <w:t>If spatial constraints prevent the installation of two emergency call buttons, a single button in the range of 450 to 700 millimetres above finished floor might be considered.</w:t>
      </w:r>
    </w:p>
    <w:p w14:paraId="006AE597" w14:textId="77777777" w:rsidR="00094004" w:rsidRPr="00FA6695" w:rsidRDefault="00094004" w:rsidP="00D73720">
      <w:pPr>
        <w:pStyle w:val="Listparagraphbullets"/>
      </w:pPr>
      <w:r w:rsidRPr="00FA6695">
        <w:t>People who must transfer between their mobility aid and a toilet pan may on occasion fall. They should therefore have the option to summon help if they are on the floor and unable to transfer from there, back into their mobility aid. Having a second emergency call button in the vicinity of the pan and reachable from the floor will assist in this exercise.</w:t>
      </w:r>
    </w:p>
    <w:p w14:paraId="1FF67C31" w14:textId="77777777" w:rsidR="00094004" w:rsidRPr="00FA6695" w:rsidRDefault="00094004" w:rsidP="00D73720">
      <w:pPr>
        <w:pStyle w:val="Listparagraphbullets"/>
      </w:pPr>
      <w:r w:rsidRPr="00FA6695">
        <w:t xml:space="preserve">On occasion, people who have transferred onto the pan from a wheelchair or other mobility aid may not be able to transfer back to the aid from the pan, or may find themselves in some form of distress. An emergency call button that can be reached from the pan should be installed in unisex accessible toilets. </w:t>
      </w:r>
    </w:p>
    <w:p w14:paraId="4E072F54" w14:textId="77777777" w:rsidR="00094004" w:rsidRPr="00FA6695" w:rsidRDefault="00094004" w:rsidP="00D73720">
      <w:pPr>
        <w:pStyle w:val="Listparagraphbullets"/>
      </w:pPr>
      <w:r w:rsidRPr="00FA6695">
        <w:t xml:space="preserve">Buttons should have a minimum dimension of 25 millimetres diameter, though larger is preferred, be raised above the surrounding surface and be 50 to 60 millimetres clear of any obstruction. </w:t>
      </w:r>
    </w:p>
    <w:p w14:paraId="04AF9275" w14:textId="77777777" w:rsidR="00094004" w:rsidRPr="00FA6695" w:rsidRDefault="00094004" w:rsidP="00D73720">
      <w:pPr>
        <w:pStyle w:val="Listparagraphbullets"/>
      </w:pPr>
      <w:r w:rsidRPr="00FA6695">
        <w:t>Emergency call buttons should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below). Emergency call buttons should be identified by braille and tactile signs.</w:t>
      </w:r>
    </w:p>
    <w:p w14:paraId="5E9241B5" w14:textId="77777777" w:rsidR="00094004" w:rsidRPr="00C34AEC" w:rsidRDefault="00094004" w:rsidP="00094004">
      <w:pPr>
        <w:pStyle w:val="Caption"/>
      </w:pPr>
      <w:bookmarkStart w:id="913" w:name="_Toc122446493"/>
      <w:r w:rsidRPr="00C34AEC">
        <w:t>Figure 1: Luminance contrast examples for emergency call buttons</w:t>
      </w:r>
      <w:bookmarkEnd w:id="913"/>
    </w:p>
    <w:p w14:paraId="2BEFA73B" w14:textId="77777777" w:rsidR="00094004" w:rsidRDefault="00094004" w:rsidP="00094004">
      <w:r w:rsidRPr="002A7AC6">
        <w:rPr>
          <w:noProof/>
          <w:lang w:val="en-AU" w:eastAsia="en-AU"/>
        </w:rPr>
        <w:drawing>
          <wp:inline distT="0" distB="0" distL="0" distR="0" wp14:anchorId="102EE529" wp14:editId="721A0F49">
            <wp:extent cx="3870251" cy="2371795"/>
            <wp:effectExtent l="0" t="0" r="0" b="0"/>
            <wp:docPr id="1" name="Picture 1" descr="This picture displays two different size emergency call buttons and an example of the area which should be luminance contrasted against. If a call button is less than 50 millimetres in diametre, a border around the button of no less than 50 millimetres in diameter should be used. If the call button is 50 millimetres in diameter or larger, the contrast may be between the button and the surrounding surface." title="Luminance contrast example for emergency call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3910352" cy="2396370"/>
                    </a:xfrm>
                    <a:prstGeom prst="rect">
                      <a:avLst/>
                    </a:prstGeom>
                    <a:noFill/>
                    <a:ln>
                      <a:noFill/>
                    </a:ln>
                    <a:extLst>
                      <a:ext uri="{53640926-AAD7-44D8-BBD7-CCE9431645EC}">
                        <a14:shadowObscured xmlns:a14="http://schemas.microsoft.com/office/drawing/2010/main"/>
                      </a:ext>
                    </a:extLst>
                  </pic:spPr>
                </pic:pic>
              </a:graphicData>
            </a:graphic>
          </wp:inline>
        </w:drawing>
      </w:r>
    </w:p>
    <w:p w14:paraId="23EF3A2F" w14:textId="77777777" w:rsidR="00094004" w:rsidRPr="00FA6695" w:rsidRDefault="00094004" w:rsidP="00D73720">
      <w:pPr>
        <w:pStyle w:val="Listparagraphbullets"/>
      </w:pPr>
      <w:r w:rsidRPr="00FA6695">
        <w:lastRenderedPageBreak/>
        <w:t xml:space="preserve">Calls from emergency call buttons should go to the staff who would usually receive calls from the help and assistance intercoms and the like located on conveyances and platforms. Such staff include drivers, guards, ferry masters and control centre staff. To allay the concerns of the person requesting help, an audible and visible means of acknowledging that the call has been received and acted upon should be considered. While not required, a passenger will benefit if emergency call buttons have an associated intercom. If an associated intercom is provided, it should be associated with a magnetic induction loop for the benefit of hearing aid </w:t>
      </w:r>
      <w:r>
        <w:t>passengers</w:t>
      </w:r>
      <w:r w:rsidRPr="00FA6695">
        <w:t xml:space="preserve">. </w:t>
      </w:r>
    </w:p>
    <w:p w14:paraId="2B97D5F2" w14:textId="77777777" w:rsidR="00094004" w:rsidRPr="00FA6695" w:rsidRDefault="00094004" w:rsidP="00D73720">
      <w:pPr>
        <w:pStyle w:val="Listparagraphbullets"/>
      </w:pPr>
      <w:r w:rsidRPr="00FA6695">
        <w:t>The use of emergency call buttons should also be considered for ambulant toilets.</w:t>
      </w:r>
    </w:p>
    <w:p w14:paraId="7AF77994" w14:textId="77777777" w:rsidR="00094004" w:rsidRPr="00FA6695" w:rsidRDefault="00094004" w:rsidP="00094004">
      <w:pPr>
        <w:pStyle w:val="Heading4"/>
      </w:pPr>
      <w:r w:rsidRPr="00FA6695">
        <w:t>Regulatory option</w:t>
      </w:r>
    </w:p>
    <w:p w14:paraId="03002CB6" w14:textId="77777777" w:rsidR="00094004" w:rsidRPr="00FA6695" w:rsidRDefault="00094004" w:rsidP="00094004">
      <w:r w:rsidRPr="00FA6695">
        <w:t>Transport Standards section 15 would include new requirements for emergency call buttons in accessible toilets.</w:t>
      </w:r>
    </w:p>
    <w:p w14:paraId="38C00507" w14:textId="77777777" w:rsidR="00094004" w:rsidRPr="00FA6695" w:rsidRDefault="00094004" w:rsidP="00094004">
      <w:r w:rsidRPr="00FA6695">
        <w:t>There are two sub-options presented for consideration in relation to the location of emergency call buttons in proximity to the pan.</w:t>
      </w:r>
    </w:p>
    <w:p w14:paraId="398DBF41" w14:textId="77777777" w:rsidR="00094004" w:rsidRPr="00FA6695" w:rsidRDefault="00094004" w:rsidP="00D73720">
      <w:pPr>
        <w:pStyle w:val="Listparagraphbullets"/>
      </w:pPr>
      <w:r w:rsidRPr="00FA6695">
        <w:t>The Transport Standards would include the following new requirements:</w:t>
      </w:r>
    </w:p>
    <w:p w14:paraId="0DEEE5B3" w14:textId="77777777" w:rsidR="00094004" w:rsidRPr="00FA6695" w:rsidRDefault="00094004" w:rsidP="00D73720">
      <w:pPr>
        <w:pStyle w:val="Listparagraphbullets"/>
      </w:pPr>
      <w:r w:rsidRPr="00FA6695">
        <w:t>Unisex accessible toilets must have at least two emergency call buttons located in proximity to the pan. There are two sub-options for the location of the emergency call buttons:</w:t>
      </w:r>
    </w:p>
    <w:p w14:paraId="20EEC9A3" w14:textId="77777777" w:rsidR="00094004" w:rsidRPr="00734DF2" w:rsidRDefault="00094004" w:rsidP="00094004">
      <w:pPr>
        <w:pStyle w:val="Heading5"/>
        <w:ind w:left="1134"/>
      </w:pPr>
      <w:r w:rsidRPr="00734DF2">
        <w:t>Sub-option 1</w:t>
      </w:r>
    </w:p>
    <w:p w14:paraId="03BA423E" w14:textId="77777777" w:rsidR="00094004" w:rsidRPr="00FA6695" w:rsidRDefault="00094004" w:rsidP="00D73720">
      <w:pPr>
        <w:pStyle w:val="Listparagraphbullets"/>
      </w:pPr>
      <w:r w:rsidRPr="00FA6695">
        <w:t>One button is to be adjacent to the pan, 900 to 1200 millimetres above finished floor and within reach of a person sitting on the pan. The other button is to be at 300 to 400 millimetres above finished floor and forward of the pan.</w:t>
      </w:r>
    </w:p>
    <w:p w14:paraId="1B8BF7B4" w14:textId="77777777" w:rsidR="00094004" w:rsidRPr="00734DF2" w:rsidRDefault="00094004" w:rsidP="00094004">
      <w:pPr>
        <w:pStyle w:val="Heading5"/>
        <w:ind w:left="1134"/>
      </w:pPr>
      <w:r w:rsidRPr="00734DF2">
        <w:t>Sub-option 2</w:t>
      </w:r>
    </w:p>
    <w:p w14:paraId="1BB89D50" w14:textId="0E0D18B0" w:rsidR="00094004" w:rsidRPr="00FA6695" w:rsidRDefault="00094004" w:rsidP="00D73720">
      <w:pPr>
        <w:pStyle w:val="Listparagraphbullets"/>
      </w:pPr>
      <w:r w:rsidRPr="00FA6695">
        <w:t>One button may share the space with the flush control adjacent to the pan as per AS1428.1 (2009) Design for access and mobility, Clause 15.2.5 Figure 40.B. The other button must be 300 to 400 millimetres above finished floor and 150 to 900 millimetres forward of the pan.</w:t>
      </w:r>
    </w:p>
    <w:p w14:paraId="1477D2CB" w14:textId="77777777" w:rsidR="00094004" w:rsidRPr="00FA6695" w:rsidRDefault="00094004" w:rsidP="00D73720">
      <w:pPr>
        <w:pStyle w:val="Listparagraphbullets"/>
      </w:pPr>
      <w:r w:rsidRPr="00FA6695">
        <w:t>Buttons must conform to AS1428.1 (2009) Clause 13.5.4, and be 50 to 60 millimetres clear of any obstruction.</w:t>
      </w:r>
    </w:p>
    <w:p w14:paraId="53DE6939" w14:textId="77777777" w:rsidR="00094004" w:rsidRPr="00FA6695" w:rsidRDefault="00094004" w:rsidP="00D73720">
      <w:pPr>
        <w:pStyle w:val="Listparagraphbullets"/>
      </w:pPr>
      <w:r w:rsidRPr="00FA6695">
        <w:t>Emergency call buttons must have a luminance contrast of not less than 30 per cent with the surrounding surface. If a call button is 50 millimetres in diameter or greater, the luminance contrast may be between the button and surrounding surface. If the call button is less than 50 millimetres in diameter, a border around the button for no less than 50 millimetres diameter may be used (refer figure 1 above). Luminance contrast testing must be as per AS1428.1 (2021) Appendix B.</w:t>
      </w:r>
    </w:p>
    <w:p w14:paraId="16778162" w14:textId="77777777" w:rsidR="00094004" w:rsidRPr="00FA6695" w:rsidRDefault="00094004" w:rsidP="00D73720">
      <w:pPr>
        <w:pStyle w:val="Listparagraphbullets"/>
      </w:pPr>
      <w:r w:rsidRPr="00FA6695">
        <w:t xml:space="preserve">Emergency call buttons must be identified by braille and tactile signs. </w:t>
      </w:r>
    </w:p>
    <w:p w14:paraId="01AB3FA2" w14:textId="77777777" w:rsidR="00094004" w:rsidRPr="00FA6695" w:rsidRDefault="00094004" w:rsidP="00094004">
      <w:r w:rsidRPr="00FA6695">
        <w:t>These requirements would apply to ferries, accessible rail cars, infrastructure and premises (except premises to which the Premises Standards apply).</w:t>
      </w:r>
    </w:p>
    <w:p w14:paraId="21B4D1B7" w14:textId="77777777" w:rsidR="00094004" w:rsidRPr="00FA6695" w:rsidRDefault="00094004" w:rsidP="00094004">
      <w:r w:rsidRPr="00FA6695">
        <w:t>The Transport Standards Guidelines and / or The Whole Journey Guide would be updated to reflect the new requirements.</w:t>
      </w:r>
    </w:p>
    <w:p w14:paraId="30DE253D" w14:textId="77777777" w:rsidR="00094004" w:rsidRPr="00FA6695" w:rsidRDefault="00094004" w:rsidP="00094004">
      <w:r w:rsidRPr="00FA6695">
        <w:t>Specific guidance may include:</w:t>
      </w:r>
    </w:p>
    <w:p w14:paraId="554751C7" w14:textId="77777777" w:rsidR="00094004" w:rsidRPr="00FA6695" w:rsidRDefault="00094004" w:rsidP="00D73720">
      <w:pPr>
        <w:pStyle w:val="Listparagraphbullets"/>
      </w:pPr>
      <w:r w:rsidRPr="00FA6695">
        <w:t>If spatial constraints prevent the installation of two emergency call buttons an equivalent access process should be used.</w:t>
      </w:r>
    </w:p>
    <w:p w14:paraId="2C19171C" w14:textId="77777777" w:rsidR="00094004" w:rsidRPr="00FA6695" w:rsidRDefault="00094004" w:rsidP="00D73720">
      <w:pPr>
        <w:pStyle w:val="Listparagraphbullets"/>
      </w:pPr>
      <w:r w:rsidRPr="00FA6695">
        <w:t>Calls from emergency call buttons should go to the staff who would usually receive calls from the help and assistance intercoms and the like that are located on conveyances and platforms. Such staff include drivers, guards, ferry masters and control centre staff.</w:t>
      </w:r>
    </w:p>
    <w:p w14:paraId="59986284" w14:textId="77777777" w:rsidR="00094004" w:rsidRPr="00FA6695" w:rsidRDefault="00094004" w:rsidP="00D73720">
      <w:pPr>
        <w:pStyle w:val="Listparagraphbullets"/>
      </w:pPr>
      <w:r w:rsidRPr="00FA6695">
        <w:lastRenderedPageBreak/>
        <w:t>To allay the concerns of the person requesting help, an audible and visible means of acknowledging that the call has been received and acted upon should be considered.</w:t>
      </w:r>
    </w:p>
    <w:p w14:paraId="46083785" w14:textId="77777777" w:rsidR="00094004" w:rsidRPr="00FA6695" w:rsidRDefault="00094004" w:rsidP="00D73720">
      <w:pPr>
        <w:pStyle w:val="Listparagraphbullets"/>
      </w:pPr>
      <w:r w:rsidRPr="00FA6695">
        <w:t xml:space="preserve">While not required, a passenger will benefit if emergency call buttons have an associated intercom. If an associated intercom is provided, it should be associated with a magnetic induction loop for the benefit of hearing aid </w:t>
      </w:r>
      <w:r>
        <w:t>passengers</w:t>
      </w:r>
      <w:r w:rsidRPr="00FA6695">
        <w:t>.</w:t>
      </w:r>
    </w:p>
    <w:p w14:paraId="4446D3CA" w14:textId="77777777" w:rsidR="00094004" w:rsidRPr="00FA6695" w:rsidRDefault="00094004" w:rsidP="00D73720">
      <w:pPr>
        <w:pStyle w:val="Listparagraphbullets"/>
      </w:pPr>
      <w:r w:rsidRPr="00FA6695">
        <w:t>The use of emergency call buttons should also be considered for ambulant toilets.</w:t>
      </w:r>
    </w:p>
    <w:p w14:paraId="6C37CA7E" w14:textId="60C4E7C9" w:rsidR="00094004" w:rsidRDefault="00094004" w:rsidP="006F65FB">
      <w:pPr>
        <w:pStyle w:val="Heading3"/>
        <w:numPr>
          <w:ilvl w:val="0"/>
          <w:numId w:val="47"/>
        </w:numPr>
        <w:ind w:left="567" w:hanging="567"/>
      </w:pPr>
      <w:bookmarkStart w:id="914" w:name="_Toc127351853"/>
      <w:bookmarkStart w:id="915" w:name="_Toc130914531"/>
      <w:bookmarkStart w:id="916" w:name="_Toc140239824"/>
      <w:r w:rsidRPr="00814129">
        <w:t>Ambulant toilets</w:t>
      </w:r>
      <w:bookmarkEnd w:id="914"/>
      <w:bookmarkEnd w:id="915"/>
      <w:bookmarkEnd w:id="916"/>
    </w:p>
    <w:p w14:paraId="33602302" w14:textId="77777777" w:rsidR="00094004" w:rsidRPr="00097442" w:rsidRDefault="00094004" w:rsidP="00094004">
      <w:pPr>
        <w:pStyle w:val="Heading4"/>
      </w:pPr>
      <w:r w:rsidRPr="00097442">
        <w:t>Status quo</w:t>
      </w:r>
    </w:p>
    <w:p w14:paraId="0A2BD879" w14:textId="77777777" w:rsidR="00094004" w:rsidRDefault="00094004" w:rsidP="00094004">
      <w:r>
        <w:t xml:space="preserve">The Transport Standards to no contain </w:t>
      </w:r>
      <w:r w:rsidRPr="007B4DFA">
        <w:t>requirements for the provision of ambulant toilets</w:t>
      </w:r>
      <w:r>
        <w:t xml:space="preserve"> </w:t>
      </w:r>
      <w:r w:rsidRPr="00097442">
        <w:t>in conveyances, infrastructure or in premises to which the Premises Standards do not apply</w:t>
      </w:r>
      <w:r>
        <w:t>.</w:t>
      </w:r>
    </w:p>
    <w:p w14:paraId="4F1C5E24"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0E547029" w14:textId="77777777" w:rsidR="00094004" w:rsidRPr="00097442" w:rsidRDefault="00094004" w:rsidP="00094004">
      <w:pPr>
        <w:pStyle w:val="Heading4"/>
      </w:pPr>
      <w:r>
        <w:t>Non-regulatory</w:t>
      </w:r>
      <w:r w:rsidRPr="00097442">
        <w:t xml:space="preserve"> option</w:t>
      </w:r>
    </w:p>
    <w:p w14:paraId="585F89A5" w14:textId="77777777" w:rsidR="00094004" w:rsidRPr="00097442" w:rsidRDefault="00094004" w:rsidP="00094004">
      <w:pPr>
        <w:rPr>
          <w:b/>
        </w:rPr>
      </w:pPr>
      <w:r w:rsidRPr="00097442">
        <w:t xml:space="preserve">The Whole Journey Guide would be updated to encourage installation of ambulant toilets in ferries, accessible rail cars, premises </w:t>
      </w:r>
      <w:r>
        <w:t>(</w:t>
      </w:r>
      <w:r w:rsidRPr="00097442">
        <w:t>except premises to which the Premises Standards apply</w:t>
      </w:r>
      <w:r>
        <w:t>)</w:t>
      </w:r>
      <w:r w:rsidRPr="00097442">
        <w:t xml:space="preserve"> and on infrastructure.</w:t>
      </w:r>
    </w:p>
    <w:p w14:paraId="643053FC" w14:textId="77777777" w:rsidR="00094004" w:rsidRPr="00097442" w:rsidRDefault="00094004" w:rsidP="00094004">
      <w:r w:rsidRPr="00097442">
        <w:t>Specific guidance may include the following:</w:t>
      </w:r>
    </w:p>
    <w:p w14:paraId="2D12CA9B" w14:textId="77777777" w:rsidR="00094004" w:rsidRPr="00097442" w:rsidRDefault="00094004" w:rsidP="00D73720">
      <w:pPr>
        <w:pStyle w:val="Listparagraphbullets"/>
      </w:pPr>
      <w:r w:rsidRPr="00097442">
        <w:t xml:space="preserve">Where there are one or more toilets in addition to an accessible unisex </w:t>
      </w:r>
      <w:r>
        <w:t>toilet</w:t>
      </w:r>
      <w:r w:rsidRPr="00097442">
        <w:t xml:space="preserve">, a </w:t>
      </w:r>
      <w:r>
        <w:t>toilet</w:t>
      </w:r>
      <w:r w:rsidRPr="00097442">
        <w:t xml:space="preserve"> suitable for a person with an ambulant disability in accordance with AS1428.1 (2009), </w:t>
      </w:r>
      <w:r w:rsidRPr="00102DA1">
        <w:rPr>
          <w:i/>
        </w:rPr>
        <w:t>Design for access and mobility, Clause 16</w:t>
      </w:r>
      <w:r w:rsidRPr="00097442">
        <w:t xml:space="preserve"> should be provided. </w:t>
      </w:r>
    </w:p>
    <w:p w14:paraId="44F370E7" w14:textId="77777777" w:rsidR="00094004" w:rsidRPr="00097442" w:rsidRDefault="00094004" w:rsidP="00D73720">
      <w:pPr>
        <w:pStyle w:val="Listparagraphbullets"/>
      </w:pPr>
      <w:r w:rsidRPr="00097442">
        <w:t xml:space="preserve">People with ambulant disability benefit from the accessibility features provided by toilets designed for them, such as bilateral grabrails and extra length that accommodates a walking aid. </w:t>
      </w:r>
    </w:p>
    <w:p w14:paraId="4A3F2A87" w14:textId="77777777" w:rsidR="00094004" w:rsidRPr="00097442" w:rsidRDefault="00094004" w:rsidP="00D73720">
      <w:pPr>
        <w:pStyle w:val="Listparagraphbullets"/>
      </w:pPr>
      <w:r w:rsidRPr="00097442">
        <w:t xml:space="preserve">Providing toilets accessible for people with ambulant disability either singularly or as a mix with other toilets takes a universal design approach for the provision of sanitary facilities in that a greater diversity of </w:t>
      </w:r>
      <w:r>
        <w:t>passengers</w:t>
      </w:r>
      <w:r w:rsidRPr="00097442">
        <w:t xml:space="preserve"> can be accommodated. </w:t>
      </w:r>
    </w:p>
    <w:p w14:paraId="744F6A5C" w14:textId="77777777" w:rsidR="00094004" w:rsidRPr="00097442" w:rsidRDefault="00094004" w:rsidP="00D73720">
      <w:pPr>
        <w:pStyle w:val="Listparagraphbullets"/>
      </w:pPr>
      <w:r w:rsidRPr="00097442">
        <w:t>If only a single toilet is being provided in addition to the unisex accessible toilet, this extra toilet should be accessible to people with ambulant disability and designated as unisex. This will permit the greatest efficiency of use.</w:t>
      </w:r>
    </w:p>
    <w:p w14:paraId="25B04C27" w14:textId="77777777" w:rsidR="00094004" w:rsidRPr="004C0C36" w:rsidRDefault="00094004" w:rsidP="00D73720">
      <w:pPr>
        <w:pStyle w:val="Listparagraphbullets"/>
      </w:pPr>
      <w:r w:rsidRPr="00097442">
        <w:t xml:space="preserve">Where two or more </w:t>
      </w:r>
      <w:r>
        <w:t xml:space="preserve">ambulant </w:t>
      </w:r>
      <w:r w:rsidRPr="00097442">
        <w:t>toilets are provided in addition to the unisex accessible toilets, the toilets may be designated as gender specific</w:t>
      </w:r>
      <w:r>
        <w:t xml:space="preserve"> as s</w:t>
      </w:r>
      <w:r w:rsidRPr="004C0C36">
        <w:t xml:space="preserve">ome people feel uncomfortable using unisex toilets or have a strong cultural imperative to use gender specific facilities. </w:t>
      </w:r>
    </w:p>
    <w:p w14:paraId="77662A0A" w14:textId="77777777" w:rsidR="00094004" w:rsidRPr="00097442" w:rsidRDefault="00094004" w:rsidP="00D73720">
      <w:pPr>
        <w:pStyle w:val="Listparagraphbullets"/>
      </w:pPr>
      <w:r w:rsidRPr="00097442">
        <w:t>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2567B27A" w14:textId="77777777" w:rsidR="00094004" w:rsidRPr="00097442" w:rsidRDefault="00094004" w:rsidP="00094004">
      <w:pPr>
        <w:pStyle w:val="Heading4"/>
      </w:pPr>
      <w:r w:rsidRPr="00097442">
        <w:t>Regulatory option</w:t>
      </w:r>
    </w:p>
    <w:p w14:paraId="1636BB14" w14:textId="77777777" w:rsidR="00094004" w:rsidRPr="00097442" w:rsidRDefault="00094004" w:rsidP="00094004">
      <w:r w:rsidRPr="00097442">
        <w:t xml:space="preserve">The </w:t>
      </w:r>
      <w:r>
        <w:t>Transport Standards</w:t>
      </w:r>
      <w:r w:rsidRPr="00097442">
        <w:t xml:space="preserve"> would include </w:t>
      </w:r>
      <w:r>
        <w:t xml:space="preserve">new </w:t>
      </w:r>
      <w:r w:rsidRPr="00097442">
        <w:t xml:space="preserve">requirements for the provision of ambulant toilets in ferries, accessible rail cars, premises </w:t>
      </w:r>
      <w:r>
        <w:t>(</w:t>
      </w:r>
      <w:r w:rsidRPr="00097442">
        <w:t>except premises to which the Premises Standards apply</w:t>
      </w:r>
      <w:r>
        <w:t>)</w:t>
      </w:r>
      <w:r w:rsidRPr="00097442">
        <w:t xml:space="preserve"> and on infrastructure.</w:t>
      </w:r>
    </w:p>
    <w:p w14:paraId="4CB3B00D" w14:textId="77777777" w:rsidR="00094004" w:rsidRPr="00097442" w:rsidRDefault="00094004" w:rsidP="00094004">
      <w:r w:rsidRPr="00097442">
        <w:t xml:space="preserve">The </w:t>
      </w:r>
      <w:r>
        <w:t>Transport Standards</w:t>
      </w:r>
      <w:r w:rsidRPr="00097442">
        <w:t xml:space="preserve"> would include the following new requirements:</w:t>
      </w:r>
    </w:p>
    <w:p w14:paraId="2475CEFF" w14:textId="77777777" w:rsidR="00094004" w:rsidRPr="00097442" w:rsidRDefault="00094004" w:rsidP="00D73720">
      <w:pPr>
        <w:pStyle w:val="Listparagraphbullets"/>
      </w:pPr>
      <w:r w:rsidRPr="00097442">
        <w:lastRenderedPageBreak/>
        <w:t xml:space="preserve">Where there is one or more toilet in addition to an accessible unisex </w:t>
      </w:r>
      <w:r>
        <w:t>toilet</w:t>
      </w:r>
      <w:r w:rsidRPr="00097442">
        <w:t xml:space="preserve">, a </w:t>
      </w:r>
      <w:r>
        <w:t>toilet</w:t>
      </w:r>
      <w:r w:rsidRPr="00097442">
        <w:t xml:space="preserve"> suitable for a person with an ambulant disability in accordance with AS1428.1 (2009</w:t>
      </w:r>
      <w:r w:rsidRPr="00102DA1">
        <w:rPr>
          <w:i/>
        </w:rPr>
        <w:t>) Clause 16</w:t>
      </w:r>
      <w:r w:rsidRPr="00097442">
        <w:t xml:space="preserve"> must be provided.</w:t>
      </w:r>
    </w:p>
    <w:p w14:paraId="5692D22B" w14:textId="77777777" w:rsidR="00094004" w:rsidRPr="00097442" w:rsidRDefault="00094004" w:rsidP="00D73720">
      <w:pPr>
        <w:pStyle w:val="Listparagraphbullets"/>
      </w:pPr>
      <w:r w:rsidRPr="00097442">
        <w:t>If only one additional toilet suitable for a person with an ambulant disability is provided, this must be designated as unisex.</w:t>
      </w:r>
    </w:p>
    <w:p w14:paraId="5995AB0A" w14:textId="77777777" w:rsidR="00094004" w:rsidRPr="00097442" w:rsidRDefault="00094004" w:rsidP="00D73720">
      <w:pPr>
        <w:pStyle w:val="Listparagraphbullets"/>
      </w:pPr>
      <w:r w:rsidRPr="00097442">
        <w:t>If two or more additional toilets suitable for a person with an ambulant disability are provided, these may be designated as gender specific.</w:t>
      </w:r>
    </w:p>
    <w:p w14:paraId="5DCF7C4B" w14:textId="77777777" w:rsidR="00094004" w:rsidRPr="00097442" w:rsidRDefault="00094004" w:rsidP="00094004">
      <w:r w:rsidRPr="00097442">
        <w:t>These requirements would apply to ferries, accessible rail cars, infrastructure and premises except premises to which the Premises Standards apply.</w:t>
      </w:r>
    </w:p>
    <w:p w14:paraId="7BE02508" w14:textId="77777777" w:rsidR="00094004" w:rsidRPr="00097442" w:rsidRDefault="00094004" w:rsidP="00094004">
      <w:pPr>
        <w:rPr>
          <w:i/>
        </w:rPr>
      </w:pPr>
      <w:r w:rsidRPr="00097442">
        <w:t xml:space="preserve">The </w:t>
      </w:r>
      <w:r>
        <w:t>Transport Standards</w:t>
      </w:r>
      <w:r w:rsidRPr="00097442">
        <w:t xml:space="preserve"> Guidelines and / or The Whole Journey Guide would be updated to reflect the new requirements.</w:t>
      </w:r>
    </w:p>
    <w:p w14:paraId="60F9914D" w14:textId="77777777" w:rsidR="00094004" w:rsidRPr="00097442" w:rsidRDefault="00094004" w:rsidP="00094004">
      <w:r w:rsidRPr="00097442">
        <w:t>Specific guidance may include the following:</w:t>
      </w:r>
    </w:p>
    <w:p w14:paraId="6148184E" w14:textId="77777777" w:rsidR="00094004" w:rsidRPr="00097442" w:rsidRDefault="00094004" w:rsidP="00D73720">
      <w:pPr>
        <w:pStyle w:val="Listparagraphbullets"/>
      </w:pPr>
      <w:r w:rsidRPr="00097442">
        <w:t xml:space="preserve">People with ambulant disability benefit from the accessibility features provided by toilets designed for them such as bilateral grabrails and extra length that accommodates a walking aid. </w:t>
      </w:r>
    </w:p>
    <w:p w14:paraId="25D9404E" w14:textId="77777777" w:rsidR="00094004" w:rsidRPr="00097442" w:rsidRDefault="00094004" w:rsidP="00D73720">
      <w:pPr>
        <w:pStyle w:val="Listparagraphbullets"/>
      </w:pPr>
      <w:r w:rsidRPr="00097442">
        <w:t xml:space="preserve">Providing toilets accessible for people with ambulant disability either singularly or as a mix with other toilets takes a universal design approach to the provision of sanitary facilities in that a greater diversity of </w:t>
      </w:r>
      <w:r>
        <w:t>passengers</w:t>
      </w:r>
      <w:r w:rsidRPr="00097442">
        <w:t xml:space="preserve"> can be accommodated. </w:t>
      </w:r>
    </w:p>
    <w:p w14:paraId="1A84AD41" w14:textId="77777777" w:rsidR="00094004" w:rsidRPr="00097442" w:rsidRDefault="00094004" w:rsidP="00D73720">
      <w:pPr>
        <w:pStyle w:val="Listparagraphbullets"/>
      </w:pPr>
      <w:r w:rsidRPr="00097442">
        <w:t>If only a single toilet is being provided in addition to the unisex accessible toilet, this extra toilet should be accessible to people with ambulant disability and designated as unisex. This will permit the greatest efficiency of use.</w:t>
      </w:r>
    </w:p>
    <w:p w14:paraId="23C1D969" w14:textId="2E3D1414" w:rsidR="00094004" w:rsidRPr="003D6BDE" w:rsidRDefault="00094004" w:rsidP="00D73720">
      <w:pPr>
        <w:pStyle w:val="Listparagraphbullets"/>
      </w:pPr>
      <w:r w:rsidRPr="00097442">
        <w:t>Where two or more toilets are provided in addition to the unisex accessible toilets, the toilets accessible to people with ambulant disability may be designated as gender specific. Some people feel uncomfortable using unisex toilets or have a strong cultural imperative to use gender specific facilities. People procuring, designing or operating public transport services should be informed by the likely passenger demography when deciding on whether unisex or gender separate toilets accessible to people with ambulant disability should be provided when two or more toilets are provided in addition to a unisex accessible toilet.</w:t>
      </w:r>
    </w:p>
    <w:p w14:paraId="5EBE6849" w14:textId="00F473B5" w:rsidR="00094004" w:rsidRDefault="00094004" w:rsidP="006F65FB">
      <w:pPr>
        <w:pStyle w:val="Heading3"/>
        <w:numPr>
          <w:ilvl w:val="0"/>
          <w:numId w:val="47"/>
        </w:numPr>
        <w:ind w:left="567" w:hanging="567"/>
      </w:pPr>
      <w:bookmarkStart w:id="917" w:name="_Toc127351854"/>
      <w:bookmarkStart w:id="918" w:name="_Toc130914532"/>
      <w:bookmarkStart w:id="919" w:name="_Toc140239825"/>
      <w:r w:rsidRPr="00814129">
        <w:t>Lift specifications and enhancements</w:t>
      </w:r>
      <w:bookmarkEnd w:id="917"/>
      <w:bookmarkEnd w:id="918"/>
      <w:bookmarkEnd w:id="919"/>
    </w:p>
    <w:p w14:paraId="49B39BE0" w14:textId="77777777" w:rsidR="00094004" w:rsidRPr="00522EDC" w:rsidRDefault="00094004" w:rsidP="00094004">
      <w:pPr>
        <w:pStyle w:val="Heading4"/>
      </w:pPr>
      <w:r w:rsidRPr="00522EDC">
        <w:t>Status quo</w:t>
      </w:r>
    </w:p>
    <w:p w14:paraId="0A6FB4AC" w14:textId="77777777" w:rsidR="00094004" w:rsidRDefault="00094004" w:rsidP="00094004">
      <w:r w:rsidRPr="00522EDC">
        <w:t>Transport Standards Part 13, Lifts</w:t>
      </w:r>
      <w:r>
        <w:t xml:space="preserve"> references an </w:t>
      </w:r>
      <w:r w:rsidRPr="00097442">
        <w:t xml:space="preserve">Australian Standards for lift requirements </w:t>
      </w:r>
      <w:r>
        <w:t>that is</w:t>
      </w:r>
      <w:r w:rsidRPr="00097442">
        <w:t xml:space="preserve"> dated and does not consider technological advances to ensure they are fully accessible to all people with disability</w:t>
      </w:r>
      <w:r>
        <w:t>.</w:t>
      </w:r>
    </w:p>
    <w:p w14:paraId="7A72EB38" w14:textId="77777777" w:rsidR="00094004" w:rsidRPr="00522EDC" w:rsidRDefault="00094004" w:rsidP="00094004">
      <w:r>
        <w:t xml:space="preserve">Transport Standards Part 13, Lifts </w:t>
      </w:r>
      <w:r w:rsidRPr="00522EDC">
        <w:t>would remain unchanged and no additional guidance would be issued.</w:t>
      </w:r>
    </w:p>
    <w:p w14:paraId="25B6C126" w14:textId="77777777" w:rsidR="00094004" w:rsidRPr="009A23E6" w:rsidRDefault="00094004" w:rsidP="00094004">
      <w:pPr>
        <w:ind w:left="567"/>
        <w:rPr>
          <w:b/>
        </w:rPr>
      </w:pPr>
      <w:r w:rsidRPr="009A23E6">
        <w:rPr>
          <w:b/>
        </w:rPr>
        <w:t xml:space="preserve">Part 13 </w:t>
      </w:r>
      <w:r w:rsidRPr="009A23E6">
        <w:rPr>
          <w:b/>
        </w:rPr>
        <w:tab/>
        <w:t>Lifts</w:t>
      </w:r>
    </w:p>
    <w:p w14:paraId="6F1CA7BE" w14:textId="77777777" w:rsidR="00094004" w:rsidRPr="009A23E6" w:rsidRDefault="00094004" w:rsidP="00094004">
      <w:pPr>
        <w:ind w:left="567"/>
        <w:rPr>
          <w:b/>
        </w:rPr>
      </w:pPr>
      <w:r w:rsidRPr="009A23E6">
        <w:rPr>
          <w:b/>
        </w:rPr>
        <w:t>13.1</w:t>
      </w:r>
      <w:r w:rsidRPr="009A23E6">
        <w:rPr>
          <w:b/>
        </w:rPr>
        <w:tab/>
        <w:t>Compliance with Australian Standard – premises and infrastructure</w:t>
      </w:r>
    </w:p>
    <w:p w14:paraId="395C152A" w14:textId="77777777" w:rsidR="00094004" w:rsidRPr="00522EDC" w:rsidRDefault="00094004" w:rsidP="00094004">
      <w:pPr>
        <w:ind w:left="567"/>
      </w:pPr>
      <w:r w:rsidRPr="00522EDC">
        <w:t>Lift facilities must comply with AS1735.12 (1999).</w:t>
      </w:r>
    </w:p>
    <w:p w14:paraId="1CA4D0E4" w14:textId="77777777" w:rsidR="00094004" w:rsidRPr="00522EDC" w:rsidRDefault="00094004" w:rsidP="00094004">
      <w:pPr>
        <w:ind w:left="567"/>
      </w:pPr>
      <w:r w:rsidRPr="00522EDC">
        <w:t>This section applies to premises (except premises to which the Premises Standards apply) and infrastructure except airports that do not accept regular public transport services.</w:t>
      </w:r>
    </w:p>
    <w:p w14:paraId="79EE6C21" w14:textId="77777777" w:rsidR="00094004" w:rsidRPr="00522EDC" w:rsidRDefault="00094004" w:rsidP="00094004">
      <w:pPr>
        <w:pStyle w:val="Heading4"/>
      </w:pPr>
      <w:r>
        <w:lastRenderedPageBreak/>
        <w:t>Non-regulatory</w:t>
      </w:r>
      <w:r w:rsidRPr="00522EDC">
        <w:t xml:space="preserve"> option</w:t>
      </w:r>
    </w:p>
    <w:p w14:paraId="4AB71BC2" w14:textId="77777777" w:rsidR="00094004" w:rsidRPr="00522EDC" w:rsidRDefault="00094004" w:rsidP="00094004">
      <w:r w:rsidRPr="00522EDC">
        <w:t>The Transport Standards Guidelines and / or The Whole Journey Guide would be updated to include best practice guidance for enhanced lift accessibility and would update the referenced Australian Standard in the guidance to AS1735.12 (2020). The guidance would pertain to premises (except premises to which the Premises Standards apply) and infrastructure except airports that do not accept regular public transport services.</w:t>
      </w:r>
    </w:p>
    <w:p w14:paraId="6DB0BF5C" w14:textId="77777777" w:rsidR="00094004" w:rsidRPr="00522EDC" w:rsidRDefault="00094004" w:rsidP="00094004">
      <w:r w:rsidRPr="00522EDC">
        <w:t>Specific guidance may include:</w:t>
      </w:r>
    </w:p>
    <w:p w14:paraId="30AA1D1E" w14:textId="77777777" w:rsidR="00094004" w:rsidRPr="00522EDC" w:rsidRDefault="00094004" w:rsidP="00D73720">
      <w:pPr>
        <w:pStyle w:val="Listparagraphbullets"/>
      </w:pPr>
      <w:r w:rsidRPr="00522EDC">
        <w:t xml:space="preserve">Lift facilities may aim to comply with AS1735.12 (2020) as this is the current industry standard for accessible lifts. AS1735.12 (1999) is now obsolete in many of its technical requirements. </w:t>
      </w:r>
    </w:p>
    <w:p w14:paraId="092BC292" w14:textId="77777777" w:rsidR="00094004" w:rsidRPr="00522EDC" w:rsidRDefault="00094004" w:rsidP="00D73720">
      <w:pPr>
        <w:pStyle w:val="Listparagraphbullets"/>
      </w:pPr>
      <w:r w:rsidRPr="00522EDC">
        <w:t xml:space="preserve">In some instances, AS1735.12 (2020) includes technical requirements for fixtures and fittings that differ with those in other Australian Standards referenced in the Transport Standards. Where any discrepancy between the requirements of the Transport Standards and AS1735.12 (2020) occur, the requirements of the Transport Standards take precedence. </w:t>
      </w:r>
    </w:p>
    <w:p w14:paraId="6ED41721" w14:textId="77777777" w:rsidR="00094004" w:rsidRPr="00522EDC" w:rsidRDefault="00094004" w:rsidP="00D73720">
      <w:pPr>
        <w:pStyle w:val="Listparagraphbullets"/>
      </w:pPr>
      <w:r w:rsidRPr="00522EDC">
        <w:t xml:space="preserve">For example, space between the handrail and the wall is not less than 35 millimetres in AS1735.12 (2020) but is not less than 50 millimetres in AS1428.1 (2009), </w:t>
      </w:r>
      <w:r w:rsidRPr="00522EDC">
        <w:rPr>
          <w:i/>
        </w:rPr>
        <w:t>Design for Access and mobility</w:t>
      </w:r>
      <w:r w:rsidRPr="00522EDC">
        <w:t xml:space="preserve"> (AS1428.1 (2009)). AS1428.1 (2009) is the referenced standard in Transport Standards Part 11 Handrails and Grabrails and so the 50-millimetre dimension takes precedence. Other technical anomalies should be dealt with in the same manner.</w:t>
      </w:r>
    </w:p>
    <w:p w14:paraId="598840C0" w14:textId="77777777" w:rsidR="00094004" w:rsidRPr="00522EDC" w:rsidRDefault="00094004" w:rsidP="00094004">
      <w:pPr>
        <w:pStyle w:val="Heading4"/>
      </w:pPr>
      <w:r w:rsidRPr="00522EDC">
        <w:t>Regulatory option</w:t>
      </w:r>
    </w:p>
    <w:p w14:paraId="5B28F804" w14:textId="77777777" w:rsidR="00094004" w:rsidRPr="00522EDC" w:rsidRDefault="00094004" w:rsidP="00094004">
      <w:r w:rsidRPr="00522EDC">
        <w:t>Transport Standards section 13.1 would be amended to include the following (including any requirements retained or amended from the status quo):</w:t>
      </w:r>
    </w:p>
    <w:p w14:paraId="4DBF8B5E" w14:textId="77777777" w:rsidR="00094004" w:rsidRPr="00522EDC" w:rsidRDefault="00094004" w:rsidP="00D73720">
      <w:pPr>
        <w:pStyle w:val="Listparagraphbullets"/>
      </w:pPr>
      <w:r w:rsidRPr="00522EDC">
        <w:t>Lift facilities must comply with AS1735.12 (2020).</w:t>
      </w:r>
    </w:p>
    <w:p w14:paraId="48526DCA" w14:textId="77777777" w:rsidR="00094004" w:rsidRPr="00522EDC" w:rsidRDefault="00094004" w:rsidP="00D73720">
      <w:pPr>
        <w:pStyle w:val="Listparagraphbullets"/>
      </w:pPr>
      <w:r w:rsidRPr="00522EDC">
        <w:t>Where any discrepancy between the requirements of AS1735.12 (2020) and technical requirements of the Transport Standards occur, the requirements of the Transport Standards take precedence.</w:t>
      </w:r>
    </w:p>
    <w:p w14:paraId="1D4AB3A7" w14:textId="77777777" w:rsidR="00094004" w:rsidRPr="00522EDC" w:rsidRDefault="00094004" w:rsidP="00094004">
      <w:r w:rsidRPr="00522EDC">
        <w:t>These requirements would apply to premises (except premises to which the Premises Standards apply) and infrastructure (except airports that do not accept regular public transport services.)</w:t>
      </w:r>
    </w:p>
    <w:p w14:paraId="55DADC44" w14:textId="77777777" w:rsidR="00094004" w:rsidRPr="00522EDC" w:rsidRDefault="00094004" w:rsidP="00094004">
      <w:r w:rsidRPr="00522EDC">
        <w:t>The Transport Standards Guidelines and / or The Whole Journey Guide would also be updated to include the following guidance:</w:t>
      </w:r>
    </w:p>
    <w:p w14:paraId="48410B4C" w14:textId="77777777" w:rsidR="00094004" w:rsidRDefault="00094004" w:rsidP="00D73720">
      <w:pPr>
        <w:pStyle w:val="ListParagraph"/>
        <w:numPr>
          <w:ilvl w:val="0"/>
          <w:numId w:val="78"/>
        </w:numPr>
        <w:autoSpaceDE w:val="0"/>
        <w:autoSpaceDN w:val="0"/>
        <w:spacing w:before="40" w:after="40"/>
      </w:pPr>
      <w:r w:rsidRPr="00D73720">
        <w:rPr>
          <w:rStyle w:val="ListparagraphbulletsChar"/>
        </w:rPr>
        <w:t>In some instances, AS1735.12 (2020) will present technical requirements for fixtures and fittings that differ with those in other Australian Standards referenced in the Transport Standards. For example, space between the handrail and the wall is not less than 35 millimetres in AS1735.12 (2020) but is not less than 50 millimetres in AS1428.1 (2009). AS1428.1 (2009) is the referenced standard in Transport Standards Part 11 Handrails and Grabrails and so the 50-millimetre dimension takes precedence</w:t>
      </w:r>
      <w:r w:rsidRPr="00522EDC">
        <w:t>. Other technical anomalies should be dealt with in the same manner.</w:t>
      </w:r>
    </w:p>
    <w:p w14:paraId="025B4059" w14:textId="77777777" w:rsidR="00094004" w:rsidRPr="00522EDC" w:rsidRDefault="00094004" w:rsidP="00D73720">
      <w:pPr>
        <w:autoSpaceDE w:val="0"/>
        <w:autoSpaceDN w:val="0"/>
        <w:spacing w:before="40" w:after="40"/>
      </w:pPr>
    </w:p>
    <w:p w14:paraId="01C052BA" w14:textId="76575F2A" w:rsidR="00094004" w:rsidRDefault="00094004" w:rsidP="006F65FB">
      <w:pPr>
        <w:pStyle w:val="Heading3"/>
        <w:numPr>
          <w:ilvl w:val="0"/>
          <w:numId w:val="47"/>
        </w:numPr>
        <w:ind w:left="567" w:hanging="567"/>
      </w:pPr>
      <w:bookmarkStart w:id="920" w:name="_Toc127351855"/>
      <w:bookmarkStart w:id="921" w:name="_Toc130914533"/>
      <w:bookmarkStart w:id="922" w:name="_Toc140239826"/>
      <w:r w:rsidRPr="00814129">
        <w:t>Specifications for escalators and inclined travellators</w:t>
      </w:r>
      <w:bookmarkEnd w:id="920"/>
      <w:bookmarkEnd w:id="921"/>
      <w:bookmarkEnd w:id="922"/>
    </w:p>
    <w:p w14:paraId="4A326C7C" w14:textId="77777777" w:rsidR="00094004" w:rsidRPr="00097442" w:rsidRDefault="00094004" w:rsidP="00094004">
      <w:pPr>
        <w:pStyle w:val="Heading4"/>
      </w:pPr>
      <w:r w:rsidRPr="00097442">
        <w:t>Status quo</w:t>
      </w:r>
    </w:p>
    <w:p w14:paraId="0B78A364" w14:textId="77777777" w:rsidR="00094004" w:rsidRDefault="00094004" w:rsidP="00094004">
      <w:r w:rsidRPr="00097442">
        <w:t xml:space="preserve">The </w:t>
      </w:r>
      <w:r>
        <w:t>Transport Standards</w:t>
      </w:r>
      <w:r w:rsidRPr="00097442">
        <w:t xml:space="preserve"> </w:t>
      </w:r>
      <w:r>
        <w:t xml:space="preserve">does not provide </w:t>
      </w:r>
      <w:r w:rsidRPr="00097442">
        <w:t>minimum width requirements for escalators and inclined travellators.</w:t>
      </w:r>
    </w:p>
    <w:p w14:paraId="2E20F711" w14:textId="77777777" w:rsidR="00094004" w:rsidRPr="00097442" w:rsidRDefault="00094004" w:rsidP="00094004">
      <w:r>
        <w:lastRenderedPageBreak/>
        <w:t>The Transport Standards would remain unchanged and no new or updated guidance would be issued.</w:t>
      </w:r>
    </w:p>
    <w:p w14:paraId="41B30272" w14:textId="77777777" w:rsidR="00094004" w:rsidRPr="00097442" w:rsidRDefault="00094004" w:rsidP="00094004">
      <w:pPr>
        <w:pStyle w:val="Heading4"/>
      </w:pPr>
      <w:r>
        <w:t>Non-regulatory</w:t>
      </w:r>
      <w:r w:rsidRPr="00097442">
        <w:t xml:space="preserve"> option</w:t>
      </w:r>
    </w:p>
    <w:p w14:paraId="0B719CE5" w14:textId="77777777" w:rsidR="00094004" w:rsidRPr="00097442" w:rsidRDefault="00094004" w:rsidP="00094004">
      <w:r w:rsidRPr="00097442">
        <w:t xml:space="preserve">The Whole Journey Guide would be updated to include guidance which recommends a minimum width of 850 millimetres for escalators and inclined travellators and that they should not be the sole means of access. </w:t>
      </w:r>
    </w:p>
    <w:p w14:paraId="209CA9A0" w14:textId="77777777" w:rsidR="00094004" w:rsidRPr="00097442" w:rsidRDefault="00094004" w:rsidP="00094004">
      <w:r w:rsidRPr="00097442">
        <w:t>Specific guidance may entail the following:</w:t>
      </w:r>
    </w:p>
    <w:p w14:paraId="35242DF3" w14:textId="77777777" w:rsidR="00094004" w:rsidRPr="00097442" w:rsidRDefault="00094004" w:rsidP="00D73720">
      <w:pPr>
        <w:pStyle w:val="Listparagraphbullets"/>
      </w:pPr>
      <w:r w:rsidRPr="00097442">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4803A06A" w14:textId="77777777" w:rsidR="00094004" w:rsidRPr="00097442" w:rsidRDefault="00094004" w:rsidP="00D73720">
      <w:pPr>
        <w:pStyle w:val="Listparagraphbullets"/>
      </w:pPr>
      <w:r w:rsidRPr="00097442">
        <w:t>Escalators</w:t>
      </w:r>
      <w:r>
        <w:t xml:space="preserve">, </w:t>
      </w:r>
      <w:r w:rsidRPr="00097442">
        <w:t xml:space="preserve">inclined travellators </w:t>
      </w:r>
      <w:r>
        <w:t xml:space="preserve">and stairs </w:t>
      </w:r>
      <w:r w:rsidRPr="00097442">
        <w:t>should not be the sole means of access. As per stairs, escalators and inclined travellators are not accessible to a range of passengers who have disabilities and where they are installed an accessible alternative such as lift or ramp must be available.</w:t>
      </w:r>
    </w:p>
    <w:p w14:paraId="4E2DD3E1" w14:textId="77777777" w:rsidR="00094004" w:rsidRPr="00097442" w:rsidRDefault="00094004" w:rsidP="00D73720">
      <w:pPr>
        <w:pStyle w:val="Listparagraphbullets"/>
      </w:pPr>
      <w:r w:rsidRPr="00097442">
        <w:t>As per moving footways, the minimum clear width of an escalator or inclined travellator should be 850 millimetres. The 850-millimetre width is acceptable as escalators and inclined travellators are unidirectional with no need for passengers to pass each other in opposing directions.</w:t>
      </w:r>
    </w:p>
    <w:p w14:paraId="4F26429E" w14:textId="77777777" w:rsidR="00094004" w:rsidRPr="00097442" w:rsidRDefault="00094004" w:rsidP="00D73720">
      <w:pPr>
        <w:pStyle w:val="Listparagraphbullets"/>
      </w:pPr>
      <w:r w:rsidRPr="00097442">
        <w:t>However, if the minimum clear width can exceed 900 millimetres the escalator will better accommodate people using crutches and similar mobility aids. If the clear width exceeds 1200 millimetres</w:t>
      </w:r>
      <w:r>
        <w:t>, then</w:t>
      </w:r>
      <w:r w:rsidRPr="00097442">
        <w:t xml:space="preserve"> carers and companions can travel beside the passenger rather than before or behind, making support easier.</w:t>
      </w:r>
    </w:p>
    <w:p w14:paraId="09D6861D" w14:textId="77777777" w:rsidR="00094004" w:rsidRPr="00097442" w:rsidRDefault="00094004" w:rsidP="00094004">
      <w:r w:rsidRPr="00097442">
        <w:t xml:space="preserve">Guidance would pertain to premises, </w:t>
      </w:r>
      <w:r>
        <w:t>(</w:t>
      </w:r>
      <w:r w:rsidRPr="00097442">
        <w:t>except premises to which the Premises Standards apply</w:t>
      </w:r>
      <w:r>
        <w:t>)</w:t>
      </w:r>
      <w:r w:rsidRPr="00097442">
        <w:t xml:space="preserve"> and infrastructure, </w:t>
      </w:r>
      <w:r>
        <w:t>(</w:t>
      </w:r>
      <w:r w:rsidRPr="00097442">
        <w:t>except airports that do not accept regular public transport services.</w:t>
      </w:r>
      <w:r>
        <w:t>)</w:t>
      </w:r>
    </w:p>
    <w:p w14:paraId="05E3AA6E" w14:textId="77777777" w:rsidR="00094004" w:rsidRPr="00D201F9" w:rsidRDefault="00094004" w:rsidP="00094004">
      <w:pPr>
        <w:pStyle w:val="Heading4"/>
      </w:pPr>
      <w:r w:rsidRPr="00097442">
        <w:t>Regulatory option</w:t>
      </w:r>
    </w:p>
    <w:p w14:paraId="0A0DF1AA" w14:textId="77777777" w:rsidR="00094004" w:rsidRDefault="00094004" w:rsidP="00094004">
      <w:r w:rsidRPr="00097442">
        <w:t xml:space="preserve">The </w:t>
      </w:r>
      <w:r>
        <w:t>Transport Standards</w:t>
      </w:r>
      <w:r w:rsidRPr="00097442">
        <w:t xml:space="preserve"> would </w:t>
      </w:r>
      <w:r>
        <w:t>include new</w:t>
      </w:r>
      <w:r w:rsidRPr="00097442">
        <w:t xml:space="preserve"> minimum width specifications for escalators and moving walkways and that they are not to be the sole means of access.</w:t>
      </w:r>
    </w:p>
    <w:p w14:paraId="53FCC6F8" w14:textId="77777777" w:rsidR="00094004" w:rsidRPr="00D201F9" w:rsidRDefault="00094004" w:rsidP="00094004">
      <w:r>
        <w:t>T</w:t>
      </w:r>
      <w:r w:rsidRPr="000A4FFD">
        <w:t xml:space="preserve">he </w:t>
      </w:r>
      <w:r>
        <w:t>Transport Standards</w:t>
      </w:r>
      <w:r w:rsidRPr="000A4FFD">
        <w:t xml:space="preserve"> would include the following new requirements:</w:t>
      </w:r>
    </w:p>
    <w:p w14:paraId="236A0B7C" w14:textId="77777777" w:rsidR="00094004" w:rsidRPr="00097442" w:rsidRDefault="00094004" w:rsidP="00D73720">
      <w:pPr>
        <w:pStyle w:val="Listparagraphbullets"/>
      </w:pPr>
      <w:r w:rsidRPr="00097442">
        <w:t>Escalators</w:t>
      </w:r>
      <w:r>
        <w:t xml:space="preserve">, </w:t>
      </w:r>
      <w:r w:rsidRPr="00097442">
        <w:t xml:space="preserve">inclined travellators </w:t>
      </w:r>
      <w:r>
        <w:t xml:space="preserve">and stairs </w:t>
      </w:r>
      <w:r w:rsidRPr="00097442">
        <w:t>must not be the sole means of access.</w:t>
      </w:r>
    </w:p>
    <w:p w14:paraId="36476366" w14:textId="77777777" w:rsidR="00094004" w:rsidRDefault="00094004" w:rsidP="00D73720">
      <w:pPr>
        <w:pStyle w:val="Listparagraphbullets"/>
      </w:pPr>
      <w:r w:rsidRPr="00097442">
        <w:t>The minimum unobstructed width of an escalator or inclined travellator must be at least 850 millimetres.</w:t>
      </w:r>
    </w:p>
    <w:p w14:paraId="6BBD013D" w14:textId="77777777" w:rsidR="00094004" w:rsidRPr="004B34C5" w:rsidRDefault="00094004" w:rsidP="00094004">
      <w:r>
        <w:t>The requirements</w:t>
      </w:r>
      <w:r w:rsidRPr="004B34C5">
        <w:t xml:space="preserve"> would pertain to premises, (except premises to which the Premises Standards apply) and infrastructure, (except airports that do not accept regular public transport services.)</w:t>
      </w:r>
    </w:p>
    <w:p w14:paraId="4CE58269" w14:textId="77777777" w:rsidR="00094004" w:rsidRPr="00097442" w:rsidRDefault="00094004" w:rsidP="00094004">
      <w:r w:rsidRPr="00097442">
        <w:t xml:space="preserve">The </w:t>
      </w:r>
      <w:r>
        <w:t>Transport Standards</w:t>
      </w:r>
      <w:r w:rsidRPr="00097442">
        <w:t xml:space="preserve"> Guidelines and The Whole Journey Guide would be updated to reflect new requirements.</w:t>
      </w:r>
    </w:p>
    <w:p w14:paraId="1BC8DCB9" w14:textId="77777777" w:rsidR="00094004" w:rsidRPr="00097442" w:rsidRDefault="00094004" w:rsidP="00094004">
      <w:r w:rsidRPr="00097442">
        <w:t>Specific guidance may include the following:</w:t>
      </w:r>
    </w:p>
    <w:p w14:paraId="03C8723D" w14:textId="77777777" w:rsidR="00094004" w:rsidRPr="00097442" w:rsidRDefault="00094004" w:rsidP="00D73720">
      <w:pPr>
        <w:pStyle w:val="Listparagraphbullets"/>
      </w:pPr>
      <w:r w:rsidRPr="00097442">
        <w:t xml:space="preserve">Many passengers who have disabilities that do not affect mobility, balance or cognition will use them in preference to stairs, ramps or lifts. Escalators should be located within the area of main pedestrian flow and wherever possible co-located with lifts. </w:t>
      </w:r>
    </w:p>
    <w:p w14:paraId="3BD33726" w14:textId="77777777" w:rsidR="00094004" w:rsidRPr="00097442" w:rsidRDefault="00094004" w:rsidP="00D73720">
      <w:pPr>
        <w:pStyle w:val="Listparagraphbullets"/>
      </w:pPr>
      <w:r w:rsidRPr="00097442">
        <w:t xml:space="preserve">Escalators and inclined travellators should not be the sole means of access. As per stairs, escalators and inclined travellators are not accessible to a range of passengers who have </w:t>
      </w:r>
      <w:r w:rsidRPr="00097442">
        <w:lastRenderedPageBreak/>
        <w:t>disabilities and where they are installed an accessible alternative such as lift or ramp must be available.</w:t>
      </w:r>
    </w:p>
    <w:p w14:paraId="30F76DFE" w14:textId="77777777" w:rsidR="00094004" w:rsidRPr="00097442" w:rsidRDefault="00094004" w:rsidP="00D73720">
      <w:pPr>
        <w:pStyle w:val="Listparagraphbullets"/>
      </w:pPr>
      <w:r w:rsidRPr="00097442">
        <w:t>As per moving footways, the minimum clear width of an escalator or inclined travellators should be 850 millimetres. The 850-millimetre width is acceptable as escalators and inclined travellators are unidirectional with no need for passengers to pass each other in opposing directions.</w:t>
      </w:r>
    </w:p>
    <w:p w14:paraId="7C31FF65" w14:textId="374F67C3" w:rsidR="00094004" w:rsidRDefault="00094004" w:rsidP="00D73720">
      <w:pPr>
        <w:pStyle w:val="Listparagraphbullets"/>
      </w:pPr>
      <w:r w:rsidRPr="00097442">
        <w:t>However, if the minimum clear width can exceed 900 millimetres the escalator will better accommodate people using crutches and similar mobility aids. If the clear width exceeds 1200 millimetres</w:t>
      </w:r>
      <w:r>
        <w:t>, then</w:t>
      </w:r>
      <w:r w:rsidRPr="00097442">
        <w:t xml:space="preserve"> carers and companions can travel beside the passenger rather than before or behind, making support easier.</w:t>
      </w:r>
    </w:p>
    <w:p w14:paraId="251FB21D" w14:textId="764DEED0" w:rsidR="00094004" w:rsidRDefault="00094004" w:rsidP="006F65FB">
      <w:pPr>
        <w:pStyle w:val="Heading3"/>
        <w:numPr>
          <w:ilvl w:val="0"/>
          <w:numId w:val="47"/>
        </w:numPr>
        <w:ind w:left="567" w:hanging="567"/>
      </w:pPr>
      <w:bookmarkStart w:id="923" w:name="_Toc127351856"/>
      <w:bookmarkStart w:id="924" w:name="_Toc130914534"/>
      <w:bookmarkStart w:id="925" w:name="_Toc140239827"/>
      <w:r w:rsidRPr="00814129">
        <w:t>Poles, objects and luminous contrast</w:t>
      </w:r>
      <w:bookmarkEnd w:id="923"/>
      <w:bookmarkEnd w:id="924"/>
      <w:bookmarkEnd w:id="925"/>
    </w:p>
    <w:p w14:paraId="4C00D614" w14:textId="77777777" w:rsidR="00094004" w:rsidRPr="00097442" w:rsidRDefault="00094004" w:rsidP="00094004">
      <w:pPr>
        <w:pStyle w:val="Heading4"/>
      </w:pPr>
      <w:r w:rsidRPr="00097442">
        <w:t>Status quo</w:t>
      </w:r>
    </w:p>
    <w:p w14:paraId="5721AB69" w14:textId="77777777" w:rsidR="00094004" w:rsidRDefault="00094004" w:rsidP="00094004">
      <w:r>
        <w:t>T</w:t>
      </w:r>
      <w:r w:rsidRPr="007F1A37">
        <w:t>he Transport Standards requires 30 per cent luminance contrast with a background for obstacles that abut an access path</w:t>
      </w:r>
      <w:r>
        <w:t xml:space="preserve">, but does not provide a </w:t>
      </w:r>
      <w:r w:rsidRPr="007F1A37">
        <w:t xml:space="preserve">point of reference for measuring or calculating luminance contrast. </w:t>
      </w:r>
      <w:r>
        <w:t xml:space="preserve">In addition, the Transport Standards does not define a </w:t>
      </w:r>
      <w:r w:rsidRPr="007F1A37">
        <w:t xml:space="preserve">background. </w:t>
      </w:r>
    </w:p>
    <w:p w14:paraId="41B9B56F" w14:textId="77777777" w:rsidR="00094004" w:rsidRPr="00097442" w:rsidRDefault="00094004" w:rsidP="00094004">
      <w:r w:rsidRPr="00097442">
        <w:t xml:space="preserve">Section 2.5, Poles and obstacles, etc., of the </w:t>
      </w:r>
      <w:r>
        <w:t>Transport Standards</w:t>
      </w:r>
      <w:r w:rsidRPr="00097442">
        <w:t xml:space="preserve"> would remain unchanged and no additional guidance would be issued.</w:t>
      </w:r>
    </w:p>
    <w:p w14:paraId="0C723872" w14:textId="77777777" w:rsidR="00094004" w:rsidRPr="00313B29" w:rsidRDefault="00094004" w:rsidP="00094004">
      <w:pPr>
        <w:ind w:left="1134" w:hanging="567"/>
        <w:rPr>
          <w:b/>
        </w:rPr>
      </w:pPr>
      <w:r w:rsidRPr="00313B29">
        <w:rPr>
          <w:b/>
        </w:rPr>
        <w:t>2.5</w:t>
      </w:r>
      <w:r w:rsidRPr="00313B29">
        <w:rPr>
          <w:b/>
        </w:rPr>
        <w:tab/>
        <w:t>Poles and obstacles, etc</w:t>
      </w:r>
    </w:p>
    <w:p w14:paraId="14EC2E15" w14:textId="77777777" w:rsidR="00094004" w:rsidRPr="00097442" w:rsidRDefault="00094004" w:rsidP="00094004">
      <w:pPr>
        <w:ind w:left="1134" w:hanging="567"/>
      </w:pPr>
      <w:r w:rsidRPr="00097442">
        <w:t>(1)</w:t>
      </w:r>
      <w:r w:rsidRPr="00097442">
        <w:tab/>
        <w:t>Poles, columns, stanchions, bollards and fixtures must not project into an access path.</w:t>
      </w:r>
    </w:p>
    <w:p w14:paraId="43B085BD" w14:textId="77777777" w:rsidR="00094004" w:rsidRPr="00097442" w:rsidRDefault="00094004" w:rsidP="00094004">
      <w:pPr>
        <w:ind w:left="1134" w:hanging="567"/>
      </w:pPr>
      <w:r w:rsidRPr="00097442">
        <w:t>(2)</w:t>
      </w:r>
      <w:r w:rsidRPr="00097442">
        <w:tab/>
        <w:t>Obstacles that abut an access path must have a luminance contrast with a background of not less than 30 per cent.</w:t>
      </w:r>
    </w:p>
    <w:p w14:paraId="660780A5" w14:textId="77777777" w:rsidR="00094004" w:rsidRPr="00097442" w:rsidRDefault="00094004" w:rsidP="00094004">
      <w:pPr>
        <w:ind w:left="567"/>
      </w:pPr>
      <w:r>
        <w:t>This s</w:t>
      </w:r>
      <w:r w:rsidRPr="00097442">
        <w:t xml:space="preserve">ection </w:t>
      </w:r>
      <w:r>
        <w:t>pertains to premises (</w:t>
      </w:r>
      <w:r w:rsidRPr="00097442">
        <w:t>except premises to which the Premises Standards apply</w:t>
      </w:r>
      <w:r>
        <w:t>) and infrastructure (</w:t>
      </w:r>
      <w:r w:rsidRPr="00097442">
        <w:t>except airports that do not accept regular public transport services</w:t>
      </w:r>
      <w:r>
        <w:t>)</w:t>
      </w:r>
      <w:r w:rsidRPr="00097442">
        <w:t>.</w:t>
      </w:r>
    </w:p>
    <w:p w14:paraId="48DF23BD" w14:textId="77777777" w:rsidR="00094004" w:rsidRPr="00097442" w:rsidRDefault="00094004" w:rsidP="00094004">
      <w:pPr>
        <w:pStyle w:val="Heading4"/>
      </w:pPr>
      <w:r>
        <w:t>Non-regulatory</w:t>
      </w:r>
      <w:r w:rsidRPr="00097442">
        <w:t xml:space="preserve"> option</w:t>
      </w:r>
    </w:p>
    <w:p w14:paraId="336AF5C8" w14:textId="77777777" w:rsidR="00094004" w:rsidRPr="00097442" w:rsidRDefault="00094004" w:rsidP="00094004">
      <w:r w:rsidRPr="00097442">
        <w:t xml:space="preserve">The </w:t>
      </w:r>
      <w:r>
        <w:t>Transport Standards</w:t>
      </w:r>
      <w:r w:rsidRPr="00097442">
        <w:t xml:space="preserve"> Guidelines and / or The Whole Journey Guide would be updated to include best practice guidance for determining the luminance contrast of poles and obstacles adjacent to access paths. </w:t>
      </w:r>
    </w:p>
    <w:p w14:paraId="2963D79E" w14:textId="77777777" w:rsidR="00094004" w:rsidRPr="00097442" w:rsidRDefault="00094004" w:rsidP="00094004">
      <w:r w:rsidRPr="00097442">
        <w:t>Specific guidance may include:</w:t>
      </w:r>
    </w:p>
    <w:p w14:paraId="765399B1" w14:textId="77777777" w:rsidR="00094004" w:rsidRPr="00097442" w:rsidRDefault="00094004" w:rsidP="00D73720">
      <w:pPr>
        <w:pStyle w:val="Listparagraphbullets"/>
      </w:pPr>
      <w:r w:rsidRPr="00097442">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003C1E94" w14:textId="77777777" w:rsidR="00094004" w:rsidRPr="00097442" w:rsidRDefault="00094004" w:rsidP="00D73720">
      <w:pPr>
        <w:pStyle w:val="Listparagraphbullets"/>
      </w:pPr>
      <w:r w:rsidRPr="00097442">
        <w:t>Poles, columns, stanchions, bollards and fixtures should not project into an access path.</w:t>
      </w:r>
    </w:p>
    <w:p w14:paraId="1D6DD03C" w14:textId="77777777" w:rsidR="00094004" w:rsidRPr="00097442" w:rsidRDefault="00094004" w:rsidP="00D73720">
      <w:pPr>
        <w:pStyle w:val="Listparagraphbullets"/>
      </w:pPr>
      <w:r w:rsidRPr="00097442">
        <w:t xml:space="preserve">Obstacles that abut an access path or a contrasting strip at least 75 millimetres wide on the obstacle located in a zone 900 to 1000 millimetres above ground level should have a luminance contrast of not less than 30 per cent when viewed against the surrounding floor or pavement or against other fixed surfaces that are within two metres of the obstacle. A luminance contrast of 45 per cent is recommended and 60 per cent is ideal. </w:t>
      </w:r>
    </w:p>
    <w:p w14:paraId="18DA57AE" w14:textId="77777777" w:rsidR="00094004" w:rsidRPr="00097442" w:rsidRDefault="00094004" w:rsidP="00D73720">
      <w:pPr>
        <w:pStyle w:val="Listparagraphbullets"/>
      </w:pPr>
      <w:r w:rsidRPr="00097442">
        <w:t xml:space="preserve">Luminance contrast testing of surfaces, objects and fixtures other than tactile ground surface indicators should be determined as per </w:t>
      </w:r>
      <w:r w:rsidRPr="00905C59">
        <w:t>AS1428.1 (2021),</w:t>
      </w:r>
      <w:r>
        <w:t xml:space="preserve"> Design for access and mobility, </w:t>
      </w:r>
      <w:r w:rsidRPr="00905C59">
        <w:t>Appendix B</w:t>
      </w:r>
      <w:r>
        <w:t>.</w:t>
      </w:r>
      <w:r w:rsidRPr="00905C59">
        <w:t xml:space="preserve"> </w:t>
      </w:r>
    </w:p>
    <w:p w14:paraId="0B6273D3" w14:textId="77777777" w:rsidR="00094004" w:rsidRPr="00097442" w:rsidRDefault="00094004" w:rsidP="00D73720">
      <w:pPr>
        <w:pStyle w:val="Listparagraphbullets"/>
      </w:pPr>
      <w:r w:rsidRPr="00097442">
        <w:lastRenderedPageBreak/>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5B020F50" w14:textId="77777777" w:rsidR="00094004" w:rsidRPr="00097442" w:rsidRDefault="00094004" w:rsidP="00094004">
      <w:pPr>
        <w:pStyle w:val="Heading4"/>
      </w:pPr>
      <w:r w:rsidRPr="00097442">
        <w:t>Regulatory option</w:t>
      </w:r>
    </w:p>
    <w:p w14:paraId="79124999" w14:textId="77777777" w:rsidR="00094004" w:rsidRPr="00097442" w:rsidRDefault="00094004" w:rsidP="00094004">
      <w:r>
        <w:t xml:space="preserve">Transport Standards section 2.5 </w:t>
      </w:r>
      <w:r w:rsidRPr="00AC37CA">
        <w:t>would be amended to include the following (including any requirements retained or amended from the status quo)</w:t>
      </w:r>
      <w:r>
        <w:t>.</w:t>
      </w:r>
    </w:p>
    <w:p w14:paraId="4D9E751B" w14:textId="77777777" w:rsidR="00094004" w:rsidRPr="00097442" w:rsidRDefault="00094004" w:rsidP="00094004">
      <w:r w:rsidRPr="00097442">
        <w:t xml:space="preserve">There are two options proposed for consideration. Option 1 addresses whether the scope of the requirement should only concern access paths and Option 2 addresses whether the scope of the requirement should apply to all public areas. </w:t>
      </w:r>
    </w:p>
    <w:p w14:paraId="52FF76D5" w14:textId="77777777" w:rsidR="00094004" w:rsidRPr="00097442" w:rsidRDefault="00094004" w:rsidP="00094004">
      <w:pPr>
        <w:pStyle w:val="Heading5"/>
      </w:pPr>
      <w:r w:rsidRPr="00097442">
        <w:t>Option 1</w:t>
      </w:r>
    </w:p>
    <w:p w14:paraId="2D7EA40B" w14:textId="77777777" w:rsidR="00094004" w:rsidRPr="00313B29" w:rsidRDefault="00094004" w:rsidP="00094004">
      <w:r w:rsidRPr="00313B29">
        <w:t>Section 2.5 Poles and obstacles, etc, of the Transport Standards would be amended to include the following:</w:t>
      </w:r>
    </w:p>
    <w:p w14:paraId="6E680B97" w14:textId="77777777" w:rsidR="00094004" w:rsidRPr="00097442" w:rsidRDefault="00094004" w:rsidP="00D73720">
      <w:pPr>
        <w:pStyle w:val="Listparagraphbullets"/>
      </w:pPr>
      <w:r w:rsidRPr="00097442">
        <w:t>Poles, columns, stanchions, bollards and fixtures must not project into an access path.</w:t>
      </w:r>
    </w:p>
    <w:p w14:paraId="289198A4" w14:textId="77777777" w:rsidR="00094004" w:rsidRDefault="00094004" w:rsidP="00D73720">
      <w:pPr>
        <w:pStyle w:val="Listparagraphbullets"/>
      </w:pPr>
      <w:r w:rsidRPr="00097442">
        <w:t>Obstacles that abut an access path:</w:t>
      </w:r>
    </w:p>
    <w:p w14:paraId="74999DEC" w14:textId="77777777" w:rsidR="00094004" w:rsidRPr="00406C6D" w:rsidRDefault="00094004" w:rsidP="00094004">
      <w:pPr>
        <w:pStyle w:val="Heading5"/>
        <w:ind w:left="1134"/>
      </w:pPr>
      <w:r w:rsidRPr="00406C6D">
        <w:t>Sub-option 1</w:t>
      </w:r>
    </w:p>
    <w:p w14:paraId="444C587A" w14:textId="77777777" w:rsidR="00094004" w:rsidRPr="00D73720" w:rsidRDefault="00094004" w:rsidP="00D73720">
      <w:pPr>
        <w:pStyle w:val="Listparagraphbullets"/>
      </w:pPr>
      <w:r w:rsidRPr="00D73720">
        <w:t xml:space="preserve">Must have a luminance contrast of not less </w:t>
      </w:r>
      <w:r w:rsidRPr="00D73720">
        <w:rPr>
          <w:rStyle w:val="ListparagraphbulletsChar"/>
        </w:rPr>
        <w:t>than 30 per cent when viewed against the surrounding floor or pavement or against other fi</w:t>
      </w:r>
      <w:r w:rsidRPr="00D73720">
        <w:t>xed surfaces that are within two metres of the obstacle.</w:t>
      </w:r>
    </w:p>
    <w:p w14:paraId="3FEB0FF8" w14:textId="77777777" w:rsidR="00094004" w:rsidRPr="00406C6D" w:rsidRDefault="00094004" w:rsidP="00094004">
      <w:pPr>
        <w:pStyle w:val="Heading5"/>
        <w:ind w:left="1134"/>
      </w:pPr>
      <w:r w:rsidRPr="00406C6D">
        <w:t>Sub-option 2</w:t>
      </w:r>
    </w:p>
    <w:p w14:paraId="53EB1AEF" w14:textId="7DA9E20C" w:rsidR="00094004" w:rsidRPr="00786D82" w:rsidRDefault="00094004" w:rsidP="00D73720">
      <w:pPr>
        <w:pStyle w:val="Listparagraphbullets"/>
      </w:pPr>
      <w:r w:rsidRPr="00786D82">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7D752AD2" w14:textId="77777777" w:rsidR="00094004" w:rsidRPr="00097442" w:rsidRDefault="00094004" w:rsidP="00D73720">
      <w:pPr>
        <w:pStyle w:val="Listparagraphbullets"/>
      </w:pPr>
      <w:r w:rsidRPr="00097442">
        <w:t xml:space="preserve">Luminance contrast testing of surfaces, objects and fixtures other than tactile ground surface indicators must be determined </w:t>
      </w:r>
      <w:r w:rsidRPr="00905C59">
        <w:t xml:space="preserve">as per AS1428.1 (2021), </w:t>
      </w:r>
      <w:r w:rsidRPr="00313B29">
        <w:t>Appendix B.</w:t>
      </w:r>
    </w:p>
    <w:p w14:paraId="12F8BEFD" w14:textId="77777777" w:rsidR="00094004" w:rsidRPr="00097442" w:rsidRDefault="00094004" w:rsidP="00094004">
      <w:pPr>
        <w:pStyle w:val="Heading5"/>
      </w:pPr>
      <w:r w:rsidRPr="00097442">
        <w:t>Option 2</w:t>
      </w:r>
    </w:p>
    <w:p w14:paraId="6BC3BDC2" w14:textId="77777777" w:rsidR="00094004" w:rsidRPr="00905C59" w:rsidRDefault="00094004" w:rsidP="00094004">
      <w:r w:rsidRPr="00905C59">
        <w:t xml:space="preserve">Section 2.5 Poles and obstacles, etc, of the </w:t>
      </w:r>
      <w:r>
        <w:t>Transport Standards</w:t>
      </w:r>
      <w:r w:rsidRPr="00905C59">
        <w:t xml:space="preserve"> would be amended to include the following:</w:t>
      </w:r>
    </w:p>
    <w:p w14:paraId="4F53B11D" w14:textId="77777777" w:rsidR="00094004" w:rsidRPr="00097442" w:rsidRDefault="00094004" w:rsidP="00D73720">
      <w:pPr>
        <w:pStyle w:val="Listparagraphbullets"/>
      </w:pPr>
      <w:r w:rsidRPr="00097442">
        <w:t>Poles, columns, stanchions, bollards and fixtures must not project into an access path.</w:t>
      </w:r>
    </w:p>
    <w:p w14:paraId="58BE8644" w14:textId="77777777" w:rsidR="00094004" w:rsidRPr="00097442" w:rsidRDefault="00094004" w:rsidP="00D73720">
      <w:pPr>
        <w:pStyle w:val="Listparagraphbullets"/>
      </w:pPr>
      <w:r w:rsidRPr="00097442">
        <w:t>Obstacles within public spaces:</w:t>
      </w:r>
    </w:p>
    <w:p w14:paraId="2031CBA7" w14:textId="77777777" w:rsidR="00094004" w:rsidRPr="00313B29" w:rsidRDefault="00094004" w:rsidP="00094004">
      <w:pPr>
        <w:pStyle w:val="Heading5"/>
        <w:ind w:left="1134"/>
      </w:pPr>
      <w:r w:rsidRPr="00313B29">
        <w:t>Sub-option 1</w:t>
      </w:r>
    </w:p>
    <w:p w14:paraId="315E7D31" w14:textId="77777777" w:rsidR="00094004" w:rsidRPr="00097442" w:rsidRDefault="00094004" w:rsidP="00047844">
      <w:pPr>
        <w:pStyle w:val="Listparagraphbullets"/>
      </w:pPr>
      <w:r w:rsidRPr="00097442">
        <w:t>Must have a luminance contrast of n</w:t>
      </w:r>
      <w:r w:rsidRPr="00D73720">
        <w:rPr>
          <w:rStyle w:val="ListparagraphbulletsChar"/>
        </w:rPr>
        <w:t>ot less than 30 per cent when viewed against the surrounding floor or pavement or against other fixed surfaces that are within two metres of the obstacle.</w:t>
      </w:r>
    </w:p>
    <w:p w14:paraId="10F58B22" w14:textId="77777777" w:rsidR="00094004" w:rsidRPr="00313B29" w:rsidRDefault="00094004" w:rsidP="00094004">
      <w:pPr>
        <w:pStyle w:val="Heading5"/>
        <w:ind w:left="1134"/>
      </w:pPr>
      <w:r w:rsidRPr="00313B29">
        <w:t>Sub-option 2</w:t>
      </w:r>
    </w:p>
    <w:p w14:paraId="63426C45" w14:textId="0D562849" w:rsidR="00094004" w:rsidRPr="00097442" w:rsidRDefault="00094004" w:rsidP="00047844">
      <w:pPr>
        <w:pStyle w:val="Listparagraphbullets"/>
      </w:pPr>
      <w:r w:rsidRPr="00097442">
        <w:t>Must have a luminance contrast strip at least 75 millimetres wide of not less than 60 per cent located 900 to 1000 millimetres above ground when viewed against the surrounding floor or pavement or against other fixed surfaces that are within two metres of the obstacle.</w:t>
      </w:r>
    </w:p>
    <w:p w14:paraId="064086D6" w14:textId="77777777" w:rsidR="00094004" w:rsidRPr="00097442" w:rsidRDefault="00094004" w:rsidP="00047844">
      <w:pPr>
        <w:pStyle w:val="Listparagraphbullets"/>
      </w:pPr>
      <w:r w:rsidRPr="00097442">
        <w:lastRenderedPageBreak/>
        <w:t xml:space="preserve">Luminance contrast testing of </w:t>
      </w:r>
      <w:r w:rsidRPr="00905C59">
        <w:t>surfaces, objects and fixtures other than tactile ground surface indicators must be determined as per Appendix B of AS1428.1 (2021).</w:t>
      </w:r>
    </w:p>
    <w:p w14:paraId="74816534" w14:textId="77777777" w:rsidR="00094004" w:rsidRPr="00097442" w:rsidRDefault="00094004" w:rsidP="00047844">
      <w:pPr>
        <w:pStyle w:val="Listparagraphbullets"/>
      </w:pPr>
      <w:r w:rsidRPr="00097442">
        <w:t>The requirements for both options would apply to premises, except premises to which the Premises Standards apply and infrastructure, except airports that do not accept regular public transport services.</w:t>
      </w:r>
    </w:p>
    <w:p w14:paraId="23147534" w14:textId="77777777" w:rsidR="00094004" w:rsidRPr="00097442" w:rsidRDefault="00094004" w:rsidP="00094004">
      <w:r w:rsidRPr="00097442">
        <w:t xml:space="preserve">The </w:t>
      </w:r>
      <w:r>
        <w:t>Transport Standards</w:t>
      </w:r>
      <w:r w:rsidRPr="00097442">
        <w:t xml:space="preserve"> Guidelines and / or The Whole Journey Guide would be updated to reflect new requirements.</w:t>
      </w:r>
    </w:p>
    <w:p w14:paraId="62E1025D" w14:textId="77777777" w:rsidR="00094004" w:rsidRPr="00313B29" w:rsidRDefault="00094004" w:rsidP="00094004">
      <w:r w:rsidRPr="00097442">
        <w:t>Specific guidance for both options may include the following</w:t>
      </w:r>
      <w:r w:rsidRPr="00313B29">
        <w:t>:</w:t>
      </w:r>
    </w:p>
    <w:p w14:paraId="6D2485A5" w14:textId="77777777" w:rsidR="00094004" w:rsidRPr="00097442" w:rsidRDefault="00094004" w:rsidP="00047844">
      <w:pPr>
        <w:pStyle w:val="Listparagraphbullets"/>
      </w:pPr>
      <w:r w:rsidRPr="00097442">
        <w:t>The luminance contrast requirements are intended to assist people who have low vision in avoiding collisions with objects that immediately abut access paths. Luminance contrast is the most effective means of ensuring objects can be detected visually. Luminance contrast must be maintained in wet and dry conditions and under all operational lighting conditions.</w:t>
      </w:r>
    </w:p>
    <w:p w14:paraId="2D27FF4E" w14:textId="77777777" w:rsidR="00094004" w:rsidRDefault="00094004" w:rsidP="00047844">
      <w:pPr>
        <w:pStyle w:val="Listparagraphbullets"/>
      </w:pPr>
      <w:r w:rsidRPr="00097442">
        <w:t xml:space="preserve">Determining the luminance contrast of an object against a multi-coloured background such as a mural or an exposed aggregate pavement can be a challenge. In these circumstances professional guidance should be sought on the best way to ensure a contrast, or the object abutting the access path should be relocated if practicable. </w:t>
      </w:r>
    </w:p>
    <w:p w14:paraId="727A309E" w14:textId="77777777" w:rsidR="00094004" w:rsidRPr="003D6BDE" w:rsidRDefault="00094004" w:rsidP="00047844">
      <w:pPr>
        <w:autoSpaceDE w:val="0"/>
        <w:autoSpaceDN w:val="0"/>
        <w:spacing w:before="40" w:after="40"/>
      </w:pPr>
    </w:p>
    <w:p w14:paraId="54A82312" w14:textId="7D108010" w:rsidR="00094004" w:rsidRDefault="00094004" w:rsidP="006F65FB">
      <w:pPr>
        <w:pStyle w:val="Heading3"/>
        <w:numPr>
          <w:ilvl w:val="0"/>
          <w:numId w:val="47"/>
        </w:numPr>
        <w:ind w:left="567" w:hanging="567"/>
      </w:pPr>
      <w:bookmarkStart w:id="926" w:name="_Toc127351857"/>
      <w:bookmarkStart w:id="927" w:name="_Toc130914535"/>
      <w:bookmarkStart w:id="928" w:name="_Toc140239828"/>
      <w:r w:rsidRPr="00814129">
        <w:t>Lighting</w:t>
      </w:r>
      <w:bookmarkEnd w:id="926"/>
      <w:bookmarkEnd w:id="927"/>
      <w:bookmarkEnd w:id="928"/>
    </w:p>
    <w:p w14:paraId="5156452D" w14:textId="77777777" w:rsidR="00094004" w:rsidRPr="00097442" w:rsidRDefault="00094004" w:rsidP="00094004">
      <w:pPr>
        <w:pStyle w:val="Heading4"/>
      </w:pPr>
      <w:r w:rsidRPr="00097442">
        <w:t>Status quo</w:t>
      </w:r>
    </w:p>
    <w:p w14:paraId="75A8AECE" w14:textId="77777777" w:rsidR="00094004" w:rsidRDefault="00094004" w:rsidP="00094004">
      <w:r>
        <w:t>Transport Standards</w:t>
      </w:r>
      <w:r w:rsidRPr="00097442">
        <w:t xml:space="preserve"> Part 20 Lighting,</w:t>
      </w:r>
      <w:r>
        <w:t xml:space="preserve"> </w:t>
      </w:r>
      <w:r w:rsidRPr="00097442">
        <w:t xml:space="preserve">would remain unchanged and no </w:t>
      </w:r>
      <w:r>
        <w:t>Guidance</w:t>
      </w:r>
      <w:r w:rsidRPr="00097442">
        <w:t xml:space="preserve"> would be issued.</w:t>
      </w:r>
    </w:p>
    <w:p w14:paraId="6346FE68" w14:textId="77777777" w:rsidR="00094004" w:rsidRPr="00923A6E" w:rsidRDefault="00094004" w:rsidP="00094004">
      <w:pPr>
        <w:ind w:left="1134" w:hanging="567"/>
        <w:rPr>
          <w:b/>
        </w:rPr>
      </w:pPr>
      <w:r w:rsidRPr="00923A6E">
        <w:rPr>
          <w:b/>
        </w:rPr>
        <w:t>Part 20</w:t>
      </w:r>
      <w:r w:rsidRPr="00923A6E">
        <w:rPr>
          <w:b/>
        </w:rPr>
        <w:tab/>
        <w:t>Lighting</w:t>
      </w:r>
    </w:p>
    <w:p w14:paraId="359AD970" w14:textId="77777777" w:rsidR="00094004" w:rsidRPr="00097442" w:rsidRDefault="00094004" w:rsidP="00094004">
      <w:pPr>
        <w:ind w:left="1134" w:hanging="567"/>
        <w:rPr>
          <w:b/>
        </w:rPr>
      </w:pPr>
      <w:r w:rsidRPr="00097442">
        <w:rPr>
          <w:b/>
        </w:rPr>
        <w:t xml:space="preserve">20.1 </w:t>
      </w:r>
      <w:r w:rsidRPr="00097442">
        <w:rPr>
          <w:b/>
        </w:rPr>
        <w:tab/>
        <w:t>Illumination levels — premises and infrastructure</w:t>
      </w:r>
    </w:p>
    <w:p w14:paraId="1094689E" w14:textId="77777777" w:rsidR="00094004" w:rsidRPr="00097442" w:rsidRDefault="00094004" w:rsidP="00094004">
      <w:pPr>
        <w:ind w:left="567"/>
      </w:pPr>
      <w:r w:rsidRPr="00097442">
        <w:t>Any lighting provided must comply with minimum levels of maintenance illumination for various situations shown in the notes to AS1428.2 (1992) Clause 19.1, Illumination levels.</w:t>
      </w:r>
    </w:p>
    <w:p w14:paraId="287E4174" w14:textId="77777777" w:rsidR="00094004" w:rsidRPr="00097442" w:rsidRDefault="00094004" w:rsidP="00094004">
      <w:pPr>
        <w:ind w:left="567"/>
      </w:pPr>
      <w:r>
        <w:t>This section pertains to premises, except premises to which the Premises Standards apply and infrastructure.</w:t>
      </w:r>
    </w:p>
    <w:p w14:paraId="0EA1C0A2" w14:textId="77777777" w:rsidR="00094004" w:rsidRPr="00097442" w:rsidRDefault="00094004" w:rsidP="00094004">
      <w:pPr>
        <w:ind w:left="1134" w:hanging="567"/>
        <w:rPr>
          <w:b/>
        </w:rPr>
      </w:pPr>
      <w:r w:rsidRPr="00097442">
        <w:rPr>
          <w:b/>
        </w:rPr>
        <w:t xml:space="preserve">20.2 </w:t>
      </w:r>
      <w:r w:rsidRPr="00097442">
        <w:rPr>
          <w:b/>
        </w:rPr>
        <w:tab/>
        <w:t>Illumination levels — conveyances</w:t>
      </w:r>
    </w:p>
    <w:p w14:paraId="6E67B0E2" w14:textId="77777777" w:rsidR="00094004" w:rsidRPr="00097442" w:rsidRDefault="00094004" w:rsidP="00094004">
      <w:pPr>
        <w:ind w:left="1134" w:hanging="567"/>
      </w:pPr>
      <w:r w:rsidRPr="00097442">
        <w:t xml:space="preserve">(1) </w:t>
      </w:r>
      <w:r w:rsidRPr="00097442">
        <w:tab/>
        <w:t>Any lighting provided must comply with minimum levels of maintenance illumination for various situations shown in the notes to AS1428.2 (1992) Clause 19.1, Illumination levels.</w:t>
      </w:r>
    </w:p>
    <w:p w14:paraId="1AF9CA7C" w14:textId="77777777" w:rsidR="00094004" w:rsidRPr="00097442" w:rsidRDefault="00094004" w:rsidP="00094004">
      <w:pPr>
        <w:ind w:left="1134" w:hanging="567"/>
      </w:pPr>
      <w:r w:rsidRPr="00097442">
        <w:t xml:space="preserve">(2) </w:t>
      </w:r>
      <w:r w:rsidRPr="00097442">
        <w:tab/>
        <w:t>Lighting should be at least 150 lux at the entrance and at the point where a passenger pays his or her fare.</w:t>
      </w:r>
    </w:p>
    <w:p w14:paraId="7BD9BE9A" w14:textId="77777777" w:rsidR="00094004" w:rsidRPr="00097442" w:rsidRDefault="00094004" w:rsidP="00094004">
      <w:pPr>
        <w:ind w:left="567"/>
      </w:pPr>
      <w:r w:rsidRPr="00097442">
        <w:t xml:space="preserve">This </w:t>
      </w:r>
      <w:r>
        <w:t>section</w:t>
      </w:r>
      <w:r w:rsidRPr="00097442">
        <w:t xml:space="preserve"> pertains to buses, coaches, ferries, trains, trams and light rail.</w:t>
      </w:r>
    </w:p>
    <w:p w14:paraId="6B7205B1" w14:textId="77777777" w:rsidR="00094004" w:rsidRPr="00097442" w:rsidRDefault="00094004" w:rsidP="00094004">
      <w:pPr>
        <w:ind w:left="1134" w:hanging="567"/>
        <w:rPr>
          <w:b/>
        </w:rPr>
      </w:pPr>
      <w:r w:rsidRPr="00097442">
        <w:rPr>
          <w:b/>
        </w:rPr>
        <w:t xml:space="preserve">20.3 </w:t>
      </w:r>
      <w:r w:rsidRPr="00097442">
        <w:rPr>
          <w:b/>
        </w:rPr>
        <w:tab/>
        <w:t>Dimming (conveyances)</w:t>
      </w:r>
    </w:p>
    <w:p w14:paraId="105138F0" w14:textId="77777777" w:rsidR="00094004" w:rsidRDefault="00094004" w:rsidP="00094004">
      <w:pPr>
        <w:ind w:left="1134" w:hanging="567"/>
      </w:pPr>
      <w:r w:rsidRPr="00097442">
        <w:t>Internal lighting may be dimmed as required to avoid reflection interfering with an operator’s vision.</w:t>
      </w:r>
    </w:p>
    <w:p w14:paraId="1701F661" w14:textId="77777777" w:rsidR="00094004" w:rsidRPr="00097442" w:rsidRDefault="00094004" w:rsidP="00094004">
      <w:pPr>
        <w:ind w:left="1134" w:hanging="567"/>
      </w:pPr>
      <w:r>
        <w:t>This section pertains to conveyances.</w:t>
      </w:r>
    </w:p>
    <w:p w14:paraId="41559AA4" w14:textId="77777777" w:rsidR="00094004" w:rsidRPr="00097442" w:rsidRDefault="00094004" w:rsidP="00094004">
      <w:pPr>
        <w:pStyle w:val="Heading4"/>
      </w:pPr>
      <w:r>
        <w:lastRenderedPageBreak/>
        <w:t>Non-regulatory</w:t>
      </w:r>
      <w:r w:rsidRPr="00097442">
        <w:t xml:space="preserve"> option</w:t>
      </w:r>
    </w:p>
    <w:p w14:paraId="0C1A5049" w14:textId="77777777" w:rsidR="00094004" w:rsidRPr="00097442" w:rsidRDefault="00094004" w:rsidP="00094004">
      <w:r w:rsidRPr="00097442">
        <w:t xml:space="preserve">The </w:t>
      </w:r>
      <w:r>
        <w:t>Transport Standards</w:t>
      </w:r>
      <w:r w:rsidRPr="00097442">
        <w:t xml:space="preserve"> Guidelines and / or The Whole Journey Guide would be updated </w:t>
      </w:r>
      <w:r>
        <w:t xml:space="preserve">to </w:t>
      </w:r>
      <w:r w:rsidRPr="00097442">
        <w:rPr>
          <w:iCs/>
        </w:rPr>
        <w:t>include advice on lighting design within public transport environments.</w:t>
      </w:r>
      <w:r w:rsidRPr="00097442">
        <w:t xml:space="preserve"> The objective of guidance </w:t>
      </w:r>
      <w:r>
        <w:t xml:space="preserve">is to </w:t>
      </w:r>
      <w:r w:rsidRPr="00097442">
        <w:t xml:space="preserve">ensure public transport environments deliver </w:t>
      </w:r>
      <w:r w:rsidRPr="00097442">
        <w:rPr>
          <w:iCs/>
        </w:rPr>
        <w:t>appropriate lighting solutions for the diverse and nuanced requirements of people with disability, and</w:t>
      </w:r>
      <w:r w:rsidRPr="00097442">
        <w:t xml:space="preserve"> </w:t>
      </w:r>
      <w:r w:rsidRPr="00097442">
        <w:rPr>
          <w:rFonts w:cstheme="minorHAnsi"/>
        </w:rPr>
        <w:t xml:space="preserve">lighting solutions that </w:t>
      </w:r>
      <w:r w:rsidRPr="00097442">
        <w:rPr>
          <w:iCs/>
        </w:rPr>
        <w:t xml:space="preserve">meet the unique safety, contextual and operational requirements. A set of transport-specific technical guidelines to provide enhancements to the </w:t>
      </w:r>
      <w:r>
        <w:rPr>
          <w:iCs/>
        </w:rPr>
        <w:t>Transport Standards</w:t>
      </w:r>
      <w:r w:rsidRPr="00097442">
        <w:rPr>
          <w:iCs/>
        </w:rPr>
        <w:t xml:space="preserve"> requirement would also be provided.</w:t>
      </w:r>
    </w:p>
    <w:p w14:paraId="6886B7AA" w14:textId="77777777" w:rsidR="00094004" w:rsidRPr="00097442" w:rsidRDefault="00094004" w:rsidP="00094004">
      <w:r w:rsidRPr="00097442">
        <w:t>Specific guidance may include:</w:t>
      </w:r>
    </w:p>
    <w:p w14:paraId="1340E8FA" w14:textId="77777777" w:rsidR="00094004" w:rsidRPr="005E37BC" w:rsidRDefault="00094004" w:rsidP="00094004">
      <w:pPr>
        <w:pStyle w:val="Heading5"/>
      </w:pPr>
      <w:r w:rsidRPr="00FB4FB0">
        <w:t>Lighting levels and uniformity</w:t>
      </w:r>
    </w:p>
    <w:p w14:paraId="3C3667BB" w14:textId="77777777" w:rsidR="00094004" w:rsidRPr="00097442" w:rsidRDefault="00094004" w:rsidP="00094004">
      <w:r w:rsidRPr="00097442">
        <w:t xml:space="preserve">Any lighting associated with </w:t>
      </w:r>
      <w:r>
        <w:t>a</w:t>
      </w:r>
      <w:r w:rsidRPr="00097442">
        <w:t xml:space="preserve"> public transport facility should comply with the following:</w:t>
      </w:r>
    </w:p>
    <w:p w14:paraId="0E365185" w14:textId="77777777" w:rsidR="00094004" w:rsidRPr="009F352D" w:rsidRDefault="00094004" w:rsidP="00047844">
      <w:pPr>
        <w:pStyle w:val="Listparagraphbullets"/>
      </w:pPr>
      <w:r w:rsidRPr="009F352D">
        <w:t xml:space="preserve">For enclosed zones </w:t>
      </w:r>
      <w:r>
        <w:t xml:space="preserve">- </w:t>
      </w:r>
      <w:r w:rsidRPr="009F352D">
        <w:t xml:space="preserve">AS/NZS1680.2.1 (2008), </w:t>
      </w:r>
      <w:r w:rsidRPr="00DD17EC">
        <w:rPr>
          <w:i/>
        </w:rPr>
        <w:t>Interior and workplace lighting</w:t>
      </w:r>
      <w:r w:rsidRPr="009F352D">
        <w:t xml:space="preserve">, Part 2.1: </w:t>
      </w:r>
      <w:r w:rsidRPr="00DD17EC">
        <w:rPr>
          <w:i/>
        </w:rPr>
        <w:t>Specific applications</w:t>
      </w:r>
      <w:r w:rsidRPr="009F352D">
        <w:t>— Circulation spaces and other general areas. Enclosed zones are defined as fully enclosed or underground transport environments, fully covered which receive no significant amount of natural light (direct or indirect). For example, an underground rail station.</w:t>
      </w:r>
    </w:p>
    <w:p w14:paraId="54E213F6" w14:textId="77777777" w:rsidR="00094004" w:rsidRPr="009F352D" w:rsidRDefault="00094004" w:rsidP="00047844">
      <w:pPr>
        <w:pStyle w:val="Listparagraphbullets"/>
      </w:pPr>
      <w:r w:rsidRPr="009F352D">
        <w:t xml:space="preserve">For unenclosed zones </w:t>
      </w:r>
      <w:r>
        <w:t xml:space="preserve">- </w:t>
      </w:r>
      <w:r w:rsidRPr="009F352D">
        <w:t xml:space="preserve">AS/NZS1158.3.1 (2020), </w:t>
      </w:r>
      <w:r w:rsidRPr="00DD17EC">
        <w:rPr>
          <w:i/>
        </w:rPr>
        <w:t>Lighting for roads and public spaces</w:t>
      </w:r>
      <w:r w:rsidRPr="009F352D">
        <w:t>, Part 3.1</w:t>
      </w:r>
      <w:r w:rsidRPr="00DD17EC">
        <w:rPr>
          <w:i/>
        </w:rPr>
        <w:t xml:space="preserve">: Pedestrian area </w:t>
      </w:r>
      <w:r w:rsidRPr="00DD17EC">
        <w:t>(Category P)</w:t>
      </w:r>
      <w:r w:rsidRPr="00DD17EC">
        <w:rPr>
          <w:i/>
        </w:rPr>
        <w:t xml:space="preserve"> lighting - Performance and design requirements</w:t>
      </w:r>
      <w:r w:rsidRPr="009F352D">
        <w:t>. Unenclosed zones are transport environments that are not covered under ASNZS1680.2.1 (2008). For example, a covered waiting area on a train station, ferry terminal, bus interchange or ferry stop.</w:t>
      </w:r>
    </w:p>
    <w:p w14:paraId="0024AA80" w14:textId="77777777" w:rsidR="00094004" w:rsidRPr="00DD17EC" w:rsidRDefault="00094004" w:rsidP="00047844">
      <w:pPr>
        <w:pStyle w:val="Listparagraphbullets"/>
      </w:pPr>
      <w:r w:rsidRPr="009F352D">
        <w:t xml:space="preserve">For lifts </w:t>
      </w:r>
      <w:r>
        <w:t xml:space="preserve">- </w:t>
      </w:r>
      <w:r w:rsidRPr="009F352D">
        <w:t>AS1735.12 (2020</w:t>
      </w:r>
      <w:r w:rsidRPr="00DD17EC">
        <w:t>) Lifts, escalators and moving walks, Part 12: Facilities for persons with disabilities.</w:t>
      </w:r>
    </w:p>
    <w:p w14:paraId="3308BB8F" w14:textId="125E73B2" w:rsidR="00094004" w:rsidRDefault="00094004" w:rsidP="00047844">
      <w:pPr>
        <w:pStyle w:val="Listparagraphbullets"/>
      </w:pPr>
      <w:r w:rsidRPr="009F352D">
        <w:t xml:space="preserve">Levels of </w:t>
      </w:r>
      <w:r w:rsidRPr="00900D56">
        <w:t>illumination in Tables 4 to 7 (below) should be</w:t>
      </w:r>
      <w:r w:rsidRPr="009F352D">
        <w:t xml:space="preserve"> considered for areas not specified in the above standards.</w:t>
      </w:r>
    </w:p>
    <w:p w14:paraId="71102A41" w14:textId="77777777" w:rsidR="00094004" w:rsidRPr="006D4842" w:rsidRDefault="00094004" w:rsidP="00047844">
      <w:pPr>
        <w:pStyle w:val="Listparagraphbullets"/>
      </w:pPr>
      <w:r w:rsidRPr="00F003F1">
        <w:t xml:space="preserve">Many elements within a public transport environment are not outlined in the </w:t>
      </w:r>
      <w:r>
        <w:t>three standards listed above</w:t>
      </w:r>
      <w:r w:rsidRPr="00F003F1">
        <w:t xml:space="preserve">. Operators and providers should ensure appropriate lighting levels are provided for element </w:t>
      </w:r>
      <w:r>
        <w:t xml:space="preserve">within a public transport environment </w:t>
      </w:r>
      <w:r w:rsidRPr="00F003F1">
        <w:t>to enable safe completion of tasks. For example, wayfinding, signage, feature lighting and advertising should be serviced by an appropriately level of lighting to enable passengers and operators</w:t>
      </w:r>
      <w:r>
        <w:t xml:space="preserve"> and providers</w:t>
      </w:r>
      <w:r w:rsidRPr="00F003F1">
        <w:t xml:space="preserve"> alike to read and interact with them.</w:t>
      </w:r>
    </w:p>
    <w:p w14:paraId="1431F2B5" w14:textId="77777777" w:rsidR="00094004" w:rsidRPr="005E37BC" w:rsidRDefault="00094004" w:rsidP="00094004">
      <w:pPr>
        <w:pStyle w:val="Heading5"/>
      </w:pPr>
      <w:r w:rsidRPr="008B5641">
        <w:t>Illumination levels — conveyances</w:t>
      </w:r>
    </w:p>
    <w:p w14:paraId="5B38BD3A" w14:textId="77777777" w:rsidR="00094004" w:rsidRPr="00FA7733" w:rsidRDefault="00094004" w:rsidP="00094004">
      <w:r w:rsidRPr="00FA7733">
        <w:t>Lighting provided for boarding or alighting from a conveyance should be a minimum of 150 lux.</w:t>
      </w:r>
    </w:p>
    <w:p w14:paraId="2AC0521B" w14:textId="77777777" w:rsidR="00094004" w:rsidRPr="00FA7733" w:rsidRDefault="00094004" w:rsidP="00094004">
      <w:r w:rsidRPr="00FA7733">
        <w:t>Interior lighting may be dimmed as required to avoid reflection interfering with an operator’s vision.</w:t>
      </w:r>
    </w:p>
    <w:p w14:paraId="2F1AAF33" w14:textId="77777777" w:rsidR="00094004" w:rsidRPr="00FB4FB0" w:rsidRDefault="00094004" w:rsidP="00094004">
      <w:pPr>
        <w:pStyle w:val="Heading5"/>
      </w:pPr>
      <w:r w:rsidRPr="00FB4FB0">
        <w:t>Uniformity of illuminance</w:t>
      </w:r>
    </w:p>
    <w:p w14:paraId="2DC005C1" w14:textId="77777777" w:rsidR="00094004" w:rsidRPr="00097442" w:rsidRDefault="00094004" w:rsidP="00094004">
      <w:r w:rsidRPr="00097442">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3AA988DE" w14:textId="77777777" w:rsidR="00094004" w:rsidRPr="00097442" w:rsidRDefault="00094004" w:rsidP="00094004">
      <w:r w:rsidRPr="00097442">
        <w:t>Key illuminance uniformity measures are defined below:</w:t>
      </w:r>
    </w:p>
    <w:p w14:paraId="14F478A1" w14:textId="77777777" w:rsidR="00094004" w:rsidRDefault="00094004" w:rsidP="00047844">
      <w:pPr>
        <w:pStyle w:val="Listparagraphbullets"/>
      </w:pPr>
      <w:r w:rsidRPr="00FB4FB0">
        <w:rPr>
          <w:bCs/>
        </w:rPr>
        <w:t>U1</w:t>
      </w:r>
      <w:r w:rsidRPr="00011176">
        <w:rPr>
          <w:vertAlign w:val="subscript"/>
        </w:rPr>
        <w:t xml:space="preserve"> </w:t>
      </w:r>
      <w:r>
        <w:t xml:space="preserve">= the ratio of the minimum to average illumination levels, as defined in </w:t>
      </w:r>
      <w:r w:rsidRPr="00FB4FB0">
        <w:rPr>
          <w:bCs/>
        </w:rPr>
        <w:t>AS/NZS1158.3.1 (2020)</w:t>
      </w:r>
      <w:r>
        <w:t>.</w:t>
      </w:r>
    </w:p>
    <w:p w14:paraId="01C47303" w14:textId="77777777" w:rsidR="00094004" w:rsidRPr="00661D21" w:rsidRDefault="00094004" w:rsidP="00047844">
      <w:pPr>
        <w:pStyle w:val="Listparagraphbullets"/>
      </w:pPr>
      <w:r w:rsidRPr="00FB4FB0">
        <w:rPr>
          <w:bCs/>
        </w:rPr>
        <w:t>U2</w:t>
      </w:r>
      <w:r>
        <w:t xml:space="preserve"> = the ratio of the maximum to average illumination levels, as defined </w:t>
      </w:r>
      <w:r>
        <w:rPr>
          <w:bCs/>
        </w:rPr>
        <w:t>in AS/NZS</w:t>
      </w:r>
      <w:r w:rsidRPr="00FB4FB0">
        <w:rPr>
          <w:bCs/>
        </w:rPr>
        <w:t>1680.1 (2006)</w:t>
      </w:r>
      <w:r>
        <w:rPr>
          <w:bCs/>
        </w:rPr>
        <w:t>.</w:t>
      </w:r>
    </w:p>
    <w:p w14:paraId="687CE83E" w14:textId="77777777" w:rsidR="00094004" w:rsidRPr="00FB4FB0" w:rsidRDefault="00094004" w:rsidP="00094004">
      <w:pPr>
        <w:pStyle w:val="Heading5"/>
      </w:pPr>
      <w:r w:rsidRPr="00FB4FB0">
        <w:lastRenderedPageBreak/>
        <w:t>Control of Light Spill</w:t>
      </w:r>
    </w:p>
    <w:p w14:paraId="1AE68E89" w14:textId="77777777" w:rsidR="00094004" w:rsidRDefault="00094004" w:rsidP="00094004">
      <w:r w:rsidRPr="00097442">
        <w:t>Any lighting provided, including lighting</w:t>
      </w:r>
      <w:r>
        <w:t xml:space="preserve"> in public spaces</w:t>
      </w:r>
      <w:r w:rsidRPr="00097442">
        <w:t>, should comply with Australian Standard ASNZS4282 (2019). The standard provides information on the potential obtrusive effects of lighting</w:t>
      </w:r>
      <w:r>
        <w:t xml:space="preserve"> in public spaces</w:t>
      </w:r>
      <w:r w:rsidRPr="00097442">
        <w:t xml:space="preserve">, how to design such lighting systems and information on the impact of artificial light on biota. </w:t>
      </w:r>
      <w:r>
        <w:t xml:space="preserve"> </w:t>
      </w:r>
    </w:p>
    <w:p w14:paraId="19F6D97D" w14:textId="77777777" w:rsidR="00094004" w:rsidRPr="00661D21" w:rsidRDefault="00094004" w:rsidP="00094004">
      <w:r w:rsidRPr="00661D21">
        <w:rPr>
          <w:rFonts w:eastAsiaTheme="minorEastAsia"/>
        </w:rPr>
        <w:t>The 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011176" w:rsidDel="00011176">
        <w:rPr>
          <w:rFonts w:eastAsiaTheme="minorEastAsia"/>
        </w:rPr>
        <w:t xml:space="preserve"> </w:t>
      </w:r>
      <w:r w:rsidRPr="00661D21">
        <w:rPr>
          <w:rFonts w:eastAsiaTheme="minorEastAsia"/>
        </w:rPr>
        <w:t xml:space="preserve">provides guidance on </w:t>
      </w:r>
      <w:r>
        <w:rPr>
          <w:rFonts w:eastAsiaTheme="minorEastAsia"/>
        </w:rPr>
        <w:t>good</w:t>
      </w:r>
      <w:r w:rsidRPr="00661D21">
        <w:t xml:space="preserve"> practice lighting design for exterior areas that</w:t>
      </w:r>
      <w:r>
        <w:t xml:space="preserve"> is</w:t>
      </w:r>
      <w:r w:rsidRPr="00661D21">
        <w:t xml:space="preserve"> also applicable to design principles </w:t>
      </w:r>
      <w:r>
        <w:t xml:space="preserve">for </w:t>
      </w:r>
      <w:r w:rsidRPr="00661D21">
        <w:t>suburban and regional train stations and stops</w:t>
      </w:r>
      <w:r>
        <w:t>.</w:t>
      </w:r>
      <w:r w:rsidRPr="00661D21">
        <w:t xml:space="preserve"> </w:t>
      </w:r>
    </w:p>
    <w:p w14:paraId="2E026156" w14:textId="77777777" w:rsidR="00094004" w:rsidRPr="00FB4FB0" w:rsidRDefault="00094004" w:rsidP="00094004">
      <w:pPr>
        <w:pStyle w:val="Heading5"/>
      </w:pPr>
      <w:r w:rsidRPr="00FB4FB0">
        <w:t>Lighting Regimes</w:t>
      </w:r>
    </w:p>
    <w:p w14:paraId="2C5CDA50" w14:textId="77777777" w:rsidR="00094004" w:rsidRDefault="00094004" w:rsidP="00094004">
      <w:r w:rsidRPr="00097442">
        <w:t>Lighting regimes should be designed so that illuminance levels for task and ambient lighting can be provided separately</w:t>
      </w:r>
      <w:r>
        <w:t xml:space="preserve"> to ensure appropriate volumes and consistency of illumination is provided. For example, consider </w:t>
      </w:r>
      <w:r w:rsidRPr="00097442">
        <w:t>provid</w:t>
      </w:r>
      <w:r>
        <w:t xml:space="preserve">ing </w:t>
      </w:r>
      <w:r w:rsidRPr="00097442">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01300024" w14:textId="77777777" w:rsidR="00094004" w:rsidRPr="00097442" w:rsidRDefault="00094004" w:rsidP="00094004">
      <w:r>
        <w:t>Choice of wall finishes should consider the needs of various passengers, including people with low vision, visual hyper / hyposensitivity, and intellectual or cognitive impairment.</w:t>
      </w:r>
    </w:p>
    <w:p w14:paraId="298206B9" w14:textId="77777777" w:rsidR="00094004" w:rsidRPr="00FB4FB0" w:rsidRDefault="00094004" w:rsidP="00094004">
      <w:pPr>
        <w:pStyle w:val="Heading5"/>
      </w:pPr>
      <w:r w:rsidRPr="00FB4FB0">
        <w:t>Lighting Temperature and Colour</w:t>
      </w:r>
    </w:p>
    <w:p w14:paraId="7C48B009" w14:textId="77777777" w:rsidR="00094004" w:rsidRPr="00097442" w:rsidRDefault="00094004" w:rsidP="00094004">
      <w:r w:rsidRPr="00097442">
        <w:t xml:space="preserve">Any task lighting associated with the public transport facility should have a colour temperature between 3000 </w:t>
      </w:r>
      <w:r>
        <w:t>to</w:t>
      </w:r>
      <w:r w:rsidRPr="00097442">
        <w:t xml:space="preserve"> 3500 kelvins.</w:t>
      </w:r>
      <w:r>
        <w:t xml:space="preserve"> Lighting colour temperature is important to a variety people, including people with vision impairment and people on the autism spectrum. For information about lighting colour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0B9643E5" w14:textId="77777777" w:rsidR="00094004" w:rsidRPr="00FB4FB0" w:rsidRDefault="00094004" w:rsidP="00094004">
      <w:pPr>
        <w:pStyle w:val="Heading5"/>
      </w:pPr>
      <w:r w:rsidRPr="00FB4FB0">
        <w:t>Lighting Hardware</w:t>
      </w:r>
    </w:p>
    <w:p w14:paraId="1EB75261" w14:textId="77777777" w:rsidR="00094004" w:rsidRDefault="00094004" w:rsidP="00094004">
      <w: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79E010D3" w14:textId="77777777" w:rsidR="00094004" w:rsidRPr="00097442" w:rsidRDefault="00094004" w:rsidP="00094004">
      <w:r>
        <w:t xml:space="preserve">For information about lighting hardware choice, refer to </w:t>
      </w:r>
      <w:r w:rsidRPr="001E3E12">
        <w:rPr>
          <w:rFonts w:eastAsiaTheme="minorEastAsia"/>
          <w:i/>
          <w:iCs/>
        </w:rPr>
        <w:t>CIE 227</w:t>
      </w:r>
      <w:r>
        <w:rPr>
          <w:rFonts w:eastAsiaTheme="minorEastAsia"/>
          <w:i/>
          <w:iCs/>
        </w:rPr>
        <w:t xml:space="preserve"> (</w:t>
      </w:r>
      <w:r w:rsidRPr="001E3E12">
        <w:rPr>
          <w:rFonts w:eastAsiaTheme="minorEastAsia"/>
          <w:i/>
          <w:iCs/>
        </w:rPr>
        <w:t>2017</w:t>
      </w:r>
      <w:r>
        <w:rPr>
          <w:rFonts w:eastAsiaTheme="minorEastAsia"/>
          <w:i/>
          <w:iCs/>
        </w:rPr>
        <w:t>)</w:t>
      </w:r>
      <w:r w:rsidRPr="001E3E12">
        <w:rPr>
          <w:rFonts w:eastAsiaTheme="minorEastAsia"/>
          <w:i/>
          <w:iCs/>
        </w:rPr>
        <w:t xml:space="preserve"> Technical Report - Lighting for Older People and People with Visual Impairment in Buildings</w:t>
      </w:r>
      <w:r>
        <w:rPr>
          <w:rFonts w:eastAsiaTheme="minorEastAsia"/>
          <w:i/>
          <w:iCs/>
        </w:rPr>
        <w:t>.</w:t>
      </w:r>
    </w:p>
    <w:p w14:paraId="23F27AB2" w14:textId="77777777" w:rsidR="00094004" w:rsidRPr="00097442" w:rsidRDefault="00094004" w:rsidP="00094004">
      <w:pPr>
        <w:pStyle w:val="Heading4"/>
      </w:pPr>
      <w:r w:rsidRPr="00097442">
        <w:t>Regulatory options</w:t>
      </w:r>
    </w:p>
    <w:p w14:paraId="2859C4E0" w14:textId="77777777" w:rsidR="00094004" w:rsidRDefault="00094004" w:rsidP="00094004">
      <w:pPr>
        <w:rPr>
          <w:iCs/>
        </w:rPr>
      </w:pPr>
      <w:r w:rsidRPr="00097442">
        <w:t xml:space="preserve">The </w:t>
      </w:r>
      <w:r>
        <w:t>Transport Standards</w:t>
      </w:r>
      <w:r w:rsidRPr="00097442">
        <w:t xml:space="preserve"> would be amended with the aim of ensuring </w:t>
      </w:r>
      <w:r w:rsidRPr="00097442">
        <w:rPr>
          <w:iCs/>
        </w:rPr>
        <w:t>public transport environments deliver appropriate lighting solutions for the diverse and nuanced requirements of people with disability and meet the unique safety, contextual and operational requirements for their context.</w:t>
      </w:r>
      <w:r>
        <w:rPr>
          <w:iCs/>
        </w:rPr>
        <w:t xml:space="preserve"> Guidance would be provided for all options.</w:t>
      </w:r>
    </w:p>
    <w:p w14:paraId="16E2806C" w14:textId="77777777" w:rsidR="00094004" w:rsidRDefault="00094004" w:rsidP="00094004">
      <w:pPr>
        <w:rPr>
          <w:iCs/>
        </w:rPr>
      </w:pPr>
      <w:r w:rsidRPr="00097442">
        <w:rPr>
          <w:iCs/>
        </w:rPr>
        <w:t>No chang</w:t>
      </w:r>
      <w:r>
        <w:rPr>
          <w:iCs/>
        </w:rPr>
        <w:t>e would be made to Transport Standards, section 20.3</w:t>
      </w:r>
      <w:r w:rsidRPr="00097442">
        <w:rPr>
          <w:iCs/>
        </w:rPr>
        <w:t xml:space="preserve"> Dimming. </w:t>
      </w:r>
    </w:p>
    <w:p w14:paraId="0A6567CF" w14:textId="77777777" w:rsidR="00094004" w:rsidRPr="00097442" w:rsidRDefault="00094004" w:rsidP="00094004">
      <w:pPr>
        <w:rPr>
          <w:iCs/>
        </w:rPr>
      </w:pPr>
      <w:r>
        <w:rPr>
          <w:iCs/>
        </w:rPr>
        <w:t>Four</w:t>
      </w:r>
      <w:r w:rsidRPr="00097442">
        <w:rPr>
          <w:iCs/>
        </w:rPr>
        <w:t xml:space="preserve"> regulatory options are proposed</w:t>
      </w:r>
      <w:r>
        <w:rPr>
          <w:iCs/>
        </w:rPr>
        <w:t>:</w:t>
      </w:r>
    </w:p>
    <w:p w14:paraId="6F4C28FE" w14:textId="77777777" w:rsidR="00094004" w:rsidRPr="00BC6AEE" w:rsidRDefault="00094004" w:rsidP="00047844">
      <w:pPr>
        <w:pStyle w:val="Listparagraphbullets"/>
      </w:pPr>
      <w:r w:rsidRPr="00BC6AEE">
        <w:t>Option 1: Removal of current requirements and replaced with guidance.</w:t>
      </w:r>
    </w:p>
    <w:p w14:paraId="57CD8C56" w14:textId="77777777" w:rsidR="00094004" w:rsidRPr="00BC6AEE" w:rsidRDefault="00094004" w:rsidP="00047844">
      <w:pPr>
        <w:pStyle w:val="Listparagraphbullets"/>
      </w:pPr>
      <w:r w:rsidRPr="00BC6AEE">
        <w:t>Option 2: New Australian Standards requirements.</w:t>
      </w:r>
    </w:p>
    <w:p w14:paraId="038DA706" w14:textId="77777777" w:rsidR="00094004" w:rsidRPr="00BC6AEE" w:rsidRDefault="00094004" w:rsidP="00047844">
      <w:pPr>
        <w:pStyle w:val="Listparagraphbullets"/>
      </w:pPr>
      <w:r w:rsidRPr="00BC6AEE">
        <w:t>Option 3: New Australian Standards requirements and additional prescriptive requirements.</w:t>
      </w:r>
    </w:p>
    <w:p w14:paraId="6C4D343E" w14:textId="77777777" w:rsidR="00094004" w:rsidRPr="00BC6AEE" w:rsidRDefault="00094004" w:rsidP="00047844">
      <w:pPr>
        <w:pStyle w:val="Listparagraphbullets"/>
      </w:pPr>
      <w:r w:rsidRPr="00BC6AEE">
        <w:lastRenderedPageBreak/>
        <w:t>Option 4: New prescriptive requirements.</w:t>
      </w:r>
    </w:p>
    <w:p w14:paraId="68DA2F06" w14:textId="77777777" w:rsidR="00094004" w:rsidRPr="00D36C0D" w:rsidRDefault="00094004" w:rsidP="00094004">
      <w:pPr>
        <w:pStyle w:val="Heading5"/>
        <w:ind w:left="1134" w:hanging="1134"/>
      </w:pPr>
      <w:r w:rsidRPr="00097442">
        <w:t>Option 1</w:t>
      </w:r>
      <w:r>
        <w:t xml:space="preserve"> </w:t>
      </w:r>
      <w:r>
        <w:tab/>
      </w:r>
      <w:r w:rsidRPr="00D74203">
        <w:t>Removal of current requirements a</w:t>
      </w:r>
      <w:r>
        <w:t>nd replaced with guidance</w:t>
      </w:r>
    </w:p>
    <w:p w14:paraId="154AE6CD" w14:textId="77777777" w:rsidR="00094004" w:rsidRDefault="00094004" w:rsidP="00094004">
      <w:pPr>
        <w:rPr>
          <w:iCs/>
        </w:rPr>
      </w:pPr>
      <w:r>
        <w:rPr>
          <w:iCs/>
        </w:rPr>
        <w:t>Transport Standards,</w:t>
      </w:r>
      <w:r w:rsidRPr="00097442">
        <w:rPr>
          <w:iCs/>
        </w:rPr>
        <w:t xml:space="preserve"> </w:t>
      </w:r>
      <w:r>
        <w:rPr>
          <w:iCs/>
        </w:rPr>
        <w:t>section 20.1</w:t>
      </w:r>
      <w:r w:rsidRPr="00097442">
        <w:rPr>
          <w:iCs/>
        </w:rPr>
        <w:t xml:space="preserve"> Illumination level</w:t>
      </w:r>
      <w:r>
        <w:rPr>
          <w:iCs/>
        </w:rPr>
        <w:t xml:space="preserve">s – premises and infrastructure, </w:t>
      </w:r>
      <w:r w:rsidRPr="00097442">
        <w:rPr>
          <w:iCs/>
        </w:rPr>
        <w:t xml:space="preserve">would be amended to a performance statement and be supported by guidance material. Sections 20.2 </w:t>
      </w:r>
      <w:r>
        <w:rPr>
          <w:iCs/>
        </w:rPr>
        <w:t xml:space="preserve">Illumination levels – conveyance </w:t>
      </w:r>
      <w:r w:rsidRPr="00097442">
        <w:rPr>
          <w:iCs/>
        </w:rPr>
        <w:t xml:space="preserve">and 20.3 </w:t>
      </w:r>
      <w:r>
        <w:rPr>
          <w:iCs/>
        </w:rPr>
        <w:t xml:space="preserve">Dimming </w:t>
      </w:r>
      <w:r w:rsidRPr="00097442">
        <w:rPr>
          <w:iCs/>
        </w:rPr>
        <w:t xml:space="preserve">requirements for conveyances would remain unchanged. </w:t>
      </w:r>
    </w:p>
    <w:p w14:paraId="75851658" w14:textId="77777777" w:rsidR="00094004" w:rsidRPr="000B32D8" w:rsidRDefault="00094004" w:rsidP="00094004">
      <w:r>
        <w:t>Requirements at Transport Standards</w:t>
      </w:r>
      <w:r w:rsidRPr="00097442">
        <w:t xml:space="preserve"> </w:t>
      </w:r>
      <w:r>
        <w:t>section 20.1</w:t>
      </w:r>
      <w:r w:rsidRPr="00097442">
        <w:t xml:space="preserve"> </w:t>
      </w:r>
      <w:r w:rsidRPr="00097442">
        <w:rPr>
          <w:iCs/>
        </w:rPr>
        <w:t>Illumination level</w:t>
      </w:r>
      <w:r>
        <w:rPr>
          <w:iCs/>
        </w:rPr>
        <w:t>s – premises and infrastructure</w:t>
      </w:r>
      <w:r w:rsidRPr="00097442">
        <w:t xml:space="preserve"> would be</w:t>
      </w:r>
      <w:r>
        <w:t xml:space="preserve"> removed and replaced with the following requirements:</w:t>
      </w:r>
    </w:p>
    <w:p w14:paraId="0DB71FF0" w14:textId="77777777" w:rsidR="00094004" w:rsidRPr="000B32D8" w:rsidRDefault="00094004" w:rsidP="00047844">
      <w:pPr>
        <w:pStyle w:val="Listparagraphbullets"/>
      </w:pPr>
      <w:r w:rsidRPr="000B32D8">
        <w:t>Any lighting associated with a public transport facility must be provided to a level appropriate to the location and to enable safe completion of tasks.</w:t>
      </w:r>
    </w:p>
    <w:p w14:paraId="4550F84E" w14:textId="77777777" w:rsidR="00094004" w:rsidRPr="00097442" w:rsidRDefault="00094004" w:rsidP="00094004">
      <w:pPr>
        <w:rPr>
          <w:iCs/>
        </w:rPr>
      </w:pPr>
      <w:r w:rsidRPr="00097442">
        <w:rPr>
          <w:iCs/>
        </w:rPr>
        <w:t xml:space="preserve">These requirements would apply to premises, </w:t>
      </w:r>
      <w:r>
        <w:rPr>
          <w:iCs/>
        </w:rPr>
        <w:t>(</w:t>
      </w:r>
      <w:r w:rsidRPr="00097442">
        <w:rPr>
          <w:iCs/>
        </w:rPr>
        <w:t>except premises to which the Premises Standards apply,</w:t>
      </w:r>
      <w:r>
        <w:rPr>
          <w:iCs/>
        </w:rPr>
        <w:t>)</w:t>
      </w:r>
      <w:r w:rsidRPr="00097442">
        <w:rPr>
          <w:iCs/>
        </w:rPr>
        <w:t xml:space="preserve"> and infrastructure.</w:t>
      </w:r>
    </w:p>
    <w:p w14:paraId="4E529211" w14:textId="77777777" w:rsidR="00094004" w:rsidRPr="00097442" w:rsidRDefault="00094004" w:rsidP="00094004">
      <w:pPr>
        <w:rPr>
          <w:iCs/>
        </w:rPr>
      </w:pPr>
      <w:r w:rsidRPr="00097442">
        <w:rPr>
          <w:iCs/>
        </w:rPr>
        <w:t>This option assumes that lighting designers will</w:t>
      </w:r>
      <w:r>
        <w:rPr>
          <w:iCs/>
        </w:rPr>
        <w:t xml:space="preserve"> </w:t>
      </w:r>
      <w:r w:rsidRPr="00097442">
        <w:rPr>
          <w:iCs/>
        </w:rPr>
        <w:t xml:space="preserve">utilise guidance </w:t>
      </w:r>
      <w:r>
        <w:rPr>
          <w:iCs/>
        </w:rPr>
        <w:t>below</w:t>
      </w:r>
      <w:r w:rsidRPr="00097442">
        <w:rPr>
          <w:iCs/>
        </w:rPr>
        <w:t xml:space="preserve"> in the design of public transport infrastructure</w:t>
      </w:r>
      <w:r>
        <w:rPr>
          <w:iCs/>
        </w:rPr>
        <w:t xml:space="preserve"> to enable them to meet the performance-based standard,</w:t>
      </w:r>
      <w:r w:rsidRPr="00097442">
        <w:rPr>
          <w:iCs/>
        </w:rPr>
        <w:t xml:space="preserve"> with requirements for conveyances being unchanged.</w:t>
      </w:r>
    </w:p>
    <w:p w14:paraId="50BA65D3" w14:textId="77777777" w:rsidR="00094004"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to include </w:t>
      </w:r>
      <w:r>
        <w:t xml:space="preserve">guidance </w:t>
      </w:r>
      <w:r w:rsidRPr="00097442">
        <w:t>on levels of illuminance</w:t>
      </w:r>
      <w:r>
        <w:t xml:space="preserve"> (below)</w:t>
      </w:r>
      <w:r w:rsidRPr="00097442">
        <w:t>.</w:t>
      </w:r>
    </w:p>
    <w:p w14:paraId="19E12CB7" w14:textId="77777777" w:rsidR="00094004" w:rsidRDefault="00094004" w:rsidP="00094004">
      <w:pPr>
        <w:rPr>
          <w:iCs/>
        </w:rPr>
      </w:pPr>
      <w:r>
        <w:t>Specific guidance may include</w:t>
      </w:r>
      <w:r>
        <w:rPr>
          <w:iCs/>
        </w:rPr>
        <w:t>:</w:t>
      </w:r>
    </w:p>
    <w:p w14:paraId="6E7D32E2" w14:textId="77777777" w:rsidR="00094004" w:rsidRDefault="00094004" w:rsidP="00047844">
      <w:pPr>
        <w:pStyle w:val="Listparagraphbullets"/>
      </w:pPr>
      <w:r w:rsidRPr="00097442">
        <w:t xml:space="preserve">Any lighting associated with the public transport facility </w:t>
      </w:r>
      <w:r>
        <w:t>must</w:t>
      </w:r>
      <w:r w:rsidRPr="00097442">
        <w:t xml:space="preserve"> comply with</w:t>
      </w:r>
      <w:r>
        <w:t>:</w:t>
      </w:r>
    </w:p>
    <w:p w14:paraId="5415F01A" w14:textId="77777777" w:rsidR="00094004" w:rsidRPr="00BC6AEE" w:rsidRDefault="00094004" w:rsidP="00047844">
      <w:pPr>
        <w:pStyle w:val="Listparagraphbullets"/>
      </w:pPr>
      <w:r w:rsidRPr="00BC6AEE">
        <w:t xml:space="preserve">enclosed zones must comply with requirements in AS/NZS1680.2.1 (2008). </w:t>
      </w:r>
    </w:p>
    <w:p w14:paraId="68A8F3C7" w14:textId="77777777" w:rsidR="00094004" w:rsidRPr="00BC6AEE" w:rsidRDefault="00094004" w:rsidP="00047844">
      <w:pPr>
        <w:pStyle w:val="Listparagraphbullets"/>
      </w:pPr>
      <w:r w:rsidRPr="00BC6AEE">
        <w:t>unenclosed zones must comply with requirements in ASNZS1158.3.1 (2020).</w:t>
      </w:r>
    </w:p>
    <w:p w14:paraId="349D0D6F" w14:textId="77777777" w:rsidR="00094004" w:rsidRPr="00BC6AEE" w:rsidRDefault="00094004" w:rsidP="00047844">
      <w:pPr>
        <w:pStyle w:val="Listparagraphbullets"/>
      </w:pPr>
      <w:r w:rsidRPr="00BC6AEE">
        <w:t xml:space="preserve">lifts must comply with requirements in AS1735.12 (2020). </w:t>
      </w:r>
    </w:p>
    <w:p w14:paraId="081923A2" w14:textId="77777777" w:rsidR="00094004" w:rsidRPr="00A1528F" w:rsidRDefault="00094004" w:rsidP="00047844">
      <w:pPr>
        <w:pStyle w:val="Listparagraphbullets"/>
        <w:rPr>
          <w:iCs/>
        </w:rPr>
      </w:pPr>
      <w:r w:rsidRPr="00A1528F">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4778BC31" w14:textId="77777777" w:rsidR="00094004" w:rsidRPr="00973BE5" w:rsidRDefault="00094004" w:rsidP="00094004">
      <w:pPr>
        <w:pStyle w:val="Heading5"/>
        <w:ind w:left="1134" w:hanging="1134"/>
      </w:pPr>
      <w:r w:rsidRPr="00097442">
        <w:t>Option 2</w:t>
      </w:r>
      <w:r>
        <w:t xml:space="preserve"> </w:t>
      </w:r>
      <w:r>
        <w:tab/>
      </w:r>
      <w:r w:rsidRPr="00D74203">
        <w:t xml:space="preserve">New </w:t>
      </w:r>
      <w:r>
        <w:t xml:space="preserve">Australian Standards </w:t>
      </w:r>
      <w:r w:rsidRPr="00D74203">
        <w:t>requirements</w:t>
      </w:r>
    </w:p>
    <w:p w14:paraId="7DD8826F" w14:textId="77777777" w:rsidR="00094004" w:rsidRDefault="00094004" w:rsidP="00094004">
      <w:pPr>
        <w:rPr>
          <w:iCs/>
        </w:rPr>
      </w:pPr>
      <w:r w:rsidRPr="00097442">
        <w:rPr>
          <w:iCs/>
        </w:rPr>
        <w:t xml:space="preserve">This option </w:t>
      </w:r>
      <w:r>
        <w:rPr>
          <w:iCs/>
        </w:rPr>
        <w:t xml:space="preserve">would amend the Transport Standards to include </w:t>
      </w:r>
      <w:r>
        <w:rPr>
          <w:rFonts w:eastAsia="Times New Roman" w:cstheme="minorHAnsi"/>
          <w:color w:val="000000"/>
          <w:lang w:eastAsia="en-AU"/>
        </w:rPr>
        <w:t xml:space="preserve">new </w:t>
      </w:r>
      <w:r w:rsidRPr="00097442">
        <w:rPr>
          <w:rFonts w:eastAsia="Times New Roman" w:cstheme="minorHAnsi"/>
          <w:color w:val="000000"/>
          <w:lang w:eastAsia="en-AU"/>
        </w:rPr>
        <w:t xml:space="preserve">Australian Standards </w:t>
      </w:r>
      <w:r>
        <w:rPr>
          <w:rFonts w:eastAsia="Times New Roman" w:cstheme="minorHAnsi"/>
          <w:color w:val="000000"/>
          <w:lang w:eastAsia="en-AU"/>
        </w:rPr>
        <w:t xml:space="preserve">requirements </w:t>
      </w:r>
      <w:r w:rsidRPr="00097442">
        <w:rPr>
          <w:rFonts w:eastAsia="Times New Roman" w:cstheme="minorHAnsi"/>
          <w:color w:val="000000"/>
          <w:lang w:eastAsia="en-AU"/>
        </w:rPr>
        <w:t>for elements specific to public transport environments</w:t>
      </w:r>
      <w:r>
        <w:rPr>
          <w:rFonts w:eastAsia="Times New Roman" w:cstheme="minorHAnsi"/>
          <w:color w:val="000000"/>
          <w:lang w:eastAsia="en-AU"/>
        </w:rPr>
        <w:t xml:space="preserve"> at Transport Standards, </w:t>
      </w:r>
      <w:r>
        <w:rPr>
          <w:iCs/>
        </w:rPr>
        <w:t>s</w:t>
      </w:r>
      <w:r w:rsidRPr="00097442">
        <w:rPr>
          <w:iCs/>
        </w:rPr>
        <w:t>ection 20.1 Illumination level</w:t>
      </w:r>
      <w:r>
        <w:rPr>
          <w:iCs/>
        </w:rPr>
        <w:t>s – premises and infrastructure</w:t>
      </w:r>
      <w:r w:rsidRPr="00097442">
        <w:rPr>
          <w:iCs/>
        </w:rPr>
        <w:t xml:space="preserve"> and 20.2 Illumination level</w:t>
      </w:r>
      <w:r>
        <w:rPr>
          <w:iCs/>
        </w:rPr>
        <w:t>s – conveyance.</w:t>
      </w:r>
    </w:p>
    <w:p w14:paraId="7610C5F8" w14:textId="77777777" w:rsidR="00094004" w:rsidRDefault="00094004" w:rsidP="00094004">
      <w:pPr>
        <w:rPr>
          <w:iCs/>
        </w:rPr>
      </w:pPr>
      <w:r w:rsidRPr="00096997">
        <w:rPr>
          <w:iCs/>
        </w:rPr>
        <w:t>Section 20.1, Illumination levels – premises and infrastructure, would be amended to include</w:t>
      </w:r>
      <w:r>
        <w:rPr>
          <w:iCs/>
        </w:rPr>
        <w:t xml:space="preserve"> the following requirements:</w:t>
      </w:r>
    </w:p>
    <w:p w14:paraId="7C87BFCA" w14:textId="77777777" w:rsidR="00094004" w:rsidRPr="00FA7733" w:rsidRDefault="00094004" w:rsidP="00047844">
      <w:pPr>
        <w:pStyle w:val="Listparagraphbullets"/>
      </w:pPr>
      <w:r>
        <w:t>A</w:t>
      </w:r>
      <w:r w:rsidRPr="00096997">
        <w:t xml:space="preserve">ny </w:t>
      </w:r>
      <w:r w:rsidRPr="00FA7733">
        <w:t>lighting</w:t>
      </w:r>
      <w:r w:rsidRPr="00096997">
        <w:t xml:space="preserve"> associated with the public transport facility must comply with the greater of the following:</w:t>
      </w:r>
    </w:p>
    <w:p w14:paraId="7ED59C98" w14:textId="77777777" w:rsidR="00094004" w:rsidRPr="007D4F6E" w:rsidRDefault="00094004" w:rsidP="00047844">
      <w:pPr>
        <w:pStyle w:val="Listparagraphbullets"/>
      </w:pPr>
      <w:r>
        <w:t>E</w:t>
      </w:r>
      <w:r w:rsidRPr="007D4F6E">
        <w:t>nclosed zones</w:t>
      </w:r>
      <w:r>
        <w:t xml:space="preserve"> must comply with requirements in </w:t>
      </w:r>
      <w:r w:rsidRPr="007D4F6E">
        <w:t>AS</w:t>
      </w:r>
      <w:r>
        <w:t>/</w:t>
      </w:r>
      <w:r w:rsidRPr="007D4F6E">
        <w:t>NZS1680.2.1 (2008). Enclosed Zones are defined as fully enclosed or underground transport environments, fully covered which receive no significant amount of natural light (direct or indirect). For example, an underground railway station or bus station.</w:t>
      </w:r>
    </w:p>
    <w:p w14:paraId="63E568EE" w14:textId="77777777" w:rsidR="00094004" w:rsidRPr="007D4F6E" w:rsidRDefault="00094004" w:rsidP="00047844">
      <w:pPr>
        <w:pStyle w:val="Listparagraphbullets"/>
      </w:pPr>
      <w:r>
        <w:t>U</w:t>
      </w:r>
      <w:r w:rsidRPr="007D4F6E">
        <w:t>nenclosed zones</w:t>
      </w:r>
      <w:r>
        <w:t xml:space="preserve"> must comply with requirements in </w:t>
      </w:r>
      <w:r w:rsidRPr="007D4F6E">
        <w:t>AS</w:t>
      </w:r>
      <w:r>
        <w:t>/</w:t>
      </w:r>
      <w:r w:rsidRPr="007D4F6E">
        <w:t>NZS1158.3.1 (2020)</w:t>
      </w:r>
      <w:r>
        <w:t>.</w:t>
      </w:r>
      <w:r w:rsidRPr="007D4F6E">
        <w:t xml:space="preserve"> Unenclosed zones are transport environments that are not covered under Clause (1). For example, a covered waiting area on a train station, ferry terminal, bus interchange or ferry stop.</w:t>
      </w:r>
    </w:p>
    <w:p w14:paraId="72F75A15" w14:textId="77777777" w:rsidR="00094004" w:rsidRPr="00F003F1" w:rsidRDefault="00094004" w:rsidP="00047844">
      <w:pPr>
        <w:pStyle w:val="Listparagraphbullets"/>
      </w:pPr>
      <w:r>
        <w:rPr>
          <w:bCs/>
        </w:rPr>
        <w:lastRenderedPageBreak/>
        <w:t>L</w:t>
      </w:r>
      <w:r w:rsidRPr="00A1528F">
        <w:rPr>
          <w:bCs/>
        </w:rPr>
        <w:t>ifts</w:t>
      </w:r>
      <w:r>
        <w:t xml:space="preserve"> must comply with requirements in AS1</w:t>
      </w:r>
      <w:r w:rsidRPr="00B407C9">
        <w:t>735.12</w:t>
      </w:r>
      <w:r>
        <w:t xml:space="preserve"> (</w:t>
      </w:r>
      <w:r w:rsidRPr="00B407C9">
        <w:t>2020</w:t>
      </w:r>
      <w:r>
        <w:t>).</w:t>
      </w:r>
    </w:p>
    <w:p w14:paraId="1647DFDA" w14:textId="77777777" w:rsidR="00094004" w:rsidRPr="00F003F1" w:rsidRDefault="00094004" w:rsidP="00094004">
      <w:pPr>
        <w:rPr>
          <w:iCs/>
        </w:rPr>
      </w:pPr>
      <w:r w:rsidRPr="006D4842">
        <w:rPr>
          <w:iCs/>
        </w:rPr>
        <w:t>These requirement</w:t>
      </w:r>
      <w:r w:rsidRPr="00F003F1">
        <w:rPr>
          <w:iCs/>
        </w:rPr>
        <w:t xml:space="preserve">s would </w:t>
      </w:r>
      <w:r>
        <w:rPr>
          <w:iCs/>
        </w:rPr>
        <w:t>pertain</w:t>
      </w:r>
      <w:r w:rsidRPr="00F003F1">
        <w:rPr>
          <w:iCs/>
        </w:rPr>
        <w:t xml:space="preserve"> to conveyances, premises, except premises to which the Premises Standards apply, and infrastructure.</w:t>
      </w:r>
    </w:p>
    <w:p w14:paraId="5E636A5C" w14:textId="77777777" w:rsidR="00094004" w:rsidRDefault="00094004" w:rsidP="00094004">
      <w:pPr>
        <w:rPr>
          <w:iCs/>
        </w:rPr>
      </w:pPr>
      <w:r>
        <w:t xml:space="preserve">Transport Standards, </w:t>
      </w:r>
      <w:r>
        <w:rPr>
          <w:iCs/>
        </w:rPr>
        <w:t>s</w:t>
      </w:r>
      <w:r w:rsidRPr="00FA7733">
        <w:rPr>
          <w:iCs/>
        </w:rPr>
        <w:t>ection 20.2, Illumination levels — conveyances</w:t>
      </w:r>
      <w:r>
        <w:rPr>
          <w:iCs/>
        </w:rPr>
        <w:t>,</w:t>
      </w:r>
      <w:r w:rsidRPr="00FA7733">
        <w:rPr>
          <w:iCs/>
        </w:rPr>
        <w:t xml:space="preserve"> would be amended to include</w:t>
      </w:r>
      <w:r>
        <w:rPr>
          <w:iCs/>
        </w:rPr>
        <w:t xml:space="preserve"> the following requirements:</w:t>
      </w:r>
      <w:r w:rsidRPr="00FA7733">
        <w:rPr>
          <w:iCs/>
        </w:rPr>
        <w:t xml:space="preserve"> </w:t>
      </w:r>
    </w:p>
    <w:p w14:paraId="26F44628" w14:textId="77777777" w:rsidR="00094004" w:rsidRPr="00096997" w:rsidRDefault="00094004" w:rsidP="00047844">
      <w:pPr>
        <w:pStyle w:val="Listparagraphbullets"/>
        <w:rPr>
          <w:iCs/>
        </w:rPr>
      </w:pPr>
      <w:r>
        <w:rPr>
          <w:iCs/>
        </w:rPr>
        <w:t>Any</w:t>
      </w:r>
      <w:r w:rsidRPr="00FA7733">
        <w:t xml:space="preserve"> lighting provided for boarding or alighting from a conveyance must be a minimum of 150 lux. Any fixtures or of facilities provided within conveyances must comply with the requirements of </w:t>
      </w:r>
      <w:r>
        <w:t>s</w:t>
      </w:r>
      <w:r w:rsidRPr="00FA7733">
        <w:t>ection 20.1</w:t>
      </w:r>
      <w:r>
        <w:t xml:space="preserve"> </w:t>
      </w:r>
      <w:r w:rsidRPr="00096997">
        <w:rPr>
          <w:iCs/>
        </w:rPr>
        <w:t>Illumination levels – premises and infrastructure</w:t>
      </w:r>
      <w:r w:rsidRPr="00FA7733">
        <w:t>.</w:t>
      </w:r>
    </w:p>
    <w:p w14:paraId="0434343E" w14:textId="77777777" w:rsidR="00094004" w:rsidRPr="00FA7733" w:rsidRDefault="00094004" w:rsidP="00094004">
      <w:pPr>
        <w:rPr>
          <w:iCs/>
        </w:rPr>
      </w:pPr>
      <w:r w:rsidRPr="00180B00">
        <w:rPr>
          <w:iCs/>
        </w:rPr>
        <w:t>These requirements would apply to conveyances</w:t>
      </w:r>
      <w:r>
        <w:rPr>
          <w:iCs/>
        </w:rPr>
        <w:t>.</w:t>
      </w:r>
    </w:p>
    <w:p w14:paraId="61C4DB7B" w14:textId="77777777" w:rsidR="00094004"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w:t>
      </w:r>
      <w:r>
        <w:t xml:space="preserve">with the content in the guidance option below </w:t>
      </w:r>
      <w:r w:rsidRPr="00097442">
        <w:t xml:space="preserve">to include </w:t>
      </w:r>
      <w:r>
        <w:t xml:space="preserve">guidance </w:t>
      </w:r>
      <w:r w:rsidRPr="00097442">
        <w:t>on levels of illuminance</w:t>
      </w:r>
      <w:r>
        <w:t xml:space="preserve"> (below)</w:t>
      </w:r>
      <w:r w:rsidRPr="00097442">
        <w:t>.</w:t>
      </w:r>
    </w:p>
    <w:p w14:paraId="5824D6EC" w14:textId="77777777" w:rsidR="00094004" w:rsidRDefault="00094004" w:rsidP="00094004">
      <w:r>
        <w:t>Specific guidance may include:</w:t>
      </w:r>
    </w:p>
    <w:p w14:paraId="18560264" w14:textId="77777777" w:rsidR="00094004" w:rsidRPr="00A1528F" w:rsidRDefault="00094004" w:rsidP="00047844">
      <w:pPr>
        <w:pStyle w:val="Listparagraphbullets"/>
        <w:rPr>
          <w:iCs/>
        </w:rPr>
      </w:pPr>
      <w:r w:rsidRPr="00A1528F">
        <w:t>Many elements within a public transport environment are not outlined in the standards above. Operators and providers should ensure appropriate lighting levels are provided for each part, area or element to enable safe completion of tasks. For example, wayfinding, signage, feature lighting and advertising should be serviced by an appropriately level of lighting to enable passengers and operators alike to read and interact with them.</w:t>
      </w:r>
    </w:p>
    <w:p w14:paraId="36A663F6" w14:textId="77777777" w:rsidR="00094004" w:rsidRPr="00973BE5" w:rsidRDefault="00094004" w:rsidP="00094004">
      <w:pPr>
        <w:pStyle w:val="Heading5"/>
        <w:ind w:left="1134" w:hanging="1134"/>
      </w:pPr>
      <w:r w:rsidRPr="00097442">
        <w:t xml:space="preserve">Option </w:t>
      </w:r>
      <w:r>
        <w:t xml:space="preserve">3 </w:t>
      </w:r>
      <w:r>
        <w:tab/>
      </w:r>
      <w:r w:rsidRPr="00D74203">
        <w:t xml:space="preserve">New </w:t>
      </w:r>
      <w:r>
        <w:t xml:space="preserve">Australian Standards </w:t>
      </w:r>
      <w:r w:rsidRPr="00D74203">
        <w:t xml:space="preserve">requirements </w:t>
      </w:r>
      <w:r>
        <w:t xml:space="preserve">and </w:t>
      </w:r>
      <w:r w:rsidRPr="00D74203">
        <w:t>addit</w:t>
      </w:r>
      <w:r>
        <w:t>ional prescriptive requirements</w:t>
      </w:r>
    </w:p>
    <w:p w14:paraId="28559F99" w14:textId="77777777" w:rsidR="00094004" w:rsidRPr="00097442" w:rsidRDefault="00094004" w:rsidP="00094004">
      <w:pPr>
        <w:rPr>
          <w:iCs/>
        </w:rPr>
      </w:pPr>
      <w:r w:rsidRPr="00097442">
        <w:rPr>
          <w:iCs/>
        </w:rPr>
        <w:t xml:space="preserve">This option </w:t>
      </w:r>
      <w:r w:rsidRPr="00097442">
        <w:rPr>
          <w:rFonts w:eastAsia="Times New Roman" w:cstheme="minorHAnsi"/>
          <w:color w:val="000000"/>
          <w:lang w:eastAsia="en-AU"/>
        </w:rPr>
        <w:t>proposes a combination of references to Australian Standards and prescriptive requirements for elements specific to public transport environments</w:t>
      </w:r>
      <w:r>
        <w:rPr>
          <w:rFonts w:eastAsia="Times New Roman" w:cstheme="minorHAnsi"/>
          <w:color w:val="000000"/>
          <w:lang w:eastAsia="en-AU"/>
        </w:rPr>
        <w:t xml:space="preserve"> at Part 20 Lighting, including </w:t>
      </w:r>
      <w:r>
        <w:rPr>
          <w:iCs/>
        </w:rPr>
        <w:t>s</w:t>
      </w:r>
      <w:r w:rsidRPr="00097442">
        <w:rPr>
          <w:iCs/>
        </w:rPr>
        <w:t>ection 20.1 Illumination level</w:t>
      </w:r>
      <w:r>
        <w:rPr>
          <w:iCs/>
        </w:rPr>
        <w:t>s – premises and infrastructure</w:t>
      </w:r>
      <w:r w:rsidRPr="00097442">
        <w:rPr>
          <w:iCs/>
        </w:rPr>
        <w:t xml:space="preserve"> and 20.2 Illumination level</w:t>
      </w:r>
      <w:r>
        <w:rPr>
          <w:iCs/>
        </w:rPr>
        <w:t>s – conveyance</w:t>
      </w:r>
      <w:r w:rsidRPr="00097442">
        <w:rPr>
          <w:iCs/>
        </w:rPr>
        <w:t xml:space="preserve">. </w:t>
      </w:r>
    </w:p>
    <w:p w14:paraId="77D87224" w14:textId="77777777" w:rsidR="00094004" w:rsidRPr="00096997" w:rsidRDefault="00094004" w:rsidP="00094004">
      <w:r>
        <w:rPr>
          <w:iCs/>
        </w:rPr>
        <w:t xml:space="preserve">Transport Standards, </w:t>
      </w:r>
      <w:r w:rsidRPr="00096997">
        <w:rPr>
          <w:iCs/>
        </w:rPr>
        <w:t>Part 20 Lighting would be amended to include the following requirements:</w:t>
      </w:r>
    </w:p>
    <w:p w14:paraId="459FCCCF" w14:textId="77777777" w:rsidR="00094004" w:rsidRPr="007D4F6E" w:rsidRDefault="00094004" w:rsidP="00047844">
      <w:pPr>
        <w:pStyle w:val="Listparagraphbullets"/>
      </w:pPr>
      <w:r>
        <w:rPr>
          <w:iCs/>
        </w:rPr>
        <w:t>A</w:t>
      </w:r>
      <w:r w:rsidRPr="007D4F6E">
        <w:t xml:space="preserve">ny task lighting associated with </w:t>
      </w:r>
      <w:r>
        <w:t>a</w:t>
      </w:r>
      <w:r w:rsidRPr="007D4F6E">
        <w:t xml:space="preserve"> public transport facility:</w:t>
      </w:r>
    </w:p>
    <w:p w14:paraId="1E80F340" w14:textId="77777777" w:rsidR="00094004" w:rsidRPr="00330188" w:rsidRDefault="00094004" w:rsidP="00094004">
      <w:pPr>
        <w:ind w:left="1701" w:hanging="567"/>
        <w:rPr>
          <w:b/>
        </w:rPr>
      </w:pPr>
      <w:r w:rsidRPr="00330188">
        <w:rPr>
          <w:b/>
        </w:rPr>
        <w:t>Sub-option 1</w:t>
      </w:r>
    </w:p>
    <w:p w14:paraId="54008DC1" w14:textId="77777777" w:rsidR="00094004" w:rsidRPr="007D4F6E" w:rsidRDefault="00094004" w:rsidP="00094004">
      <w:pPr>
        <w:ind w:left="1134"/>
      </w:pPr>
      <w:r w:rsidRPr="007D4F6E">
        <w:rPr>
          <w:b/>
        </w:rPr>
        <w:t>Must</w:t>
      </w:r>
      <w:r w:rsidRPr="007D4F6E">
        <w:t xml:space="preserve"> have a colour temperature between 3000 to 3500 kelvins. Task lighting is defined as dedicated lighting provided to enable the completion of an activity</w:t>
      </w:r>
      <w:r>
        <w:t>. F</w:t>
      </w:r>
      <w:r w:rsidRPr="007D4F6E">
        <w:t>or example, the reading of a sign or use of fare system elements.</w:t>
      </w:r>
    </w:p>
    <w:p w14:paraId="344B0519" w14:textId="77777777" w:rsidR="00094004" w:rsidRPr="00330188" w:rsidRDefault="00094004" w:rsidP="00094004">
      <w:pPr>
        <w:ind w:left="1701" w:hanging="567"/>
        <w:rPr>
          <w:b/>
        </w:rPr>
      </w:pPr>
      <w:r w:rsidRPr="00330188">
        <w:rPr>
          <w:b/>
        </w:rPr>
        <w:t>Sub-option 2</w:t>
      </w:r>
    </w:p>
    <w:p w14:paraId="3D0F5DB5" w14:textId="77777777" w:rsidR="00094004" w:rsidRPr="007D4F6E" w:rsidRDefault="00094004" w:rsidP="00094004">
      <w:pPr>
        <w:ind w:left="1134"/>
      </w:pPr>
      <w:r w:rsidRPr="007D4F6E">
        <w:rPr>
          <w:b/>
        </w:rPr>
        <w:t>Should</w:t>
      </w:r>
      <w:r w:rsidRPr="007D4F6E">
        <w:t xml:space="preserve"> have a colour temperature between 3000 to 3500 kelvins. Task lighting is defined as dedicated lighting provided to enable the completion of an activity</w:t>
      </w:r>
      <w:r>
        <w:t>. F</w:t>
      </w:r>
      <w:r w:rsidRPr="007D4F6E">
        <w:t>or example, the reading of a sign or use of fare system elements.</w:t>
      </w:r>
    </w:p>
    <w:p w14:paraId="118AC97D" w14:textId="77777777" w:rsidR="00094004" w:rsidRPr="00F645E1" w:rsidRDefault="00094004" w:rsidP="00094004">
      <w:r w:rsidRPr="00F645E1">
        <w:t xml:space="preserve">These requirements would </w:t>
      </w:r>
      <w:r>
        <w:t>pertain</w:t>
      </w:r>
      <w:r w:rsidRPr="00F645E1">
        <w:t xml:space="preserve"> to conveyances, premises, (except premises to which the Premises Standards apply) and infrastructure.</w:t>
      </w:r>
    </w:p>
    <w:p w14:paraId="146086FF" w14:textId="77777777" w:rsidR="00094004" w:rsidRDefault="00094004" w:rsidP="00094004">
      <w:pPr>
        <w:rPr>
          <w:iCs/>
        </w:rPr>
      </w:pPr>
      <w:r>
        <w:rPr>
          <w:iCs/>
        </w:rPr>
        <w:t>Transport Standards, s</w:t>
      </w:r>
      <w:r w:rsidRPr="00096997">
        <w:rPr>
          <w:iCs/>
        </w:rPr>
        <w:t>ection 20.1 Illumination levels – premises and infrastructure, would be amended to include</w:t>
      </w:r>
      <w:r>
        <w:rPr>
          <w:iCs/>
        </w:rPr>
        <w:t xml:space="preserve"> the following requirements:</w:t>
      </w:r>
    </w:p>
    <w:p w14:paraId="56279C28" w14:textId="77777777" w:rsidR="00094004" w:rsidRPr="00FA7733" w:rsidRDefault="00094004" w:rsidP="00047844">
      <w:pPr>
        <w:pStyle w:val="Listparagraphbullets"/>
      </w:pPr>
      <w:r>
        <w:t>A</w:t>
      </w:r>
      <w:r w:rsidRPr="00096997">
        <w:t xml:space="preserve">ny </w:t>
      </w:r>
      <w:r w:rsidRPr="00FA7733">
        <w:t>lighting</w:t>
      </w:r>
      <w:r w:rsidRPr="00096997">
        <w:t xml:space="preserve"> associated with the public transport facility must comply with the greater of the following:</w:t>
      </w:r>
    </w:p>
    <w:p w14:paraId="489E9B39" w14:textId="77777777" w:rsidR="00094004" w:rsidRPr="007D4F6E" w:rsidRDefault="00094004" w:rsidP="00047844">
      <w:pPr>
        <w:pStyle w:val="Listparagraphbullets"/>
        <w:numPr>
          <w:ilvl w:val="1"/>
          <w:numId w:val="4"/>
        </w:numPr>
        <w:ind w:left="851"/>
      </w:pPr>
      <w:r>
        <w:lastRenderedPageBreak/>
        <w:t>E</w:t>
      </w:r>
      <w:r w:rsidRPr="007D4F6E">
        <w:t>nclosed zones</w:t>
      </w:r>
      <w:r>
        <w:t xml:space="preserve"> must comply with requirements in</w:t>
      </w:r>
      <w:r w:rsidRPr="007D4F6E">
        <w:t xml:space="preserve"> AS</w:t>
      </w:r>
      <w:r>
        <w:t>/</w:t>
      </w:r>
      <w:r w:rsidRPr="007D4F6E">
        <w:t>NZS1680.2.1 (2008). Enclosed Zones are defined as fully enclosed or underground transport environments, fully covered which receive no significant amount of natural light (direct or indirect). For example, an underground railway station or bus station.</w:t>
      </w:r>
    </w:p>
    <w:p w14:paraId="07B5BABE" w14:textId="77777777" w:rsidR="00094004" w:rsidRDefault="00094004" w:rsidP="00047844">
      <w:pPr>
        <w:pStyle w:val="Listparagraphbullets"/>
        <w:numPr>
          <w:ilvl w:val="1"/>
          <w:numId w:val="4"/>
        </w:numPr>
        <w:ind w:left="851"/>
      </w:pPr>
      <w:r>
        <w:t>U</w:t>
      </w:r>
      <w:r w:rsidRPr="007D4F6E">
        <w:t>nenclosed zones</w:t>
      </w:r>
      <w:r>
        <w:t xml:space="preserve"> must comply with requirements in</w:t>
      </w:r>
      <w:r w:rsidRPr="007D4F6E">
        <w:t xml:space="preserve"> AS</w:t>
      </w:r>
      <w:r>
        <w:t>/</w:t>
      </w:r>
      <w:r w:rsidRPr="007D4F6E">
        <w:t xml:space="preserve">NZS1158.3.1 (2020) Unenclosed zones are transport </w:t>
      </w:r>
      <w:r w:rsidRPr="00DB0FA1">
        <w:t>environments</w:t>
      </w:r>
      <w:r w:rsidRPr="007D4F6E">
        <w:t xml:space="preserve"> that are not covered under Clause (1). For example, a covered waiting area on a train station, ferry terminal, bus interchange or ferry stop.</w:t>
      </w:r>
    </w:p>
    <w:p w14:paraId="61C9C71D" w14:textId="77777777" w:rsidR="00094004" w:rsidRDefault="00094004" w:rsidP="00047844">
      <w:pPr>
        <w:pStyle w:val="Listparagraphbullets"/>
        <w:numPr>
          <w:ilvl w:val="1"/>
          <w:numId w:val="4"/>
        </w:numPr>
        <w:ind w:left="851"/>
      </w:pPr>
      <w:r>
        <w:rPr>
          <w:bCs/>
        </w:rPr>
        <w:t>L</w:t>
      </w:r>
      <w:r w:rsidRPr="00A1528F">
        <w:rPr>
          <w:bCs/>
        </w:rPr>
        <w:t>ifts</w:t>
      </w:r>
      <w:r>
        <w:t xml:space="preserve"> must comply with requirements in AS1</w:t>
      </w:r>
      <w:r w:rsidRPr="00B407C9">
        <w:t>735.12</w:t>
      </w:r>
      <w:r>
        <w:t xml:space="preserve"> (</w:t>
      </w:r>
      <w:r w:rsidRPr="00B407C9">
        <w:t>2020</w:t>
      </w:r>
      <w:r>
        <w:t>)</w:t>
      </w:r>
    </w:p>
    <w:p w14:paraId="14E8974D" w14:textId="77777777" w:rsidR="00094004" w:rsidRPr="008B5641" w:rsidRDefault="00094004" w:rsidP="00047844">
      <w:pPr>
        <w:pStyle w:val="Listparagraphbullets"/>
        <w:numPr>
          <w:ilvl w:val="1"/>
          <w:numId w:val="4"/>
        </w:numPr>
        <w:ind w:left="851"/>
      </w:pPr>
      <w:r w:rsidRPr="008B5641">
        <w:t xml:space="preserve">Levels of illumination </w:t>
      </w:r>
      <w:r w:rsidRPr="00900D56">
        <w:t>in Tables 8 to 11 (below) for areas</w:t>
      </w:r>
      <w:r w:rsidRPr="008B5641">
        <w:t xml:space="preserve"> not specified in the above three standards.</w:t>
      </w:r>
    </w:p>
    <w:p w14:paraId="3A0130CD" w14:textId="77777777" w:rsidR="00094004" w:rsidRPr="00096997" w:rsidRDefault="00094004" w:rsidP="00094004">
      <w:pPr>
        <w:rPr>
          <w:iCs/>
        </w:rPr>
      </w:pPr>
      <w:r w:rsidRPr="00096997">
        <w:rPr>
          <w:iCs/>
        </w:rPr>
        <w:t xml:space="preserve">These requirements would </w:t>
      </w:r>
      <w:r>
        <w:rPr>
          <w:iCs/>
        </w:rPr>
        <w:t>pertain</w:t>
      </w:r>
      <w:r w:rsidRPr="00096997">
        <w:rPr>
          <w:iCs/>
        </w:rPr>
        <w:t xml:space="preserve"> to conveyances, premises, except premises to which the Premises Standards apply, and infrastructure.</w:t>
      </w:r>
    </w:p>
    <w:p w14:paraId="5AB9FB6B" w14:textId="77777777" w:rsidR="00094004" w:rsidRDefault="00094004" w:rsidP="00094004">
      <w:pPr>
        <w:rPr>
          <w:iCs/>
        </w:rPr>
      </w:pPr>
      <w:r>
        <w:rPr>
          <w:iCs/>
        </w:rPr>
        <w:t>Transport Standards, s</w:t>
      </w:r>
      <w:r w:rsidRPr="00FA7733">
        <w:rPr>
          <w:iCs/>
        </w:rPr>
        <w:t>ection 20.2, Illumination levels — conveyances, would be amended to include</w:t>
      </w:r>
      <w:r>
        <w:rPr>
          <w:iCs/>
        </w:rPr>
        <w:t xml:space="preserve"> the following requirements:</w:t>
      </w:r>
      <w:r w:rsidRPr="00FA7733">
        <w:rPr>
          <w:iCs/>
        </w:rPr>
        <w:t xml:space="preserve"> </w:t>
      </w:r>
    </w:p>
    <w:p w14:paraId="2BEF14A2" w14:textId="77777777" w:rsidR="00094004" w:rsidRPr="00096997" w:rsidRDefault="00094004" w:rsidP="00047844">
      <w:pPr>
        <w:pStyle w:val="Listparagraphbullets"/>
        <w:rPr>
          <w:iCs/>
        </w:rPr>
      </w:pPr>
      <w:r>
        <w:rPr>
          <w:iCs/>
        </w:rPr>
        <w:t>Any</w:t>
      </w:r>
      <w:r w:rsidRPr="00FA7733">
        <w:t xml:space="preserve"> </w:t>
      </w:r>
      <w:r w:rsidRPr="00717450">
        <w:t>lighting</w:t>
      </w:r>
      <w:r w:rsidRPr="00FA7733">
        <w:t xml:space="preserve"> provided for boarding or alighting from a conveyance must be a minimum of 150 lux. Any </w:t>
      </w:r>
      <w:r w:rsidRPr="00717450">
        <w:t>fixtures</w:t>
      </w:r>
      <w:r w:rsidRPr="00FA7733">
        <w:t xml:space="preserve"> or of facilities provided within conveyances must c</w:t>
      </w:r>
      <w:r>
        <w:t>omply with the requirements of s</w:t>
      </w:r>
      <w:r w:rsidRPr="00FA7733">
        <w:t>ection 20.1</w:t>
      </w:r>
      <w:r w:rsidRPr="000647F6">
        <w:rPr>
          <w:iCs/>
        </w:rPr>
        <w:t xml:space="preserve"> </w:t>
      </w:r>
      <w:r w:rsidRPr="00096997">
        <w:rPr>
          <w:iCs/>
        </w:rPr>
        <w:t>Illumination levels – premises and infrastructure</w:t>
      </w:r>
      <w:r w:rsidRPr="00FA7733">
        <w:t>.</w:t>
      </w:r>
    </w:p>
    <w:p w14:paraId="0DF75FC0" w14:textId="77777777" w:rsidR="00094004" w:rsidRPr="00FA7733" w:rsidRDefault="00094004" w:rsidP="00094004">
      <w:pPr>
        <w:rPr>
          <w:iCs/>
        </w:rPr>
      </w:pPr>
      <w:r w:rsidRPr="00180B00">
        <w:rPr>
          <w:iCs/>
        </w:rPr>
        <w:t xml:space="preserve">These requirements would </w:t>
      </w:r>
      <w:r>
        <w:rPr>
          <w:iCs/>
        </w:rPr>
        <w:t>pertain</w:t>
      </w:r>
      <w:r w:rsidRPr="00180B00">
        <w:rPr>
          <w:iCs/>
        </w:rPr>
        <w:t xml:space="preserve"> to conveyances</w:t>
      </w:r>
      <w:r>
        <w:rPr>
          <w:iCs/>
        </w:rPr>
        <w:t>.</w:t>
      </w:r>
    </w:p>
    <w:p w14:paraId="6620F482" w14:textId="77777777" w:rsidR="00094004" w:rsidRPr="00097442"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include </w:t>
      </w:r>
      <w:r>
        <w:t xml:space="preserve">guidance </w:t>
      </w:r>
      <w:r w:rsidRPr="00097442">
        <w:t>on levels of illuminance</w:t>
      </w:r>
      <w:r>
        <w:t xml:space="preserve"> (below) and the following definitions</w:t>
      </w:r>
      <w:r w:rsidRPr="00097442">
        <w:t>.</w:t>
      </w:r>
    </w:p>
    <w:p w14:paraId="1950FC11" w14:textId="77777777" w:rsidR="00094004" w:rsidRPr="00973BE5" w:rsidRDefault="00094004" w:rsidP="00094004">
      <w:pPr>
        <w:pStyle w:val="Heading6"/>
      </w:pPr>
      <w:r w:rsidRPr="00973BE5">
        <w:t xml:space="preserve">Definitions </w:t>
      </w:r>
    </w:p>
    <w:p w14:paraId="52E2CDAC" w14:textId="77777777" w:rsidR="00094004" w:rsidRPr="00F41E8D" w:rsidRDefault="00094004" w:rsidP="00047844">
      <w:pPr>
        <w:pStyle w:val="Listparagraphbullets"/>
      </w:pPr>
      <w:r w:rsidRPr="00096997">
        <w:t>Boarding point</w:t>
      </w:r>
      <w:r>
        <w:t>: A</w:t>
      </w:r>
      <w:r w:rsidRPr="00F41E8D">
        <w:t xml:space="preserve"> door or location at which passengers enter or exit a conveyance. </w:t>
      </w:r>
    </w:p>
    <w:p w14:paraId="61F933D9" w14:textId="77777777" w:rsidR="00094004" w:rsidRPr="00F41E8D" w:rsidRDefault="00094004" w:rsidP="00047844">
      <w:pPr>
        <w:pStyle w:val="Listparagraphbullets"/>
      </w:pPr>
      <w:r w:rsidRPr="00096997">
        <w:t>Customer service point</w:t>
      </w:r>
      <w:r>
        <w:t>: Any</w:t>
      </w:r>
      <w:r w:rsidRPr="00F41E8D">
        <w:t xml:space="preserve"> dedicated location where a passenger receives assistance or information, pays a fare or communicates with staff.</w:t>
      </w:r>
    </w:p>
    <w:p w14:paraId="3046E90B" w14:textId="77777777" w:rsidR="00094004" w:rsidRPr="00F41E8D" w:rsidRDefault="00094004" w:rsidP="00047844">
      <w:pPr>
        <w:pStyle w:val="Listparagraphbullets"/>
      </w:pPr>
      <w:r w:rsidRPr="00096997">
        <w:t>Static information displays (hard copy)</w:t>
      </w:r>
      <w:r>
        <w:t>: A</w:t>
      </w:r>
      <w:r w:rsidRPr="00F41E8D">
        <w:t xml:space="preserve"> visual display of fixed information that is not self-illuminated (backlit). For example, printed timetable or station layout. </w:t>
      </w:r>
    </w:p>
    <w:p w14:paraId="2B672357" w14:textId="77777777" w:rsidR="00094004" w:rsidRPr="00F41E8D" w:rsidRDefault="00094004" w:rsidP="00047844">
      <w:pPr>
        <w:pStyle w:val="Listparagraphbullets"/>
      </w:pPr>
      <w:r w:rsidRPr="00096997">
        <w:t>Fare system elements</w:t>
      </w:r>
      <w:r>
        <w:t>: Any</w:t>
      </w:r>
      <w:r w:rsidRPr="00F41E8D">
        <w:t xml:space="preserve"> hardware that a passenger interacts with that is associated with the purchase or payment of fares. For example, fare payment devices, fare gates, and fare validators. Self-illuminated or backlit displays are excluded from these requirements when provided in isolation with no other lighting.</w:t>
      </w:r>
    </w:p>
    <w:p w14:paraId="2EC37A00" w14:textId="77777777" w:rsidR="00094004" w:rsidRPr="00F41E8D" w:rsidRDefault="00094004" w:rsidP="00047844">
      <w:pPr>
        <w:pStyle w:val="Listparagraphbullets"/>
      </w:pPr>
      <w:r w:rsidRPr="00096997">
        <w:t>Pedestrian level crossings (rail)</w:t>
      </w:r>
      <w:r>
        <w:t xml:space="preserve">: Any </w:t>
      </w:r>
      <w:r w:rsidRPr="00F41E8D">
        <w:t xml:space="preserve">crossing of a railway at grade for both vehicular traffic and other road </w:t>
      </w:r>
      <w:r>
        <w:t>passengers</w:t>
      </w:r>
      <w:r w:rsidRPr="00F41E8D">
        <w:t>, including pedestrians.</w:t>
      </w:r>
    </w:p>
    <w:p w14:paraId="1C2C3116" w14:textId="77777777" w:rsidR="00094004" w:rsidRPr="00F41E8D" w:rsidRDefault="00094004" w:rsidP="00094004">
      <w:pPr>
        <w:rPr>
          <w:iCs/>
        </w:rPr>
      </w:pPr>
      <w:r w:rsidRPr="00097442">
        <w:t xml:space="preserve">Note: Many elements within a public transport environment are </w:t>
      </w:r>
      <w:r w:rsidRPr="00A13DF8">
        <w:t>not outlined in the table</w:t>
      </w:r>
      <w:r>
        <w:t>s</w:t>
      </w:r>
      <w:r w:rsidRPr="00A13DF8">
        <w:t xml:space="preserve"> </w:t>
      </w:r>
      <w:r>
        <w:t>below</w:t>
      </w:r>
      <w:r w:rsidRPr="00097442">
        <w:t xml:space="preserve">. Operators and providers should ensure appropriate lighting levels are provided for each </w:t>
      </w:r>
      <w:r>
        <w:t>element</w:t>
      </w:r>
      <w:r w:rsidRPr="00097442">
        <w:t xml:space="preserve"> within a public transport environment to enable safe completion of tasks. For example, wayfinding, signage, feature lighting and advertising should be serviced by an appropriate level of lighting to enable passengers and operators alike to read and interact with them.</w:t>
      </w:r>
    </w:p>
    <w:p w14:paraId="6663DFB9" w14:textId="77777777" w:rsidR="00094004" w:rsidRPr="00973BE5" w:rsidRDefault="00094004" w:rsidP="00094004">
      <w:pPr>
        <w:pStyle w:val="Heading5"/>
        <w:ind w:left="1134" w:hanging="1134"/>
      </w:pPr>
      <w:r w:rsidRPr="00097442">
        <w:t xml:space="preserve">Option </w:t>
      </w:r>
      <w:r>
        <w:t xml:space="preserve">4 </w:t>
      </w:r>
      <w:r>
        <w:tab/>
      </w:r>
      <w:r w:rsidRPr="00D74203">
        <w:t>New comprehensive prescriptive requ</w:t>
      </w:r>
      <w:r>
        <w:t>irements</w:t>
      </w:r>
    </w:p>
    <w:p w14:paraId="208AA808" w14:textId="77777777" w:rsidR="00094004" w:rsidRPr="00097442" w:rsidRDefault="00094004" w:rsidP="00094004">
      <w:pPr>
        <w:rPr>
          <w:iCs/>
        </w:rPr>
      </w:pPr>
      <w:r>
        <w:rPr>
          <w:iCs/>
        </w:rPr>
        <w:t>Transport Standards, Part 20 Lighting, would be amended to include new</w:t>
      </w:r>
      <w:r w:rsidRPr="00097442">
        <w:rPr>
          <w:iCs/>
        </w:rPr>
        <w:t xml:space="preserve"> prescriptive lighting design requirements for elements within public transport environments. No chang</w:t>
      </w:r>
      <w:r>
        <w:rPr>
          <w:iCs/>
        </w:rPr>
        <w:t>e would be made to Transport Standards, section 20.3</w:t>
      </w:r>
      <w:r w:rsidRPr="00097442">
        <w:rPr>
          <w:iCs/>
        </w:rPr>
        <w:t xml:space="preserve"> Dimming. </w:t>
      </w:r>
    </w:p>
    <w:p w14:paraId="025CFCFF" w14:textId="77777777" w:rsidR="00094004" w:rsidRPr="00097442" w:rsidRDefault="00094004" w:rsidP="00094004">
      <w:pPr>
        <w:rPr>
          <w:iCs/>
        </w:rPr>
      </w:pPr>
      <w:r w:rsidRPr="00097442">
        <w:rPr>
          <w:iCs/>
        </w:rPr>
        <w:t>Note</w:t>
      </w:r>
      <w:r>
        <w:rPr>
          <w:iCs/>
        </w:rPr>
        <w:t>: F</w:t>
      </w:r>
      <w:r w:rsidRPr="00097442">
        <w:rPr>
          <w:iCs/>
        </w:rPr>
        <w:t>or guidance on lighting uniformity and transition between elements refer to AS</w:t>
      </w:r>
      <w:r>
        <w:rPr>
          <w:iCs/>
        </w:rPr>
        <w:t>/</w:t>
      </w:r>
      <w:r w:rsidRPr="00097442">
        <w:rPr>
          <w:iCs/>
        </w:rPr>
        <w:t>NZS1680.2 (2008) for enclosed zones and AS</w:t>
      </w:r>
      <w:r>
        <w:rPr>
          <w:iCs/>
        </w:rPr>
        <w:t>/</w:t>
      </w:r>
      <w:r w:rsidRPr="00097442">
        <w:rPr>
          <w:iCs/>
        </w:rPr>
        <w:t>NZS1158.3.1 (2020) for unenclosed zones.</w:t>
      </w:r>
    </w:p>
    <w:p w14:paraId="44627E0E" w14:textId="77777777" w:rsidR="00094004" w:rsidRPr="00097442" w:rsidRDefault="00094004" w:rsidP="00094004">
      <w:pPr>
        <w:rPr>
          <w:iCs/>
        </w:rPr>
      </w:pPr>
      <w:r w:rsidRPr="00097442">
        <w:rPr>
          <w:iCs/>
        </w:rPr>
        <w:t xml:space="preserve">The </w:t>
      </w:r>
      <w:r>
        <w:rPr>
          <w:iCs/>
        </w:rPr>
        <w:t>Transport Standards</w:t>
      </w:r>
      <w:r w:rsidRPr="00097442">
        <w:rPr>
          <w:iCs/>
        </w:rPr>
        <w:t xml:space="preserve"> would include the following amendments and / or new requir</w:t>
      </w:r>
      <w:r>
        <w:rPr>
          <w:iCs/>
        </w:rPr>
        <w:t>e</w:t>
      </w:r>
      <w:r w:rsidRPr="00097442">
        <w:rPr>
          <w:iCs/>
        </w:rPr>
        <w:t>ments</w:t>
      </w:r>
      <w:r>
        <w:rPr>
          <w:iCs/>
        </w:rPr>
        <w:t>:</w:t>
      </w:r>
    </w:p>
    <w:p w14:paraId="118ABA81" w14:textId="77777777" w:rsidR="00094004" w:rsidRPr="00097442" w:rsidRDefault="00094004" w:rsidP="00047844">
      <w:pPr>
        <w:pStyle w:val="Listparagraphbullets"/>
      </w:pPr>
      <w:r w:rsidRPr="00097442">
        <w:lastRenderedPageBreak/>
        <w:t>Any task lighting associated with the public transport facility:</w:t>
      </w:r>
    </w:p>
    <w:p w14:paraId="1221A20F" w14:textId="77777777" w:rsidR="00094004" w:rsidRPr="005072E3" w:rsidRDefault="00094004" w:rsidP="00094004">
      <w:pPr>
        <w:ind w:left="1701" w:hanging="567"/>
        <w:rPr>
          <w:b/>
        </w:rPr>
      </w:pPr>
      <w:r w:rsidRPr="005072E3">
        <w:rPr>
          <w:b/>
        </w:rPr>
        <w:t>Sub-option 1</w:t>
      </w:r>
    </w:p>
    <w:p w14:paraId="2F52DFF5" w14:textId="77777777" w:rsidR="00094004" w:rsidRPr="007D4F6E" w:rsidRDefault="00094004" w:rsidP="00094004">
      <w:pPr>
        <w:ind w:left="1134"/>
        <w:rPr>
          <w:b/>
        </w:rPr>
      </w:pPr>
      <w:r w:rsidRPr="007D4F6E">
        <w:rPr>
          <w:b/>
        </w:rPr>
        <w:t xml:space="preserve">Must </w:t>
      </w:r>
      <w:r w:rsidRPr="007D4F6E">
        <w:t>have a colour temperature between 3000 to 3500 kelvins. Task lighting is defined as dedicated lighting provided to enabling the completion of an activity</w:t>
      </w:r>
      <w:r>
        <w:t>. F</w:t>
      </w:r>
      <w:r w:rsidRPr="007D4F6E">
        <w:t>or example, the reading of a sign or use of fare system elements.</w:t>
      </w:r>
    </w:p>
    <w:p w14:paraId="196690EC" w14:textId="77777777" w:rsidR="00094004" w:rsidRPr="005072E3" w:rsidRDefault="00094004" w:rsidP="00094004">
      <w:pPr>
        <w:ind w:left="1701" w:hanging="567"/>
        <w:rPr>
          <w:b/>
        </w:rPr>
      </w:pPr>
      <w:r w:rsidRPr="005072E3">
        <w:rPr>
          <w:b/>
        </w:rPr>
        <w:t>Sub-option 2</w:t>
      </w:r>
    </w:p>
    <w:p w14:paraId="0ED27C30" w14:textId="77777777" w:rsidR="00094004" w:rsidRPr="007D4F6E" w:rsidRDefault="00094004" w:rsidP="00094004">
      <w:pPr>
        <w:ind w:left="1134"/>
      </w:pPr>
      <w:r w:rsidRPr="007D4F6E">
        <w:rPr>
          <w:b/>
        </w:rPr>
        <w:t>Should</w:t>
      </w:r>
      <w:r w:rsidRPr="007D4F6E">
        <w:t xml:space="preserve"> have a colour temperature between 3000 to 3500 kelvins. Task lighting is defined as dedicated lighting provided to enabling the completion of an activity</w:t>
      </w:r>
      <w:r>
        <w:t>, for</w:t>
      </w:r>
      <w:r w:rsidRPr="007D4F6E">
        <w:t xml:space="preserve"> example, the reading of a sign or use of fare system elements.</w:t>
      </w:r>
    </w:p>
    <w:p w14:paraId="3BF2F7BB" w14:textId="77777777" w:rsidR="00094004" w:rsidRDefault="00094004" w:rsidP="00094004">
      <w:pPr>
        <w:rPr>
          <w:iCs/>
        </w:rPr>
      </w:pPr>
      <w:r w:rsidRPr="00F645E1">
        <w:t xml:space="preserve">These requirements would </w:t>
      </w:r>
      <w:r>
        <w:t>pertain</w:t>
      </w:r>
      <w:r w:rsidRPr="00F645E1">
        <w:t xml:space="preserve"> to conveyances, premises, (except premises to which the Premises Standards apply,) and infrastructure.</w:t>
      </w:r>
    </w:p>
    <w:p w14:paraId="7316A6E9" w14:textId="77777777" w:rsidR="00094004" w:rsidRDefault="00094004" w:rsidP="00094004">
      <w:pPr>
        <w:rPr>
          <w:iCs/>
        </w:rPr>
      </w:pPr>
      <w:r>
        <w:rPr>
          <w:iCs/>
        </w:rPr>
        <w:t>Transport Standards, s</w:t>
      </w:r>
      <w:r w:rsidRPr="005F0D6F">
        <w:rPr>
          <w:iCs/>
        </w:rPr>
        <w:t xml:space="preserve">ection 20.1, Illumination levels — premises and infrastructure, of the </w:t>
      </w:r>
      <w:r>
        <w:rPr>
          <w:iCs/>
        </w:rPr>
        <w:t>Transport Standards</w:t>
      </w:r>
      <w:r w:rsidRPr="005F0D6F">
        <w:rPr>
          <w:iCs/>
        </w:rPr>
        <w:t xml:space="preserve"> would be amended to include</w:t>
      </w:r>
      <w:r>
        <w:rPr>
          <w:iCs/>
        </w:rPr>
        <w:t xml:space="preserve"> the following requirements:</w:t>
      </w:r>
    </w:p>
    <w:p w14:paraId="470E1AA7" w14:textId="77777777" w:rsidR="00094004" w:rsidRDefault="00094004" w:rsidP="00047844">
      <w:pPr>
        <w:pStyle w:val="Listparagraphbullets"/>
      </w:pPr>
      <w:r>
        <w:rPr>
          <w:iCs/>
        </w:rPr>
        <w:t>A</w:t>
      </w:r>
      <w:r w:rsidRPr="005F0D6F">
        <w:t xml:space="preserve">ny lighting </w:t>
      </w:r>
      <w:r w:rsidRPr="00900D56">
        <w:t>associated with the public transport facility must comply with the levels of illumination provided at Tables 12 to 15 (below).</w:t>
      </w:r>
    </w:p>
    <w:p w14:paraId="032142A0" w14:textId="77777777" w:rsidR="00094004" w:rsidRDefault="00094004" w:rsidP="00094004">
      <w:pPr>
        <w:rPr>
          <w:iCs/>
        </w:rPr>
      </w:pPr>
      <w:r>
        <w:rPr>
          <w:iCs/>
        </w:rPr>
        <w:t>Transport Standards, s</w:t>
      </w:r>
      <w:r w:rsidRPr="00096997">
        <w:rPr>
          <w:iCs/>
        </w:rPr>
        <w:t xml:space="preserve">ection 20. 2, Illumination levels — conveyances, would be amended to include </w:t>
      </w:r>
      <w:r>
        <w:rPr>
          <w:iCs/>
        </w:rPr>
        <w:t xml:space="preserve">the following requirements: </w:t>
      </w:r>
    </w:p>
    <w:p w14:paraId="2E05B251" w14:textId="77777777" w:rsidR="00094004" w:rsidRPr="00096997" w:rsidRDefault="00094004" w:rsidP="00047844">
      <w:pPr>
        <w:pStyle w:val="Listparagraphbullets"/>
        <w:rPr>
          <w:bCs/>
        </w:rPr>
      </w:pPr>
      <w:r w:rsidRPr="00096997">
        <w:t>A</w:t>
      </w:r>
      <w:r w:rsidRPr="005F0D6F">
        <w:t>ny</w:t>
      </w:r>
      <w:r w:rsidRPr="00096997">
        <w:t xml:space="preserve"> lighting provided for boarding or alighting from a conveyance must be a minimum of 150 lux. Any fixtures or of facilities provided within conveyances must comply with the requirements of </w:t>
      </w:r>
      <w:r>
        <w:t>Transport Standards, s</w:t>
      </w:r>
      <w:r w:rsidRPr="00096997">
        <w:t>ection 20.1 Illumination levels — premises and infrastructure.</w:t>
      </w:r>
    </w:p>
    <w:p w14:paraId="2B969E21" w14:textId="77777777" w:rsidR="00094004" w:rsidRPr="00097442" w:rsidRDefault="00094004" w:rsidP="00094004">
      <w:r w:rsidRPr="00097442">
        <w:t xml:space="preserve">The Whole Journey Guide </w:t>
      </w:r>
      <w:r>
        <w:t xml:space="preserve">and / </w:t>
      </w:r>
      <w:r w:rsidRPr="00097442">
        <w:t xml:space="preserve">or the </w:t>
      </w:r>
      <w:r>
        <w:t>Transport Standards</w:t>
      </w:r>
      <w:r w:rsidRPr="00097442">
        <w:t xml:space="preserve"> Guidelines would be updated </w:t>
      </w:r>
      <w:r>
        <w:t>to i</w:t>
      </w:r>
      <w:r w:rsidRPr="00097442">
        <w:t xml:space="preserve">nclude </w:t>
      </w:r>
      <w:r>
        <w:t xml:space="preserve">guidance </w:t>
      </w:r>
      <w:r w:rsidRPr="00097442">
        <w:t>on levels of illuminance</w:t>
      </w:r>
      <w:r>
        <w:t xml:space="preserve"> (below) and the following definitions</w:t>
      </w:r>
      <w:r w:rsidRPr="00097442">
        <w:t>.</w:t>
      </w:r>
    </w:p>
    <w:p w14:paraId="4C3D1428" w14:textId="77777777" w:rsidR="00094004" w:rsidRPr="00FB4FB0" w:rsidRDefault="00094004" w:rsidP="00094004">
      <w:pPr>
        <w:rPr>
          <w:b/>
          <w:iCs/>
        </w:rPr>
      </w:pPr>
      <w:r w:rsidRPr="00FB4FB0">
        <w:rPr>
          <w:b/>
        </w:rPr>
        <w:t>Definitions</w:t>
      </w:r>
    </w:p>
    <w:p w14:paraId="5E3B16E6" w14:textId="77777777" w:rsidR="00094004" w:rsidRPr="00254FF8" w:rsidRDefault="00094004" w:rsidP="00047844">
      <w:pPr>
        <w:pStyle w:val="Listparagraphbullets"/>
      </w:pPr>
      <w:r>
        <w:t>Enclosed zones: F</w:t>
      </w:r>
      <w:r w:rsidRPr="00254FF8">
        <w:t>ully enclosed or underground transport environments, fully covered which receive no significant amount of natural light (direct or indirect). For example, an underground railway station or bus station.</w:t>
      </w:r>
    </w:p>
    <w:p w14:paraId="1BEA63A0" w14:textId="77777777" w:rsidR="00094004" w:rsidRPr="00254FF8" w:rsidRDefault="00094004" w:rsidP="00047844">
      <w:pPr>
        <w:pStyle w:val="Listparagraphbullets"/>
      </w:pPr>
      <w:r>
        <w:t>Unclosed zones: T</w:t>
      </w:r>
      <w:r w:rsidRPr="00254FF8">
        <w:t>ransport environments that are not covered under the enclosed zones definition. For example, a covered waiting area on a train station, ferry terminal, bus interchange or ferry stop.</w:t>
      </w:r>
    </w:p>
    <w:p w14:paraId="09FCC473" w14:textId="77777777" w:rsidR="00094004" w:rsidRPr="00254FF8" w:rsidRDefault="00094004" w:rsidP="00047844">
      <w:pPr>
        <w:pStyle w:val="Listparagraphbullets"/>
      </w:pPr>
      <w:r>
        <w:t>Boarding point: T</w:t>
      </w:r>
      <w:r w:rsidRPr="00254FF8">
        <w:t>he door or location at which passengers enter or exit a conveyance. Light source may be provided from within the conveyance.</w:t>
      </w:r>
    </w:p>
    <w:p w14:paraId="410922A7" w14:textId="77777777" w:rsidR="00094004" w:rsidRPr="00254FF8" w:rsidRDefault="00094004" w:rsidP="00047844">
      <w:pPr>
        <w:pStyle w:val="Listparagraphbullets"/>
      </w:pPr>
      <w:r>
        <w:t>Customer services counter: A</w:t>
      </w:r>
      <w:r w:rsidRPr="00254FF8">
        <w:t>ny location where a passenger receives assistance or information, pays a fare or communicates, with staff.</w:t>
      </w:r>
    </w:p>
    <w:p w14:paraId="16834753" w14:textId="77777777" w:rsidR="00094004" w:rsidRPr="00254FF8" w:rsidRDefault="00094004" w:rsidP="00047844">
      <w:pPr>
        <w:pStyle w:val="Listparagraphbullets"/>
      </w:pPr>
      <w:r w:rsidRPr="00254FF8">
        <w:t>Static information displays (hard copy)</w:t>
      </w:r>
      <w:r>
        <w:t>: A</w:t>
      </w:r>
      <w:r w:rsidRPr="00254FF8">
        <w:t xml:space="preserve"> visual display of fixed information that is not self-illuminated (backlit). For example, printed timetable or station layout.</w:t>
      </w:r>
    </w:p>
    <w:p w14:paraId="4553E8C9" w14:textId="77777777" w:rsidR="00094004" w:rsidRPr="00254FF8" w:rsidRDefault="00094004" w:rsidP="00047844">
      <w:pPr>
        <w:pStyle w:val="Listparagraphbullets"/>
      </w:pPr>
      <w:r>
        <w:t>Fare system elements: A</w:t>
      </w:r>
      <w:r w:rsidRPr="00254FF8">
        <w:t>ny hardware that a passenger interacts with that is associated with the purchase or payment of fares. For example, fare vending machines, fare gates, and validators. Self-illuminated or backlit displays are excluded from these requirements when provided in isolation with no other lighting.</w:t>
      </w:r>
    </w:p>
    <w:p w14:paraId="3F16323F" w14:textId="77777777" w:rsidR="00094004" w:rsidRPr="00254FF8" w:rsidRDefault="00094004" w:rsidP="00047844">
      <w:pPr>
        <w:pStyle w:val="Listparagraphbullets"/>
      </w:pPr>
      <w:r>
        <w:t>External pathways: P</w:t>
      </w:r>
      <w:r w:rsidRPr="00254FF8">
        <w:t>athways exterior to, but still associated with, the public transport asset. For example, pathways to and from carparks.</w:t>
      </w:r>
    </w:p>
    <w:p w14:paraId="519282D0" w14:textId="77777777" w:rsidR="00094004" w:rsidRPr="00254FF8" w:rsidRDefault="00094004" w:rsidP="00047844">
      <w:pPr>
        <w:pStyle w:val="Listparagraphbullets"/>
      </w:pPr>
      <w:r w:rsidRPr="005F0D6F">
        <w:t>Pedestrian</w:t>
      </w:r>
      <w:r>
        <w:t xml:space="preserve"> level crossings (rail): A</w:t>
      </w:r>
      <w:r w:rsidRPr="00254FF8">
        <w:t xml:space="preserve">ny crossing of a railway at grade for both vehicular traffic and other road </w:t>
      </w:r>
      <w:r>
        <w:t>passengers</w:t>
      </w:r>
      <w:r w:rsidRPr="00254FF8">
        <w:t xml:space="preserve">, including pedestrians. </w:t>
      </w:r>
    </w:p>
    <w:p w14:paraId="7CB13CED" w14:textId="77777777" w:rsidR="00094004" w:rsidRDefault="00094004" w:rsidP="00094004">
      <w:r w:rsidRPr="00097442">
        <w:lastRenderedPageBreak/>
        <w:t xml:space="preserve">Note: Many elements within a public transport environment are </w:t>
      </w:r>
      <w:r w:rsidRPr="00A13DF8">
        <w:t>not outlined in the table</w:t>
      </w:r>
      <w:r>
        <w:t>s</w:t>
      </w:r>
      <w:r w:rsidRPr="00A13DF8">
        <w:t xml:space="preserve"> </w:t>
      </w:r>
      <w:r>
        <w:t>below</w:t>
      </w:r>
      <w:r w:rsidRPr="00097442">
        <w:t xml:space="preserve">. Operators and providers should ensure appropriate lighting levels are provided for </w:t>
      </w:r>
      <w:r>
        <w:t>element</w:t>
      </w:r>
      <w:r w:rsidRPr="00097442">
        <w:t xml:space="preserve"> within a public transport environment </w:t>
      </w:r>
      <w:r>
        <w:t>t</w:t>
      </w:r>
      <w:r w:rsidRPr="00097442">
        <w:t>o enable safe completion of tasks. For example, wayfinding, signage, feature lighting and advertising should be serviced by an appropriate level of lighting to enable passengers and operators alike to read and interact with them.</w:t>
      </w:r>
    </w:p>
    <w:p w14:paraId="367B485C" w14:textId="77777777" w:rsidR="00094004" w:rsidRDefault="00094004" w:rsidP="00094004">
      <w:pPr>
        <w:pStyle w:val="Heading5"/>
        <w:ind w:left="1134" w:hanging="1134"/>
      </w:pPr>
      <w:r>
        <w:t>Guidance – Levels of Illuminance</w:t>
      </w:r>
    </w:p>
    <w:p w14:paraId="3293B96E" w14:textId="77777777" w:rsidR="00094004" w:rsidRDefault="00094004" w:rsidP="00094004">
      <w:r>
        <w:t>The</w:t>
      </w:r>
      <w:r w:rsidRPr="00097442">
        <w:t xml:space="preserve"> </w:t>
      </w:r>
      <w:r>
        <w:t>Transport Standards</w:t>
      </w:r>
      <w:r w:rsidRPr="00097442">
        <w:t xml:space="preserve"> Guidelines and</w:t>
      </w:r>
      <w:r>
        <w:t xml:space="preserve"> / or</w:t>
      </w:r>
      <w:r w:rsidRPr="00097442">
        <w:t xml:space="preserve"> The Whole Journey Guide would be updated to reflect the new requirements.</w:t>
      </w:r>
    </w:p>
    <w:p w14:paraId="683D79CA" w14:textId="77777777" w:rsidR="00094004" w:rsidRPr="00097442" w:rsidRDefault="00094004" w:rsidP="00094004">
      <w:r w:rsidRPr="00097442">
        <w:t>Specific guidance may include the following:</w:t>
      </w:r>
    </w:p>
    <w:p w14:paraId="19762981" w14:textId="77777777" w:rsidR="00094004" w:rsidRPr="00097442" w:rsidRDefault="00094004" w:rsidP="00094004">
      <w:pPr>
        <w:rPr>
          <w:rFonts w:cstheme="minorHAnsi"/>
          <w:b/>
          <w:iCs/>
        </w:rPr>
      </w:pPr>
      <w:r w:rsidRPr="00097442">
        <w:rPr>
          <w:rFonts w:cstheme="minorHAnsi"/>
          <w:b/>
          <w:iCs/>
        </w:rPr>
        <w:t>Uniformity of illuminance</w:t>
      </w:r>
    </w:p>
    <w:p w14:paraId="6522FBA6" w14:textId="77777777" w:rsidR="00094004" w:rsidRPr="00097442" w:rsidRDefault="00094004" w:rsidP="00094004">
      <w:r w:rsidRPr="00097442">
        <w:t xml:space="preserve">Uniformity of illuminance is a major contributor to lighting quality and can be calculated by measuring the average, minimum and maximum illuminance. Light intensity thresholds are usually identified in a way to provide required visibility level for a specific visual task.  </w:t>
      </w:r>
    </w:p>
    <w:p w14:paraId="0A1CFB94" w14:textId="77777777" w:rsidR="00094004" w:rsidRPr="00097442" w:rsidRDefault="00094004" w:rsidP="00094004">
      <w:r w:rsidRPr="00097442">
        <w:t>Key illuminance uniformity measures are defined below:</w:t>
      </w:r>
    </w:p>
    <w:p w14:paraId="14EC224D" w14:textId="77777777" w:rsidR="00094004" w:rsidRPr="00982D84" w:rsidRDefault="00094004" w:rsidP="0020414C">
      <w:pPr>
        <w:pStyle w:val="Listparagraphbullets"/>
      </w:pPr>
      <w:r w:rsidRPr="00FB4FB0">
        <w:rPr>
          <w:bCs/>
        </w:rPr>
        <w:t>U1</w:t>
      </w:r>
      <w:r w:rsidRPr="00982D84">
        <w:rPr>
          <w:vertAlign w:val="subscript"/>
        </w:rPr>
        <w:t xml:space="preserve"> </w:t>
      </w:r>
      <w:r w:rsidRPr="00982D84">
        <w:t xml:space="preserve">= the ratio of the minimum to average illumination levels, as defined in </w:t>
      </w:r>
      <w:r w:rsidRPr="00FB4FB0">
        <w:rPr>
          <w:bCs/>
        </w:rPr>
        <w:t>AS/NZS1158.3.1 (2020)</w:t>
      </w:r>
      <w:r w:rsidRPr="00982D84">
        <w:t> </w:t>
      </w:r>
    </w:p>
    <w:p w14:paraId="41ECAD07" w14:textId="77777777" w:rsidR="00094004" w:rsidRPr="00982D84" w:rsidRDefault="00094004" w:rsidP="0020414C">
      <w:pPr>
        <w:pStyle w:val="Listparagraphbullets"/>
      </w:pPr>
      <w:r w:rsidRPr="00FB4FB0">
        <w:rPr>
          <w:bCs/>
        </w:rPr>
        <w:t>U2</w:t>
      </w:r>
      <w:r w:rsidRPr="00982D84">
        <w:t xml:space="preserve"> = the ratio of the maximum to average illumination levels, as defined </w:t>
      </w:r>
      <w:r w:rsidRPr="00FB4FB0">
        <w:rPr>
          <w:bCs/>
        </w:rPr>
        <w:t>in AS/NZS 1680.1 (2006)</w:t>
      </w:r>
    </w:p>
    <w:p w14:paraId="2FB6C334" w14:textId="77777777" w:rsidR="00094004" w:rsidRDefault="00094004" w:rsidP="00094004"/>
    <w:p w14:paraId="116B7DAE" w14:textId="77777777" w:rsidR="00094004" w:rsidRPr="00097442" w:rsidRDefault="00094004" w:rsidP="00094004">
      <w:pPr>
        <w:rPr>
          <w:b/>
        </w:rPr>
      </w:pPr>
      <w:r w:rsidRPr="00097442">
        <w:rPr>
          <w:b/>
        </w:rPr>
        <w:t>Control of Light Spill</w:t>
      </w:r>
    </w:p>
    <w:p w14:paraId="63C1433E" w14:textId="77777777" w:rsidR="00094004" w:rsidRDefault="00094004" w:rsidP="00094004">
      <w:r w:rsidRPr="00097442">
        <w:t>Any lighting provided, including lighting</w:t>
      </w:r>
      <w:r>
        <w:t xml:space="preserve"> in public spaces</w:t>
      </w:r>
      <w:r w:rsidRPr="00097442">
        <w:t>, should comply with Australian Standard ASNZS4282 (2019). The standard provides information on the potential obtrusive effects of lighting</w:t>
      </w:r>
      <w:r>
        <w:t xml:space="preserve"> in public spaces</w:t>
      </w:r>
      <w:r w:rsidRPr="00097442">
        <w:t xml:space="preserve">, how to design such lighting systems and information on the impact of artificial light on biota. </w:t>
      </w:r>
      <w:r>
        <w:t xml:space="preserve"> </w:t>
      </w:r>
    </w:p>
    <w:p w14:paraId="083D82DC" w14:textId="77777777" w:rsidR="00094004" w:rsidRPr="006D4842" w:rsidRDefault="00094004" w:rsidP="00094004">
      <w:r w:rsidRPr="00F003F1">
        <w:rPr>
          <w:rFonts w:eastAsiaTheme="minorEastAsia"/>
        </w:rPr>
        <w:t xml:space="preserve">The </w:t>
      </w:r>
      <w:r w:rsidRPr="00661D21">
        <w:rPr>
          <w:rFonts w:eastAsiaTheme="minorEastAsia"/>
        </w:rPr>
        <w:t>Australian Government Department of Environment and Energy</w:t>
      </w:r>
      <w:r>
        <w:rPr>
          <w:rFonts w:eastAsiaTheme="minorEastAsia"/>
        </w:rPr>
        <w:t xml:space="preserve">, </w:t>
      </w:r>
      <w:r w:rsidRPr="00011176">
        <w:rPr>
          <w:rFonts w:eastAsiaTheme="minorEastAsia"/>
        </w:rPr>
        <w:t>National Light Pollution Guidelines for Wildlife Including Marine Turtles, Seabirds and Migratory Shorebirds</w:t>
      </w:r>
      <w:r w:rsidRPr="00F003F1" w:rsidDel="00982D84">
        <w:rPr>
          <w:rFonts w:eastAsiaTheme="minorEastAsia"/>
        </w:rPr>
        <w:t xml:space="preserve"> </w:t>
      </w:r>
      <w:r w:rsidRPr="00F003F1">
        <w:rPr>
          <w:rFonts w:eastAsiaTheme="minorEastAsia"/>
        </w:rPr>
        <w:t xml:space="preserve">provides guidance on </w:t>
      </w:r>
      <w:r>
        <w:rPr>
          <w:rFonts w:eastAsiaTheme="minorEastAsia"/>
        </w:rPr>
        <w:t>good</w:t>
      </w:r>
      <w:r w:rsidRPr="006D4842">
        <w:t xml:space="preserve"> practice lighting design for exterior areas, which is also applicable to </w:t>
      </w:r>
      <w:r w:rsidRPr="00661D21">
        <w:t>design principles</w:t>
      </w:r>
      <w:r w:rsidRPr="006D4842">
        <w:t xml:space="preserve"> </w:t>
      </w:r>
      <w:r>
        <w:t xml:space="preserve">for </w:t>
      </w:r>
      <w:r w:rsidRPr="006D4842">
        <w:t>suburban and regional train stations and stops</w:t>
      </w:r>
      <w:r>
        <w:t>.</w:t>
      </w:r>
      <w:r w:rsidRPr="006D4842">
        <w:t xml:space="preserve"> </w:t>
      </w:r>
    </w:p>
    <w:p w14:paraId="3AD1E386" w14:textId="77777777" w:rsidR="00094004" w:rsidRPr="00097442" w:rsidRDefault="00094004" w:rsidP="00094004">
      <w:pPr>
        <w:rPr>
          <w:b/>
        </w:rPr>
      </w:pPr>
      <w:r w:rsidRPr="00097442">
        <w:rPr>
          <w:b/>
        </w:rPr>
        <w:t>Lighting Regimes</w:t>
      </w:r>
    </w:p>
    <w:p w14:paraId="21126EF6" w14:textId="77777777" w:rsidR="00094004" w:rsidRDefault="00094004" w:rsidP="00094004">
      <w:r w:rsidRPr="00097442">
        <w:t>Lighting regimes should be designed so that illuminance levels for task and ambient lighting can be provided separately</w:t>
      </w:r>
      <w:r>
        <w:t xml:space="preserve"> to ensure appropriate volumes and consistency of illumination is provided. For example, consider </w:t>
      </w:r>
      <w:r w:rsidRPr="00097442">
        <w:t>provid</w:t>
      </w:r>
      <w:r>
        <w:t xml:space="preserve">ing </w:t>
      </w:r>
      <w:r w:rsidRPr="00097442">
        <w:t>focussed lighting for difficult visual tasks, such as reading, separately from ambient lighting throughout a space. This focussed lighting should be provided at counter tops, fare system elements, wayfinding and signage, hazards, emergency information, stairs and ramps, road and path edges.</w:t>
      </w:r>
    </w:p>
    <w:p w14:paraId="5B37A0B1" w14:textId="77777777" w:rsidR="00094004" w:rsidRPr="00097442" w:rsidRDefault="00094004" w:rsidP="00094004">
      <w:r>
        <w:t>Choice of wall finishes should consider the needs of various passengers, including people with low vision, visual hyper/ hyposensitivity, and intellectual or cognitive impairment.</w:t>
      </w:r>
    </w:p>
    <w:p w14:paraId="001C9187" w14:textId="77777777" w:rsidR="00094004" w:rsidRPr="00097442" w:rsidRDefault="00094004" w:rsidP="00094004">
      <w:pPr>
        <w:rPr>
          <w:b/>
        </w:rPr>
      </w:pPr>
      <w:r w:rsidRPr="00097442">
        <w:rPr>
          <w:b/>
        </w:rPr>
        <w:t>Lighting Temperature and Colour</w:t>
      </w:r>
    </w:p>
    <w:p w14:paraId="630798BF" w14:textId="77777777" w:rsidR="00094004" w:rsidRPr="00097442" w:rsidRDefault="00094004" w:rsidP="00094004">
      <w:r w:rsidRPr="00097442">
        <w:t xml:space="preserve">Any task lighting associated with the public transport facility should have a colour temperature between 3000 </w:t>
      </w:r>
      <w:r>
        <w:t>to</w:t>
      </w:r>
      <w:r w:rsidRPr="00097442">
        <w:t xml:space="preserve"> 3500 kelvins.</w:t>
      </w:r>
      <w:r>
        <w:t xml:space="preserve"> Lighting colour temperature is important to a variety people, including those with vision impairment and people on the autism spectrum. For information about </w:t>
      </w:r>
      <w:r>
        <w:lastRenderedPageBreak/>
        <w:t xml:space="preserve">lighting colour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357BB3C7" w14:textId="77777777" w:rsidR="00094004" w:rsidRPr="00097442" w:rsidRDefault="00094004" w:rsidP="00094004">
      <w:pPr>
        <w:rPr>
          <w:b/>
        </w:rPr>
      </w:pPr>
      <w:r w:rsidRPr="00097442">
        <w:rPr>
          <w:b/>
        </w:rPr>
        <w:t>Lighting Hardware</w:t>
      </w:r>
    </w:p>
    <w:p w14:paraId="65AC99BB" w14:textId="77777777" w:rsidR="00094004" w:rsidRDefault="00094004" w:rsidP="00094004">
      <w:r>
        <w:t xml:space="preserve">Adjustable and customisable lighting choices is beneficial for persons with different lighting needs. For example, people with low vision might require more illumination to complete tasks, whereas persons on the autism spectrum may prefer dimmer lighting for comfort. Providing adjustable lighting can ensure all passengers receive the level of illumination that suits their needs. </w:t>
      </w:r>
    </w:p>
    <w:p w14:paraId="29927CDE" w14:textId="77777777" w:rsidR="00094004" w:rsidRDefault="00094004" w:rsidP="00094004">
      <w:pPr>
        <w:rPr>
          <w:rFonts w:eastAsiaTheme="minorEastAsia"/>
          <w:i/>
          <w:iCs/>
        </w:rPr>
      </w:pPr>
      <w:r>
        <w:t xml:space="preserve">For information about lighting hardware choice, refer to </w:t>
      </w:r>
      <w:r w:rsidRPr="001E3E12">
        <w:rPr>
          <w:rFonts w:eastAsiaTheme="minorEastAsia"/>
          <w:i/>
          <w:iCs/>
        </w:rPr>
        <w:t>CIE 227:2017 Technical Report - Lighting for Older People and People with Visual Impairment in Buildings</w:t>
      </w:r>
      <w:r>
        <w:rPr>
          <w:rFonts w:eastAsiaTheme="minorEastAsia"/>
          <w:i/>
          <w:iCs/>
        </w:rPr>
        <w:t>.</w:t>
      </w:r>
    </w:p>
    <w:p w14:paraId="73CD13A2" w14:textId="77777777" w:rsidR="00094004" w:rsidRDefault="00094004" w:rsidP="00094004">
      <w:pPr>
        <w:pStyle w:val="Heading5"/>
        <w:ind w:left="1134" w:hanging="1134"/>
      </w:pPr>
      <w:r>
        <w:t>Tables for level of illumination</w:t>
      </w:r>
    </w:p>
    <w:p w14:paraId="1D771687" w14:textId="77777777" w:rsidR="00094004" w:rsidRPr="0002581D" w:rsidRDefault="00094004" w:rsidP="00094004">
      <w:pPr>
        <w:pStyle w:val="Sourcenotes"/>
      </w:pPr>
      <w:r>
        <w:t>Table s</w:t>
      </w:r>
      <w:r w:rsidRPr="0002581D">
        <w:t>ource</w:t>
      </w:r>
      <w:r>
        <w:t>s</w:t>
      </w:r>
      <w:r w:rsidRPr="0002581D">
        <w:t xml:space="preserve">: </w:t>
      </w:r>
    </w:p>
    <w:p w14:paraId="7CA80970" w14:textId="77777777" w:rsidR="00094004" w:rsidRPr="00821B5B" w:rsidRDefault="00094004" w:rsidP="00094004">
      <w:pPr>
        <w:pStyle w:val="Sourcenotes"/>
        <w:rPr>
          <w:i/>
        </w:rPr>
      </w:pPr>
      <w:r>
        <w:t xml:space="preserve">Public Transport Authority of Western Australia, </w:t>
      </w:r>
      <w:r w:rsidRPr="00821B5B">
        <w:rPr>
          <w:i/>
        </w:rPr>
        <w:t>Specification Lighting Design, Installation and Maintenance Requirements</w:t>
      </w:r>
      <w:r>
        <w:t>.</w:t>
      </w:r>
    </w:p>
    <w:p w14:paraId="557F0A11" w14:textId="7905B26E" w:rsidR="00094004" w:rsidRPr="00900D56" w:rsidRDefault="00094004" w:rsidP="00094004">
      <w:pPr>
        <w:pStyle w:val="Sourcenotes"/>
      </w:pPr>
      <w:r>
        <w:t xml:space="preserve">Government of South Australia Department of Infrastructure and Transport, </w:t>
      </w:r>
      <w:r w:rsidRPr="00A071AB">
        <w:rPr>
          <w:i/>
        </w:rPr>
        <w:t>Engineering Standard Design-Standards-Electrical Infrastructure Part 129014</w:t>
      </w:r>
      <w:r>
        <w:t xml:space="preserve">, </w:t>
      </w:r>
      <w:hyperlink r:id="rId33" w:history="1">
        <w:r w:rsidRPr="00A071AB">
          <w:t>https://dit.sa.gov.au/__data/assets/pdf_file/0004/113827/DOCS_AND_FILES-5786255-v4-Station_D_Part_-_Part_D074_Design_-_Electrical_Infrastructure.pdf</w:t>
        </w:r>
      </w:hyperlink>
      <w:r>
        <w:t>, 17 February 2022</w:t>
      </w:r>
    </w:p>
    <w:p w14:paraId="05B21C19" w14:textId="77777777" w:rsidR="00094004" w:rsidRPr="00900D56" w:rsidRDefault="00094004" w:rsidP="00094004">
      <w:pPr>
        <w:pStyle w:val="Tablefigureheading"/>
      </w:pPr>
      <w:bookmarkStart w:id="929" w:name="_Toc96093711"/>
      <w:r w:rsidRPr="00900D56">
        <w:t xml:space="preserve">Table 4: </w:t>
      </w:r>
      <w:r>
        <w:t>Non-regulatory</w:t>
      </w:r>
      <w:r w:rsidRPr="00900D56">
        <w:t xml:space="preserve"> option - Enclosed zones</w:t>
      </w:r>
      <w:bookmarkEnd w:id="929"/>
    </w:p>
    <w:tbl>
      <w:tblPr>
        <w:tblStyle w:val="DefaultTable1"/>
        <w:tblW w:w="9639" w:type="dxa"/>
        <w:tblLayout w:type="fixed"/>
        <w:tblLook w:val="04A0" w:firstRow="1" w:lastRow="0" w:firstColumn="1" w:lastColumn="0" w:noHBand="0" w:noVBand="1"/>
        <w:tblCaption w:val="Table 4 Nonregulatory option for enclosed zones"/>
        <w:tblDescription w:val="This table provides levels of illumination for the non-regulatory option for unenclosed zones."/>
      </w:tblPr>
      <w:tblGrid>
        <w:gridCol w:w="2127"/>
        <w:gridCol w:w="2551"/>
        <w:gridCol w:w="1701"/>
        <w:gridCol w:w="850"/>
        <w:gridCol w:w="1701"/>
        <w:gridCol w:w="709"/>
      </w:tblGrid>
      <w:tr w:rsidR="00094004" w:rsidRPr="00900D56" w14:paraId="7C6D191F"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1CECB078" w14:textId="77777777" w:rsidR="00094004" w:rsidRPr="00900D56" w:rsidRDefault="00094004" w:rsidP="00094004">
            <w:pPr>
              <w:spacing w:after="0"/>
              <w:rPr>
                <w:rFonts w:eastAsia="Times New Roman" w:cstheme="minorHAnsi"/>
                <w:b w:val="0"/>
                <w:lang w:eastAsia="en-AU"/>
              </w:rPr>
            </w:pPr>
            <w:bookmarkStart w:id="930" w:name="Table_4_NonReg_Enclosed_zones"/>
            <w:r w:rsidRPr="00900D56">
              <w:rPr>
                <w:rFonts w:eastAsia="Times New Roman" w:cstheme="minorHAnsi"/>
                <w:lang w:eastAsia="en-AU"/>
              </w:rPr>
              <w:t>Element Type*</w:t>
            </w:r>
          </w:p>
        </w:tc>
        <w:tc>
          <w:tcPr>
            <w:tcW w:w="2551" w:type="dxa"/>
            <w:noWrap/>
            <w:hideMark/>
          </w:tcPr>
          <w:p w14:paraId="3F3AA6B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701" w:type="dxa"/>
          </w:tcPr>
          <w:p w14:paraId="481A7A0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850" w:type="dxa"/>
          </w:tcPr>
          <w:p w14:paraId="3AC7ECD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01" w:type="dxa"/>
          </w:tcPr>
          <w:p w14:paraId="22D65BA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09" w:type="dxa"/>
          </w:tcPr>
          <w:p w14:paraId="14863A0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094004" w:rsidRPr="00900D56" w14:paraId="75EB64AD"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127" w:type="dxa"/>
          </w:tcPr>
          <w:p w14:paraId="0069C0C3"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551" w:type="dxa"/>
            <w:noWrap/>
          </w:tcPr>
          <w:p w14:paraId="7414AE1C"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58686DF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850" w:type="dxa"/>
          </w:tcPr>
          <w:p w14:paraId="3950A13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01" w:type="dxa"/>
          </w:tcPr>
          <w:p w14:paraId="65464D3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709" w:type="dxa"/>
          </w:tcPr>
          <w:p w14:paraId="550D2FB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365DA01B"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28236B5"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3879B35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2FE1040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850" w:type="dxa"/>
          </w:tcPr>
          <w:p w14:paraId="6664D6C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458FDC9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09" w:type="dxa"/>
          </w:tcPr>
          <w:p w14:paraId="3B0E805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6BC893B"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40D40F3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551" w:type="dxa"/>
            <w:noWrap/>
          </w:tcPr>
          <w:p w14:paraId="2259726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5C877C3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850" w:type="dxa"/>
          </w:tcPr>
          <w:p w14:paraId="54B521C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43DE647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45C08BB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4C34EECE"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09E9542F"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574F47F2"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1787E39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5332AEB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A653EF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792CF16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2BC95FDE"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25BA234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70E8882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23BD0C5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268EAE3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4ABF04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1D24E74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D9898A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127" w:type="dxa"/>
          </w:tcPr>
          <w:p w14:paraId="676F8FA7"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3DE6E8DD"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5E802F0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850" w:type="dxa"/>
          </w:tcPr>
          <w:p w14:paraId="76997AC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790836E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4B300E1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2D1B9E5C"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27" w:type="dxa"/>
          </w:tcPr>
          <w:p w14:paraId="322485B9"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551" w:type="dxa"/>
            <w:noWrap/>
          </w:tcPr>
          <w:p w14:paraId="3E2AE240"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0E36752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850" w:type="dxa"/>
          </w:tcPr>
          <w:p w14:paraId="5A3888E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45E98AF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2B851FA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30"/>
    <w:p w14:paraId="179709B7" w14:textId="77777777" w:rsidR="00094004" w:rsidRPr="00900D56" w:rsidRDefault="00094004" w:rsidP="00094004">
      <w:pPr>
        <w:rPr>
          <w:sz w:val="18"/>
          <w:szCs w:val="18"/>
        </w:rPr>
      </w:pPr>
      <w:r w:rsidRPr="00900D56">
        <w:rPr>
          <w:sz w:val="18"/>
          <w:szCs w:val="18"/>
        </w:rPr>
        <w:t>*For lifts, refer to Transport Standards Part 13 Lifts</w:t>
      </w:r>
    </w:p>
    <w:p w14:paraId="185C603D" w14:textId="77777777" w:rsidR="00094004" w:rsidRPr="00900D56" w:rsidRDefault="00094004" w:rsidP="00094004">
      <w:pPr>
        <w:pStyle w:val="Tablefigureheading"/>
      </w:pPr>
      <w:bookmarkStart w:id="931" w:name="_Toc96093712"/>
      <w:r w:rsidRPr="00900D56">
        <w:t xml:space="preserve">Table 5: </w:t>
      </w:r>
      <w:r>
        <w:t>Non-regulatory</w:t>
      </w:r>
      <w:r w:rsidRPr="00900D56">
        <w:t xml:space="preserve"> option - Unenclosed zones</w:t>
      </w:r>
      <w:bookmarkEnd w:id="931"/>
    </w:p>
    <w:tbl>
      <w:tblPr>
        <w:tblStyle w:val="DefaultTable1"/>
        <w:tblW w:w="8363" w:type="dxa"/>
        <w:tblLook w:val="04A0" w:firstRow="1" w:lastRow="0" w:firstColumn="1" w:lastColumn="0" w:noHBand="0" w:noVBand="1"/>
        <w:tblCaption w:val="Table 5 Non regluatory option unenclosed zones"/>
        <w:tblDescription w:val="This table provides levels of illumination for the non-regulatory option for unenclosed zones, level crossings."/>
      </w:tblPr>
      <w:tblGrid>
        <w:gridCol w:w="1701"/>
        <w:gridCol w:w="2835"/>
        <w:gridCol w:w="1275"/>
        <w:gridCol w:w="1276"/>
        <w:gridCol w:w="1276"/>
      </w:tblGrid>
      <w:tr w:rsidR="00094004" w:rsidRPr="00900D56" w14:paraId="040DAA72" w14:textId="77777777" w:rsidTr="0009400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701" w:type="dxa"/>
            <w:noWrap/>
          </w:tcPr>
          <w:p w14:paraId="2AE4C4D3" w14:textId="77777777" w:rsidR="00094004" w:rsidRPr="00900D56" w:rsidRDefault="00094004" w:rsidP="00094004">
            <w:pPr>
              <w:spacing w:after="0"/>
              <w:rPr>
                <w:rFonts w:eastAsia="Times New Roman" w:cstheme="minorHAnsi"/>
                <w:b w:val="0"/>
                <w:color w:val="000000"/>
                <w:lang w:eastAsia="en-AU"/>
              </w:rPr>
            </w:pPr>
            <w:bookmarkStart w:id="932" w:name="Table_5_NonReg_Unenclosed_zones"/>
            <w:r w:rsidRPr="00900D56">
              <w:rPr>
                <w:rFonts w:eastAsia="Times New Roman" w:cstheme="minorHAnsi"/>
                <w:lang w:eastAsia="en-AU"/>
              </w:rPr>
              <w:t>Element Type</w:t>
            </w:r>
          </w:p>
        </w:tc>
        <w:tc>
          <w:tcPr>
            <w:tcW w:w="2835" w:type="dxa"/>
            <w:noWrap/>
          </w:tcPr>
          <w:p w14:paraId="255FA32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75" w:type="dxa"/>
          </w:tcPr>
          <w:p w14:paraId="6101DF9C"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76" w:type="dxa"/>
          </w:tcPr>
          <w:p w14:paraId="1FEC4D7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76" w:type="dxa"/>
          </w:tcPr>
          <w:p w14:paraId="4764E0B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094004" w:rsidRPr="00900D56" w14:paraId="48A098CA" w14:textId="77777777" w:rsidTr="0009400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50825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Level Crossings</w:t>
            </w:r>
          </w:p>
        </w:tc>
        <w:tc>
          <w:tcPr>
            <w:tcW w:w="2835" w:type="dxa"/>
            <w:noWrap/>
          </w:tcPr>
          <w:p w14:paraId="7AA56D3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75" w:type="dxa"/>
          </w:tcPr>
          <w:p w14:paraId="375CC65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76" w:type="dxa"/>
          </w:tcPr>
          <w:p w14:paraId="7D325B0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76" w:type="dxa"/>
          </w:tcPr>
          <w:p w14:paraId="0FDA66A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32"/>
    </w:tbl>
    <w:p w14:paraId="541256D9" w14:textId="77777777" w:rsidR="00094004" w:rsidRDefault="00094004" w:rsidP="00094004">
      <w:pPr>
        <w:pStyle w:val="Tablefigureheading"/>
      </w:pPr>
    </w:p>
    <w:p w14:paraId="5E9A9806" w14:textId="77777777" w:rsidR="00094004" w:rsidRPr="00900D56" w:rsidRDefault="00094004" w:rsidP="00094004">
      <w:pPr>
        <w:pStyle w:val="Tablefigureheading"/>
      </w:pPr>
      <w:bookmarkStart w:id="933" w:name="_Toc96093713"/>
      <w:r w:rsidRPr="00900D56">
        <w:t xml:space="preserve">Table 6: </w:t>
      </w:r>
      <w:r>
        <w:t>Non-regulatory</w:t>
      </w:r>
      <w:r w:rsidRPr="00900D56">
        <w:t xml:space="preserve"> option - Unenclosed Zones - Elements within or adjacent to road reserve</w:t>
      </w:r>
      <w:bookmarkEnd w:id="933"/>
    </w:p>
    <w:tbl>
      <w:tblPr>
        <w:tblStyle w:val="DefaultTable1"/>
        <w:tblW w:w="9356" w:type="dxa"/>
        <w:tblLayout w:type="fixed"/>
        <w:tblLook w:val="04A0" w:firstRow="1" w:lastRow="0" w:firstColumn="1" w:lastColumn="0" w:noHBand="0" w:noVBand="1"/>
        <w:tblCaption w:val="Table 6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560"/>
        <w:gridCol w:w="1984"/>
        <w:gridCol w:w="2126"/>
        <w:gridCol w:w="851"/>
        <w:gridCol w:w="1780"/>
        <w:gridCol w:w="488"/>
        <w:gridCol w:w="567"/>
      </w:tblGrid>
      <w:tr w:rsidR="00094004" w:rsidRPr="00900D56" w14:paraId="129D245D" w14:textId="77777777" w:rsidTr="0009400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6BC70C2C" w14:textId="77777777" w:rsidR="00094004" w:rsidRPr="00900D56" w:rsidRDefault="00094004" w:rsidP="00094004">
            <w:pPr>
              <w:spacing w:after="0"/>
              <w:rPr>
                <w:rFonts w:eastAsia="Times New Roman" w:cstheme="minorHAnsi"/>
                <w:b w:val="0"/>
                <w:lang w:eastAsia="en-AU"/>
              </w:rPr>
            </w:pPr>
            <w:bookmarkStart w:id="934" w:name="Table_6_NonReg_Unenclosed_road_reserve"/>
            <w:r w:rsidRPr="00900D56">
              <w:rPr>
                <w:rFonts w:eastAsia="Times New Roman" w:cstheme="minorHAnsi"/>
                <w:lang w:eastAsia="en-AU"/>
              </w:rPr>
              <w:t>Element Type</w:t>
            </w:r>
          </w:p>
        </w:tc>
        <w:tc>
          <w:tcPr>
            <w:tcW w:w="1984" w:type="dxa"/>
            <w:noWrap/>
          </w:tcPr>
          <w:p w14:paraId="4E2AE6B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6" w:type="dxa"/>
          </w:tcPr>
          <w:p w14:paraId="5EE13E7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851" w:type="dxa"/>
          </w:tcPr>
          <w:p w14:paraId="0226221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80" w:type="dxa"/>
          </w:tcPr>
          <w:p w14:paraId="0BF785E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488" w:type="dxa"/>
          </w:tcPr>
          <w:p w14:paraId="31D9DBAC"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0DCD28A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0247D127"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3188BA8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65686162"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706CE5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1CB5C8C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80" w:type="dxa"/>
          </w:tcPr>
          <w:p w14:paraId="04E3EA0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488" w:type="dxa"/>
          </w:tcPr>
          <w:p w14:paraId="3696252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391C006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1631EC49"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82F69F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lastRenderedPageBreak/>
              <w:t>Waiting Areas</w:t>
            </w:r>
          </w:p>
        </w:tc>
        <w:tc>
          <w:tcPr>
            <w:tcW w:w="1984" w:type="dxa"/>
            <w:noWrap/>
          </w:tcPr>
          <w:p w14:paraId="6E00BCF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2D5E1BD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0E5F8F6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030C488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488" w:type="dxa"/>
          </w:tcPr>
          <w:p w14:paraId="0946C65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7B34085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7CE0F1C3"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560" w:type="dxa"/>
          </w:tcPr>
          <w:p w14:paraId="144277A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54F5E27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77FCE48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851" w:type="dxa"/>
          </w:tcPr>
          <w:p w14:paraId="3BD853A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780" w:type="dxa"/>
          </w:tcPr>
          <w:p w14:paraId="750E1F7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488" w:type="dxa"/>
          </w:tcPr>
          <w:p w14:paraId="39DAAE8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1565C91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70BE6DC5"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5CA7C7B0"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2BA4A2E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660A23F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2E13002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80" w:type="dxa"/>
          </w:tcPr>
          <w:p w14:paraId="29FA3D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488" w:type="dxa"/>
          </w:tcPr>
          <w:p w14:paraId="0002F88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0D0415A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900D56" w14:paraId="71808D63" w14:textId="77777777" w:rsidTr="000940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0" w:type="dxa"/>
          </w:tcPr>
          <w:p w14:paraId="548613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36ACBC9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1BCAEAC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529DC7E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80" w:type="dxa"/>
          </w:tcPr>
          <w:p w14:paraId="0A0AF38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612DA9F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2FDDF80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30358C26"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560" w:type="dxa"/>
          </w:tcPr>
          <w:p w14:paraId="6BBD0A4B"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4E40DED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29B2118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2F5875E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80" w:type="dxa"/>
          </w:tcPr>
          <w:p w14:paraId="6FB0591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488" w:type="dxa"/>
          </w:tcPr>
          <w:p w14:paraId="5B5795D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4A1C069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34"/>
    </w:tbl>
    <w:p w14:paraId="114E579D" w14:textId="77777777" w:rsidR="00094004" w:rsidRDefault="00094004" w:rsidP="00094004">
      <w:pPr>
        <w:spacing w:line="259" w:lineRule="auto"/>
        <w:rPr>
          <w:rFonts w:ascii="Calibri" w:hAnsi="Calibri"/>
          <w:b/>
          <w:color w:val="002D72"/>
        </w:rPr>
      </w:pPr>
    </w:p>
    <w:p w14:paraId="0583D24B" w14:textId="77777777" w:rsidR="00094004" w:rsidRPr="00900D56" w:rsidRDefault="00094004" w:rsidP="00094004">
      <w:pPr>
        <w:pStyle w:val="Tablefigureheading"/>
        <w:ind w:left="851" w:hanging="851"/>
      </w:pPr>
      <w:bookmarkStart w:id="935" w:name="_Toc96093714"/>
      <w:r w:rsidRPr="00900D56">
        <w:t>Table 7:</w:t>
      </w:r>
      <w:r>
        <w:t xml:space="preserve"> Non-regulatory</w:t>
      </w:r>
      <w:r w:rsidRPr="00900D56">
        <w:t xml:space="preserve"> option - Unenclosed zones - Elements not within or adjacent to road reserves</w:t>
      </w:r>
      <w:bookmarkEnd w:id="935"/>
    </w:p>
    <w:tbl>
      <w:tblPr>
        <w:tblStyle w:val="DefaultTable1"/>
        <w:tblW w:w="9356" w:type="dxa"/>
        <w:tblLayout w:type="fixed"/>
        <w:tblLook w:val="04A0" w:firstRow="1" w:lastRow="0" w:firstColumn="1" w:lastColumn="0" w:noHBand="0" w:noVBand="1"/>
        <w:tblCaption w:val="Table 7 Non regulatory option, unenclosed zones, elements within or adjacent to road reserves"/>
        <w:tblDescription w:val="This table provides levels of illumination for the non-regulatory option, unenclosed zones, elements within or adjacent to road reserves for the following element types: waiting areas, facilities and fixtures are carparking."/>
      </w:tblPr>
      <w:tblGrid>
        <w:gridCol w:w="1985"/>
        <w:gridCol w:w="2268"/>
        <w:gridCol w:w="992"/>
        <w:gridCol w:w="1134"/>
        <w:gridCol w:w="1701"/>
        <w:gridCol w:w="709"/>
        <w:gridCol w:w="567"/>
      </w:tblGrid>
      <w:tr w:rsidR="00094004" w:rsidRPr="00900D56" w14:paraId="607C0E04"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2D2739D3" w14:textId="77777777" w:rsidR="00094004" w:rsidRPr="00900D56" w:rsidRDefault="00094004" w:rsidP="00094004">
            <w:pPr>
              <w:spacing w:after="0"/>
              <w:rPr>
                <w:rFonts w:eastAsia="Times New Roman" w:cstheme="minorHAnsi"/>
                <w:b w:val="0"/>
                <w:lang w:eastAsia="en-AU"/>
              </w:rPr>
            </w:pPr>
            <w:bookmarkStart w:id="936" w:name="Table_6_NonReg_Not_unenclosed_road_res"/>
            <w:bookmarkStart w:id="937" w:name="Table_7_NonReg_Unenclosed_not_road_res"/>
            <w:r w:rsidRPr="00900D56">
              <w:rPr>
                <w:rFonts w:eastAsia="Times New Roman" w:cstheme="minorHAnsi"/>
                <w:lang w:eastAsia="en-AU"/>
              </w:rPr>
              <w:t>Element Type</w:t>
            </w:r>
          </w:p>
        </w:tc>
        <w:tc>
          <w:tcPr>
            <w:tcW w:w="2268" w:type="dxa"/>
            <w:noWrap/>
          </w:tcPr>
          <w:p w14:paraId="54E21E6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01B6467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1134" w:type="dxa"/>
          </w:tcPr>
          <w:p w14:paraId="48B926C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1" w:type="dxa"/>
          </w:tcPr>
          <w:p w14:paraId="0211965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709" w:type="dxa"/>
          </w:tcPr>
          <w:p w14:paraId="77C0226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20F48AC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2FDC661F"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12328B9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3822EFE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2F5A8A5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134" w:type="dxa"/>
          </w:tcPr>
          <w:p w14:paraId="3F7B385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30</w:t>
            </w:r>
          </w:p>
        </w:tc>
        <w:tc>
          <w:tcPr>
            <w:tcW w:w="1701" w:type="dxa"/>
          </w:tcPr>
          <w:p w14:paraId="752DA65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73543D8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1C9A57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3BC7C1A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35468217"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6CF97A2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39CF32A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1134" w:type="dxa"/>
          </w:tcPr>
          <w:p w14:paraId="5CD73BC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21</w:t>
            </w:r>
          </w:p>
        </w:tc>
        <w:tc>
          <w:tcPr>
            <w:tcW w:w="1701" w:type="dxa"/>
          </w:tcPr>
          <w:p w14:paraId="481E59C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14</w:t>
            </w:r>
          </w:p>
        </w:tc>
        <w:tc>
          <w:tcPr>
            <w:tcW w:w="709" w:type="dxa"/>
          </w:tcPr>
          <w:p w14:paraId="4F67F3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1E2258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7 </w:t>
            </w:r>
          </w:p>
        </w:tc>
      </w:tr>
      <w:tr w:rsidR="00094004" w:rsidRPr="00900D56" w14:paraId="42029A84"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95C1FCB"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268" w:type="dxa"/>
            <w:noWrap/>
          </w:tcPr>
          <w:p w14:paraId="5E3C9492"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551C9F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1134" w:type="dxa"/>
          </w:tcPr>
          <w:p w14:paraId="4621970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11ABA0D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0047166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4233384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7578196C"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985" w:type="dxa"/>
          </w:tcPr>
          <w:p w14:paraId="78EE8DF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268" w:type="dxa"/>
            <w:noWrap/>
          </w:tcPr>
          <w:p w14:paraId="72C86E8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0E4432C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1134" w:type="dxa"/>
          </w:tcPr>
          <w:p w14:paraId="695D46D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3A72E58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09" w:type="dxa"/>
          </w:tcPr>
          <w:p w14:paraId="64DBE32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62A52B3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 </w:t>
            </w:r>
          </w:p>
        </w:tc>
      </w:tr>
      <w:bookmarkEnd w:id="936"/>
      <w:bookmarkEnd w:id="937"/>
    </w:tbl>
    <w:p w14:paraId="1B743DC5" w14:textId="77777777" w:rsidR="00094004" w:rsidRPr="00900D56" w:rsidRDefault="00094004" w:rsidP="00094004">
      <w:pPr>
        <w:pStyle w:val="Tablefigureheading"/>
      </w:pPr>
    </w:p>
    <w:p w14:paraId="55727A05" w14:textId="77777777" w:rsidR="00094004" w:rsidRPr="00900D56" w:rsidRDefault="00094004" w:rsidP="00094004">
      <w:pPr>
        <w:pStyle w:val="Tablefigureheading"/>
      </w:pPr>
      <w:bookmarkStart w:id="938" w:name="_Toc96093715"/>
      <w:r w:rsidRPr="00900D56">
        <w:t xml:space="preserve">Table 8: </w:t>
      </w:r>
      <w:r>
        <w:t>Regulatory O</w:t>
      </w:r>
      <w:r w:rsidRPr="00900D56">
        <w:t xml:space="preserve">ption </w:t>
      </w:r>
      <w:r>
        <w:t>3</w:t>
      </w:r>
      <w:r w:rsidRPr="00900D56">
        <w:t xml:space="preserve"> - Enclosed zones</w:t>
      </w:r>
      <w:bookmarkEnd w:id="938"/>
    </w:p>
    <w:tbl>
      <w:tblPr>
        <w:tblStyle w:val="DefaultTable1"/>
        <w:tblW w:w="9356" w:type="dxa"/>
        <w:tblLayout w:type="fixed"/>
        <w:tblLook w:val="04A0" w:firstRow="1" w:lastRow="0" w:firstColumn="1" w:lastColumn="0" w:noHBand="0" w:noVBand="1"/>
        <w:tblCaption w:val="TAble 8 regulatory option 3, enclosed zones"/>
        <w:tblDescription w:val="This table provides levels of illumination for the regulatory option 3, enclosed zones, for the folloiwng elements: access paths, waiting areas, fixtures and facilities."/>
      </w:tblPr>
      <w:tblGrid>
        <w:gridCol w:w="1985"/>
        <w:gridCol w:w="2338"/>
        <w:gridCol w:w="1612"/>
        <w:gridCol w:w="912"/>
        <w:gridCol w:w="1782"/>
        <w:gridCol w:w="727"/>
      </w:tblGrid>
      <w:tr w:rsidR="00094004" w:rsidRPr="00900D56" w14:paraId="44ABD257"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23BFE849" w14:textId="77777777" w:rsidR="00094004" w:rsidRPr="00900D56" w:rsidRDefault="00094004" w:rsidP="00094004">
            <w:pPr>
              <w:spacing w:after="0"/>
              <w:rPr>
                <w:rFonts w:eastAsia="Times New Roman" w:cstheme="minorHAnsi"/>
                <w:b w:val="0"/>
                <w:lang w:eastAsia="en-AU"/>
              </w:rPr>
            </w:pPr>
            <w:bookmarkStart w:id="939" w:name="Table_8_Reg3_Enclosed_zones"/>
            <w:r w:rsidRPr="00900D56">
              <w:rPr>
                <w:rFonts w:eastAsia="Times New Roman" w:cstheme="minorHAnsi"/>
                <w:lang w:eastAsia="en-AU"/>
              </w:rPr>
              <w:t>Element Type*</w:t>
            </w:r>
          </w:p>
        </w:tc>
        <w:tc>
          <w:tcPr>
            <w:tcW w:w="2338" w:type="dxa"/>
            <w:noWrap/>
            <w:hideMark/>
          </w:tcPr>
          <w:p w14:paraId="143F038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1612" w:type="dxa"/>
          </w:tcPr>
          <w:p w14:paraId="5076FEB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EAV (lx)</w:t>
            </w:r>
          </w:p>
        </w:tc>
        <w:tc>
          <w:tcPr>
            <w:tcW w:w="912" w:type="dxa"/>
          </w:tcPr>
          <w:p w14:paraId="0015FCC3"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 Min (lx)</w:t>
            </w:r>
          </w:p>
        </w:tc>
        <w:tc>
          <w:tcPr>
            <w:tcW w:w="1782" w:type="dxa"/>
          </w:tcPr>
          <w:p w14:paraId="668E6F3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EV Min (lx)</w:t>
            </w:r>
          </w:p>
        </w:tc>
        <w:tc>
          <w:tcPr>
            <w:tcW w:w="727" w:type="dxa"/>
          </w:tcPr>
          <w:p w14:paraId="014EBCC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cstheme="minorHAnsi"/>
              </w:rPr>
              <w:t>U1</w:t>
            </w:r>
          </w:p>
        </w:tc>
      </w:tr>
      <w:tr w:rsidR="00094004" w:rsidRPr="00900D56" w14:paraId="79BF3321"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985" w:type="dxa"/>
          </w:tcPr>
          <w:p w14:paraId="0EB11D1D"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Access Paths</w:t>
            </w:r>
          </w:p>
        </w:tc>
        <w:tc>
          <w:tcPr>
            <w:tcW w:w="2338" w:type="dxa"/>
            <w:noWrap/>
          </w:tcPr>
          <w:p w14:paraId="3BB6A7BE"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612" w:type="dxa"/>
          </w:tcPr>
          <w:p w14:paraId="694E056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912" w:type="dxa"/>
          </w:tcPr>
          <w:p w14:paraId="71332BE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82" w:type="dxa"/>
          </w:tcPr>
          <w:p w14:paraId="5327CF5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727" w:type="dxa"/>
          </w:tcPr>
          <w:p w14:paraId="394A7D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4FEE7ED6"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37197FEF"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684DD2E8"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612" w:type="dxa"/>
          </w:tcPr>
          <w:p w14:paraId="0CA0FB6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912" w:type="dxa"/>
          </w:tcPr>
          <w:p w14:paraId="16D87DB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0A5AFE1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727" w:type="dxa"/>
          </w:tcPr>
          <w:p w14:paraId="5FD3805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20DBB40"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B84C8A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338" w:type="dxa"/>
            <w:noWrap/>
          </w:tcPr>
          <w:p w14:paraId="0012CAF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612" w:type="dxa"/>
          </w:tcPr>
          <w:p w14:paraId="6C01622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912" w:type="dxa"/>
          </w:tcPr>
          <w:p w14:paraId="0C2099F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82" w:type="dxa"/>
          </w:tcPr>
          <w:p w14:paraId="59BF67C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27" w:type="dxa"/>
          </w:tcPr>
          <w:p w14:paraId="1EFD2F5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635B91E9"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13D56B4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7D8070C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612" w:type="dxa"/>
          </w:tcPr>
          <w:p w14:paraId="43729BA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1EC9C26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3D341C3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32A932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17D1D417"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4AF97C93"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602CE094"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612" w:type="dxa"/>
          </w:tcPr>
          <w:p w14:paraId="34B06B0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6F07B1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82" w:type="dxa"/>
          </w:tcPr>
          <w:p w14:paraId="151F5B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6F07C3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384D207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1985" w:type="dxa"/>
          </w:tcPr>
          <w:p w14:paraId="67C2233C"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1DCEAD6F"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612" w:type="dxa"/>
          </w:tcPr>
          <w:p w14:paraId="1CE03FB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912" w:type="dxa"/>
          </w:tcPr>
          <w:p w14:paraId="61F9E2E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82" w:type="dxa"/>
          </w:tcPr>
          <w:p w14:paraId="4A83201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23741B6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862C62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985" w:type="dxa"/>
          </w:tcPr>
          <w:p w14:paraId="01E2E5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338" w:type="dxa"/>
            <w:noWrap/>
          </w:tcPr>
          <w:p w14:paraId="7890CD2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612" w:type="dxa"/>
          </w:tcPr>
          <w:p w14:paraId="661BEFD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912" w:type="dxa"/>
          </w:tcPr>
          <w:p w14:paraId="58CD20B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82" w:type="dxa"/>
          </w:tcPr>
          <w:p w14:paraId="506DC26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727" w:type="dxa"/>
          </w:tcPr>
          <w:p w14:paraId="1DC70DA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39"/>
    <w:p w14:paraId="0057EEBB" w14:textId="77777777" w:rsidR="00094004" w:rsidRPr="00900D56" w:rsidRDefault="00094004" w:rsidP="00094004">
      <w:pPr>
        <w:rPr>
          <w:sz w:val="18"/>
          <w:szCs w:val="18"/>
        </w:rPr>
      </w:pPr>
      <w:r w:rsidRPr="00900D56">
        <w:rPr>
          <w:sz w:val="18"/>
          <w:szCs w:val="18"/>
        </w:rPr>
        <w:t>*For lifts, refer to Transport Standards Part 13 Lifts</w:t>
      </w:r>
    </w:p>
    <w:p w14:paraId="486E3075" w14:textId="77777777" w:rsidR="00094004" w:rsidRDefault="00094004" w:rsidP="00094004">
      <w:pPr>
        <w:pStyle w:val="Tablefigureheading"/>
      </w:pPr>
      <w:bookmarkStart w:id="940" w:name="_Toc96093716"/>
    </w:p>
    <w:p w14:paraId="4645DF02" w14:textId="77777777" w:rsidR="00094004" w:rsidRPr="00900D56" w:rsidRDefault="00094004" w:rsidP="00094004">
      <w:pPr>
        <w:pStyle w:val="Tablefigureheading"/>
      </w:pPr>
      <w:r w:rsidRPr="00900D56">
        <w:t>Table 9: Regulatory Option 3 - Unenclosed zones</w:t>
      </w:r>
      <w:bookmarkEnd w:id="940"/>
    </w:p>
    <w:tbl>
      <w:tblPr>
        <w:tblStyle w:val="DefaultTable1"/>
        <w:tblW w:w="8364" w:type="dxa"/>
        <w:tblLook w:val="04A0" w:firstRow="1" w:lastRow="0" w:firstColumn="1" w:lastColumn="0" w:noHBand="0" w:noVBand="1"/>
        <w:tblCaption w:val="Table 9 Regulatory option 3, unenclosed zones"/>
        <w:tblDescription w:val="This table provides levels of illumination for the regulatory option 3, unenclosed zones, for level crossings"/>
      </w:tblPr>
      <w:tblGrid>
        <w:gridCol w:w="1844"/>
        <w:gridCol w:w="2834"/>
        <w:gridCol w:w="1228"/>
        <w:gridCol w:w="1229"/>
        <w:gridCol w:w="1229"/>
      </w:tblGrid>
      <w:tr w:rsidR="00094004" w:rsidRPr="00900D56" w14:paraId="50FCA89A" w14:textId="77777777" w:rsidTr="0009400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tcPr>
          <w:p w14:paraId="0189242D" w14:textId="77777777" w:rsidR="00094004" w:rsidRPr="00900D56" w:rsidRDefault="00094004" w:rsidP="00094004">
            <w:pPr>
              <w:spacing w:after="0"/>
              <w:rPr>
                <w:rFonts w:eastAsia="Times New Roman" w:cstheme="minorHAnsi"/>
                <w:b w:val="0"/>
                <w:color w:val="000000"/>
                <w:lang w:eastAsia="en-AU"/>
              </w:rPr>
            </w:pPr>
            <w:bookmarkStart w:id="941" w:name="Table_9_Reg3_Unenclosed_zones"/>
            <w:r w:rsidRPr="00900D56">
              <w:rPr>
                <w:rFonts w:eastAsia="Times New Roman" w:cstheme="minorHAnsi"/>
                <w:lang w:eastAsia="en-AU"/>
              </w:rPr>
              <w:t>Element Type</w:t>
            </w:r>
          </w:p>
        </w:tc>
        <w:tc>
          <w:tcPr>
            <w:tcW w:w="2834" w:type="dxa"/>
            <w:noWrap/>
          </w:tcPr>
          <w:p w14:paraId="053D7AA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lang w:eastAsia="en-AU"/>
              </w:rPr>
            </w:pPr>
            <w:r w:rsidRPr="00900D56">
              <w:rPr>
                <w:rFonts w:eastAsia="Times New Roman" w:cstheme="minorHAnsi"/>
                <w:lang w:eastAsia="en-AU"/>
              </w:rPr>
              <w:t>Transport Element</w:t>
            </w:r>
          </w:p>
        </w:tc>
        <w:tc>
          <w:tcPr>
            <w:tcW w:w="1228" w:type="dxa"/>
          </w:tcPr>
          <w:p w14:paraId="2297749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EAV (lx)</w:t>
            </w:r>
          </w:p>
        </w:tc>
        <w:tc>
          <w:tcPr>
            <w:tcW w:w="1229" w:type="dxa"/>
          </w:tcPr>
          <w:p w14:paraId="2760D05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 Min (lx)</w:t>
            </w:r>
          </w:p>
        </w:tc>
        <w:tc>
          <w:tcPr>
            <w:tcW w:w="1229" w:type="dxa"/>
          </w:tcPr>
          <w:p w14:paraId="482510A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color w:val="000000"/>
              </w:rPr>
            </w:pPr>
            <w:r w:rsidRPr="00900D56">
              <w:rPr>
                <w:rFonts w:cstheme="minorHAnsi"/>
              </w:rPr>
              <w:t>EV Min (lx)</w:t>
            </w:r>
          </w:p>
        </w:tc>
      </w:tr>
      <w:tr w:rsidR="00094004" w:rsidRPr="00900D56" w14:paraId="52339357" w14:textId="77777777" w:rsidTr="0009400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44" w:type="dxa"/>
            <w:noWrap/>
            <w:hideMark/>
          </w:tcPr>
          <w:p w14:paraId="07DCFA82" w14:textId="77777777" w:rsidR="00094004" w:rsidRPr="00900D56" w:rsidRDefault="00094004" w:rsidP="00094004">
            <w:pPr>
              <w:spacing w:after="0"/>
              <w:rPr>
                <w:rFonts w:eastAsia="Times New Roman" w:cstheme="minorHAnsi"/>
                <w:b w:val="0"/>
                <w:bCs/>
                <w:color w:val="000000"/>
                <w:lang w:eastAsia="en-AU"/>
              </w:rPr>
            </w:pPr>
            <w:r w:rsidRPr="00900D56">
              <w:rPr>
                <w:rFonts w:eastAsia="Times New Roman" w:cstheme="minorHAnsi"/>
                <w:bCs/>
                <w:color w:val="000000"/>
                <w:lang w:eastAsia="en-AU"/>
              </w:rPr>
              <w:t>Level Crossings</w:t>
            </w:r>
          </w:p>
        </w:tc>
        <w:tc>
          <w:tcPr>
            <w:tcW w:w="2834" w:type="dxa"/>
            <w:noWrap/>
          </w:tcPr>
          <w:p w14:paraId="4383098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228" w:type="dxa"/>
          </w:tcPr>
          <w:p w14:paraId="1511FBC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229" w:type="dxa"/>
          </w:tcPr>
          <w:p w14:paraId="6DF5CD4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229" w:type="dxa"/>
          </w:tcPr>
          <w:p w14:paraId="09D1D70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41"/>
    </w:tbl>
    <w:p w14:paraId="1FA86259" w14:textId="77777777" w:rsidR="00094004" w:rsidRDefault="00094004" w:rsidP="00094004">
      <w:pPr>
        <w:spacing w:line="259" w:lineRule="auto"/>
        <w:rPr>
          <w:rFonts w:ascii="Calibri" w:hAnsi="Calibri"/>
          <w:b/>
          <w:color w:val="002D72"/>
        </w:rPr>
      </w:pPr>
    </w:p>
    <w:p w14:paraId="19D1BFD5" w14:textId="77777777" w:rsidR="00094004" w:rsidRPr="00900D56" w:rsidRDefault="00094004" w:rsidP="00094004">
      <w:pPr>
        <w:pStyle w:val="Tablefigureheading"/>
      </w:pPr>
      <w:bookmarkStart w:id="942" w:name="_Toc96093717"/>
      <w:r w:rsidRPr="00900D56">
        <w:t>Table 10:</w:t>
      </w:r>
      <w:r>
        <w:t xml:space="preserve"> Regulatory O</w:t>
      </w:r>
      <w:r w:rsidRPr="00900D56">
        <w:t>ption 3 - Unenclosed zones - Elements within or adjacent to road reserve</w:t>
      </w:r>
      <w:bookmarkEnd w:id="942"/>
    </w:p>
    <w:tbl>
      <w:tblPr>
        <w:tblStyle w:val="DefaultTable1"/>
        <w:tblW w:w="9071" w:type="dxa"/>
        <w:tblLayout w:type="fixed"/>
        <w:tblLook w:val="04A0" w:firstRow="1" w:lastRow="0" w:firstColumn="1" w:lastColumn="0" w:noHBand="0" w:noVBand="1"/>
        <w:tblCaption w:val="Table 10 Regulatory option 3, unenclosed zones, elements within or adjacent to road reserve"/>
        <w:tblDescription w:val="This table provides levels of illumination for the regulatory option 3, unenclosed zones, for elements within or adjacent to road reserves, including waiting areas, fixturees and facilities and carparking."/>
      </w:tblPr>
      <w:tblGrid>
        <w:gridCol w:w="1418"/>
        <w:gridCol w:w="1984"/>
        <w:gridCol w:w="2127"/>
        <w:gridCol w:w="707"/>
        <w:gridCol w:w="1729"/>
        <w:gridCol w:w="539"/>
        <w:gridCol w:w="567"/>
      </w:tblGrid>
      <w:tr w:rsidR="00094004" w:rsidRPr="00900D56" w14:paraId="28C829FF" w14:textId="77777777" w:rsidTr="00094004">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EB91D81" w14:textId="77777777" w:rsidR="00094004" w:rsidRPr="00900D56" w:rsidRDefault="00094004" w:rsidP="00094004">
            <w:pPr>
              <w:spacing w:after="0"/>
              <w:rPr>
                <w:rFonts w:eastAsia="Times New Roman" w:cstheme="minorHAnsi"/>
                <w:b w:val="0"/>
                <w:lang w:eastAsia="en-AU"/>
              </w:rPr>
            </w:pPr>
            <w:bookmarkStart w:id="943" w:name="Table_10_Reg3_Unenclosed_road_reserve"/>
            <w:r w:rsidRPr="00900D56">
              <w:rPr>
                <w:rFonts w:eastAsia="Times New Roman" w:cstheme="minorHAnsi"/>
                <w:lang w:eastAsia="en-AU"/>
              </w:rPr>
              <w:t>Element Type</w:t>
            </w:r>
          </w:p>
        </w:tc>
        <w:tc>
          <w:tcPr>
            <w:tcW w:w="1984" w:type="dxa"/>
            <w:noWrap/>
          </w:tcPr>
          <w:p w14:paraId="3EADB08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2127" w:type="dxa"/>
          </w:tcPr>
          <w:p w14:paraId="2859527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707" w:type="dxa"/>
          </w:tcPr>
          <w:p w14:paraId="05BDF7B4"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29" w:type="dxa"/>
          </w:tcPr>
          <w:p w14:paraId="63D45EA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539" w:type="dxa"/>
          </w:tcPr>
          <w:p w14:paraId="653FF13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61161FA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0900C587"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21FFF28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73090008"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7" w:type="dxa"/>
          </w:tcPr>
          <w:p w14:paraId="3B5339E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02E21F3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1729" w:type="dxa"/>
          </w:tcPr>
          <w:p w14:paraId="37D4BDA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39" w:type="dxa"/>
          </w:tcPr>
          <w:p w14:paraId="777C716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7C16928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55484908"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7DA67639"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1984" w:type="dxa"/>
            <w:noWrap/>
          </w:tcPr>
          <w:p w14:paraId="7612730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7" w:type="dxa"/>
          </w:tcPr>
          <w:p w14:paraId="3CD3930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707" w:type="dxa"/>
          </w:tcPr>
          <w:p w14:paraId="1BBB87E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04584F2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39" w:type="dxa"/>
          </w:tcPr>
          <w:p w14:paraId="4AE2510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674B780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46FAAFE0" w14:textId="77777777" w:rsidTr="00094004">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418" w:type="dxa"/>
          </w:tcPr>
          <w:p w14:paraId="5126A35A"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52559FA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7" w:type="dxa"/>
          </w:tcPr>
          <w:p w14:paraId="39DB332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707" w:type="dxa"/>
          </w:tcPr>
          <w:p w14:paraId="2945EBF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1729" w:type="dxa"/>
          </w:tcPr>
          <w:p w14:paraId="7A7AD85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39" w:type="dxa"/>
          </w:tcPr>
          <w:p w14:paraId="55CA91D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5749D84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3A9A3987"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1A39F1EE"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1984" w:type="dxa"/>
            <w:noWrap/>
          </w:tcPr>
          <w:p w14:paraId="3C02EADD"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7" w:type="dxa"/>
          </w:tcPr>
          <w:p w14:paraId="56F8EAF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7" w:type="dxa"/>
          </w:tcPr>
          <w:p w14:paraId="265BC96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1729" w:type="dxa"/>
          </w:tcPr>
          <w:p w14:paraId="2A4B021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39" w:type="dxa"/>
          </w:tcPr>
          <w:p w14:paraId="1A9BD54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751724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900D56" w14:paraId="4E394255" w14:textId="77777777" w:rsidTr="000940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418" w:type="dxa"/>
          </w:tcPr>
          <w:p w14:paraId="499DD62C"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472E1F90"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7" w:type="dxa"/>
          </w:tcPr>
          <w:p w14:paraId="4F7DBF6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707" w:type="dxa"/>
          </w:tcPr>
          <w:p w14:paraId="26241E4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14</w:t>
            </w:r>
          </w:p>
        </w:tc>
        <w:tc>
          <w:tcPr>
            <w:tcW w:w="1729" w:type="dxa"/>
          </w:tcPr>
          <w:p w14:paraId="52AA06B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5FD0AFE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63F878A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72B7FE17" w14:textId="77777777" w:rsidTr="00094004">
        <w:trPr>
          <w:trHeight w:val="309"/>
        </w:trPr>
        <w:tc>
          <w:tcPr>
            <w:cnfStyle w:val="001000000000" w:firstRow="0" w:lastRow="0" w:firstColumn="1" w:lastColumn="0" w:oddVBand="0" w:evenVBand="0" w:oddHBand="0" w:evenHBand="0" w:firstRowFirstColumn="0" w:firstRowLastColumn="0" w:lastRowFirstColumn="0" w:lastRowLastColumn="0"/>
            <w:tcW w:w="1418" w:type="dxa"/>
          </w:tcPr>
          <w:p w14:paraId="05B2A268"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Car parking</w:t>
            </w:r>
          </w:p>
        </w:tc>
        <w:tc>
          <w:tcPr>
            <w:tcW w:w="1984" w:type="dxa"/>
            <w:noWrap/>
          </w:tcPr>
          <w:p w14:paraId="310D15FF"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7" w:type="dxa"/>
          </w:tcPr>
          <w:p w14:paraId="5E11A38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707" w:type="dxa"/>
          </w:tcPr>
          <w:p w14:paraId="65BBBF0B"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1729" w:type="dxa"/>
          </w:tcPr>
          <w:p w14:paraId="6E9D07F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39" w:type="dxa"/>
          </w:tcPr>
          <w:p w14:paraId="1948BD4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1691CED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43"/>
    </w:tbl>
    <w:p w14:paraId="179BB437" w14:textId="77777777" w:rsidR="00094004" w:rsidRDefault="00094004" w:rsidP="00094004">
      <w:pPr>
        <w:pStyle w:val="Tablefigureheading"/>
        <w:ind w:left="1134" w:hanging="1134"/>
      </w:pPr>
    </w:p>
    <w:p w14:paraId="4B5D5F32" w14:textId="77777777" w:rsidR="00094004" w:rsidRPr="00900D56" w:rsidRDefault="00094004" w:rsidP="00094004">
      <w:pPr>
        <w:pStyle w:val="Tablefigureheading"/>
        <w:ind w:left="1134" w:hanging="1134"/>
      </w:pPr>
      <w:bookmarkStart w:id="944" w:name="_Toc96093718"/>
      <w:r w:rsidRPr="00900D56">
        <w:t>Table 11</w:t>
      </w:r>
      <w:r>
        <w:t>: Regulatory O</w:t>
      </w:r>
      <w:r w:rsidRPr="00900D56">
        <w:t>ption 3 - Unenclosed Zones – Elements not within or adjacent to road reserves</w:t>
      </w:r>
      <w:bookmarkEnd w:id="944"/>
    </w:p>
    <w:tbl>
      <w:tblPr>
        <w:tblStyle w:val="DefaultTable1"/>
        <w:tblW w:w="9072" w:type="dxa"/>
        <w:tblLayout w:type="fixed"/>
        <w:tblLook w:val="04A0" w:firstRow="1" w:lastRow="0" w:firstColumn="1" w:lastColumn="0" w:noHBand="0" w:noVBand="1"/>
        <w:tblCaption w:val="Table 11 Regulatory option 3, unenclosed zones, elements not within or adjacent to road reserves"/>
        <w:tblDescription w:val="This table provides levels of illumination for the regulatory option 3, unenclosed zones, elements not within or adjacent to road reserves, inlcluding waiting areas and fixtures and facilities."/>
      </w:tblPr>
      <w:tblGrid>
        <w:gridCol w:w="1559"/>
        <w:gridCol w:w="2693"/>
        <w:gridCol w:w="992"/>
        <w:gridCol w:w="992"/>
        <w:gridCol w:w="1702"/>
        <w:gridCol w:w="567"/>
        <w:gridCol w:w="567"/>
      </w:tblGrid>
      <w:tr w:rsidR="00094004" w:rsidRPr="00900D56" w14:paraId="3D806F3E"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819EA5D" w14:textId="77777777" w:rsidR="00094004" w:rsidRPr="00900D56" w:rsidRDefault="00094004" w:rsidP="00094004">
            <w:pPr>
              <w:spacing w:after="0"/>
              <w:rPr>
                <w:rFonts w:eastAsia="Times New Roman" w:cstheme="minorHAnsi"/>
                <w:b w:val="0"/>
                <w:lang w:eastAsia="en-AU"/>
              </w:rPr>
            </w:pPr>
            <w:bookmarkStart w:id="945" w:name="Table_11_Reg3_Unenclosed_not_road_res"/>
            <w:r w:rsidRPr="00900D56">
              <w:rPr>
                <w:rFonts w:eastAsia="Times New Roman" w:cstheme="minorHAnsi"/>
                <w:lang w:eastAsia="en-AU"/>
              </w:rPr>
              <w:t>Element Type</w:t>
            </w:r>
          </w:p>
        </w:tc>
        <w:tc>
          <w:tcPr>
            <w:tcW w:w="2693" w:type="dxa"/>
            <w:noWrap/>
          </w:tcPr>
          <w:p w14:paraId="7540CC8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Transport Element</w:t>
            </w:r>
          </w:p>
        </w:tc>
        <w:tc>
          <w:tcPr>
            <w:tcW w:w="992" w:type="dxa"/>
          </w:tcPr>
          <w:p w14:paraId="51F3093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val="0"/>
                <w:lang w:eastAsia="en-AU"/>
              </w:rPr>
            </w:pPr>
            <w:r w:rsidRPr="00900D56">
              <w:rPr>
                <w:rFonts w:eastAsia="Times New Roman" w:cstheme="minorHAnsi"/>
                <w:lang w:eastAsia="en-AU"/>
              </w:rPr>
              <w:t>EAV (lx)</w:t>
            </w:r>
          </w:p>
        </w:tc>
        <w:tc>
          <w:tcPr>
            <w:tcW w:w="992" w:type="dxa"/>
          </w:tcPr>
          <w:p w14:paraId="73B68455"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 Min (lx)</w:t>
            </w:r>
          </w:p>
        </w:tc>
        <w:tc>
          <w:tcPr>
            <w:tcW w:w="1702" w:type="dxa"/>
          </w:tcPr>
          <w:p w14:paraId="3BFFB7E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EV Min (lx)</w:t>
            </w:r>
          </w:p>
        </w:tc>
        <w:tc>
          <w:tcPr>
            <w:tcW w:w="567" w:type="dxa"/>
          </w:tcPr>
          <w:p w14:paraId="5C3ED8A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U1</w:t>
            </w:r>
          </w:p>
        </w:tc>
        <w:tc>
          <w:tcPr>
            <w:tcW w:w="567" w:type="dxa"/>
          </w:tcPr>
          <w:p w14:paraId="720B7B27"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 w:val="0"/>
              </w:rPr>
            </w:pPr>
            <w:r w:rsidRPr="00900D56">
              <w:rPr>
                <w:rFonts w:cstheme="minorHAnsi"/>
              </w:rPr>
              <w:t>U2</w:t>
            </w:r>
          </w:p>
        </w:tc>
      </w:tr>
      <w:tr w:rsidR="00094004" w:rsidRPr="00900D56" w14:paraId="3837F77A"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033882E8"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2A02A88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Train Platform edge and ferry wharf edges</w:t>
            </w:r>
          </w:p>
        </w:tc>
        <w:tc>
          <w:tcPr>
            <w:tcW w:w="992" w:type="dxa"/>
          </w:tcPr>
          <w:p w14:paraId="4308A10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2" w:type="dxa"/>
          </w:tcPr>
          <w:p w14:paraId="3D178EA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30</w:t>
            </w:r>
          </w:p>
        </w:tc>
        <w:tc>
          <w:tcPr>
            <w:tcW w:w="1702" w:type="dxa"/>
          </w:tcPr>
          <w:p w14:paraId="4BC833B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5A75FE2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BA3065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1322616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561DC721"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4F6D2596"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992" w:type="dxa"/>
          </w:tcPr>
          <w:p w14:paraId="2947DB3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42</w:t>
            </w:r>
          </w:p>
        </w:tc>
        <w:tc>
          <w:tcPr>
            <w:tcW w:w="992" w:type="dxa"/>
          </w:tcPr>
          <w:p w14:paraId="44B179C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21</w:t>
            </w:r>
          </w:p>
        </w:tc>
        <w:tc>
          <w:tcPr>
            <w:tcW w:w="1702" w:type="dxa"/>
          </w:tcPr>
          <w:p w14:paraId="679A05A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14</w:t>
            </w:r>
          </w:p>
        </w:tc>
        <w:tc>
          <w:tcPr>
            <w:tcW w:w="567" w:type="dxa"/>
          </w:tcPr>
          <w:p w14:paraId="1AD8F97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10E743D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7 </w:t>
            </w:r>
          </w:p>
        </w:tc>
      </w:tr>
      <w:tr w:rsidR="00094004" w:rsidRPr="00900D56" w14:paraId="2CB64B0A"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559" w:type="dxa"/>
          </w:tcPr>
          <w:p w14:paraId="28FE8AA6"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Waiting Areas</w:t>
            </w:r>
          </w:p>
        </w:tc>
        <w:tc>
          <w:tcPr>
            <w:tcW w:w="2693" w:type="dxa"/>
            <w:noWrap/>
          </w:tcPr>
          <w:p w14:paraId="4819D5E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 xml:space="preserve">Covered areas </w:t>
            </w:r>
          </w:p>
        </w:tc>
        <w:tc>
          <w:tcPr>
            <w:tcW w:w="992" w:type="dxa"/>
          </w:tcPr>
          <w:p w14:paraId="2230B3D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160</w:t>
            </w:r>
          </w:p>
        </w:tc>
        <w:tc>
          <w:tcPr>
            <w:tcW w:w="992" w:type="dxa"/>
          </w:tcPr>
          <w:p w14:paraId="41706200"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2" w:type="dxa"/>
          </w:tcPr>
          <w:p w14:paraId="0F6C6F7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4DFE184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0.5</w:t>
            </w:r>
          </w:p>
        </w:tc>
        <w:tc>
          <w:tcPr>
            <w:tcW w:w="567" w:type="dxa"/>
          </w:tcPr>
          <w:p w14:paraId="27F63E0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1FB01431"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1559" w:type="dxa"/>
          </w:tcPr>
          <w:p w14:paraId="686996D2" w14:textId="77777777" w:rsidR="00094004" w:rsidRPr="00900D56" w:rsidRDefault="00094004" w:rsidP="00094004">
            <w:pPr>
              <w:spacing w:after="0"/>
              <w:rPr>
                <w:rFonts w:eastAsia="Times New Roman" w:cstheme="minorHAnsi"/>
                <w:b w:val="0"/>
                <w:color w:val="000000"/>
                <w:lang w:eastAsia="en-AU"/>
              </w:rPr>
            </w:pPr>
            <w:r w:rsidRPr="00900D56">
              <w:rPr>
                <w:rFonts w:eastAsia="Times New Roman" w:cstheme="minorHAnsi"/>
                <w:color w:val="000000"/>
                <w:lang w:eastAsia="en-AU"/>
              </w:rPr>
              <w:t>Facilities and Fixtures</w:t>
            </w:r>
          </w:p>
        </w:tc>
        <w:tc>
          <w:tcPr>
            <w:tcW w:w="2693" w:type="dxa"/>
            <w:noWrap/>
          </w:tcPr>
          <w:p w14:paraId="35CBEE7A"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 and Static information displays not within or adjacent to road reserve</w:t>
            </w:r>
          </w:p>
        </w:tc>
        <w:tc>
          <w:tcPr>
            <w:tcW w:w="992" w:type="dxa"/>
          </w:tcPr>
          <w:p w14:paraId="6B887F4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200</w:t>
            </w:r>
          </w:p>
        </w:tc>
        <w:tc>
          <w:tcPr>
            <w:tcW w:w="992" w:type="dxa"/>
          </w:tcPr>
          <w:p w14:paraId="6E87D98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2" w:type="dxa"/>
          </w:tcPr>
          <w:p w14:paraId="6CAFF68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3590F8E6"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0.5</w:t>
            </w:r>
          </w:p>
        </w:tc>
        <w:tc>
          <w:tcPr>
            <w:tcW w:w="567" w:type="dxa"/>
          </w:tcPr>
          <w:p w14:paraId="15A96C6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 </w:t>
            </w:r>
          </w:p>
        </w:tc>
      </w:tr>
    </w:tbl>
    <w:p w14:paraId="410369CD" w14:textId="77777777" w:rsidR="00094004" w:rsidRDefault="00094004" w:rsidP="00094004">
      <w:pPr>
        <w:spacing w:line="259" w:lineRule="auto"/>
        <w:rPr>
          <w:rFonts w:ascii="Calibri" w:hAnsi="Calibri"/>
          <w:b/>
          <w:color w:val="002D72"/>
        </w:rPr>
      </w:pPr>
      <w:bookmarkStart w:id="946" w:name="_Toc96093719"/>
      <w:bookmarkEnd w:id="945"/>
    </w:p>
    <w:p w14:paraId="3AFEBAAF" w14:textId="77777777" w:rsidR="00094004" w:rsidRPr="00900D56" w:rsidRDefault="00094004" w:rsidP="00094004">
      <w:pPr>
        <w:pStyle w:val="Tablefigureheading"/>
        <w:ind w:left="1134" w:hanging="1134"/>
      </w:pPr>
      <w:r w:rsidRPr="00900D56">
        <w:t xml:space="preserve">Table 12: </w:t>
      </w:r>
      <w:r>
        <w:t>Regulatory O</w:t>
      </w:r>
      <w:r w:rsidRPr="00900D56">
        <w:t>ption 4 - Enclosed Zones</w:t>
      </w:r>
      <w:bookmarkEnd w:id="946"/>
    </w:p>
    <w:tbl>
      <w:tblPr>
        <w:tblStyle w:val="DefaultTable1"/>
        <w:tblW w:w="9214" w:type="dxa"/>
        <w:tblLayout w:type="fixed"/>
        <w:tblLook w:val="04A0" w:firstRow="1" w:lastRow="0" w:firstColumn="1" w:lastColumn="0" w:noHBand="0" w:noVBand="1"/>
        <w:tblCaption w:val="Table 12 Regulatory option 4 enclosed zones"/>
        <w:tblDescription w:val="This table provides levels of illumination for regulatory option 4 enclosed zones for the following elements, access paths, waiting areas, and facilities and fixtures."/>
      </w:tblPr>
      <w:tblGrid>
        <w:gridCol w:w="2268"/>
        <w:gridCol w:w="2268"/>
        <w:gridCol w:w="1701"/>
        <w:gridCol w:w="709"/>
        <w:gridCol w:w="1701"/>
        <w:gridCol w:w="567"/>
      </w:tblGrid>
      <w:tr w:rsidR="00094004" w:rsidRPr="00900D56" w14:paraId="7874B3B6" w14:textId="77777777" w:rsidTr="0009400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594CA3EA" w14:textId="77777777" w:rsidR="00094004" w:rsidRPr="00900D56" w:rsidRDefault="00094004" w:rsidP="00094004">
            <w:pPr>
              <w:spacing w:after="0"/>
              <w:rPr>
                <w:rFonts w:eastAsia="Times New Roman" w:cstheme="minorHAnsi"/>
                <w:lang w:eastAsia="en-AU"/>
              </w:rPr>
            </w:pPr>
            <w:bookmarkStart w:id="947" w:name="Table_12_Reg4_Enclosed_zones"/>
            <w:r w:rsidRPr="00900D56">
              <w:rPr>
                <w:rFonts w:eastAsia="Times New Roman" w:cstheme="minorHAnsi"/>
                <w:lang w:eastAsia="en-AU"/>
              </w:rPr>
              <w:t>Element Type*</w:t>
            </w:r>
          </w:p>
        </w:tc>
        <w:tc>
          <w:tcPr>
            <w:tcW w:w="2268" w:type="dxa"/>
            <w:noWrap/>
            <w:hideMark/>
          </w:tcPr>
          <w:p w14:paraId="6C3927C4"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Transport Element</w:t>
            </w:r>
          </w:p>
        </w:tc>
        <w:tc>
          <w:tcPr>
            <w:tcW w:w="1701" w:type="dxa"/>
          </w:tcPr>
          <w:p w14:paraId="67B76949"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EAV (lx)</w:t>
            </w:r>
          </w:p>
        </w:tc>
        <w:tc>
          <w:tcPr>
            <w:tcW w:w="709" w:type="dxa"/>
          </w:tcPr>
          <w:p w14:paraId="024F02B2"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 Min (lx)</w:t>
            </w:r>
          </w:p>
        </w:tc>
        <w:tc>
          <w:tcPr>
            <w:tcW w:w="1701" w:type="dxa"/>
          </w:tcPr>
          <w:p w14:paraId="2C270CBB"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EV Min (lx)</w:t>
            </w:r>
          </w:p>
        </w:tc>
        <w:tc>
          <w:tcPr>
            <w:tcW w:w="567" w:type="dxa"/>
          </w:tcPr>
          <w:p w14:paraId="71201FE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rPr>
              <w:t>U1</w:t>
            </w:r>
          </w:p>
        </w:tc>
      </w:tr>
      <w:tr w:rsidR="00094004" w:rsidRPr="00900D56" w14:paraId="67DEE19B" w14:textId="77777777" w:rsidTr="00094004">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268" w:type="dxa"/>
          </w:tcPr>
          <w:p w14:paraId="301F426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268" w:type="dxa"/>
            <w:noWrap/>
          </w:tcPr>
          <w:p w14:paraId="3A42676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FFFFFF" w:themeColor="background1"/>
                <w:lang w:eastAsia="en-AU"/>
              </w:rPr>
            </w:pPr>
            <w:r w:rsidRPr="00900D56">
              <w:rPr>
                <w:rFonts w:eastAsia="Times New Roman" w:cstheme="minorHAnsi"/>
                <w:color w:val="000000"/>
                <w:lang w:eastAsia="en-AU"/>
              </w:rPr>
              <w:t>Entrances, Pathways, Walkways, ramps, stairs and subways</w:t>
            </w:r>
          </w:p>
        </w:tc>
        <w:tc>
          <w:tcPr>
            <w:tcW w:w="1701" w:type="dxa"/>
          </w:tcPr>
          <w:p w14:paraId="2086481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160</w:t>
            </w:r>
          </w:p>
        </w:tc>
        <w:tc>
          <w:tcPr>
            <w:tcW w:w="709" w:type="dxa"/>
          </w:tcPr>
          <w:p w14:paraId="5A887A7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p>
        </w:tc>
        <w:tc>
          <w:tcPr>
            <w:tcW w:w="1701" w:type="dxa"/>
          </w:tcPr>
          <w:p w14:paraId="40CFE8F9" w14:textId="77777777" w:rsidR="00094004" w:rsidRPr="00900D56" w:rsidRDefault="00094004" w:rsidP="00094004">
            <w:pPr>
              <w:spacing w:after="0"/>
              <w:jc w:val="center"/>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 </w:t>
            </w:r>
          </w:p>
        </w:tc>
        <w:tc>
          <w:tcPr>
            <w:tcW w:w="567" w:type="dxa"/>
          </w:tcPr>
          <w:p w14:paraId="032970F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b/>
                <w:bCs/>
                <w:color w:val="FFFFFF" w:themeColor="background1"/>
              </w:rPr>
            </w:pPr>
            <w:r w:rsidRPr="00900D56">
              <w:rPr>
                <w:rFonts w:cstheme="minorHAnsi"/>
                <w:color w:val="000000"/>
              </w:rPr>
              <w:t>0.5</w:t>
            </w:r>
          </w:p>
        </w:tc>
      </w:tr>
      <w:tr w:rsidR="00094004" w:rsidRPr="00900D56" w14:paraId="76B2B181"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6C81F484"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Waiting areas</w:t>
            </w:r>
          </w:p>
        </w:tc>
        <w:tc>
          <w:tcPr>
            <w:tcW w:w="2268" w:type="dxa"/>
            <w:noWrap/>
          </w:tcPr>
          <w:p w14:paraId="508E4A70"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and waiting areas</w:t>
            </w:r>
          </w:p>
        </w:tc>
        <w:tc>
          <w:tcPr>
            <w:tcW w:w="1701" w:type="dxa"/>
          </w:tcPr>
          <w:p w14:paraId="7DCA867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160</w:t>
            </w:r>
          </w:p>
        </w:tc>
        <w:tc>
          <w:tcPr>
            <w:tcW w:w="709" w:type="dxa"/>
          </w:tcPr>
          <w:p w14:paraId="5D95BD5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48E070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67B06F8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7244F284"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4050958E"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lastRenderedPageBreak/>
              <w:t>Waiting areas</w:t>
            </w:r>
          </w:p>
        </w:tc>
        <w:tc>
          <w:tcPr>
            <w:tcW w:w="2268" w:type="dxa"/>
            <w:noWrap/>
          </w:tcPr>
          <w:p w14:paraId="6E862D71"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Within 900mm of boarding point</w:t>
            </w:r>
          </w:p>
        </w:tc>
        <w:tc>
          <w:tcPr>
            <w:tcW w:w="1701" w:type="dxa"/>
          </w:tcPr>
          <w:p w14:paraId="2C8A457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709" w:type="dxa"/>
          </w:tcPr>
          <w:p w14:paraId="4F985C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150</w:t>
            </w:r>
          </w:p>
        </w:tc>
        <w:tc>
          <w:tcPr>
            <w:tcW w:w="1701" w:type="dxa"/>
          </w:tcPr>
          <w:p w14:paraId="2316B6B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7" w:type="dxa"/>
          </w:tcPr>
          <w:p w14:paraId="396BA92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r>
      <w:tr w:rsidR="00094004" w:rsidRPr="00900D56" w14:paraId="62E19C54"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5A189861"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7C9AA6C3"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 (hard copy)</w:t>
            </w:r>
          </w:p>
        </w:tc>
        <w:tc>
          <w:tcPr>
            <w:tcW w:w="1701" w:type="dxa"/>
          </w:tcPr>
          <w:p w14:paraId="53FC8BC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1A8A9AA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525C825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202075F"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0922EDF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0437340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54D3F7D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w:t>
            </w:r>
          </w:p>
        </w:tc>
        <w:tc>
          <w:tcPr>
            <w:tcW w:w="1701" w:type="dxa"/>
          </w:tcPr>
          <w:p w14:paraId="62D8B4C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2E9BE174"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2D24EA9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7C489FA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1545541D" w14:textId="77777777" w:rsidTr="00094004">
        <w:trPr>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C0F09A6"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07F1E9A5"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Toilet and locker rooms</w:t>
            </w:r>
          </w:p>
        </w:tc>
        <w:tc>
          <w:tcPr>
            <w:tcW w:w="1701" w:type="dxa"/>
          </w:tcPr>
          <w:p w14:paraId="669D053A"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200</w:t>
            </w:r>
          </w:p>
        </w:tc>
        <w:tc>
          <w:tcPr>
            <w:tcW w:w="709" w:type="dxa"/>
          </w:tcPr>
          <w:p w14:paraId="30DE7B4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622D352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7B5C0C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0.5</w:t>
            </w:r>
          </w:p>
        </w:tc>
      </w:tr>
      <w:tr w:rsidR="00094004" w:rsidRPr="00900D56" w14:paraId="3E8C9622" w14:textId="77777777" w:rsidTr="0009400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268" w:type="dxa"/>
          </w:tcPr>
          <w:p w14:paraId="1FB8969B"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268" w:type="dxa"/>
            <w:noWrap/>
          </w:tcPr>
          <w:p w14:paraId="07768963"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Customer Service Points</w:t>
            </w:r>
          </w:p>
        </w:tc>
        <w:tc>
          <w:tcPr>
            <w:tcW w:w="1701" w:type="dxa"/>
          </w:tcPr>
          <w:p w14:paraId="69813C9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AS1428.2 (1992)</w:t>
            </w:r>
          </w:p>
        </w:tc>
        <w:tc>
          <w:tcPr>
            <w:tcW w:w="709" w:type="dxa"/>
          </w:tcPr>
          <w:p w14:paraId="1DFEF58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591D1E9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AS1735.12: 2002</w:t>
            </w:r>
          </w:p>
        </w:tc>
        <w:tc>
          <w:tcPr>
            <w:tcW w:w="567" w:type="dxa"/>
          </w:tcPr>
          <w:p w14:paraId="4D2C7B8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0.5</w:t>
            </w:r>
          </w:p>
        </w:tc>
      </w:tr>
    </w:tbl>
    <w:bookmarkEnd w:id="947"/>
    <w:p w14:paraId="32685BE3" w14:textId="77777777" w:rsidR="00094004" w:rsidRPr="00900D56" w:rsidRDefault="00094004" w:rsidP="00094004">
      <w:pPr>
        <w:rPr>
          <w:sz w:val="18"/>
          <w:szCs w:val="18"/>
        </w:rPr>
      </w:pPr>
      <w:r w:rsidRPr="00900D56">
        <w:rPr>
          <w:sz w:val="18"/>
          <w:szCs w:val="18"/>
        </w:rPr>
        <w:t>*For lifts, refer to Transport Standards Part 13 Lifts</w:t>
      </w:r>
    </w:p>
    <w:p w14:paraId="6899DC85" w14:textId="77777777" w:rsidR="00094004" w:rsidRDefault="00094004" w:rsidP="00094004">
      <w:pPr>
        <w:pStyle w:val="Tablefigureheading"/>
        <w:ind w:left="851" w:hanging="851"/>
      </w:pPr>
      <w:bookmarkStart w:id="948" w:name="_Toc96093720"/>
    </w:p>
    <w:p w14:paraId="71ADB7F9" w14:textId="77777777" w:rsidR="00094004" w:rsidRPr="00900D56" w:rsidRDefault="00094004" w:rsidP="00094004">
      <w:pPr>
        <w:pStyle w:val="Tablefigureheading"/>
        <w:ind w:left="851" w:hanging="851"/>
      </w:pPr>
      <w:r w:rsidRPr="00900D56">
        <w:t>Table 13:</w:t>
      </w:r>
      <w:r>
        <w:t xml:space="preserve"> Regulatory O</w:t>
      </w:r>
      <w:r w:rsidRPr="00900D56">
        <w:t>ption 4 - Unenclosed zones</w:t>
      </w:r>
      <w:bookmarkEnd w:id="948"/>
    </w:p>
    <w:tbl>
      <w:tblPr>
        <w:tblStyle w:val="DefaultTable1"/>
        <w:tblW w:w="7938" w:type="dxa"/>
        <w:tblLook w:val="04A0" w:firstRow="1" w:lastRow="0" w:firstColumn="1" w:lastColumn="0" w:noHBand="0" w:noVBand="1"/>
        <w:tblCaption w:val="Table 13 Regulatory Option 4 unenclosed zones"/>
        <w:tblDescription w:val="This tables provides levels of illumination for regulatory Option 4 unenclosed zones for level crossings."/>
      </w:tblPr>
      <w:tblGrid>
        <w:gridCol w:w="1560"/>
        <w:gridCol w:w="2835"/>
        <w:gridCol w:w="1181"/>
        <w:gridCol w:w="1181"/>
        <w:gridCol w:w="1181"/>
      </w:tblGrid>
      <w:tr w:rsidR="00094004" w:rsidRPr="00900D56" w14:paraId="6CB53F8C" w14:textId="77777777" w:rsidTr="00094004">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tcPr>
          <w:p w14:paraId="3077CD9C" w14:textId="77777777" w:rsidR="00094004" w:rsidRPr="00900D56" w:rsidRDefault="00094004" w:rsidP="00094004">
            <w:pPr>
              <w:spacing w:after="0"/>
              <w:rPr>
                <w:rFonts w:eastAsia="Times New Roman" w:cstheme="minorHAnsi"/>
                <w:bCs/>
                <w:lang w:eastAsia="en-AU"/>
              </w:rPr>
            </w:pPr>
            <w:bookmarkStart w:id="949" w:name="Table_13_Reg4_Unenclosed_zones"/>
            <w:r w:rsidRPr="00900D56">
              <w:rPr>
                <w:rFonts w:eastAsia="Times New Roman" w:cstheme="minorHAnsi"/>
                <w:bCs/>
                <w:lang w:eastAsia="en-AU"/>
              </w:rPr>
              <w:t>Element Type</w:t>
            </w:r>
          </w:p>
        </w:tc>
        <w:tc>
          <w:tcPr>
            <w:tcW w:w="2835" w:type="dxa"/>
            <w:noWrap/>
          </w:tcPr>
          <w:p w14:paraId="7F17A0C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bCs/>
                <w:lang w:eastAsia="en-AU"/>
              </w:rPr>
              <w:t>Transport Element</w:t>
            </w:r>
          </w:p>
        </w:tc>
        <w:tc>
          <w:tcPr>
            <w:tcW w:w="1181" w:type="dxa"/>
          </w:tcPr>
          <w:p w14:paraId="487FDA9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EAV (lx)</w:t>
            </w:r>
          </w:p>
        </w:tc>
        <w:tc>
          <w:tcPr>
            <w:tcW w:w="1181" w:type="dxa"/>
          </w:tcPr>
          <w:p w14:paraId="6BF1CD10"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 Min (lx)</w:t>
            </w:r>
          </w:p>
        </w:tc>
        <w:tc>
          <w:tcPr>
            <w:tcW w:w="1181" w:type="dxa"/>
          </w:tcPr>
          <w:p w14:paraId="3654C278"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900D56">
              <w:rPr>
                <w:rFonts w:cstheme="minorHAnsi"/>
                <w:bCs/>
              </w:rPr>
              <w:t>EV Min (lx)</w:t>
            </w:r>
          </w:p>
        </w:tc>
      </w:tr>
      <w:tr w:rsidR="00094004" w:rsidRPr="00900D56" w14:paraId="279EF316" w14:textId="77777777" w:rsidTr="00094004">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560" w:type="dxa"/>
            <w:noWrap/>
            <w:hideMark/>
          </w:tcPr>
          <w:p w14:paraId="0053C26B" w14:textId="77777777" w:rsidR="00094004" w:rsidRPr="00900D56" w:rsidRDefault="00094004" w:rsidP="00094004">
            <w:pPr>
              <w:spacing w:after="0"/>
              <w:rPr>
                <w:rFonts w:eastAsia="Times New Roman" w:cstheme="minorHAnsi"/>
                <w:bCs/>
                <w:color w:val="000000"/>
                <w:lang w:eastAsia="en-AU"/>
              </w:rPr>
            </w:pPr>
            <w:r w:rsidRPr="00900D56">
              <w:rPr>
                <w:rFonts w:eastAsia="Times New Roman" w:cstheme="minorHAnsi"/>
                <w:bCs/>
                <w:color w:val="000000"/>
                <w:lang w:eastAsia="en-AU"/>
              </w:rPr>
              <w:t>Level Crossings</w:t>
            </w:r>
          </w:p>
        </w:tc>
        <w:tc>
          <w:tcPr>
            <w:tcW w:w="2835" w:type="dxa"/>
            <w:noWrap/>
          </w:tcPr>
          <w:p w14:paraId="28562D5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lang w:eastAsia="en-AU"/>
              </w:rPr>
              <w:t>Pedestrian Level Crossings (Rail)</w:t>
            </w:r>
          </w:p>
        </w:tc>
        <w:tc>
          <w:tcPr>
            <w:tcW w:w="1181" w:type="dxa"/>
          </w:tcPr>
          <w:p w14:paraId="0D16D58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30</w:t>
            </w:r>
          </w:p>
        </w:tc>
        <w:tc>
          <w:tcPr>
            <w:tcW w:w="1181" w:type="dxa"/>
          </w:tcPr>
          <w:p w14:paraId="400A594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c>
          <w:tcPr>
            <w:tcW w:w="1181" w:type="dxa"/>
          </w:tcPr>
          <w:p w14:paraId="680F222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bookmarkEnd w:id="949"/>
    </w:tbl>
    <w:p w14:paraId="17E06B8F" w14:textId="77777777" w:rsidR="00094004" w:rsidRDefault="00094004" w:rsidP="00094004">
      <w:pPr>
        <w:pStyle w:val="Tablefigureheading"/>
        <w:ind w:left="851" w:hanging="851"/>
      </w:pPr>
    </w:p>
    <w:p w14:paraId="178B1B41" w14:textId="77777777" w:rsidR="00094004" w:rsidRPr="00900D56" w:rsidRDefault="00094004" w:rsidP="00094004">
      <w:pPr>
        <w:pStyle w:val="Tablefigureheading"/>
        <w:ind w:left="851" w:hanging="851"/>
      </w:pPr>
      <w:bookmarkStart w:id="950" w:name="_Toc96093721"/>
      <w:r w:rsidRPr="00900D56">
        <w:t>Table 14:</w:t>
      </w:r>
      <w:r>
        <w:t xml:space="preserve">  Regulatory O</w:t>
      </w:r>
      <w:r w:rsidRPr="00900D56">
        <w:t>ption 4 - Unenclosed zones - Elements within or adjacent to road reserve</w:t>
      </w:r>
      <w:bookmarkEnd w:id="950"/>
    </w:p>
    <w:tbl>
      <w:tblPr>
        <w:tblStyle w:val="DefaultTable1"/>
        <w:tblW w:w="9072" w:type="dxa"/>
        <w:tblLayout w:type="fixed"/>
        <w:tblLook w:val="04A0" w:firstRow="1" w:lastRow="0" w:firstColumn="1" w:lastColumn="0" w:noHBand="0" w:noVBand="1"/>
        <w:tblCaption w:val="Table 14 Regulatory option 4, unenclosed zones, elemnts within or adjacent to road reserves"/>
        <w:tblDescription w:val="This tables provides levels of illumination for regulatory option 4, unenclosed zones, elemnts within or adjacent to road reserves for access paths, waiting areas, fixtures and facilities, carparking and parking."/>
      </w:tblPr>
      <w:tblGrid>
        <w:gridCol w:w="1560"/>
        <w:gridCol w:w="2409"/>
        <w:gridCol w:w="2126"/>
        <w:gridCol w:w="851"/>
        <w:gridCol w:w="993"/>
        <w:gridCol w:w="566"/>
        <w:gridCol w:w="567"/>
      </w:tblGrid>
      <w:tr w:rsidR="00094004" w:rsidRPr="00900D56" w14:paraId="72ECACCC" w14:textId="77777777" w:rsidTr="00094004">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EA138F8" w14:textId="77777777" w:rsidR="00094004" w:rsidRPr="00900D56" w:rsidRDefault="00094004" w:rsidP="00094004">
            <w:pPr>
              <w:spacing w:after="0"/>
              <w:rPr>
                <w:rFonts w:eastAsia="Times New Roman" w:cstheme="minorHAnsi"/>
                <w:bCs/>
                <w:lang w:eastAsia="en-AU"/>
              </w:rPr>
            </w:pPr>
            <w:bookmarkStart w:id="951" w:name="Table_14_Reg4_Unenclosed_road_reserve"/>
            <w:r w:rsidRPr="00900D56">
              <w:rPr>
                <w:rFonts w:eastAsia="Times New Roman" w:cstheme="minorHAnsi"/>
                <w:bCs/>
                <w:lang w:eastAsia="en-AU"/>
              </w:rPr>
              <w:t>Element Type</w:t>
            </w:r>
          </w:p>
        </w:tc>
        <w:tc>
          <w:tcPr>
            <w:tcW w:w="2409" w:type="dxa"/>
            <w:noWrap/>
          </w:tcPr>
          <w:p w14:paraId="1A13705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Transport Element</w:t>
            </w:r>
          </w:p>
        </w:tc>
        <w:tc>
          <w:tcPr>
            <w:tcW w:w="2126" w:type="dxa"/>
          </w:tcPr>
          <w:p w14:paraId="76C88E51"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EAV (lx)</w:t>
            </w:r>
          </w:p>
        </w:tc>
        <w:tc>
          <w:tcPr>
            <w:tcW w:w="851" w:type="dxa"/>
          </w:tcPr>
          <w:p w14:paraId="0708B0CA"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 Min (lx)</w:t>
            </w:r>
          </w:p>
        </w:tc>
        <w:tc>
          <w:tcPr>
            <w:tcW w:w="993" w:type="dxa"/>
          </w:tcPr>
          <w:p w14:paraId="7372F67E"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bCs/>
              </w:rPr>
            </w:pPr>
            <w:r w:rsidRPr="00900D56">
              <w:rPr>
                <w:rFonts w:cstheme="minorHAnsi"/>
                <w:bCs/>
              </w:rPr>
              <w:t>EV Min (lx)</w:t>
            </w:r>
          </w:p>
        </w:tc>
        <w:tc>
          <w:tcPr>
            <w:tcW w:w="566" w:type="dxa"/>
          </w:tcPr>
          <w:p w14:paraId="1C673A0F"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U1</w:t>
            </w:r>
          </w:p>
        </w:tc>
        <w:tc>
          <w:tcPr>
            <w:tcW w:w="567" w:type="dxa"/>
          </w:tcPr>
          <w:p w14:paraId="3F2B15B6" w14:textId="77777777" w:rsidR="00094004" w:rsidRPr="00900D56"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Cs/>
                <w:lang w:eastAsia="en-AU"/>
              </w:rPr>
            </w:pPr>
            <w:r w:rsidRPr="00900D56">
              <w:rPr>
                <w:rFonts w:eastAsia="Times New Roman" w:cstheme="minorHAnsi"/>
                <w:bCs/>
                <w:lang w:eastAsia="en-AU"/>
              </w:rPr>
              <w:t>U2</w:t>
            </w:r>
          </w:p>
        </w:tc>
      </w:tr>
      <w:tr w:rsidR="00094004" w:rsidRPr="00900D56" w14:paraId="61C96206"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7CAE0B76"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Access Paths</w:t>
            </w:r>
          </w:p>
        </w:tc>
        <w:tc>
          <w:tcPr>
            <w:tcW w:w="2409" w:type="dxa"/>
            <w:noWrap/>
          </w:tcPr>
          <w:p w14:paraId="3BFAA9B9"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Access Paths</w:t>
            </w:r>
          </w:p>
        </w:tc>
        <w:tc>
          <w:tcPr>
            <w:tcW w:w="2126" w:type="dxa"/>
          </w:tcPr>
          <w:p w14:paraId="1A4E01C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20</w:t>
            </w:r>
          </w:p>
        </w:tc>
        <w:tc>
          <w:tcPr>
            <w:tcW w:w="851" w:type="dxa"/>
          </w:tcPr>
          <w:p w14:paraId="3DA765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993" w:type="dxa"/>
          </w:tcPr>
          <w:p w14:paraId="59E2F01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566" w:type="dxa"/>
          </w:tcPr>
          <w:p w14:paraId="72212E3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DF60276"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imes New Roman" w:cstheme="minorHAnsi"/>
                <w:lang w:eastAsia="en-AU"/>
              </w:rPr>
              <w:t>10</w:t>
            </w:r>
          </w:p>
        </w:tc>
      </w:tr>
      <w:tr w:rsidR="00094004" w:rsidRPr="00900D56" w14:paraId="5AD8BE90"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05C2757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1020542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General platform, waiting areas and boarding areas</w:t>
            </w:r>
          </w:p>
        </w:tc>
        <w:tc>
          <w:tcPr>
            <w:tcW w:w="2126" w:type="dxa"/>
          </w:tcPr>
          <w:p w14:paraId="43494FC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6E868FE8"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8</w:t>
            </w:r>
          </w:p>
        </w:tc>
        <w:tc>
          <w:tcPr>
            <w:tcW w:w="993" w:type="dxa"/>
          </w:tcPr>
          <w:p w14:paraId="3B4BB8D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7</w:t>
            </w:r>
          </w:p>
        </w:tc>
        <w:tc>
          <w:tcPr>
            <w:tcW w:w="566" w:type="dxa"/>
          </w:tcPr>
          <w:p w14:paraId="62FE9F7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0.3</w:t>
            </w:r>
          </w:p>
        </w:tc>
        <w:tc>
          <w:tcPr>
            <w:tcW w:w="567" w:type="dxa"/>
          </w:tcPr>
          <w:p w14:paraId="5D387B2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10</w:t>
            </w:r>
          </w:p>
        </w:tc>
      </w:tr>
      <w:tr w:rsidR="00094004" w:rsidRPr="00900D56" w14:paraId="7C2210A3"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81373C7"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 xml:space="preserve">Waiting Areas </w:t>
            </w:r>
          </w:p>
        </w:tc>
        <w:tc>
          <w:tcPr>
            <w:tcW w:w="2409" w:type="dxa"/>
            <w:noWrap/>
          </w:tcPr>
          <w:p w14:paraId="2D4D6E7D"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color w:val="000000"/>
                <w:lang w:eastAsia="en-AU"/>
              </w:rPr>
              <w:t xml:space="preserve">Covered areas </w:t>
            </w:r>
          </w:p>
        </w:tc>
        <w:tc>
          <w:tcPr>
            <w:tcW w:w="2126" w:type="dxa"/>
          </w:tcPr>
          <w:p w14:paraId="0E94790C"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imes New Roman" w:cstheme="minorHAnsi"/>
                <w:lang w:eastAsia="en-AU"/>
              </w:rPr>
              <w:t>20</w:t>
            </w:r>
          </w:p>
        </w:tc>
        <w:tc>
          <w:tcPr>
            <w:tcW w:w="851" w:type="dxa"/>
          </w:tcPr>
          <w:p w14:paraId="70F4675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3" w:type="dxa"/>
          </w:tcPr>
          <w:p w14:paraId="6B2D9EB1"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6" w:type="dxa"/>
          </w:tcPr>
          <w:p w14:paraId="502DD2B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8FA0F1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6C80B143"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1E54642"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13C5345C"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Static information displays</w:t>
            </w:r>
          </w:p>
        </w:tc>
        <w:tc>
          <w:tcPr>
            <w:tcW w:w="2126" w:type="dxa"/>
          </w:tcPr>
          <w:p w14:paraId="0F7673D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851" w:type="dxa"/>
          </w:tcPr>
          <w:p w14:paraId="4E47688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993" w:type="dxa"/>
          </w:tcPr>
          <w:p w14:paraId="248115C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072E136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0DAACCD5"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r>
      <w:tr w:rsidR="00094004" w:rsidRPr="00900D56" w14:paraId="0B82AA7F"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01D45C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Facilities and Fixtures</w:t>
            </w:r>
          </w:p>
        </w:tc>
        <w:tc>
          <w:tcPr>
            <w:tcW w:w="2409" w:type="dxa"/>
            <w:noWrap/>
          </w:tcPr>
          <w:p w14:paraId="1E0AFFF8"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Fare System Elements (excluding fare validators)</w:t>
            </w:r>
          </w:p>
        </w:tc>
        <w:tc>
          <w:tcPr>
            <w:tcW w:w="2126" w:type="dxa"/>
          </w:tcPr>
          <w:p w14:paraId="270A9FAB"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851" w:type="dxa"/>
          </w:tcPr>
          <w:p w14:paraId="5D9C1D0A"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993" w:type="dxa"/>
          </w:tcPr>
          <w:p w14:paraId="4912F22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AS1735.12 (2002)</w:t>
            </w:r>
          </w:p>
        </w:tc>
        <w:tc>
          <w:tcPr>
            <w:tcW w:w="566" w:type="dxa"/>
          </w:tcPr>
          <w:p w14:paraId="76DFD29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039F260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r>
      <w:tr w:rsidR="00094004" w:rsidRPr="00900D56" w14:paraId="703857C4"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2ED37659"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016FEE41"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3E13F6C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1EEDF40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29B6778C"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5814FDA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385356DE"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63679CC"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3C8BE13B"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Car parking</w:t>
            </w:r>
          </w:p>
        </w:tc>
        <w:tc>
          <w:tcPr>
            <w:tcW w:w="2409" w:type="dxa"/>
            <w:noWrap/>
          </w:tcPr>
          <w:p w14:paraId="5D4C64FB"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56CAD523"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heme="minorEastAsia" w:cstheme="minorHAnsi"/>
              </w:rPr>
              <w:t>AS/NZS 1680.0 (2009)</w:t>
            </w:r>
          </w:p>
        </w:tc>
        <w:tc>
          <w:tcPr>
            <w:tcW w:w="851" w:type="dxa"/>
          </w:tcPr>
          <w:p w14:paraId="3E5F8565"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eastAsia="Times New Roman" w:cstheme="minorHAnsi"/>
                <w:lang w:eastAsia="en-AU"/>
              </w:rPr>
              <w:t>14</w:t>
            </w:r>
          </w:p>
        </w:tc>
        <w:tc>
          <w:tcPr>
            <w:tcW w:w="993" w:type="dxa"/>
          </w:tcPr>
          <w:p w14:paraId="718D39D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51F02E17"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06250B7D"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8804844"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02EB7A94"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1ECA2FB9"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Standard car parking spaces</w:t>
            </w:r>
          </w:p>
        </w:tc>
        <w:tc>
          <w:tcPr>
            <w:tcW w:w="2126" w:type="dxa"/>
          </w:tcPr>
          <w:p w14:paraId="4D95894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7CC034B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3</w:t>
            </w:r>
          </w:p>
        </w:tc>
        <w:tc>
          <w:tcPr>
            <w:tcW w:w="993" w:type="dxa"/>
          </w:tcPr>
          <w:p w14:paraId="74B26A93"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3</w:t>
            </w:r>
          </w:p>
        </w:tc>
        <w:tc>
          <w:tcPr>
            <w:tcW w:w="566" w:type="dxa"/>
          </w:tcPr>
          <w:p w14:paraId="7BAF8867"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1810D321"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5DD8D25E" w14:textId="77777777" w:rsidTr="00094004">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560" w:type="dxa"/>
          </w:tcPr>
          <w:p w14:paraId="4C614A25"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4B66476E" w14:textId="77777777" w:rsidR="00094004" w:rsidRPr="00900D56"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Accessible car parking space</w:t>
            </w:r>
          </w:p>
        </w:tc>
        <w:tc>
          <w:tcPr>
            <w:tcW w:w="2126" w:type="dxa"/>
          </w:tcPr>
          <w:p w14:paraId="2DCF2692"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7F07802F"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5DCD8069"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FC4275E"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13271838" w14:textId="77777777" w:rsidR="00094004" w:rsidRPr="00900D56"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00D56">
              <w:rPr>
                <w:rFonts w:cstheme="minorHAnsi"/>
                <w:color w:val="000000"/>
              </w:rPr>
              <w:t>10</w:t>
            </w:r>
          </w:p>
        </w:tc>
      </w:tr>
      <w:tr w:rsidR="00094004" w:rsidRPr="00900D56" w14:paraId="4D172C9F" w14:textId="77777777" w:rsidTr="00094004">
        <w:trPr>
          <w:trHeight w:val="291"/>
        </w:trPr>
        <w:tc>
          <w:tcPr>
            <w:cnfStyle w:val="001000000000" w:firstRow="0" w:lastRow="0" w:firstColumn="1" w:lastColumn="0" w:oddVBand="0" w:evenVBand="0" w:oddHBand="0" w:evenHBand="0" w:firstRowFirstColumn="0" w:firstRowLastColumn="0" w:lastRowFirstColumn="0" w:lastRowLastColumn="0"/>
            <w:tcW w:w="1560" w:type="dxa"/>
          </w:tcPr>
          <w:p w14:paraId="620B3890" w14:textId="77777777" w:rsidR="00094004" w:rsidRPr="00900D56" w:rsidRDefault="00094004" w:rsidP="00094004">
            <w:pPr>
              <w:spacing w:after="0"/>
              <w:rPr>
                <w:rFonts w:eastAsia="Times New Roman" w:cstheme="minorHAnsi"/>
                <w:color w:val="000000"/>
                <w:lang w:eastAsia="en-AU"/>
              </w:rPr>
            </w:pPr>
            <w:r w:rsidRPr="00900D56">
              <w:rPr>
                <w:rFonts w:eastAsia="Times New Roman" w:cstheme="minorHAnsi"/>
                <w:color w:val="000000"/>
                <w:lang w:eastAsia="en-AU"/>
              </w:rPr>
              <w:t>Parking</w:t>
            </w:r>
          </w:p>
        </w:tc>
        <w:tc>
          <w:tcPr>
            <w:tcW w:w="2409" w:type="dxa"/>
            <w:noWrap/>
          </w:tcPr>
          <w:p w14:paraId="6385D30A" w14:textId="77777777" w:rsidR="00094004" w:rsidRPr="00900D56"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sidRPr="00900D56">
              <w:rPr>
                <w:rFonts w:eastAsia="Times New Roman" w:cstheme="minorHAnsi"/>
                <w:color w:val="000000"/>
                <w:lang w:eastAsia="en-AU"/>
              </w:rPr>
              <w:t>Taxi ranks and passenger loading zones</w:t>
            </w:r>
          </w:p>
        </w:tc>
        <w:tc>
          <w:tcPr>
            <w:tcW w:w="2126" w:type="dxa"/>
          </w:tcPr>
          <w:p w14:paraId="1FFE0199"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eastAsiaTheme="minorEastAsia" w:cstheme="minorHAnsi"/>
              </w:rPr>
              <w:t>AS/NZS 1680.0 (2009)</w:t>
            </w:r>
          </w:p>
        </w:tc>
        <w:tc>
          <w:tcPr>
            <w:tcW w:w="851" w:type="dxa"/>
          </w:tcPr>
          <w:p w14:paraId="6E9011B0"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900D56">
              <w:rPr>
                <w:rFonts w:cstheme="minorHAnsi"/>
                <w:color w:val="000000"/>
              </w:rPr>
              <w:t>14</w:t>
            </w:r>
          </w:p>
        </w:tc>
        <w:tc>
          <w:tcPr>
            <w:tcW w:w="993" w:type="dxa"/>
          </w:tcPr>
          <w:p w14:paraId="2803753D"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7</w:t>
            </w:r>
          </w:p>
        </w:tc>
        <w:tc>
          <w:tcPr>
            <w:tcW w:w="566" w:type="dxa"/>
          </w:tcPr>
          <w:p w14:paraId="27B57902"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0.3</w:t>
            </w:r>
          </w:p>
        </w:tc>
        <w:tc>
          <w:tcPr>
            <w:tcW w:w="567" w:type="dxa"/>
          </w:tcPr>
          <w:p w14:paraId="77EFFF04" w14:textId="77777777" w:rsidR="00094004" w:rsidRPr="00900D56"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00D56">
              <w:rPr>
                <w:rFonts w:cstheme="minorHAnsi"/>
                <w:color w:val="000000"/>
              </w:rPr>
              <w:t>10</w:t>
            </w:r>
          </w:p>
        </w:tc>
      </w:tr>
      <w:bookmarkEnd w:id="951"/>
    </w:tbl>
    <w:p w14:paraId="0D17A675" w14:textId="77777777" w:rsidR="00094004" w:rsidRPr="00900D56" w:rsidRDefault="00094004" w:rsidP="00094004">
      <w:pPr>
        <w:spacing w:line="259" w:lineRule="auto"/>
        <w:rPr>
          <w:rFonts w:ascii="Calibri" w:hAnsi="Calibri"/>
          <w:b/>
          <w:color w:val="002D72"/>
        </w:rPr>
      </w:pPr>
    </w:p>
    <w:p w14:paraId="5F59900C" w14:textId="77777777" w:rsidR="00094004" w:rsidRPr="00900D56" w:rsidRDefault="00094004" w:rsidP="00094004">
      <w:pPr>
        <w:pStyle w:val="Tablefigureheading"/>
        <w:ind w:left="1134" w:hanging="1134"/>
      </w:pPr>
      <w:bookmarkStart w:id="952" w:name="_Toc96093722"/>
      <w:r w:rsidRPr="00900D56">
        <w:t xml:space="preserve">Table 15: </w:t>
      </w:r>
      <w:r w:rsidRPr="00900D56">
        <w:tab/>
      </w:r>
      <w:r>
        <w:t>Regulatory O</w:t>
      </w:r>
      <w:r w:rsidRPr="00900D56">
        <w:t>ption 4 – Unenclosed Zones – Elements not within or adjacent to road reserve</w:t>
      </w:r>
      <w:bookmarkEnd w:id="952"/>
    </w:p>
    <w:tbl>
      <w:tblPr>
        <w:tblStyle w:val="DefaultTable1"/>
        <w:tblW w:w="9072" w:type="dxa"/>
        <w:tblLayout w:type="fixed"/>
        <w:tblLook w:val="04A0" w:firstRow="1" w:lastRow="0" w:firstColumn="1" w:lastColumn="0" w:noHBand="0" w:noVBand="1"/>
        <w:tblCaption w:val="Table 15 Regulatory option 4, unenclosed zones, elements not within or adjacent to road reserves"/>
        <w:tblDescription w:val="This tables provides levels of illumination for regulatory option 4, unenclosed zones, elements not within or adjacent to road reserves for access paths, waiting areas, fixtures and facilities."/>
      </w:tblPr>
      <w:tblGrid>
        <w:gridCol w:w="2127"/>
        <w:gridCol w:w="2693"/>
        <w:gridCol w:w="708"/>
        <w:gridCol w:w="709"/>
        <w:gridCol w:w="1701"/>
        <w:gridCol w:w="567"/>
        <w:gridCol w:w="567"/>
      </w:tblGrid>
      <w:tr w:rsidR="00094004" w14:paraId="046E08E8" w14:textId="77777777" w:rsidTr="00094004">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9F80962" w14:textId="77777777" w:rsidR="00094004" w:rsidRPr="008A7BA1" w:rsidRDefault="00094004" w:rsidP="00094004">
            <w:pPr>
              <w:spacing w:after="0"/>
              <w:rPr>
                <w:rFonts w:eastAsia="Times New Roman" w:cstheme="minorHAnsi"/>
                <w:lang w:eastAsia="en-AU"/>
              </w:rPr>
            </w:pPr>
            <w:bookmarkStart w:id="953" w:name="Table_15_Reg4_Unenclosed_not_road_res"/>
            <w:r w:rsidRPr="008A7BA1">
              <w:rPr>
                <w:rFonts w:eastAsia="Times New Roman" w:cstheme="minorHAnsi"/>
                <w:lang w:eastAsia="en-AU"/>
              </w:rPr>
              <w:t>Element Type</w:t>
            </w:r>
          </w:p>
        </w:tc>
        <w:tc>
          <w:tcPr>
            <w:tcW w:w="2693" w:type="dxa"/>
            <w:noWrap/>
          </w:tcPr>
          <w:p w14:paraId="0B8CB318"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8A7BA1">
              <w:rPr>
                <w:rFonts w:eastAsia="Times New Roman" w:cstheme="minorHAnsi"/>
                <w:lang w:eastAsia="en-AU"/>
              </w:rPr>
              <w:t>Transport Element</w:t>
            </w:r>
          </w:p>
        </w:tc>
        <w:tc>
          <w:tcPr>
            <w:tcW w:w="708" w:type="dxa"/>
          </w:tcPr>
          <w:p w14:paraId="2FBF65EE"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AU"/>
              </w:rPr>
            </w:pPr>
            <w:r w:rsidRPr="008A7BA1">
              <w:rPr>
                <w:rFonts w:eastAsia="Times New Roman" w:cstheme="minorHAnsi"/>
                <w:lang w:eastAsia="en-AU"/>
              </w:rPr>
              <w:t>EAV (lx)</w:t>
            </w:r>
          </w:p>
        </w:tc>
        <w:tc>
          <w:tcPr>
            <w:tcW w:w="709" w:type="dxa"/>
          </w:tcPr>
          <w:p w14:paraId="5CB61681"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E Min (lx)</w:t>
            </w:r>
          </w:p>
        </w:tc>
        <w:tc>
          <w:tcPr>
            <w:tcW w:w="1701" w:type="dxa"/>
          </w:tcPr>
          <w:p w14:paraId="508A31CC"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EV Min (lx)</w:t>
            </w:r>
          </w:p>
        </w:tc>
        <w:tc>
          <w:tcPr>
            <w:tcW w:w="567" w:type="dxa"/>
          </w:tcPr>
          <w:p w14:paraId="60A53E44"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U1</w:t>
            </w:r>
          </w:p>
        </w:tc>
        <w:tc>
          <w:tcPr>
            <w:tcW w:w="567" w:type="dxa"/>
          </w:tcPr>
          <w:p w14:paraId="3E52AAC4" w14:textId="77777777" w:rsidR="00094004" w:rsidRPr="008A7BA1" w:rsidRDefault="00094004" w:rsidP="00094004">
            <w:pPr>
              <w:spacing w:after="0"/>
              <w:cnfStyle w:val="100000000000" w:firstRow="1" w:lastRow="0" w:firstColumn="0" w:lastColumn="0" w:oddVBand="0" w:evenVBand="0" w:oddHBand="0" w:evenHBand="0" w:firstRowFirstColumn="0" w:firstRowLastColumn="0" w:lastRowFirstColumn="0" w:lastRowLastColumn="0"/>
              <w:rPr>
                <w:rFonts w:cstheme="minorHAnsi"/>
              </w:rPr>
            </w:pPr>
            <w:r w:rsidRPr="008A7BA1">
              <w:rPr>
                <w:rFonts w:cstheme="minorHAnsi"/>
              </w:rPr>
              <w:t>U2</w:t>
            </w:r>
          </w:p>
        </w:tc>
      </w:tr>
      <w:tr w:rsidR="00094004" w14:paraId="3A01BEAF"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0C586EBF" w14:textId="77777777" w:rsidR="00094004" w:rsidRPr="009E717E" w:rsidRDefault="00094004" w:rsidP="00094004">
            <w:pPr>
              <w:spacing w:after="0"/>
              <w:rPr>
                <w:rFonts w:eastAsia="Times New Roman" w:cstheme="minorHAnsi"/>
                <w:color w:val="FFFFFF" w:themeColor="background1"/>
                <w:lang w:eastAsia="en-AU"/>
              </w:rPr>
            </w:pPr>
            <w:r w:rsidRPr="009E717E">
              <w:rPr>
                <w:rFonts w:eastAsia="Times New Roman" w:cstheme="minorHAnsi"/>
                <w:color w:val="000000"/>
                <w:lang w:eastAsia="en-AU"/>
              </w:rPr>
              <w:t>Access Paths</w:t>
            </w:r>
          </w:p>
        </w:tc>
        <w:tc>
          <w:tcPr>
            <w:tcW w:w="2693" w:type="dxa"/>
            <w:noWrap/>
          </w:tcPr>
          <w:p w14:paraId="379D4D49" w14:textId="77777777" w:rsidR="00094004" w:rsidRPr="008A7BA1"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n-AU"/>
              </w:rPr>
            </w:pPr>
            <w:r>
              <w:rPr>
                <w:rFonts w:eastAsia="Times New Roman" w:cstheme="minorHAnsi"/>
                <w:color w:val="000000"/>
                <w:lang w:eastAsia="en-AU"/>
              </w:rPr>
              <w:t>Access Paths</w:t>
            </w:r>
          </w:p>
        </w:tc>
        <w:tc>
          <w:tcPr>
            <w:tcW w:w="708" w:type="dxa"/>
          </w:tcPr>
          <w:p w14:paraId="28AAB054"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FFFFFF" w:themeColor="background1"/>
                <w:lang w:eastAsia="en-AU"/>
              </w:rPr>
            </w:pPr>
            <w:r w:rsidRPr="004219E8">
              <w:rPr>
                <w:rFonts w:cstheme="minorHAnsi"/>
                <w:color w:val="000000"/>
              </w:rPr>
              <w:t>4</w:t>
            </w:r>
            <w:r>
              <w:rPr>
                <w:rFonts w:cstheme="minorHAnsi"/>
                <w:color w:val="000000"/>
              </w:rPr>
              <w:t>2</w:t>
            </w:r>
          </w:p>
        </w:tc>
        <w:tc>
          <w:tcPr>
            <w:tcW w:w="709" w:type="dxa"/>
          </w:tcPr>
          <w:p w14:paraId="373B52F1"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Pr>
                <w:rFonts w:eastAsia="Times New Roman" w:cstheme="minorHAnsi"/>
                <w:lang w:eastAsia="en-AU"/>
              </w:rPr>
              <w:t>21</w:t>
            </w:r>
          </w:p>
        </w:tc>
        <w:tc>
          <w:tcPr>
            <w:tcW w:w="1701" w:type="dxa"/>
          </w:tcPr>
          <w:p w14:paraId="79E9CBE0"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219E8">
              <w:rPr>
                <w:rFonts w:cstheme="minorHAnsi"/>
                <w:color w:val="000000"/>
              </w:rPr>
              <w:t>14</w:t>
            </w:r>
          </w:p>
        </w:tc>
        <w:tc>
          <w:tcPr>
            <w:tcW w:w="567" w:type="dxa"/>
          </w:tcPr>
          <w:p w14:paraId="193F58E6"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p>
        </w:tc>
        <w:tc>
          <w:tcPr>
            <w:tcW w:w="567" w:type="dxa"/>
          </w:tcPr>
          <w:p w14:paraId="2E42213C" w14:textId="77777777" w:rsidR="00094004" w:rsidRPr="008A7BA1"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219E8">
              <w:rPr>
                <w:rFonts w:cstheme="minorHAnsi"/>
                <w:color w:val="000000"/>
              </w:rPr>
              <w:t>7</w:t>
            </w:r>
          </w:p>
        </w:tc>
      </w:tr>
      <w:tr w:rsidR="00094004" w14:paraId="3BF3042C"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6FFD08C7"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5946A5E4" w14:textId="77777777" w:rsidR="00094004"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Train Platform edge and ferry wharf edges</w:t>
            </w:r>
          </w:p>
        </w:tc>
        <w:tc>
          <w:tcPr>
            <w:tcW w:w="708" w:type="dxa"/>
          </w:tcPr>
          <w:p w14:paraId="0656EF61"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709" w:type="dxa"/>
          </w:tcPr>
          <w:p w14:paraId="5029FDA8"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219E8">
              <w:rPr>
                <w:rFonts w:cstheme="minorHAnsi"/>
                <w:color w:val="000000"/>
              </w:rPr>
              <w:t>30</w:t>
            </w:r>
          </w:p>
        </w:tc>
        <w:tc>
          <w:tcPr>
            <w:tcW w:w="1701" w:type="dxa"/>
          </w:tcPr>
          <w:p w14:paraId="75F4F051" w14:textId="77777777" w:rsidR="00094004" w:rsidRPr="004219E8"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50B44EE8"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p>
        </w:tc>
        <w:tc>
          <w:tcPr>
            <w:tcW w:w="567" w:type="dxa"/>
          </w:tcPr>
          <w:p w14:paraId="3044014F"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14:paraId="3AF0837C"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74F3E8F8"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4C3D5BE4" w14:textId="77777777" w:rsidR="00094004"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4219E8">
              <w:rPr>
                <w:rFonts w:eastAsia="Times New Roman" w:cstheme="minorHAnsi"/>
                <w:color w:val="000000"/>
                <w:lang w:eastAsia="en-AU"/>
              </w:rPr>
              <w:t>General</w:t>
            </w:r>
            <w:r>
              <w:rPr>
                <w:rFonts w:eastAsia="Times New Roman" w:cstheme="minorHAnsi"/>
                <w:color w:val="000000"/>
                <w:lang w:eastAsia="en-AU"/>
              </w:rPr>
              <w:t xml:space="preserve"> p</w:t>
            </w:r>
            <w:r w:rsidRPr="004219E8">
              <w:rPr>
                <w:rFonts w:eastAsia="Times New Roman" w:cstheme="minorHAnsi"/>
                <w:color w:val="000000"/>
                <w:lang w:eastAsia="en-AU"/>
              </w:rPr>
              <w:t>latform</w:t>
            </w:r>
            <w:r>
              <w:rPr>
                <w:rFonts w:eastAsia="Times New Roman" w:cstheme="minorHAnsi"/>
                <w:color w:val="000000"/>
                <w:lang w:eastAsia="en-AU"/>
              </w:rPr>
              <w:t xml:space="preserve"> and waiting areas</w:t>
            </w:r>
          </w:p>
        </w:tc>
        <w:tc>
          <w:tcPr>
            <w:tcW w:w="708" w:type="dxa"/>
          </w:tcPr>
          <w:p w14:paraId="68FB25F3"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Pr>
                <w:rFonts w:eastAsia="Times New Roman" w:cstheme="minorHAnsi"/>
                <w:lang w:eastAsia="en-AU"/>
              </w:rPr>
              <w:t>42</w:t>
            </w:r>
          </w:p>
        </w:tc>
        <w:tc>
          <w:tcPr>
            <w:tcW w:w="709" w:type="dxa"/>
          </w:tcPr>
          <w:p w14:paraId="05EBB93E"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21</w:t>
            </w:r>
          </w:p>
        </w:tc>
        <w:tc>
          <w:tcPr>
            <w:tcW w:w="1701" w:type="dxa"/>
          </w:tcPr>
          <w:p w14:paraId="3F2E2A75" w14:textId="77777777" w:rsidR="00094004" w:rsidRPr="004219E8"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19E8">
              <w:rPr>
                <w:rFonts w:cstheme="minorHAnsi"/>
                <w:color w:val="000000"/>
              </w:rPr>
              <w:t>14</w:t>
            </w:r>
          </w:p>
        </w:tc>
        <w:tc>
          <w:tcPr>
            <w:tcW w:w="567" w:type="dxa"/>
          </w:tcPr>
          <w:p w14:paraId="691FA76A"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p>
        </w:tc>
        <w:tc>
          <w:tcPr>
            <w:tcW w:w="567" w:type="dxa"/>
          </w:tcPr>
          <w:p w14:paraId="7E667056"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7</w:t>
            </w:r>
            <w:r w:rsidRPr="004219E8">
              <w:rPr>
                <w:rFonts w:cstheme="minorHAnsi"/>
                <w:color w:val="000000"/>
              </w:rPr>
              <w:t> </w:t>
            </w:r>
          </w:p>
        </w:tc>
      </w:tr>
      <w:tr w:rsidR="00094004" w14:paraId="5D35D61A" w14:textId="77777777" w:rsidTr="00094004">
        <w:trPr>
          <w:trHeight w:val="306"/>
        </w:trPr>
        <w:tc>
          <w:tcPr>
            <w:cnfStyle w:val="001000000000" w:firstRow="0" w:lastRow="0" w:firstColumn="1" w:lastColumn="0" w:oddVBand="0" w:evenVBand="0" w:oddHBand="0" w:evenHBand="0" w:firstRowFirstColumn="0" w:firstRowLastColumn="0" w:lastRowFirstColumn="0" w:lastRowLastColumn="0"/>
            <w:tcW w:w="2127" w:type="dxa"/>
          </w:tcPr>
          <w:p w14:paraId="37F109C8"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t>Waiting Areas</w:t>
            </w:r>
          </w:p>
        </w:tc>
        <w:tc>
          <w:tcPr>
            <w:tcW w:w="2693" w:type="dxa"/>
            <w:noWrap/>
          </w:tcPr>
          <w:p w14:paraId="3511206A" w14:textId="77777777" w:rsidR="00094004" w:rsidRDefault="00094004" w:rsidP="00094004">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AU"/>
              </w:rPr>
            </w:pPr>
            <w:r>
              <w:rPr>
                <w:rFonts w:eastAsia="Times New Roman" w:cstheme="minorHAnsi"/>
                <w:color w:val="000000"/>
                <w:lang w:eastAsia="en-AU"/>
              </w:rPr>
              <w:t xml:space="preserve">Covered areas </w:t>
            </w:r>
          </w:p>
        </w:tc>
        <w:tc>
          <w:tcPr>
            <w:tcW w:w="708" w:type="dxa"/>
          </w:tcPr>
          <w:p w14:paraId="6D15456B"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160</w:t>
            </w:r>
          </w:p>
        </w:tc>
        <w:tc>
          <w:tcPr>
            <w:tcW w:w="709" w:type="dxa"/>
          </w:tcPr>
          <w:p w14:paraId="6414FB93"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1701" w:type="dxa"/>
          </w:tcPr>
          <w:p w14:paraId="14043136" w14:textId="77777777" w:rsidR="00094004" w:rsidRPr="004219E8"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567" w:type="dxa"/>
          </w:tcPr>
          <w:p w14:paraId="7FE0B34A"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0.5</w:t>
            </w:r>
          </w:p>
        </w:tc>
        <w:tc>
          <w:tcPr>
            <w:tcW w:w="567" w:type="dxa"/>
          </w:tcPr>
          <w:p w14:paraId="6A4B1371" w14:textId="77777777" w:rsidR="00094004" w:rsidRDefault="00094004" w:rsidP="00094004">
            <w:pPr>
              <w:spacing w:after="0"/>
              <w:jc w:val="right"/>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094004" w:rsidRPr="0026756F" w14:paraId="6CF2D29D" w14:textId="77777777" w:rsidTr="00094004">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127" w:type="dxa"/>
          </w:tcPr>
          <w:p w14:paraId="75638D8A" w14:textId="77777777" w:rsidR="00094004" w:rsidRPr="00F627C4" w:rsidRDefault="00094004" w:rsidP="00094004">
            <w:pPr>
              <w:spacing w:after="0"/>
              <w:rPr>
                <w:rFonts w:eastAsia="Times New Roman" w:cstheme="minorHAnsi"/>
                <w:color w:val="000000"/>
                <w:lang w:eastAsia="en-AU"/>
              </w:rPr>
            </w:pPr>
            <w:r w:rsidRPr="00F627C4">
              <w:rPr>
                <w:rFonts w:eastAsia="Times New Roman" w:cstheme="minorHAnsi"/>
                <w:color w:val="000000"/>
                <w:lang w:eastAsia="en-AU"/>
              </w:rPr>
              <w:lastRenderedPageBreak/>
              <w:t>Facilities and Fixtures</w:t>
            </w:r>
          </w:p>
        </w:tc>
        <w:tc>
          <w:tcPr>
            <w:tcW w:w="2693" w:type="dxa"/>
            <w:noWrap/>
          </w:tcPr>
          <w:p w14:paraId="0739EF22" w14:textId="77777777" w:rsidR="00094004" w:rsidRPr="00284578" w:rsidRDefault="00094004" w:rsidP="00094004">
            <w:pPr>
              <w:spacing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AU"/>
              </w:rPr>
            </w:pPr>
            <w:r w:rsidRPr="00546619">
              <w:rPr>
                <w:rFonts w:eastAsia="Times New Roman" w:cstheme="minorHAnsi"/>
                <w:color w:val="000000"/>
                <w:lang w:eastAsia="en-AU"/>
              </w:rPr>
              <w:t>Fare System Elements (excluding fare validators)</w:t>
            </w:r>
            <w:r>
              <w:rPr>
                <w:rFonts w:eastAsia="Times New Roman" w:cstheme="minorHAnsi"/>
                <w:color w:val="000000"/>
                <w:lang w:eastAsia="en-AU"/>
              </w:rPr>
              <w:t xml:space="preserve"> and Static information d</w:t>
            </w:r>
            <w:r w:rsidRPr="004219E8">
              <w:rPr>
                <w:rFonts w:eastAsia="Times New Roman" w:cstheme="minorHAnsi"/>
                <w:color w:val="000000"/>
                <w:lang w:eastAsia="en-AU"/>
              </w:rPr>
              <w:t>isplays</w:t>
            </w:r>
            <w:r w:rsidRPr="00546619">
              <w:rPr>
                <w:rFonts w:eastAsia="Times New Roman" w:cstheme="minorHAnsi"/>
                <w:color w:val="000000"/>
                <w:lang w:eastAsia="en-AU"/>
              </w:rPr>
              <w:t xml:space="preserve"> not within or adjacent to road reserve</w:t>
            </w:r>
          </w:p>
        </w:tc>
        <w:tc>
          <w:tcPr>
            <w:tcW w:w="708" w:type="dxa"/>
          </w:tcPr>
          <w:p w14:paraId="5497928A"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219E8">
              <w:rPr>
                <w:rFonts w:cstheme="minorHAnsi"/>
                <w:color w:val="000000"/>
              </w:rPr>
              <w:t>200</w:t>
            </w:r>
          </w:p>
        </w:tc>
        <w:tc>
          <w:tcPr>
            <w:tcW w:w="709" w:type="dxa"/>
          </w:tcPr>
          <w:p w14:paraId="55DD91E5"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1701" w:type="dxa"/>
          </w:tcPr>
          <w:p w14:paraId="3032EF42"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AS1735.12 (2002)</w:t>
            </w:r>
          </w:p>
        </w:tc>
        <w:tc>
          <w:tcPr>
            <w:tcW w:w="567" w:type="dxa"/>
          </w:tcPr>
          <w:p w14:paraId="2D11947D"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4219E8">
              <w:rPr>
                <w:rFonts w:cstheme="minorHAnsi"/>
                <w:color w:val="000000"/>
              </w:rPr>
              <w:t>0.</w:t>
            </w:r>
            <w:r>
              <w:rPr>
                <w:rFonts w:cstheme="minorHAnsi"/>
                <w:color w:val="000000"/>
              </w:rPr>
              <w:t>5</w:t>
            </w:r>
          </w:p>
        </w:tc>
        <w:tc>
          <w:tcPr>
            <w:tcW w:w="567" w:type="dxa"/>
          </w:tcPr>
          <w:p w14:paraId="167A4D43" w14:textId="77777777" w:rsidR="00094004" w:rsidRDefault="00094004" w:rsidP="00094004">
            <w:pPr>
              <w:spacing w:after="0"/>
              <w:jc w:val="right"/>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219E8">
              <w:rPr>
                <w:rFonts w:cstheme="minorHAnsi"/>
                <w:color w:val="000000"/>
              </w:rPr>
              <w:t> </w:t>
            </w:r>
          </w:p>
        </w:tc>
      </w:tr>
    </w:tbl>
    <w:p w14:paraId="5C58D97B" w14:textId="45300BF9" w:rsidR="00094004" w:rsidRDefault="00094004" w:rsidP="006F65FB">
      <w:pPr>
        <w:pStyle w:val="Heading3"/>
        <w:numPr>
          <w:ilvl w:val="0"/>
          <w:numId w:val="47"/>
        </w:numPr>
        <w:ind w:left="567" w:hanging="567"/>
      </w:pPr>
      <w:bookmarkStart w:id="954" w:name="_Toc127351859"/>
      <w:bookmarkStart w:id="955" w:name="_Toc130914537"/>
      <w:bookmarkStart w:id="956" w:name="_Toc140239829"/>
      <w:bookmarkEnd w:id="953"/>
      <w:r w:rsidRPr="00130222">
        <w:t>Signals and process for requesting boarding devices</w:t>
      </w:r>
      <w:bookmarkEnd w:id="954"/>
      <w:bookmarkEnd w:id="955"/>
      <w:bookmarkEnd w:id="956"/>
    </w:p>
    <w:p w14:paraId="579C30C7" w14:textId="77777777" w:rsidR="00094004" w:rsidRPr="00086184" w:rsidRDefault="00094004" w:rsidP="00094004">
      <w:pPr>
        <w:pStyle w:val="Heading4"/>
      </w:pPr>
      <w:r w:rsidRPr="00086184">
        <w:t>Status quo</w:t>
      </w:r>
    </w:p>
    <w:p w14:paraId="1E082E1E" w14:textId="77777777" w:rsidR="00094004" w:rsidRPr="00086184" w:rsidRDefault="00094004" w:rsidP="00094004">
      <w:r w:rsidRPr="00086184">
        <w:t>Transport Standards section 8.7 Signals requesting use of boarding device, would remain unchanged and no additional guidance would be issued.</w:t>
      </w:r>
    </w:p>
    <w:p w14:paraId="3ADDF6FC" w14:textId="77777777" w:rsidR="00094004" w:rsidRPr="00086184" w:rsidRDefault="00094004" w:rsidP="00094004">
      <w:pPr>
        <w:ind w:left="1134" w:hanging="567"/>
        <w:rPr>
          <w:b/>
        </w:rPr>
      </w:pPr>
      <w:r w:rsidRPr="00086184">
        <w:rPr>
          <w:b/>
        </w:rPr>
        <w:t>8.7</w:t>
      </w:r>
      <w:r w:rsidRPr="00086184">
        <w:rPr>
          <w:b/>
        </w:rPr>
        <w:tab/>
        <w:t>Signals requesting use of boarding device</w:t>
      </w:r>
    </w:p>
    <w:p w14:paraId="70590353" w14:textId="77777777" w:rsidR="00094004" w:rsidRPr="00086184" w:rsidRDefault="00094004" w:rsidP="00094004">
      <w:pPr>
        <w:ind w:left="1134" w:hanging="567"/>
      </w:pPr>
      <w:r w:rsidRPr="00086184">
        <w:t>(1)</w:t>
      </w:r>
      <w:r w:rsidRPr="00086184">
        <w:tab/>
        <w:t>Any signal for requesting the deployment of a boarding device must be located in an allocated space.</w:t>
      </w:r>
    </w:p>
    <w:p w14:paraId="21E188EE" w14:textId="77777777" w:rsidR="00094004" w:rsidRPr="00086184" w:rsidRDefault="00094004" w:rsidP="00094004">
      <w:pPr>
        <w:ind w:left="1134" w:hanging="567"/>
      </w:pPr>
      <w:r w:rsidRPr="00086184">
        <w:t>(2)</w:t>
      </w:r>
      <w:r w:rsidRPr="00086184">
        <w:tab/>
        <w:t>If possible, a signal is to be placed according to the dimensions given in AS1428.2 (1992) Clause 11.4, Call buttons.</w:t>
      </w:r>
    </w:p>
    <w:p w14:paraId="644EDD03" w14:textId="77777777" w:rsidR="00094004" w:rsidRPr="00086184" w:rsidRDefault="00094004" w:rsidP="00094004">
      <w:pPr>
        <w:ind w:left="567"/>
      </w:pPr>
      <w:r w:rsidRPr="00086184">
        <w:t>This section applies to buses, (except dedicated school buses), coaches, ferries, trains, trams and light rail.</w:t>
      </w:r>
    </w:p>
    <w:p w14:paraId="4081B207" w14:textId="77777777" w:rsidR="00094004" w:rsidRPr="00086184" w:rsidRDefault="00094004" w:rsidP="00094004">
      <w:pPr>
        <w:pStyle w:val="Heading4"/>
      </w:pPr>
      <w:r>
        <w:t>Non-regulatory</w:t>
      </w:r>
      <w:r w:rsidRPr="00086184">
        <w:t xml:space="preserve"> option</w:t>
      </w:r>
    </w:p>
    <w:p w14:paraId="4A978CA3" w14:textId="77777777" w:rsidR="00094004" w:rsidRPr="00086184" w:rsidRDefault="00094004" w:rsidP="00094004">
      <w:r w:rsidRPr="00086184">
        <w:t xml:space="preserve">The Transport Standards Guidelines and / or The Whole Journey Guide would be updated to include advice on good practice processes for requesting boarding devices. </w:t>
      </w:r>
    </w:p>
    <w:p w14:paraId="32FB17BE" w14:textId="77777777" w:rsidR="00094004" w:rsidRPr="00086184" w:rsidRDefault="00094004" w:rsidP="00094004">
      <w:r w:rsidRPr="00086184">
        <w:t>Specific guidance may include:</w:t>
      </w:r>
    </w:p>
    <w:p w14:paraId="65CA9549" w14:textId="77777777" w:rsidR="00094004" w:rsidRPr="00174343" w:rsidRDefault="00094004" w:rsidP="0020414C">
      <w:pPr>
        <w:pStyle w:val="Listparagraphbullets"/>
      </w:pPr>
      <w:r w:rsidRPr="00174343">
        <w:t>Communication of the need for boarding and alighting assistance in real time (the time of need) rather than through prior booking. This is necessary if people with disability are to have the same flexibility and amenity of travel as other passengers. Communication may be directly with staff or with automated systems. Timing of the notification for alighting assistance should not exceed that of other passengers requesting a vehicle or vessel to stop.</w:t>
      </w:r>
    </w:p>
    <w:p w14:paraId="27CDF361" w14:textId="77777777" w:rsidR="00094004" w:rsidRPr="00174343" w:rsidRDefault="00094004" w:rsidP="0020414C">
      <w:pPr>
        <w:pStyle w:val="Listparagraphbullets"/>
      </w:pPr>
      <w:r w:rsidRPr="00174343">
        <w:t xml:space="preserve">A request signal device that must be touched or pressed should be located in the allocated space between 900mm and 1250mm above finished floor and 500mm from any internal corner, as per AS1428.1 (2009), Clause 13.5.3 (c), Location. </w:t>
      </w:r>
    </w:p>
    <w:p w14:paraId="22FE8C42" w14:textId="77777777" w:rsidR="00094004" w:rsidRPr="00174343" w:rsidRDefault="00094004" w:rsidP="0020414C">
      <w:pPr>
        <w:pStyle w:val="Listparagraphbullets"/>
      </w:pPr>
      <w:r w:rsidRPr="00174343">
        <w:t>If an electronic notification system has an audio component that requires verbal interaction, the communication devices should be linked to a hearing augmentation system that conforms to AS1428.5 (2021), Design for access and mobility, Part 5: Communication for people who are deaf or hearing impaired, section 3.2.</w:t>
      </w:r>
    </w:p>
    <w:p w14:paraId="1A578669" w14:textId="77777777" w:rsidR="00094004" w:rsidRPr="00174343" w:rsidRDefault="00094004" w:rsidP="0020414C">
      <w:pPr>
        <w:pStyle w:val="Listparagraphbullets"/>
      </w:pPr>
      <w:r w:rsidRPr="00174343">
        <w:t>Controls and operating mechanisms should be operable with one open hand and should not require tight grasping, pinching, or twisting of the wrist and should have a switch with one surface dimension at least 25 millimetres. The force required to press a button should be in the range of 2.5 to 5 newtons. Call and control buttons should have an integral, continuously operating light. Controls should activate the notification device before the button becomes level with the surrounding surface as per AS1428.1 (2009) Clause 13.5.4, Power-operated door controls.</w:t>
      </w:r>
    </w:p>
    <w:p w14:paraId="2ACC3A18" w14:textId="77777777" w:rsidR="00094004" w:rsidRPr="00174343" w:rsidRDefault="00094004" w:rsidP="0020414C">
      <w:pPr>
        <w:pStyle w:val="Listparagraphbullets"/>
      </w:pPr>
      <w:r w:rsidRPr="00174343">
        <w:t>Staff training is essential for effective real time communication. Without disability awareness training that includes the needs of people who have complex communication impairments, misunderstandings will occur.</w:t>
      </w:r>
    </w:p>
    <w:p w14:paraId="77DD7D49" w14:textId="77777777" w:rsidR="00094004" w:rsidRPr="00086184" w:rsidRDefault="00094004" w:rsidP="00094004">
      <w:pPr>
        <w:pStyle w:val="Heading4"/>
      </w:pPr>
      <w:r w:rsidRPr="00086184">
        <w:lastRenderedPageBreak/>
        <w:t>Regulatory option</w:t>
      </w:r>
    </w:p>
    <w:p w14:paraId="071C602B" w14:textId="77777777" w:rsidR="00094004" w:rsidRPr="00086184" w:rsidRDefault="00094004" w:rsidP="00094004">
      <w:r w:rsidRPr="00086184">
        <w:t xml:space="preserve">The Transport Standards would be amended to include requirements for signals and a process for requesting boarding assistance that is located either in or on conveyances will be made more explicit. </w:t>
      </w:r>
    </w:p>
    <w:p w14:paraId="66A214D4" w14:textId="77777777" w:rsidR="00094004" w:rsidRPr="00086184" w:rsidRDefault="00094004" w:rsidP="00094004">
      <w:r w:rsidRPr="00086184">
        <w:t>Transport Standards section 8.7 would be amended to include the following (including any requirements retained or amended from the status quo):</w:t>
      </w:r>
    </w:p>
    <w:p w14:paraId="73060698" w14:textId="77777777" w:rsidR="00094004" w:rsidRPr="00A62F56" w:rsidRDefault="00094004" w:rsidP="0020414C">
      <w:pPr>
        <w:pStyle w:val="Listparagraphbullets"/>
      </w:pPr>
      <w:r w:rsidRPr="00A62F56">
        <w:t>Passengers who require assistance to alight must be able to communicate in real time to notify that they wish to alight.</w:t>
      </w:r>
    </w:p>
    <w:p w14:paraId="4937DF8B" w14:textId="77777777" w:rsidR="00094004" w:rsidRPr="00A62F56" w:rsidRDefault="00094004" w:rsidP="0020414C">
      <w:pPr>
        <w:pStyle w:val="Listparagraphbullets"/>
      </w:pPr>
      <w:r w:rsidRPr="00A62F56">
        <w:t>A request signal device that must be touched or pressed should be located in the allocated space and positioned as per AS1428.1 (2009) Clause 13.5.3 (c), Location.</w:t>
      </w:r>
    </w:p>
    <w:p w14:paraId="7F87A7BE" w14:textId="77777777" w:rsidR="00094004" w:rsidRPr="00A62F56" w:rsidRDefault="00094004" w:rsidP="0020414C">
      <w:pPr>
        <w:pStyle w:val="Listparagraphbullets"/>
      </w:pPr>
      <w:r w:rsidRPr="00A62F56">
        <w:t>Timing of the notification for alighting assistance must not exceed that of other passengers requesting a vehicle or vessel to stop.</w:t>
      </w:r>
    </w:p>
    <w:p w14:paraId="123B1279" w14:textId="77777777" w:rsidR="00094004" w:rsidRPr="00A62F56" w:rsidRDefault="00094004" w:rsidP="0020414C">
      <w:pPr>
        <w:pStyle w:val="Listparagraphbullets"/>
      </w:pPr>
      <w:r w:rsidRPr="00A62F56">
        <w:t>If an electronic notification system has an audio component it must be linked to a hearing augmentation system that conforms to AS1428.5 (2021) section 3.2.</w:t>
      </w:r>
    </w:p>
    <w:p w14:paraId="7F40558A" w14:textId="77777777" w:rsidR="00094004" w:rsidRPr="00A62F56" w:rsidRDefault="00094004" w:rsidP="0020414C">
      <w:pPr>
        <w:pStyle w:val="Listparagraphbullets"/>
      </w:pPr>
      <w:r w:rsidRPr="00A62F56">
        <w:t>The force required to press a button must be in the range of 2.5 to 5 newtons.</w:t>
      </w:r>
    </w:p>
    <w:p w14:paraId="621E8811" w14:textId="77777777" w:rsidR="00094004" w:rsidRPr="00A62F56" w:rsidRDefault="00094004" w:rsidP="0020414C">
      <w:pPr>
        <w:pStyle w:val="Listparagraphbullets"/>
      </w:pPr>
      <w:r w:rsidRPr="00A62F56">
        <w:t>Controls and operating mechanisms must be operable with one open hand and must not require tight grasping, pinching, or twisting of the wrist and shall have a switch with one surface dimension of at least 25 millimetres. Controls must comply with AS1428.1 (2009), Clause 13.5.4, Power-operated door controls.</w:t>
      </w:r>
    </w:p>
    <w:p w14:paraId="4856D49C" w14:textId="77777777" w:rsidR="00094004" w:rsidRPr="00A62F56" w:rsidRDefault="00094004" w:rsidP="0020414C">
      <w:pPr>
        <w:pStyle w:val="Listparagraphbullets"/>
      </w:pPr>
      <w:r w:rsidRPr="00A62F56">
        <w:t>Call and control buttons:</w:t>
      </w:r>
    </w:p>
    <w:p w14:paraId="462735BF" w14:textId="77777777" w:rsidR="00094004" w:rsidRPr="00086184" w:rsidRDefault="00094004" w:rsidP="00094004">
      <w:pPr>
        <w:pStyle w:val="Heading5"/>
        <w:ind w:left="1134"/>
      </w:pPr>
      <w:r w:rsidRPr="00086184">
        <w:t>Sub-option 1</w:t>
      </w:r>
    </w:p>
    <w:p w14:paraId="6945A864" w14:textId="77777777" w:rsidR="00094004" w:rsidRPr="00086184" w:rsidRDefault="00094004" w:rsidP="00094004">
      <w:pPr>
        <w:ind w:left="1134"/>
      </w:pPr>
      <w:r w:rsidRPr="00086184">
        <w:t>Call and control buttons should have an integral, continuously operating light.</w:t>
      </w:r>
    </w:p>
    <w:p w14:paraId="3059F386" w14:textId="77777777" w:rsidR="00094004" w:rsidRPr="00086184" w:rsidRDefault="00094004" w:rsidP="00094004">
      <w:pPr>
        <w:pStyle w:val="Heading5"/>
        <w:ind w:left="1134"/>
      </w:pPr>
      <w:r w:rsidRPr="00086184">
        <w:t>Sub-option 2</w:t>
      </w:r>
    </w:p>
    <w:p w14:paraId="05E02470" w14:textId="77777777" w:rsidR="00094004" w:rsidRPr="00086184" w:rsidRDefault="00094004" w:rsidP="00094004">
      <w:pPr>
        <w:ind w:left="1134"/>
      </w:pPr>
      <w:r w:rsidRPr="00086184">
        <w:t>Call and control buttons must have an integral, continuously operating light.</w:t>
      </w:r>
    </w:p>
    <w:p w14:paraId="02E29E7B" w14:textId="77777777" w:rsidR="00094004" w:rsidRPr="00086184" w:rsidRDefault="00094004" w:rsidP="00094004">
      <w:r w:rsidRPr="00086184">
        <w:t>These requirements pertain to buses (except dedicated school buses), coaches, ferries, trains, trams and light rail.</w:t>
      </w:r>
    </w:p>
    <w:p w14:paraId="4AE6743A" w14:textId="77777777" w:rsidR="00094004" w:rsidRPr="00086184" w:rsidRDefault="00094004" w:rsidP="00094004">
      <w:r w:rsidRPr="00086184">
        <w:t xml:space="preserve">The Transport Standards Guidelines and / or The Whole Journey Guide would be updated to provide advice concerning the new requirements. </w:t>
      </w:r>
    </w:p>
    <w:p w14:paraId="0605C0F9" w14:textId="77777777" w:rsidR="00094004" w:rsidRPr="00086184" w:rsidRDefault="00094004" w:rsidP="00094004">
      <w:r w:rsidRPr="00086184">
        <w:t>Specific guidance may include:</w:t>
      </w:r>
    </w:p>
    <w:p w14:paraId="25C8CA27" w14:textId="77777777" w:rsidR="00094004" w:rsidRPr="00C55541" w:rsidRDefault="00094004" w:rsidP="0020414C">
      <w:pPr>
        <w:pStyle w:val="Listparagraphbullets"/>
      </w:pPr>
      <w:r w:rsidRPr="00C55541">
        <w:t>Communication of the need for boarding and alighting assistance in real time (at the time of need) rather than through prior booking, is necessary if people with disability are to have the same flexibility and amenity of travel as other passengers. Communication may be directly with staff or with automated systems.</w:t>
      </w:r>
    </w:p>
    <w:p w14:paraId="23000EC4" w14:textId="77777777" w:rsidR="00094004" w:rsidRPr="00C55541" w:rsidRDefault="00094004" w:rsidP="0020414C">
      <w:pPr>
        <w:pStyle w:val="Listparagraphbullets"/>
      </w:pPr>
      <w:r w:rsidRPr="00C55541">
        <w:t>Staff training is essential for effective real time communication. Without disability awareness training that includes the needs of people who have complex communication impairments, misunderstandings will occur.</w:t>
      </w:r>
    </w:p>
    <w:p w14:paraId="54432B73" w14:textId="77777777" w:rsidR="00094004" w:rsidRDefault="00094004" w:rsidP="0020414C">
      <w:pPr>
        <w:pStyle w:val="Listparagraphbullets"/>
      </w:pPr>
      <w:r w:rsidRPr="00C55541">
        <w:t>Wherever practicable, controls for communication or signalling devices should be located more than 500 millimetres away from internal corners. Where this is unachievable, controls should be at the maximum practicable distance from internal corners.</w:t>
      </w:r>
    </w:p>
    <w:p w14:paraId="2FE6C819" w14:textId="77777777" w:rsidR="00094004" w:rsidRPr="00C55541" w:rsidRDefault="00094004" w:rsidP="0020414C">
      <w:pPr>
        <w:pStyle w:val="Listparagraphbullets"/>
        <w:numPr>
          <w:ilvl w:val="0"/>
          <w:numId w:val="0"/>
        </w:numPr>
      </w:pPr>
    </w:p>
    <w:p w14:paraId="43974172" w14:textId="1C69BDAE" w:rsidR="00094004" w:rsidRDefault="00094004" w:rsidP="006F65FB">
      <w:pPr>
        <w:pStyle w:val="Heading3"/>
        <w:numPr>
          <w:ilvl w:val="0"/>
          <w:numId w:val="47"/>
        </w:numPr>
        <w:ind w:left="567" w:hanging="567"/>
      </w:pPr>
      <w:bookmarkStart w:id="957" w:name="_Toc127351860"/>
      <w:bookmarkStart w:id="958" w:name="_Toc130914538"/>
      <w:bookmarkStart w:id="959" w:name="_Toc140239830"/>
      <w:r w:rsidRPr="00130222">
        <w:lastRenderedPageBreak/>
        <w:t>Notification by passenger of need for boarding device</w:t>
      </w:r>
      <w:bookmarkEnd w:id="957"/>
      <w:bookmarkEnd w:id="958"/>
      <w:bookmarkEnd w:id="959"/>
    </w:p>
    <w:p w14:paraId="1CB68E81" w14:textId="77777777" w:rsidR="00094004" w:rsidRPr="001A5AC1" w:rsidRDefault="00094004" w:rsidP="00094004">
      <w:pPr>
        <w:pStyle w:val="Heading4"/>
      </w:pPr>
      <w:r w:rsidRPr="001A5AC1">
        <w:t>Status quo</w:t>
      </w:r>
    </w:p>
    <w:p w14:paraId="2285A768" w14:textId="77777777" w:rsidR="00094004" w:rsidRPr="001A5AC1" w:rsidRDefault="00094004" w:rsidP="00094004">
      <w:r w:rsidRPr="001A5AC1">
        <w:t xml:space="preserve">Transport Standards section 8.8 Notification by passenger of need for boarding device, would remain unchanged and no </w:t>
      </w:r>
      <w:r>
        <w:t>Guidance</w:t>
      </w:r>
      <w:r w:rsidRPr="001A5AC1">
        <w:t xml:space="preserve"> material would be issued.</w:t>
      </w:r>
    </w:p>
    <w:p w14:paraId="7C7411A0" w14:textId="77777777" w:rsidR="00094004" w:rsidRPr="001A5AC1" w:rsidRDefault="00094004" w:rsidP="00094004">
      <w:pPr>
        <w:ind w:left="567"/>
        <w:rPr>
          <w:b/>
        </w:rPr>
      </w:pPr>
      <w:r w:rsidRPr="001A5AC1">
        <w:rPr>
          <w:b/>
        </w:rPr>
        <w:t>8.8</w:t>
      </w:r>
      <w:r w:rsidRPr="001A5AC1">
        <w:rPr>
          <w:b/>
        </w:rPr>
        <w:tab/>
        <w:t>Notification by passenger of need for boarding device</w:t>
      </w:r>
    </w:p>
    <w:p w14:paraId="0BD526F5" w14:textId="77777777" w:rsidR="00094004" w:rsidRPr="001A5AC1" w:rsidRDefault="00094004" w:rsidP="00094004">
      <w:pPr>
        <w:ind w:left="1134" w:hanging="567"/>
      </w:pPr>
      <w:r w:rsidRPr="001A5AC1">
        <w:t>(1)</w:t>
      </w:r>
      <w:r w:rsidRPr="001A5AC1">
        <w:tab/>
        <w:t>It must be possible for a passenger to notify the operator of a conveyance that he or she needs a boarding device to board or alight from a conveyance.</w:t>
      </w:r>
    </w:p>
    <w:p w14:paraId="0B4433FD" w14:textId="77777777" w:rsidR="00094004" w:rsidRPr="001A5AC1" w:rsidRDefault="00094004" w:rsidP="00094004">
      <w:pPr>
        <w:ind w:left="1134" w:hanging="567"/>
      </w:pPr>
      <w:r w:rsidRPr="001A5AC1">
        <w:t>(2)</w:t>
      </w:r>
      <w:r w:rsidRPr="001A5AC1">
        <w:tab/>
        <w:t>If a request signal device is used, it may be located on the conveyance or at the boarding point according to the dimensions given in AS1428.2 (1992) Clause 11.4, Call buttons.</w:t>
      </w:r>
    </w:p>
    <w:p w14:paraId="528B201D" w14:textId="77777777" w:rsidR="00094004" w:rsidRPr="001A5AC1" w:rsidRDefault="00094004" w:rsidP="00094004">
      <w:pPr>
        <w:ind w:left="567"/>
      </w:pPr>
      <w:r w:rsidRPr="001A5AC1">
        <w:t>This section pertains to conveyances, (except dedicated school buses,) premises, and infrastructure, (except airports that do not accept regular public transport.)</w:t>
      </w:r>
    </w:p>
    <w:p w14:paraId="3E5BE302" w14:textId="77777777" w:rsidR="00094004" w:rsidRPr="001A5AC1" w:rsidRDefault="00094004" w:rsidP="00094004">
      <w:pPr>
        <w:pStyle w:val="Heading4"/>
      </w:pPr>
      <w:r>
        <w:t>Non-regulatory</w:t>
      </w:r>
      <w:r w:rsidRPr="001A5AC1">
        <w:t xml:space="preserve"> option</w:t>
      </w:r>
    </w:p>
    <w:p w14:paraId="6620A1D6" w14:textId="77777777" w:rsidR="00094004" w:rsidRPr="001A5AC1" w:rsidRDefault="00094004" w:rsidP="00094004">
      <w:r w:rsidRPr="001A5AC1">
        <w:t>Guidance would be provided in the Transport Standards Guidelines and / or The Whole Journey Guide to include advice for passenger notification of need for boarding device.</w:t>
      </w:r>
    </w:p>
    <w:p w14:paraId="0CED6DFB" w14:textId="77777777" w:rsidR="00094004" w:rsidRPr="001A5AC1" w:rsidRDefault="00094004" w:rsidP="00094004">
      <w:r w:rsidRPr="001A5AC1">
        <w:t>Specific guidance may include the following:</w:t>
      </w:r>
    </w:p>
    <w:p w14:paraId="0BA0E47E" w14:textId="77777777" w:rsidR="00094004" w:rsidRPr="00C14FE3" w:rsidRDefault="00094004" w:rsidP="0020414C">
      <w:pPr>
        <w:pStyle w:val="Listparagraphbullets"/>
      </w:pPr>
      <w:r w:rsidRPr="00C14FE3">
        <w:t>Communication may be directly with staff or with automated systems.</w:t>
      </w:r>
    </w:p>
    <w:p w14:paraId="366A72FE" w14:textId="77777777" w:rsidR="00094004" w:rsidRPr="00C14FE3" w:rsidRDefault="00094004" w:rsidP="00094004">
      <w:pPr>
        <w:pStyle w:val="Heading5"/>
        <w:ind w:left="1134"/>
      </w:pPr>
      <w:r w:rsidRPr="00C14FE3">
        <w:t>Sub-option 1</w:t>
      </w:r>
    </w:p>
    <w:p w14:paraId="2CCA3D1C" w14:textId="77777777" w:rsidR="00094004" w:rsidRPr="00C14FE3" w:rsidRDefault="00094004" w:rsidP="0020414C">
      <w:pPr>
        <w:pStyle w:val="Listparagraphbullets"/>
      </w:pPr>
      <w:r w:rsidRPr="00C14FE3">
        <w:t>Communication of the need for boarding assistance in 'real time' for unbooked services that is at the time of need rather than through prior booking, is necessary if passengers with disabilities are to have the same flexibility and amenity of travel as other passengers</w:t>
      </w:r>
    </w:p>
    <w:p w14:paraId="659735E8" w14:textId="77777777" w:rsidR="00094004" w:rsidRPr="00C14FE3" w:rsidRDefault="00094004" w:rsidP="00094004">
      <w:pPr>
        <w:pStyle w:val="Heading5"/>
        <w:ind w:left="1134"/>
      </w:pPr>
      <w:r w:rsidRPr="00C14FE3">
        <w:t>Sub-option 2</w:t>
      </w:r>
    </w:p>
    <w:p w14:paraId="74FC0435" w14:textId="77777777" w:rsidR="00094004" w:rsidRPr="00C14FE3" w:rsidRDefault="00094004" w:rsidP="0020414C">
      <w:pPr>
        <w:pStyle w:val="Listparagraphbullets"/>
      </w:pPr>
      <w:r w:rsidRPr="00C14FE3">
        <w:t>While some passengers who may need boarding assistance on unbooked services may choose to book the assistance, and operators may legitimately advise this, it should not be mandatory.  Mandating booking would limit the ability to travel spontaneously or if called upon to do so, unexpectedly.  Prior booking is often advisable if assistance to board or alight is required, but this should not be a deterrent for the need for travel that arises at short notice.</w:t>
      </w:r>
    </w:p>
    <w:p w14:paraId="033A59EC" w14:textId="77777777" w:rsidR="00094004" w:rsidRPr="00C14FE3" w:rsidRDefault="00094004" w:rsidP="0020414C">
      <w:pPr>
        <w:pStyle w:val="Listparagraphbullets"/>
      </w:pPr>
      <w:r w:rsidRPr="00C14FE3">
        <w:t>For booked services, the need for boarding assistance should be confirmed at booking.</w:t>
      </w:r>
    </w:p>
    <w:p w14:paraId="70985F2A" w14:textId="77777777" w:rsidR="00094004" w:rsidRDefault="00094004" w:rsidP="0020414C">
      <w:pPr>
        <w:pStyle w:val="Listparagraphbullets"/>
      </w:pPr>
      <w:r w:rsidRPr="00C14FE3">
        <w:t xml:space="preserve">A request signal device that must be touched or pressed should be located in proximity to the boarding point between 900mm and 1250mm above finished floor, 500mm from any internal corner, as per AS1428.1 (2009) Clause 13.5.3 (c). </w:t>
      </w:r>
    </w:p>
    <w:p w14:paraId="2087C373" w14:textId="77777777" w:rsidR="00094004" w:rsidRDefault="00094004" w:rsidP="0020414C">
      <w:pPr>
        <w:pStyle w:val="Listparagraphbullets"/>
      </w:pPr>
      <w:r w:rsidRPr="00C14FE3">
        <w:t xml:space="preserve">If an electronic notification system has an audio component, it should be linked to a hearing augmentation system that conforms to AS1428.5 (2010) section 4. </w:t>
      </w:r>
    </w:p>
    <w:p w14:paraId="1361E0A2" w14:textId="37CCC12E" w:rsidR="00094004" w:rsidRDefault="00094004" w:rsidP="0020414C">
      <w:pPr>
        <w:pStyle w:val="Listparagraphbullets"/>
      </w:pPr>
      <w:r w:rsidRPr="00C14FE3">
        <w:t xml:space="preserve">Controls and operating mechanisms should be operable with one open hand and should not require tight grasping, pinching, or twisting of the wrist and should have a switch with one surface dimension at least 25 </w:t>
      </w:r>
      <w:r w:rsidR="009134C0" w:rsidRPr="002A7AC6">
        <w:t>millimetres</w:t>
      </w:r>
      <w:r w:rsidRPr="00C14FE3">
        <w:t xml:space="preserve">. Buttons should not require too much force, being in the range of 2.5-5 N. While buttons may be installed on notification devices, controls that only need to be touched rather than depressed will assist people with poor hand function.  </w:t>
      </w:r>
    </w:p>
    <w:p w14:paraId="2CF34FC4" w14:textId="77777777" w:rsidR="00094004" w:rsidRPr="00C14FE3" w:rsidRDefault="00094004" w:rsidP="0020414C">
      <w:pPr>
        <w:pStyle w:val="Listparagraphbullets"/>
      </w:pPr>
      <w:r w:rsidRPr="00C14FE3">
        <w:t xml:space="preserve">Call and control buttons should have an integral, continuously operating light that both changes colour and issues an audible confirmation of a recorded call.  Controls should activate </w:t>
      </w:r>
      <w:r w:rsidRPr="00C14FE3">
        <w:lastRenderedPageBreak/>
        <w:t>the notification device before the button becomes level with the surrounding surface as per AS1428.1 (2009) Clause 13.5.4.</w:t>
      </w:r>
    </w:p>
    <w:p w14:paraId="0D47CC6D" w14:textId="77777777" w:rsidR="00094004" w:rsidRPr="00C14FE3" w:rsidRDefault="00094004" w:rsidP="0020414C">
      <w:pPr>
        <w:pStyle w:val="Listparagraphbullets"/>
      </w:pPr>
      <w:r w:rsidRPr="00C14FE3">
        <w:t>Notification by passenger of the need for boarding device may trigger the need to provide direct assistance to board.</w:t>
      </w:r>
    </w:p>
    <w:p w14:paraId="167A2A3F" w14:textId="77777777" w:rsidR="00094004" w:rsidRPr="001A5AC1" w:rsidRDefault="00094004" w:rsidP="00094004">
      <w:pPr>
        <w:pStyle w:val="Heading4"/>
      </w:pPr>
      <w:r w:rsidRPr="001A5AC1">
        <w:t>Regulatory option</w:t>
      </w:r>
    </w:p>
    <w:p w14:paraId="67B372A6" w14:textId="77777777" w:rsidR="00094004" w:rsidRPr="001A5AC1" w:rsidRDefault="00094004" w:rsidP="00094004">
      <w:r w:rsidRPr="001A5AC1">
        <w:t>Transport Standards section 8.8 would be amended to include the following (including any requirements retained or amended from the status quo):</w:t>
      </w:r>
    </w:p>
    <w:p w14:paraId="6A423A3F" w14:textId="77777777" w:rsidR="00094004" w:rsidRPr="00C14FE3" w:rsidRDefault="00094004" w:rsidP="0020414C">
      <w:pPr>
        <w:pStyle w:val="Listparagraphbullets"/>
      </w:pPr>
      <w:r w:rsidRPr="00C14FE3">
        <w:t>Passengers must be able to communicate in real time their need for boarding assistance or a boarding device prior to boarding.</w:t>
      </w:r>
    </w:p>
    <w:p w14:paraId="09C16AF7" w14:textId="77777777" w:rsidR="00094004" w:rsidRPr="00C14FE3" w:rsidRDefault="00094004" w:rsidP="0020414C">
      <w:pPr>
        <w:pStyle w:val="Listparagraphbullets"/>
      </w:pPr>
      <w:r w:rsidRPr="00C14FE3">
        <w:t xml:space="preserve">For unbooked services: </w:t>
      </w:r>
    </w:p>
    <w:p w14:paraId="5C3144AB" w14:textId="77777777" w:rsidR="00094004" w:rsidRPr="00C14FE3" w:rsidRDefault="00094004" w:rsidP="00094004">
      <w:pPr>
        <w:pStyle w:val="Heading5"/>
        <w:ind w:left="1134"/>
      </w:pPr>
      <w:r w:rsidRPr="00C14FE3">
        <w:t>Sub-option 1</w:t>
      </w:r>
    </w:p>
    <w:p w14:paraId="69244423" w14:textId="77777777" w:rsidR="00094004" w:rsidRPr="00C14FE3" w:rsidRDefault="00094004" w:rsidP="0020414C">
      <w:pPr>
        <w:pStyle w:val="Listparagraphbullets"/>
      </w:pPr>
      <w:r w:rsidRPr="00C14FE3">
        <w:t>Prior booking may be recommended but cannot be required from passengers who need boarding assistance.</w:t>
      </w:r>
    </w:p>
    <w:p w14:paraId="2F56E1C3" w14:textId="77777777" w:rsidR="00094004" w:rsidRPr="00C14FE3" w:rsidRDefault="00094004" w:rsidP="00094004">
      <w:pPr>
        <w:pStyle w:val="Heading5"/>
        <w:ind w:left="1134"/>
      </w:pPr>
      <w:r w:rsidRPr="00C14FE3">
        <w:t>Sub-option 2</w:t>
      </w:r>
    </w:p>
    <w:p w14:paraId="331FB0A9" w14:textId="77777777" w:rsidR="00094004" w:rsidRDefault="00094004" w:rsidP="0020414C">
      <w:pPr>
        <w:pStyle w:val="Listparagraphbullets"/>
      </w:pPr>
      <w:r w:rsidRPr="00C14FE3">
        <w:t>At unstaffed stations, there may be a need to provide advance notice. This should not exceed one hour.</w:t>
      </w:r>
    </w:p>
    <w:p w14:paraId="61C90D6C" w14:textId="77777777" w:rsidR="00094004" w:rsidRPr="00C14FE3" w:rsidRDefault="00094004" w:rsidP="0020414C">
      <w:pPr>
        <w:pStyle w:val="Listparagraphbullets"/>
      </w:pPr>
      <w:r w:rsidRPr="00C14FE3">
        <w:t xml:space="preserve">A request signal device that must be touched or pressed should be located in proximity to the boarding point and be positioned between 900 millimetres and 1250 millimetres above the finished floor, 500 millimetres from any internal corner, as per AS1428.1 (2009) Clause 13.5.3 (c). </w:t>
      </w:r>
    </w:p>
    <w:p w14:paraId="7914D3C1" w14:textId="77777777" w:rsidR="00094004" w:rsidRPr="00C14FE3" w:rsidRDefault="00094004" w:rsidP="0020414C">
      <w:pPr>
        <w:pStyle w:val="Listparagraphbullets"/>
      </w:pPr>
      <w:r w:rsidRPr="00C14FE3">
        <w:t>If an electronic notification system has an audio component it must be linked to a hearing augmentation system that conforms to AS1428.5 (2021) section 3.2.</w:t>
      </w:r>
    </w:p>
    <w:p w14:paraId="2F0C860E" w14:textId="77777777" w:rsidR="00094004" w:rsidRPr="00C14FE3" w:rsidRDefault="00094004" w:rsidP="0020414C">
      <w:pPr>
        <w:pStyle w:val="Listparagraphbullets"/>
      </w:pPr>
      <w:r w:rsidRPr="00C14FE3">
        <w:t>The force required to press a button must be in the range of 2.5 to 5 newtons.</w:t>
      </w:r>
    </w:p>
    <w:p w14:paraId="0E7F9324" w14:textId="77777777" w:rsidR="00094004" w:rsidRPr="00C14FE3" w:rsidRDefault="00094004" w:rsidP="0020414C">
      <w:pPr>
        <w:pStyle w:val="Listparagraphbullets"/>
      </w:pPr>
      <w:r w:rsidRPr="00C14FE3">
        <w:t>Controls and operating mechanisms must be operable with one open hand and must not require tight grasping, pinching, or twisting of the wrist and shall have a switch with one surface dimension of at least 25 millimetres. Controls must comply with AS1428.1 (2009) Clause 13.5.4.</w:t>
      </w:r>
    </w:p>
    <w:p w14:paraId="4F3C8D91" w14:textId="77777777" w:rsidR="00094004" w:rsidRPr="00C14FE3" w:rsidRDefault="00094004" w:rsidP="0020414C">
      <w:pPr>
        <w:pStyle w:val="Listparagraphbullets"/>
      </w:pPr>
      <w:r w:rsidRPr="00C14FE3">
        <w:t>Call and controls buttons:</w:t>
      </w:r>
    </w:p>
    <w:p w14:paraId="610FC412" w14:textId="77777777" w:rsidR="00094004" w:rsidRPr="00582DD4" w:rsidRDefault="00094004" w:rsidP="00094004">
      <w:pPr>
        <w:pStyle w:val="Heading5"/>
        <w:ind w:left="1134"/>
      </w:pPr>
      <w:r w:rsidRPr="00582DD4">
        <w:t>Sub-option 1</w:t>
      </w:r>
    </w:p>
    <w:p w14:paraId="34E1E2EC" w14:textId="77777777" w:rsidR="00094004" w:rsidRPr="00582DD4" w:rsidRDefault="00094004" w:rsidP="00094004">
      <w:pPr>
        <w:ind w:left="1134"/>
      </w:pPr>
      <w:r w:rsidRPr="00582DD4">
        <w:t>Call and control buttons should have an integral, continuously operating light.</w:t>
      </w:r>
    </w:p>
    <w:p w14:paraId="58CB3F4A" w14:textId="77777777" w:rsidR="00094004" w:rsidRPr="00582DD4" w:rsidRDefault="00094004" w:rsidP="00094004">
      <w:pPr>
        <w:pStyle w:val="Heading5"/>
        <w:ind w:left="1134"/>
      </w:pPr>
      <w:r w:rsidRPr="00582DD4">
        <w:t>Sub-option 2</w:t>
      </w:r>
    </w:p>
    <w:p w14:paraId="0847E5A2" w14:textId="77777777" w:rsidR="00094004" w:rsidRPr="00582DD4" w:rsidRDefault="00094004" w:rsidP="00094004">
      <w:pPr>
        <w:ind w:left="1134"/>
      </w:pPr>
      <w:r w:rsidRPr="00582DD4">
        <w:t>Call and control buttons must have an integral, continuously operating light.</w:t>
      </w:r>
    </w:p>
    <w:p w14:paraId="494132F8" w14:textId="77777777" w:rsidR="00094004" w:rsidRPr="00F008E4" w:rsidRDefault="00094004" w:rsidP="0020414C">
      <w:pPr>
        <w:pStyle w:val="Listparagraphbullets"/>
      </w:pPr>
      <w:r w:rsidRPr="00F008E4">
        <w:t>These requirements would pertain to premises and infrastructure, (except airports that do not accept regular public transport services.)</w:t>
      </w:r>
    </w:p>
    <w:p w14:paraId="654D39FF" w14:textId="77777777" w:rsidR="00094004" w:rsidRPr="00F008E4" w:rsidRDefault="00094004" w:rsidP="0020414C">
      <w:pPr>
        <w:pStyle w:val="Listparagraphbullets"/>
      </w:pPr>
      <w:r w:rsidRPr="00F008E4">
        <w:t xml:space="preserve">Amendments to section 8.8 are also being considered in chapter 44, nominated assistance points as there are overlaps between the reform issues. </w:t>
      </w:r>
    </w:p>
    <w:p w14:paraId="5EB6C6AC" w14:textId="77777777" w:rsidR="00094004" w:rsidRPr="00F008E4" w:rsidRDefault="00094004" w:rsidP="0020414C">
      <w:pPr>
        <w:pStyle w:val="Listparagraphbullets"/>
      </w:pPr>
      <w:r w:rsidRPr="00F008E4">
        <w:t xml:space="preserve">The Transport Standards Guidelines and / or The Whole Journey Guide would be updated to reflect new requirements. </w:t>
      </w:r>
    </w:p>
    <w:p w14:paraId="24F0A8ED" w14:textId="77777777" w:rsidR="00094004" w:rsidRPr="00F008E4" w:rsidRDefault="00094004" w:rsidP="0020414C">
      <w:pPr>
        <w:pStyle w:val="Listparagraphbullets"/>
      </w:pPr>
      <w:r w:rsidRPr="00F008E4">
        <w:t>Specific guidance may include the following:</w:t>
      </w:r>
    </w:p>
    <w:p w14:paraId="3F8D49EA" w14:textId="77777777" w:rsidR="00094004" w:rsidRPr="001417DB" w:rsidRDefault="00094004" w:rsidP="0020414C">
      <w:pPr>
        <w:pStyle w:val="Listparagraphbullets"/>
      </w:pPr>
      <w:r w:rsidRPr="001417DB">
        <w:t xml:space="preserve">While buttons may be installed on notification devices, controls that only need to be touched rather than depressed will assist people with poor hand function.  </w:t>
      </w:r>
    </w:p>
    <w:p w14:paraId="2A596A3B" w14:textId="77777777" w:rsidR="00094004" w:rsidRPr="001417DB" w:rsidRDefault="00094004" w:rsidP="0020414C">
      <w:pPr>
        <w:pStyle w:val="Listparagraphbullets"/>
      </w:pPr>
      <w:r w:rsidRPr="001417DB">
        <w:t>For booked services, the need for boarding assistance should be confirmed at booking.</w:t>
      </w:r>
    </w:p>
    <w:p w14:paraId="434D1334" w14:textId="77777777" w:rsidR="00094004" w:rsidRPr="001417DB" w:rsidRDefault="00094004" w:rsidP="0020414C">
      <w:pPr>
        <w:pStyle w:val="Listparagraphbullets"/>
      </w:pPr>
      <w:r w:rsidRPr="001417DB">
        <w:lastRenderedPageBreak/>
        <w:t>Notification by passenger of the need for boarding device may trigger the need to provide direct assistance to board.</w:t>
      </w:r>
    </w:p>
    <w:p w14:paraId="7EE68D73" w14:textId="77777777" w:rsidR="00094004" w:rsidRPr="001417DB" w:rsidRDefault="00094004" w:rsidP="0020414C">
      <w:pPr>
        <w:pStyle w:val="Listparagraphbullets"/>
      </w:pPr>
      <w:r w:rsidRPr="001417DB">
        <w:t xml:space="preserve">Communication of the need for boarding assistance in 'real time' for unbooked services, which is at the time of need rather than through prior booking, is necessary if passengers with disabilities are to have the same flexibility and amenity of travel as other passengers.  Communication may be directly with staff or with automated systems.  </w:t>
      </w:r>
    </w:p>
    <w:p w14:paraId="6DCD73A1" w14:textId="77777777" w:rsidR="00094004" w:rsidRDefault="00094004" w:rsidP="0020414C">
      <w:pPr>
        <w:pStyle w:val="Listparagraphbullets"/>
      </w:pPr>
      <w:r w:rsidRPr="001417DB">
        <w:t>At unstaffed stations, there may be a need to develop Equivalent Access solutions for notice of need for boarding assistance.</w:t>
      </w:r>
    </w:p>
    <w:p w14:paraId="7DD9D541" w14:textId="2CBFB80A" w:rsidR="00094004" w:rsidRDefault="00094004" w:rsidP="006F65FB">
      <w:pPr>
        <w:pStyle w:val="Heading3"/>
        <w:numPr>
          <w:ilvl w:val="0"/>
          <w:numId w:val="47"/>
        </w:numPr>
        <w:ind w:left="567" w:hanging="567"/>
      </w:pPr>
      <w:bookmarkStart w:id="960" w:name="_Toc127351861"/>
      <w:bookmarkStart w:id="961" w:name="_Toc130914539"/>
      <w:bookmarkStart w:id="962" w:name="_Toc140239831"/>
      <w:r w:rsidRPr="00130222">
        <w:t>Portable boarding ramp edge barriers</w:t>
      </w:r>
      <w:bookmarkEnd w:id="960"/>
      <w:bookmarkEnd w:id="961"/>
      <w:bookmarkEnd w:id="962"/>
    </w:p>
    <w:p w14:paraId="28D722DD" w14:textId="77777777" w:rsidR="00094004" w:rsidRDefault="00094004" w:rsidP="00094004">
      <w:pPr>
        <w:pStyle w:val="Heading4"/>
        <w:rPr>
          <w:rFonts w:eastAsiaTheme="minorHAnsi"/>
        </w:rPr>
      </w:pPr>
      <w:r w:rsidRPr="00826508">
        <w:rPr>
          <w:rFonts w:eastAsiaTheme="minorHAnsi"/>
        </w:rPr>
        <w:t>Status quo</w:t>
      </w:r>
    </w:p>
    <w:p w14:paraId="606142B0" w14:textId="77777777" w:rsidR="00094004" w:rsidRPr="000F79EF" w:rsidRDefault="00094004" w:rsidP="0020414C">
      <w:pPr>
        <w:pStyle w:val="Listparagraphbullets"/>
      </w:pPr>
      <w:r w:rsidRPr="000F79EF">
        <w:t xml:space="preserve">Transport Standards section 6.2 Boarding ramps, would remain unchanged and no </w:t>
      </w:r>
      <w:r>
        <w:t>Guidance</w:t>
      </w:r>
      <w:r w:rsidRPr="000F79EF">
        <w:t xml:space="preserve"> material would be issued.</w:t>
      </w:r>
    </w:p>
    <w:p w14:paraId="0E4841F1" w14:textId="77777777" w:rsidR="00094004" w:rsidRPr="000F79EF" w:rsidRDefault="00094004" w:rsidP="00094004">
      <w:pPr>
        <w:ind w:left="567"/>
        <w:rPr>
          <w:b/>
        </w:rPr>
      </w:pPr>
      <w:r w:rsidRPr="000F79EF">
        <w:rPr>
          <w:b/>
        </w:rPr>
        <w:t xml:space="preserve">6.2 </w:t>
      </w:r>
      <w:r w:rsidRPr="000F79EF">
        <w:rPr>
          <w:b/>
        </w:rPr>
        <w:tab/>
        <w:t>Boarding ramps</w:t>
      </w:r>
    </w:p>
    <w:p w14:paraId="05167287" w14:textId="77777777" w:rsidR="00094004" w:rsidRPr="000F79EF" w:rsidRDefault="00094004" w:rsidP="00094004">
      <w:pPr>
        <w:ind w:left="567"/>
      </w:pPr>
      <w:r w:rsidRPr="000F79EF">
        <w:t>A boarding ramp must comply with AS/NZS3856.1 (1998) Clause 2.1.8 (b), (c), (f) and (g).</w:t>
      </w:r>
    </w:p>
    <w:p w14:paraId="49344C74" w14:textId="77777777" w:rsidR="00094004" w:rsidRPr="000F79EF" w:rsidRDefault="00094004" w:rsidP="00094004">
      <w:pPr>
        <w:ind w:left="567"/>
      </w:pPr>
      <w:r w:rsidRPr="000F79EF">
        <w:t>This section pertains to conveyances, except dedicated school buses and small aircraft.</w:t>
      </w:r>
    </w:p>
    <w:p w14:paraId="7665ECCF" w14:textId="77777777" w:rsidR="00094004" w:rsidRPr="001975E7" w:rsidRDefault="00094004" w:rsidP="00094004">
      <w:pPr>
        <w:pStyle w:val="Heading4"/>
        <w:rPr>
          <w:rFonts w:eastAsiaTheme="minorHAnsi"/>
        </w:rPr>
      </w:pPr>
      <w:r>
        <w:rPr>
          <w:rFonts w:eastAsiaTheme="minorHAnsi"/>
        </w:rPr>
        <w:t>Non-regulatory</w:t>
      </w:r>
      <w:r w:rsidRPr="001975E7">
        <w:rPr>
          <w:rFonts w:eastAsiaTheme="minorHAnsi"/>
        </w:rPr>
        <w:t xml:space="preserve"> option</w:t>
      </w:r>
    </w:p>
    <w:p w14:paraId="3F3AA5E7" w14:textId="77777777" w:rsidR="00094004" w:rsidRDefault="00094004" w:rsidP="0020414C">
      <w:pPr>
        <w:pStyle w:val="Listparagraphbullets"/>
      </w:pPr>
      <w:r w:rsidRPr="000F79EF">
        <w:t xml:space="preserve">The Transport Standards Guidelines and / or The Whole Journey Guide would be updated to include advice for edge barriers on portable boarding ramps. </w:t>
      </w:r>
    </w:p>
    <w:p w14:paraId="47FB6D8D" w14:textId="77777777" w:rsidR="00094004" w:rsidRDefault="00094004" w:rsidP="0020414C">
      <w:pPr>
        <w:pStyle w:val="Listparagraphbullets"/>
      </w:pPr>
      <w:r w:rsidRPr="000F79EF">
        <w:t>Specific guidance may include the following:</w:t>
      </w:r>
    </w:p>
    <w:p w14:paraId="13A6A3E0" w14:textId="77777777" w:rsidR="00094004" w:rsidRPr="00826508" w:rsidRDefault="00094004" w:rsidP="0020414C">
      <w:pPr>
        <w:pStyle w:val="Listparagraphbullets"/>
      </w:pPr>
      <w:r w:rsidRPr="00826508">
        <w:t xml:space="preserve">Edge barriers on portable boarding ramps are important safety and confidence building features for people who use mobility aids. Portable boarding ramps should therefore have edge barriers on both sides. </w:t>
      </w:r>
    </w:p>
    <w:p w14:paraId="7AE98031" w14:textId="77777777" w:rsidR="00094004" w:rsidRPr="00826508" w:rsidRDefault="00094004" w:rsidP="0020414C">
      <w:pPr>
        <w:pStyle w:val="Listparagraphbullets"/>
      </w:pPr>
      <w:r w:rsidRPr="00826508">
        <w:t>While edge barriers should always be at a safe height above the ramp surface, the recommended 75-millimetre minimum height above the ramp surface of AS3856.1 (2021) should be considered. Dimensions of 65 to 75 millimetres above the ramp surface for kerbs and kerb rails that are required in the built environment might also be considered. Edge barriers may be curved, chamfered or tapered at either end in order to reduce the likelihood of catching ankles, wheelchair footplates or the like as a passenger enters the ramp. Ramp edge barriers should contrast in luminance and colour with the ramp surface.</w:t>
      </w:r>
    </w:p>
    <w:p w14:paraId="6AE7E45D" w14:textId="77777777" w:rsidR="00094004" w:rsidRPr="001975E7" w:rsidRDefault="00094004" w:rsidP="0020414C">
      <w:pPr>
        <w:pStyle w:val="Listparagraphbullets"/>
      </w:pPr>
      <w:r w:rsidRPr="001975E7">
        <w:t>Existing portable boarding ramps may not have edge barriers provided they are safe and fit for purpose. These should be replaced by compliant ramps when they reach their end of service life.</w:t>
      </w:r>
    </w:p>
    <w:p w14:paraId="5D30BAB2" w14:textId="77777777" w:rsidR="00094004" w:rsidRDefault="00094004" w:rsidP="0020414C">
      <w:pPr>
        <w:pStyle w:val="Listparagraphbullets"/>
      </w:pPr>
      <w:r w:rsidRPr="001975E7">
        <w:t>Even though fixed boarding ramps are not covered in this requirement (that is, ramps fixed to infrastructure), the provision of edge barriers should be investigated for feasibility and installed where possible.</w:t>
      </w:r>
    </w:p>
    <w:p w14:paraId="317722B2" w14:textId="77777777" w:rsidR="00094004" w:rsidRPr="00F07924" w:rsidRDefault="00094004" w:rsidP="00094004">
      <w:pPr>
        <w:pStyle w:val="Heading4"/>
        <w:rPr>
          <w:rFonts w:eastAsiaTheme="minorHAnsi"/>
        </w:rPr>
      </w:pPr>
      <w:r w:rsidRPr="00F07924">
        <w:rPr>
          <w:rFonts w:eastAsiaTheme="minorHAnsi"/>
        </w:rPr>
        <w:t>Regulatory options</w:t>
      </w:r>
    </w:p>
    <w:p w14:paraId="427ACCF2" w14:textId="77777777" w:rsidR="00094004" w:rsidRPr="00826508" w:rsidRDefault="00094004" w:rsidP="00094004">
      <w:r w:rsidRPr="00826508">
        <w:t xml:space="preserve">Transport Standards section 6.2 would be amended to include the following (including any requirements retained or amended from the status quo). </w:t>
      </w:r>
    </w:p>
    <w:p w14:paraId="7C154849" w14:textId="77777777" w:rsidR="00094004" w:rsidRPr="00826508" w:rsidRDefault="00094004" w:rsidP="00094004">
      <w:r w:rsidRPr="00826508">
        <w:t xml:space="preserve">There are three </w:t>
      </w:r>
      <w:r>
        <w:t>regulatory options that were consulted on</w:t>
      </w:r>
      <w:r w:rsidRPr="00826508">
        <w:t xml:space="preserve"> relating to the height of edge barriers. Option 1 is a performance-based standard. Option 2 sets a prescriptive requirement for edge barrier heights. Option 3 sets a perspective requirement for edge barrier heights and cites an Australian Standard. </w:t>
      </w:r>
    </w:p>
    <w:p w14:paraId="578319B2" w14:textId="77777777" w:rsidR="00094004" w:rsidRPr="00826508" w:rsidRDefault="00094004" w:rsidP="00094004">
      <w:pPr>
        <w:pStyle w:val="Heading5"/>
        <w:rPr>
          <w:rFonts w:eastAsiaTheme="minorHAnsi"/>
        </w:rPr>
      </w:pPr>
      <w:r w:rsidRPr="00826508">
        <w:rPr>
          <w:rFonts w:eastAsiaTheme="minorHAnsi"/>
        </w:rPr>
        <w:lastRenderedPageBreak/>
        <w:t>Option 1</w:t>
      </w:r>
    </w:p>
    <w:p w14:paraId="5B7DA132" w14:textId="77777777" w:rsidR="00094004" w:rsidRPr="00826508" w:rsidRDefault="00094004" w:rsidP="00094004">
      <w:r w:rsidRPr="00826508">
        <w:t>All portable boarding ramps that are not fixed to conveyances must have vertical edge barriers of a safe height above the ramp surface on both sides. Edge barriers may be curved, chamfered, or tapered at either end.</w:t>
      </w:r>
    </w:p>
    <w:p w14:paraId="7D9DEBB4" w14:textId="77777777" w:rsidR="00094004" w:rsidRPr="001975E7" w:rsidRDefault="00094004" w:rsidP="00094004">
      <w:pPr>
        <w:pStyle w:val="Heading5"/>
        <w:rPr>
          <w:rFonts w:eastAsiaTheme="minorHAnsi"/>
        </w:rPr>
      </w:pPr>
      <w:r w:rsidRPr="001975E7">
        <w:rPr>
          <w:rFonts w:eastAsiaTheme="minorHAnsi"/>
        </w:rPr>
        <w:t xml:space="preserve">Option 2 </w:t>
      </w:r>
    </w:p>
    <w:p w14:paraId="2E6851DA" w14:textId="77777777" w:rsidR="00094004" w:rsidRPr="00826508" w:rsidRDefault="00094004" w:rsidP="00094004">
      <w:r w:rsidRPr="00826508">
        <w:t>All portable boarding ramps that are not fixed to conveyances must have vertical edge barriers 65 to 75 millimetres above the ramp surface on both sides. Edge barriers may be curved, chamfered or tapered at either end.</w:t>
      </w:r>
    </w:p>
    <w:p w14:paraId="7318DC9A" w14:textId="77777777" w:rsidR="00094004" w:rsidRPr="001975E7" w:rsidRDefault="00094004" w:rsidP="00094004">
      <w:pPr>
        <w:pStyle w:val="Heading5"/>
        <w:rPr>
          <w:rFonts w:eastAsiaTheme="minorHAnsi"/>
        </w:rPr>
      </w:pPr>
      <w:r w:rsidRPr="001975E7">
        <w:rPr>
          <w:rFonts w:eastAsiaTheme="minorHAnsi"/>
        </w:rPr>
        <w:t>Option 3</w:t>
      </w:r>
    </w:p>
    <w:p w14:paraId="1BD3F9EE" w14:textId="77777777" w:rsidR="00094004" w:rsidRPr="00826508" w:rsidRDefault="00094004" w:rsidP="00094004">
      <w:r w:rsidRPr="00826508">
        <w:t>All portable boarding ramps that are not fixed to conveyances must have vertical edge barriers 75 millimetres above the ramp surface as per AS3856.1 (2021), clause 7.1 (b) on both sides. Edge barriers may be curved, chamfered, or tapered at either end.</w:t>
      </w:r>
    </w:p>
    <w:p w14:paraId="2E27EE36" w14:textId="77777777" w:rsidR="00094004" w:rsidRPr="00826508" w:rsidRDefault="00094004" w:rsidP="00094004">
      <w:r w:rsidRPr="00826508">
        <w:t>All of the options pertain to buses, (except dedicated school buses), trains, trams and light rail.</w:t>
      </w:r>
    </w:p>
    <w:p w14:paraId="4CEA63C9" w14:textId="77777777" w:rsidR="00094004" w:rsidRPr="00826508" w:rsidRDefault="00094004" w:rsidP="00094004">
      <w:r w:rsidRPr="00826508">
        <w:t xml:space="preserve">The Transport Standards Guidelines and / or The Whole Journey Guide would be updated for all three options to include advice for edge barriers on portable boarding ramps. </w:t>
      </w:r>
    </w:p>
    <w:p w14:paraId="5702EB83" w14:textId="77777777" w:rsidR="00094004" w:rsidRPr="00826508" w:rsidRDefault="00094004" w:rsidP="00094004">
      <w:r w:rsidRPr="00826508">
        <w:t>Specific guidance for all options may include the following:</w:t>
      </w:r>
    </w:p>
    <w:p w14:paraId="2611E419" w14:textId="77777777" w:rsidR="00094004" w:rsidRPr="001975E7" w:rsidRDefault="00094004" w:rsidP="00094004">
      <w:r w:rsidRPr="001975E7">
        <w:t>Edge barriers on portable boarding ramps are important safety and confidence building features for people who use mobility aids. Portable boarding ramps should therefore have edge barriers on both sides.</w:t>
      </w:r>
    </w:p>
    <w:p w14:paraId="17684EF4" w14:textId="77777777" w:rsidR="00094004" w:rsidRPr="00826508" w:rsidRDefault="00094004" w:rsidP="00094004">
      <w:r w:rsidRPr="001975E7">
        <w:t>While edge barriers should always be at a safe height above the ramp surface, the recommended 75-millimetre minimum height above the ramp surface of AS3856.1 (2021) might be considered. Dimensions of 65 to 75 millimetres lower range above the ramp surface for kerbs and kerb rails that are required in the built environment might also be considered (this advice relevant to Options 2 and 3 above only). Edge barriers may be curved, chamfered or tapered at either end in order to reduce the likelihood of catching ankles, wheelchair</w:t>
      </w:r>
      <w:r w:rsidRPr="00826508">
        <w:t xml:space="preserve"> footplates or the like as a passenger enters the ramp. Ramp edge barriers should contrast in luminance and colour with the ramp surface.</w:t>
      </w:r>
    </w:p>
    <w:p w14:paraId="17A99F24" w14:textId="77777777" w:rsidR="00094004" w:rsidRPr="001975E7" w:rsidRDefault="00094004" w:rsidP="00094004">
      <w:r w:rsidRPr="001975E7">
        <w:t>Existing portable boarding ramps may not have edge barriers provided they are safe and fit for purpose. These should be replaced by compliant ramps when they reach their end of service life.</w:t>
      </w:r>
    </w:p>
    <w:p w14:paraId="614AD9E7" w14:textId="77777777" w:rsidR="00094004" w:rsidRPr="001975E7" w:rsidRDefault="00094004" w:rsidP="00094004">
      <w:r w:rsidRPr="001975E7">
        <w:t>Even though fixed boarding ramps are not covered in this requirement, the provision of edge barriers should be investigated for feasibility and installed where possible.</w:t>
      </w:r>
    </w:p>
    <w:p w14:paraId="0F966B1B" w14:textId="4A0AD2EE" w:rsidR="00094004" w:rsidRDefault="00094004" w:rsidP="006F65FB">
      <w:pPr>
        <w:pStyle w:val="Heading3"/>
        <w:numPr>
          <w:ilvl w:val="0"/>
          <w:numId w:val="47"/>
        </w:numPr>
        <w:ind w:left="567" w:hanging="567"/>
      </w:pPr>
      <w:bookmarkStart w:id="963" w:name="_Toc127351862"/>
      <w:bookmarkStart w:id="964" w:name="_Toc130914540"/>
      <w:bookmarkStart w:id="965" w:name="_Toc140239832"/>
      <w:r w:rsidRPr="00130222">
        <w:t>Boarding ramp and removable gangway definitions</w:t>
      </w:r>
      <w:bookmarkEnd w:id="963"/>
      <w:bookmarkEnd w:id="964"/>
      <w:bookmarkEnd w:id="965"/>
    </w:p>
    <w:p w14:paraId="1897ABC6" w14:textId="77777777" w:rsidR="00094004" w:rsidRPr="00097442" w:rsidRDefault="00094004" w:rsidP="00094004">
      <w:pPr>
        <w:pStyle w:val="Heading4"/>
      </w:pPr>
      <w:r w:rsidRPr="00097442">
        <w:t>Status quo</w:t>
      </w:r>
    </w:p>
    <w:p w14:paraId="0DA590EB" w14:textId="77777777" w:rsidR="00094004" w:rsidRPr="00097442" w:rsidRDefault="00094004" w:rsidP="00094004">
      <w:r w:rsidRPr="00097442">
        <w:t xml:space="preserve">The </w:t>
      </w:r>
      <w:r>
        <w:t>Transport Standards</w:t>
      </w:r>
      <w:r w:rsidRPr="00097442">
        <w:t xml:space="preserve"> would remain unchanged and no guidance material would be issued. </w:t>
      </w:r>
    </w:p>
    <w:p w14:paraId="23B52D83" w14:textId="77777777" w:rsidR="00094004" w:rsidRPr="00097442" w:rsidRDefault="00094004" w:rsidP="00094004">
      <w:r w:rsidRPr="00097442">
        <w:t xml:space="preserve">The </w:t>
      </w:r>
      <w:r>
        <w:t>Transport Standards</w:t>
      </w:r>
      <w:r w:rsidRPr="00097442">
        <w:t xml:space="preserve"> would continue to be silent on the difference between removable gangways and boarding ramps.</w:t>
      </w:r>
    </w:p>
    <w:p w14:paraId="789FBF85" w14:textId="77777777" w:rsidR="00094004" w:rsidRPr="00097442" w:rsidRDefault="00094004" w:rsidP="00094004">
      <w:pPr>
        <w:pStyle w:val="Heading4"/>
      </w:pPr>
      <w:r>
        <w:t>Non-regulatory</w:t>
      </w:r>
      <w:r w:rsidRPr="00097442">
        <w:t xml:space="preserve"> option</w:t>
      </w:r>
    </w:p>
    <w:p w14:paraId="238355B7" w14:textId="77777777" w:rsidR="00094004" w:rsidRPr="00097442" w:rsidRDefault="00094004" w:rsidP="00094004">
      <w:r w:rsidRPr="00097442">
        <w:t xml:space="preserve">Guidance would be provided in the </w:t>
      </w:r>
      <w:r>
        <w:t>Transport Standards</w:t>
      </w:r>
      <w:r w:rsidRPr="00097442">
        <w:t xml:space="preserve"> Guidelines and / or The Whole Journey Guide to include advice on the distinction between removable gangways and vehicle boarding ramps.</w:t>
      </w:r>
    </w:p>
    <w:p w14:paraId="007C25D3" w14:textId="77777777" w:rsidR="00094004" w:rsidRPr="00097442" w:rsidRDefault="00094004" w:rsidP="00094004">
      <w:r w:rsidRPr="00097442">
        <w:lastRenderedPageBreak/>
        <w:t>Specific guidance may include the following definitions:</w:t>
      </w:r>
    </w:p>
    <w:p w14:paraId="35C3C90C" w14:textId="77777777" w:rsidR="00094004" w:rsidRPr="00097442" w:rsidRDefault="00094004" w:rsidP="00094004">
      <w:pPr>
        <w:ind w:left="567"/>
      </w:pPr>
      <w:r w:rsidRPr="00097442">
        <w:rPr>
          <w:b/>
        </w:rPr>
        <w:t>Boarding ramps</w:t>
      </w:r>
    </w:p>
    <w:p w14:paraId="3304B072" w14:textId="77777777" w:rsidR="00094004" w:rsidRPr="00097442" w:rsidRDefault="00094004" w:rsidP="00094004">
      <w:pPr>
        <w:ind w:left="567"/>
      </w:pPr>
      <w:r w:rsidRPr="00097442">
        <w:t>Boarding ramps are deployable ramps of flat profile along the length of the access path that bridge the gap between static boarding points and vehicle entrances.</w:t>
      </w:r>
    </w:p>
    <w:p w14:paraId="55F1D79C" w14:textId="77777777" w:rsidR="00094004" w:rsidRPr="00097442" w:rsidRDefault="00094004" w:rsidP="00094004">
      <w:pPr>
        <w:ind w:left="567"/>
      </w:pPr>
      <w:r w:rsidRPr="00097442">
        <w:rPr>
          <w:b/>
        </w:rPr>
        <w:t>Removable gangway</w:t>
      </w:r>
    </w:p>
    <w:p w14:paraId="39E95F7A" w14:textId="77777777" w:rsidR="00094004" w:rsidRPr="00097442" w:rsidRDefault="00094004" w:rsidP="00094004">
      <w:pPr>
        <w:ind w:left="567"/>
      </w:pPr>
      <w:r w:rsidRPr="00097442">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4900A310" w14:textId="77777777" w:rsidR="00094004" w:rsidRPr="00097442" w:rsidRDefault="00094004" w:rsidP="00094004">
      <w:pPr>
        <w:pStyle w:val="Heading4"/>
      </w:pPr>
      <w:r w:rsidRPr="00097442">
        <w:t>Regulatory option</w:t>
      </w:r>
    </w:p>
    <w:p w14:paraId="387C6B30" w14:textId="77777777" w:rsidR="00094004" w:rsidRPr="00097442" w:rsidRDefault="00094004" w:rsidP="00094004">
      <w:r w:rsidRPr="00097442">
        <w:t xml:space="preserve">The </w:t>
      </w:r>
      <w:r>
        <w:t>Transport Standards</w:t>
      </w:r>
      <w:r w:rsidRPr="00097442">
        <w:t xml:space="preserve"> would include </w:t>
      </w:r>
      <w:r>
        <w:t xml:space="preserve">new </w:t>
      </w:r>
      <w:r w:rsidRPr="00097442">
        <w:t>definitions for boarding ramps and removable gangways:</w:t>
      </w:r>
    </w:p>
    <w:p w14:paraId="1828EA21" w14:textId="77777777" w:rsidR="00094004" w:rsidRPr="00097442" w:rsidRDefault="00094004" w:rsidP="00094004">
      <w:pPr>
        <w:ind w:left="567"/>
      </w:pPr>
      <w:r w:rsidRPr="00097442">
        <w:rPr>
          <w:b/>
        </w:rPr>
        <w:t>Boarding ramps</w:t>
      </w:r>
    </w:p>
    <w:p w14:paraId="74AAB7B8" w14:textId="77777777" w:rsidR="00094004" w:rsidRPr="00097442" w:rsidRDefault="00094004" w:rsidP="00094004">
      <w:pPr>
        <w:ind w:left="567"/>
      </w:pPr>
      <w:r w:rsidRPr="00097442">
        <w:t>Boarding ramps are deployable ramps of flat profile along the length of the access path that bridge the gap between static boarding points and vehicle entrances.</w:t>
      </w:r>
    </w:p>
    <w:p w14:paraId="545715D6" w14:textId="77777777" w:rsidR="00094004" w:rsidRPr="00097442" w:rsidRDefault="00094004" w:rsidP="00094004">
      <w:pPr>
        <w:ind w:left="567"/>
      </w:pPr>
      <w:r w:rsidRPr="00097442">
        <w:rPr>
          <w:b/>
        </w:rPr>
        <w:t>Removable gangway</w:t>
      </w:r>
    </w:p>
    <w:p w14:paraId="2BEDA6A8" w14:textId="77777777" w:rsidR="00094004" w:rsidRPr="00097442" w:rsidRDefault="00094004" w:rsidP="00094004">
      <w:pPr>
        <w:ind w:left="567"/>
      </w:pPr>
      <w:r w:rsidRPr="00097442">
        <w:t>A gangway may be removable. Removable gangways are deployable ramps of convex profile along the length of the access path equipped with handrails that bridge the gap between pontoon boarding point and ferry decks. Removable gangways require a convex profile to maintain contact with both the vessel deck and pontoon while both may be in motion.</w:t>
      </w:r>
    </w:p>
    <w:p w14:paraId="571F54CB" w14:textId="77777777" w:rsidR="00094004" w:rsidRPr="003D6BDE" w:rsidRDefault="00094004" w:rsidP="00094004">
      <w:r w:rsidRPr="00097442">
        <w:t xml:space="preserve">The </w:t>
      </w:r>
      <w:r>
        <w:t>Transport Standards</w:t>
      </w:r>
      <w:r w:rsidRPr="00097442">
        <w:t xml:space="preserve"> Guidelines and / or The Whole Journey Guide would be updated to reflect new requirements.</w:t>
      </w:r>
    </w:p>
    <w:p w14:paraId="6804E0D0" w14:textId="141AE38A" w:rsidR="00094004" w:rsidRDefault="00094004" w:rsidP="006F65FB">
      <w:pPr>
        <w:pStyle w:val="Heading3"/>
        <w:numPr>
          <w:ilvl w:val="0"/>
          <w:numId w:val="47"/>
        </w:numPr>
        <w:ind w:left="567" w:hanging="567"/>
      </w:pPr>
      <w:bookmarkStart w:id="966" w:name="_Toc127351863"/>
      <w:bookmarkStart w:id="967" w:name="_Toc130914541"/>
      <w:bookmarkStart w:id="968" w:name="_Toc140239833"/>
      <w:r w:rsidRPr="00130222">
        <w:t xml:space="preserve">Removable gangway design </w:t>
      </w:r>
      <w:r>
        <w:t>–</w:t>
      </w:r>
      <w:r w:rsidRPr="00130222">
        <w:t xml:space="preserve"> ferries</w:t>
      </w:r>
      <w:bookmarkEnd w:id="966"/>
      <w:bookmarkEnd w:id="967"/>
      <w:bookmarkEnd w:id="968"/>
    </w:p>
    <w:p w14:paraId="1E316913" w14:textId="77777777" w:rsidR="00094004" w:rsidRPr="00097442" w:rsidRDefault="00094004" w:rsidP="00094004">
      <w:pPr>
        <w:pStyle w:val="Heading4"/>
      </w:pPr>
      <w:r w:rsidRPr="00097442">
        <w:t>Status quo</w:t>
      </w:r>
    </w:p>
    <w:p w14:paraId="6898CBC0" w14:textId="77777777" w:rsidR="00094004" w:rsidRDefault="00094004" w:rsidP="00094004">
      <w:r>
        <w:t>Transport Standards</w:t>
      </w:r>
      <w:r w:rsidRPr="00097442">
        <w:t xml:space="preserve"> </w:t>
      </w:r>
      <w:r>
        <w:t xml:space="preserve">section 6.2 Boarding ramps, </w:t>
      </w:r>
      <w:r w:rsidRPr="00097442">
        <w:t>would remain unchanged and no guidance material would be issued.</w:t>
      </w:r>
    </w:p>
    <w:p w14:paraId="48CD7A63" w14:textId="77777777" w:rsidR="00094004" w:rsidRPr="00F25C98" w:rsidRDefault="00094004" w:rsidP="00094004">
      <w:pPr>
        <w:ind w:left="1134" w:hanging="567"/>
        <w:rPr>
          <w:b/>
        </w:rPr>
      </w:pPr>
      <w:r w:rsidRPr="00F25C98">
        <w:rPr>
          <w:b/>
        </w:rPr>
        <w:t>6.2</w:t>
      </w:r>
      <w:r w:rsidRPr="00F25C98">
        <w:rPr>
          <w:b/>
        </w:rPr>
        <w:tab/>
        <w:t>Boarding ramps</w:t>
      </w:r>
    </w:p>
    <w:p w14:paraId="0DDD088D" w14:textId="77777777" w:rsidR="00094004" w:rsidRDefault="00094004" w:rsidP="00094004">
      <w:pPr>
        <w:ind w:left="567"/>
      </w:pPr>
      <w:r w:rsidRPr="00F25C98">
        <w:t xml:space="preserve">A boarding ramp must comply with AS/NZS3856.1 (1998) </w:t>
      </w:r>
      <w:r w:rsidRPr="00102DA1">
        <w:rPr>
          <w:i/>
        </w:rPr>
        <w:t xml:space="preserve">Clause 2.1.8 (b), (c), (f) </w:t>
      </w:r>
      <w:r w:rsidRPr="00072F07">
        <w:t>and</w:t>
      </w:r>
      <w:r w:rsidRPr="00102DA1">
        <w:rPr>
          <w:i/>
        </w:rPr>
        <w:t xml:space="preserve"> (g).</w:t>
      </w:r>
    </w:p>
    <w:p w14:paraId="739DC1DE" w14:textId="77777777" w:rsidR="00094004" w:rsidRPr="00097442" w:rsidRDefault="00094004" w:rsidP="00094004">
      <w:pPr>
        <w:ind w:left="567"/>
      </w:pPr>
      <w:r>
        <w:t xml:space="preserve">This section pertains to conveyances except </w:t>
      </w:r>
      <w:r w:rsidRPr="00F25C98">
        <w:t>dedicated school buses and small aircraft</w:t>
      </w:r>
      <w:r>
        <w:t>.</w:t>
      </w:r>
    </w:p>
    <w:p w14:paraId="062347C8" w14:textId="77777777" w:rsidR="00094004" w:rsidRPr="00097442" w:rsidRDefault="00094004" w:rsidP="00094004">
      <w:pPr>
        <w:pStyle w:val="Heading4"/>
      </w:pPr>
      <w:r>
        <w:t>Non-regulatory</w:t>
      </w:r>
      <w:r w:rsidRPr="00097442">
        <w:t xml:space="preserve"> option</w:t>
      </w:r>
    </w:p>
    <w:p w14:paraId="128566F3" w14:textId="77777777" w:rsidR="00094004" w:rsidRPr="00097442" w:rsidRDefault="00094004" w:rsidP="00094004">
      <w:r w:rsidRPr="00097442">
        <w:t xml:space="preserve">The </w:t>
      </w:r>
      <w:r>
        <w:t>Transport Standards</w:t>
      </w:r>
      <w:r w:rsidRPr="00097442">
        <w:t xml:space="preserve"> Guidelines and / or The Whole Journey Guide would be updated to include advice on removable gangways.</w:t>
      </w:r>
    </w:p>
    <w:p w14:paraId="22CB40F6" w14:textId="77777777" w:rsidR="00094004" w:rsidRPr="00097442" w:rsidRDefault="00094004" w:rsidP="00094004">
      <w:r w:rsidRPr="00097442">
        <w:t>Specific guidance may include the following:</w:t>
      </w:r>
    </w:p>
    <w:p w14:paraId="6A87D82F" w14:textId="77777777" w:rsidR="00094004" w:rsidRPr="00097442" w:rsidRDefault="00094004" w:rsidP="006F65FB">
      <w:pPr>
        <w:pStyle w:val="ListParagraph"/>
        <w:numPr>
          <w:ilvl w:val="0"/>
          <w:numId w:val="43"/>
        </w:numPr>
        <w:autoSpaceDE w:val="0"/>
        <w:autoSpaceDN w:val="0"/>
        <w:spacing w:before="40" w:after="40"/>
      </w:pPr>
      <w:r w:rsidRPr="00097442">
        <w:t>Removable gangways should be constructed in accordance with the National Standard for Commercial Vessels (NSCV</w:t>
      </w:r>
      <w:r w:rsidRPr="00102DA1">
        <w:rPr>
          <w:i/>
        </w:rPr>
        <w:t>), Pa</w:t>
      </w:r>
      <w:r>
        <w:rPr>
          <w:i/>
        </w:rPr>
        <w:t>rt C: Design and construction, s</w:t>
      </w:r>
      <w:r w:rsidRPr="00102DA1">
        <w:rPr>
          <w:i/>
        </w:rPr>
        <w:t>ection 1 Arrangement, accommodation and personal safety, Chapter 6.16.3, Gangways</w:t>
      </w:r>
      <w:r w:rsidRPr="00097442">
        <w:t>. Additional advice below will enhance the accessibility of the removable gangway design.</w:t>
      </w:r>
    </w:p>
    <w:p w14:paraId="787D7377" w14:textId="77777777" w:rsidR="00094004" w:rsidRPr="00097442" w:rsidRDefault="00094004" w:rsidP="006F65FB">
      <w:pPr>
        <w:pStyle w:val="ListParagraph"/>
        <w:numPr>
          <w:ilvl w:val="0"/>
          <w:numId w:val="43"/>
        </w:numPr>
        <w:autoSpaceDE w:val="0"/>
        <w:autoSpaceDN w:val="0"/>
        <w:spacing w:before="40" w:after="40"/>
      </w:pPr>
      <w:r w:rsidRPr="00097442">
        <w:lastRenderedPageBreak/>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w:t>
      </w:r>
    </w:p>
    <w:p w14:paraId="7FC387C0"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 should have a 50 to 75-millimeter strip on the gangway’s leading edges, should provide a luminance contrast in wet and dry conditions with the surfaces on which they are deployed by at least 30 per cent. Luminance contrast of more than 45 per cent, such as 60 per cent, is preferable. </w:t>
      </w:r>
    </w:p>
    <w:p w14:paraId="0B3BC3C5" w14:textId="77777777" w:rsidR="00094004" w:rsidRPr="00097442" w:rsidRDefault="00094004" w:rsidP="006F65FB">
      <w:pPr>
        <w:pStyle w:val="ListParagraph"/>
        <w:numPr>
          <w:ilvl w:val="0"/>
          <w:numId w:val="43"/>
        </w:numPr>
        <w:autoSpaceDE w:val="0"/>
        <w:autoSpaceDN w:val="0"/>
        <w:spacing w:before="40" w:after="40"/>
      </w:pPr>
      <w:r w:rsidRPr="00097442">
        <w:t xml:space="preserve">To minimise the risk of a passenger falling into the water while boarding or alighting, removable gangways should have bilateral handrails and edge barriers (kerbs) as safety and support features. Handrails should have a consistent finish across the entire length and have a luminance contrast in wet and dry conditions with the pontoon and ferry deck by at least 30 per cent. Luminance contrast of more than 45 per cent, such as 60 per cent, is preferable. </w:t>
      </w:r>
    </w:p>
    <w:p w14:paraId="0ED20927" w14:textId="77777777" w:rsidR="00094004" w:rsidRPr="00097442" w:rsidRDefault="00094004" w:rsidP="006F65FB">
      <w:pPr>
        <w:pStyle w:val="ListParagraph"/>
        <w:numPr>
          <w:ilvl w:val="0"/>
          <w:numId w:val="43"/>
        </w:numPr>
        <w:autoSpaceDE w:val="0"/>
        <w:autoSpaceDN w:val="0"/>
        <w:spacing w:before="40" w:after="40"/>
      </w:pPr>
      <w:r w:rsidRPr="00097442">
        <w:t>Where possible, removable gangways should exceed a minimum 800-millimeter clear width between handrails. Any extra width must be balanced against occupational health and safety concerns that the weight added to the structure introduce. However, even modest increases in clear width will enhance the accessibility of the removable gangway for passengers using mobility aids.</w:t>
      </w:r>
    </w:p>
    <w:p w14:paraId="2AB5D391" w14:textId="77777777" w:rsidR="00094004" w:rsidRPr="00097442" w:rsidRDefault="00094004" w:rsidP="006F65FB">
      <w:pPr>
        <w:pStyle w:val="ListParagraph"/>
        <w:numPr>
          <w:ilvl w:val="0"/>
          <w:numId w:val="43"/>
        </w:numPr>
        <w:autoSpaceDE w:val="0"/>
        <w:autoSpaceDN w:val="0"/>
        <w:spacing w:before="40" w:after="40"/>
      </w:pPr>
      <w:r w:rsidRPr="00097442">
        <w:t>To ensure independent access, the gradient along the curve of the removable gangway should not exceed 1:8 at any point when the gangway is deployed for boarding and alighting. If gradient on the curve exceeds 1:8 then assisted access should be available. Gangways may be articulated to achieve the 1:8 maximum gradient over the curve.</w:t>
      </w:r>
    </w:p>
    <w:p w14:paraId="1C823692"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w:t>
      </w:r>
      <w:r>
        <w:t xml:space="preserve">must be long enough to </w:t>
      </w:r>
      <w:r w:rsidRPr="00097442">
        <w:t xml:space="preserve">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suitable to be stationed on a pontoon or ferry. </w:t>
      </w:r>
    </w:p>
    <w:p w14:paraId="4A745129" w14:textId="77777777" w:rsidR="00094004" w:rsidRPr="00097442" w:rsidRDefault="00094004" w:rsidP="00094004">
      <w:pPr>
        <w:pStyle w:val="Heading4"/>
      </w:pPr>
      <w:r w:rsidRPr="00097442">
        <w:t>Regulatory option</w:t>
      </w:r>
    </w:p>
    <w:p w14:paraId="6B5A6EBA" w14:textId="77777777" w:rsidR="00094004" w:rsidRPr="005B50A9" w:rsidRDefault="00094004" w:rsidP="00094004">
      <w:r>
        <w:t xml:space="preserve">Transport Standards section 6.2 </w:t>
      </w:r>
      <w:r w:rsidRPr="0034654A">
        <w:t xml:space="preserve">would be amended to include the following (including any requirements retained </w:t>
      </w:r>
      <w:r>
        <w:t>or amended from the status quo)</w:t>
      </w:r>
      <w:r w:rsidRPr="000A4FFD">
        <w:t>:</w:t>
      </w:r>
    </w:p>
    <w:p w14:paraId="0756D7CD"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must comply with the National Standard for Commercial Vessels (NSCV), </w:t>
      </w:r>
      <w:r w:rsidRPr="00102DA1">
        <w:t>Pa</w:t>
      </w:r>
      <w:r>
        <w:t>rt C: Design and construction, s</w:t>
      </w:r>
      <w:r w:rsidRPr="00102DA1">
        <w:t>ection 1 Arrangement, accommodation and personal safety, Chapter 6.16.3, Gangways</w:t>
      </w:r>
      <w:r w:rsidRPr="00097442">
        <w:t>.</w:t>
      </w:r>
    </w:p>
    <w:p w14:paraId="29A17B43" w14:textId="77777777" w:rsidR="00094004" w:rsidRPr="00097442" w:rsidRDefault="00094004" w:rsidP="006F65FB">
      <w:pPr>
        <w:pStyle w:val="ListParagraph"/>
        <w:numPr>
          <w:ilvl w:val="0"/>
          <w:numId w:val="43"/>
        </w:numPr>
        <w:autoSpaceDE w:val="0"/>
        <w:autoSpaceDN w:val="0"/>
        <w:spacing w:before="40" w:after="40"/>
      </w:pPr>
      <w:r w:rsidRPr="00097442">
        <w:t>Removable gangways may be convex in profile:</w:t>
      </w:r>
    </w:p>
    <w:p w14:paraId="33027E20" w14:textId="77777777" w:rsidR="00094004" w:rsidRPr="00097442" w:rsidRDefault="00094004" w:rsidP="006F65FB">
      <w:pPr>
        <w:pStyle w:val="ListParagraph"/>
        <w:numPr>
          <w:ilvl w:val="0"/>
          <w:numId w:val="43"/>
        </w:numPr>
        <w:autoSpaceDE w:val="0"/>
        <w:autoSpaceDN w:val="0"/>
        <w:spacing w:before="40" w:after="40"/>
      </w:pPr>
      <w:r w:rsidRPr="00097442">
        <w:t xml:space="preserve">For unassisted access, no part of the curve </w:t>
      </w:r>
      <w:r>
        <w:t>should</w:t>
      </w:r>
      <w:r w:rsidRPr="00097442">
        <w:t xml:space="preserve"> exceed a gradient of 1:8 while the removable gangway is deployed.</w:t>
      </w:r>
    </w:p>
    <w:p w14:paraId="01AD61BA" w14:textId="77777777" w:rsidR="00094004" w:rsidRPr="00097442" w:rsidRDefault="00094004" w:rsidP="006F65FB">
      <w:pPr>
        <w:pStyle w:val="ListParagraph"/>
        <w:numPr>
          <w:ilvl w:val="0"/>
          <w:numId w:val="43"/>
        </w:numPr>
        <w:autoSpaceDE w:val="0"/>
        <w:autoSpaceDN w:val="0"/>
        <w:spacing w:before="40" w:after="40"/>
      </w:pPr>
      <w:r w:rsidRPr="00097442">
        <w:t>If gradient on the curve exceeds 1:8 then assisted access must be available.</w:t>
      </w:r>
    </w:p>
    <w:p w14:paraId="738AD6B6" w14:textId="77777777" w:rsidR="00094004" w:rsidRPr="00097442" w:rsidRDefault="00094004" w:rsidP="006F65FB">
      <w:pPr>
        <w:pStyle w:val="ListParagraph"/>
        <w:numPr>
          <w:ilvl w:val="0"/>
          <w:numId w:val="43"/>
        </w:numPr>
        <w:autoSpaceDE w:val="0"/>
        <w:autoSpaceDN w:val="0"/>
        <w:spacing w:before="40" w:after="40"/>
      </w:pPr>
      <w:r w:rsidRPr="00097442">
        <w:t>Gangways may be articulated to achieve the 1:8 maximum gradient over the curve.</w:t>
      </w:r>
    </w:p>
    <w:p w14:paraId="305C0286" w14:textId="77777777" w:rsidR="00094004" w:rsidRPr="00097442" w:rsidRDefault="00094004" w:rsidP="006F65FB">
      <w:pPr>
        <w:pStyle w:val="ListParagraph"/>
        <w:numPr>
          <w:ilvl w:val="0"/>
          <w:numId w:val="43"/>
        </w:numPr>
        <w:autoSpaceDE w:val="0"/>
        <w:autoSpaceDN w:val="0"/>
        <w:spacing w:before="40" w:after="40"/>
      </w:pPr>
      <w:r w:rsidRPr="00097442">
        <w:t>Removable gangways must have a 50 to 75-millimeter strip on the gangway’s leading edges, must provide a luminance contrast with the surfaces on which they are deployed by at least 30 percent. Luminance contrast of more than 45 per cent, such as 60 per cent, is preferable.</w:t>
      </w:r>
    </w:p>
    <w:p w14:paraId="54D9A991" w14:textId="77777777" w:rsidR="00094004" w:rsidRPr="00097442" w:rsidRDefault="00094004" w:rsidP="006F65FB">
      <w:pPr>
        <w:pStyle w:val="ListParagraph"/>
        <w:numPr>
          <w:ilvl w:val="0"/>
          <w:numId w:val="43"/>
        </w:numPr>
        <w:autoSpaceDE w:val="0"/>
        <w:autoSpaceDN w:val="0"/>
        <w:spacing w:before="40" w:after="40"/>
      </w:pPr>
      <w:r w:rsidRPr="00097442">
        <w:t>Removable gangways must have handrails both sides and at least 800 millimetres clear width between handrails, with a greater width preferred if safe and practicable.</w:t>
      </w:r>
    </w:p>
    <w:p w14:paraId="3D4B062E" w14:textId="77777777" w:rsidR="00094004" w:rsidRPr="00097442" w:rsidRDefault="00094004" w:rsidP="006F65FB">
      <w:pPr>
        <w:pStyle w:val="ListParagraph"/>
        <w:numPr>
          <w:ilvl w:val="0"/>
          <w:numId w:val="43"/>
        </w:numPr>
        <w:autoSpaceDE w:val="0"/>
        <w:autoSpaceDN w:val="0"/>
        <w:spacing w:before="40" w:after="40"/>
      </w:pPr>
      <w:r w:rsidRPr="00097442">
        <w:t xml:space="preserve">Handrails must comply with AS1428.1 (2009), </w:t>
      </w:r>
      <w:r w:rsidRPr="00102DA1">
        <w:rPr>
          <w:i/>
        </w:rPr>
        <w:t>Design for access and mobility, Clause 12 (b)</w:t>
      </w:r>
      <w:r w:rsidRPr="00097442">
        <w:t xml:space="preserve"> with a preference for handrail diameter in the 30 to 40-millimeter range.</w:t>
      </w:r>
    </w:p>
    <w:p w14:paraId="0238D8C6" w14:textId="77777777" w:rsidR="00094004" w:rsidRPr="00097442" w:rsidRDefault="00094004" w:rsidP="00094004">
      <w:r w:rsidRPr="00097442">
        <w:t>These requirements would pertain to ferries and pontoon wharves.</w:t>
      </w:r>
    </w:p>
    <w:p w14:paraId="59E0D109" w14:textId="77777777" w:rsidR="00094004" w:rsidRPr="00097442" w:rsidRDefault="00094004" w:rsidP="00094004">
      <w:r w:rsidRPr="00097442">
        <w:lastRenderedPageBreak/>
        <w:t xml:space="preserve">The </w:t>
      </w:r>
      <w:r>
        <w:t>Transport Standards</w:t>
      </w:r>
      <w:r w:rsidRPr="00097442">
        <w:t xml:space="preserve"> Guidelines and / or The Whole Journey Guide would be updated to include advice on removable gangways.</w:t>
      </w:r>
    </w:p>
    <w:p w14:paraId="20C02D73" w14:textId="77777777" w:rsidR="00094004" w:rsidRPr="00097442" w:rsidRDefault="00094004" w:rsidP="00094004">
      <w:r w:rsidRPr="00097442">
        <w:t>Specific guidance would include the following:</w:t>
      </w:r>
    </w:p>
    <w:p w14:paraId="079C63D5" w14:textId="77777777" w:rsidR="00094004" w:rsidRPr="00097442" w:rsidRDefault="00094004" w:rsidP="006F65FB">
      <w:pPr>
        <w:pStyle w:val="ListParagraph"/>
        <w:numPr>
          <w:ilvl w:val="0"/>
          <w:numId w:val="43"/>
        </w:numPr>
        <w:autoSpaceDE w:val="0"/>
        <w:autoSpaceDN w:val="0"/>
        <w:spacing w:before="40" w:after="40"/>
      </w:pPr>
      <w:r w:rsidRPr="00097442">
        <w:t>Removable gangways must be able to maintain two points of contact on moving pontoon and ferry decks. They must also accommodate lateral movement of the ferry to and from the pontoon. A convex profile is required and removable gangways with convex profiles are standard for most ferry systems. To ensure independent access, the gradient along the curve of the removable gangway should not exceed 1:8 at any point when the gangway is deployed for boarding and alighting.</w:t>
      </w:r>
    </w:p>
    <w:p w14:paraId="15AE87B2" w14:textId="77777777" w:rsidR="00094004" w:rsidRPr="00097442" w:rsidRDefault="00094004" w:rsidP="006F65FB">
      <w:pPr>
        <w:pStyle w:val="ListParagraph"/>
        <w:numPr>
          <w:ilvl w:val="0"/>
          <w:numId w:val="43"/>
        </w:numPr>
        <w:autoSpaceDE w:val="0"/>
        <w:autoSpaceDN w:val="0"/>
        <w:spacing w:before="40" w:after="40"/>
      </w:pPr>
      <w:r w:rsidRPr="00097442">
        <w:t xml:space="preserve">To minimise the risk of a passenger falling into the water while boarding or alighting, removable gangways should have bilateral handrails and edge barriers (kerbs) as safety and support features. </w:t>
      </w:r>
    </w:p>
    <w:p w14:paraId="63987CAC" w14:textId="77777777" w:rsidR="00094004" w:rsidRPr="00097442" w:rsidRDefault="00094004" w:rsidP="006F65FB">
      <w:pPr>
        <w:pStyle w:val="ListParagraph"/>
        <w:numPr>
          <w:ilvl w:val="0"/>
          <w:numId w:val="43"/>
        </w:numPr>
        <w:autoSpaceDE w:val="0"/>
        <w:autoSpaceDN w:val="0"/>
        <w:spacing w:before="40" w:after="40"/>
      </w:pPr>
      <w:r w:rsidRPr="00097442">
        <w:t xml:space="preserve">Removable gangways </w:t>
      </w:r>
      <w:r>
        <w:t xml:space="preserve">must be long enough to </w:t>
      </w:r>
      <w:r w:rsidRPr="00097442">
        <w:t>achieve a safe overlap on both decks due to the risk posed by lateral movement of the ferry while berthed. Removable gangway length is ultimately limited by occupational health and safety considerations. Removable gangways are a sturdy apparatus that must be of a size and weight that is safe for the deckhand to deploy and is also of a size that is suitable to be stationed on a pontoon or ferry.</w:t>
      </w:r>
    </w:p>
    <w:p w14:paraId="6BF3B77C" w14:textId="77777777" w:rsidR="00094004" w:rsidRDefault="00094004" w:rsidP="006F65FB">
      <w:pPr>
        <w:pStyle w:val="ListParagraph"/>
        <w:numPr>
          <w:ilvl w:val="0"/>
          <w:numId w:val="43"/>
        </w:numPr>
        <w:autoSpaceDE w:val="0"/>
        <w:autoSpaceDN w:val="0"/>
        <w:spacing w:before="40" w:after="40"/>
      </w:pPr>
      <w:r w:rsidRPr="00097442">
        <w:t xml:space="preserve">Where possible, removable gangways should exceed the minimum 800-millimeter clear width between handrails. Any extra width must be balanced against the weight added to the structure, but even modest increases in clear width will enhance the accessibility of the removable gangway for passengers using mobility aids. </w:t>
      </w:r>
    </w:p>
    <w:p w14:paraId="7FD30A8D" w14:textId="77777777" w:rsidR="00094004" w:rsidRPr="00E360BA" w:rsidRDefault="00094004" w:rsidP="00094004"/>
    <w:p w14:paraId="5E48C2D3" w14:textId="7CDBC775" w:rsidR="00094004" w:rsidRDefault="00094004" w:rsidP="006F65FB">
      <w:pPr>
        <w:pStyle w:val="Heading3"/>
        <w:numPr>
          <w:ilvl w:val="0"/>
          <w:numId w:val="47"/>
        </w:numPr>
        <w:ind w:left="567" w:hanging="567"/>
      </w:pPr>
      <w:bookmarkStart w:id="969" w:name="_Toc127351864"/>
      <w:bookmarkStart w:id="970" w:name="_Toc130914542"/>
      <w:bookmarkStart w:id="971" w:name="_Toc140239834"/>
      <w:r w:rsidRPr="00130222">
        <w:t>Nominated assistance boarding points</w:t>
      </w:r>
      <w:bookmarkEnd w:id="969"/>
      <w:bookmarkEnd w:id="970"/>
      <w:bookmarkEnd w:id="971"/>
    </w:p>
    <w:p w14:paraId="2866FF61" w14:textId="77777777" w:rsidR="00094004" w:rsidRPr="00097442" w:rsidRDefault="00094004" w:rsidP="00094004">
      <w:pPr>
        <w:pStyle w:val="Heading4"/>
      </w:pPr>
      <w:r w:rsidRPr="00097442">
        <w:t>Status quo</w:t>
      </w:r>
    </w:p>
    <w:p w14:paraId="12600734" w14:textId="77777777" w:rsidR="00094004" w:rsidRDefault="00094004" w:rsidP="00094004">
      <w:pPr>
        <w:spacing w:before="120" w:after="120"/>
      </w:pPr>
      <w:r>
        <w:t>Transport Standards s</w:t>
      </w:r>
      <w:r w:rsidRPr="00097442">
        <w:t>ection 8.2 When boarding devices must be provided</w:t>
      </w:r>
      <w:r>
        <w:t xml:space="preserve">, and 8.8 Notification by passengers of need for boarding device, </w:t>
      </w:r>
      <w:r w:rsidRPr="00097442">
        <w:t xml:space="preserve">would remain unchanged and no </w:t>
      </w:r>
      <w:r>
        <w:t>Guidance</w:t>
      </w:r>
      <w:r w:rsidRPr="00097442">
        <w:t xml:space="preserve"> would be issued.</w:t>
      </w:r>
    </w:p>
    <w:p w14:paraId="09011D00" w14:textId="77777777" w:rsidR="00094004" w:rsidRPr="00097442" w:rsidRDefault="00094004" w:rsidP="00094004">
      <w:pPr>
        <w:tabs>
          <w:tab w:val="left" w:pos="1134"/>
        </w:tabs>
        <w:spacing w:before="120" w:after="120"/>
        <w:ind w:left="567"/>
        <w:rPr>
          <w:b/>
        </w:rPr>
      </w:pPr>
      <w:r w:rsidRPr="00097442">
        <w:rPr>
          <w:b/>
        </w:rPr>
        <w:t>8.2</w:t>
      </w:r>
      <w:r w:rsidRPr="00097442">
        <w:rPr>
          <w:b/>
        </w:rPr>
        <w:tab/>
        <w:t>When boarding devices must be provided</w:t>
      </w:r>
    </w:p>
    <w:p w14:paraId="0AC24AF1" w14:textId="77777777" w:rsidR="00094004" w:rsidRPr="00097442" w:rsidRDefault="00094004" w:rsidP="00094004">
      <w:pPr>
        <w:tabs>
          <w:tab w:val="left" w:pos="1134"/>
        </w:tabs>
        <w:spacing w:before="120" w:after="120"/>
        <w:ind w:left="1134" w:hanging="567"/>
      </w:pPr>
      <w:r w:rsidRPr="00097442">
        <w:t>(1)</w:t>
      </w:r>
      <w:r w:rsidRPr="00097442">
        <w:tab/>
        <w:t>A manual or power assisted boarding device must be available at any accessible entrance to a conveyance that has:</w:t>
      </w:r>
    </w:p>
    <w:p w14:paraId="5AC1AD08" w14:textId="789B9D95" w:rsidR="00094004" w:rsidRPr="00097442" w:rsidRDefault="00094004" w:rsidP="00094004">
      <w:pPr>
        <w:spacing w:before="120" w:after="120"/>
        <w:ind w:left="1560" w:hanging="426"/>
      </w:pPr>
      <w:r w:rsidRPr="00097442">
        <w:t>(a)</w:t>
      </w:r>
      <w:r w:rsidRPr="00097442">
        <w:tab/>
        <w:t xml:space="preserve">a vertical rise or gap exceeding 12 </w:t>
      </w:r>
      <w:r w:rsidR="009134C0" w:rsidRPr="007D162C">
        <w:t>millimetres</w:t>
      </w:r>
      <w:r w:rsidR="009134C0" w:rsidRPr="00097442">
        <w:t xml:space="preserve"> </w:t>
      </w:r>
      <w:r w:rsidRPr="00097442">
        <w:t xml:space="preserve">(AS/NZS3856.1 (1998) </w:t>
      </w:r>
      <w:r w:rsidRPr="00102DA1">
        <w:rPr>
          <w:i/>
        </w:rPr>
        <w:t>Clause 2.1.7 (f)</w:t>
      </w:r>
      <w:r w:rsidRPr="002B5F50">
        <w:t>);</w:t>
      </w:r>
      <w:r w:rsidRPr="00097442">
        <w:t xml:space="preserve"> or</w:t>
      </w:r>
    </w:p>
    <w:p w14:paraId="5317EF8F" w14:textId="6C4225D9" w:rsidR="00094004" w:rsidRPr="00097442" w:rsidRDefault="00094004" w:rsidP="00094004">
      <w:pPr>
        <w:spacing w:before="120" w:after="120"/>
        <w:ind w:left="1560" w:hanging="426"/>
      </w:pPr>
      <w:r w:rsidRPr="00097442">
        <w:t>(b)</w:t>
      </w:r>
      <w:r w:rsidRPr="00097442">
        <w:tab/>
        <w:t xml:space="preserve">a horizontal gap exceeding 40 </w:t>
      </w:r>
      <w:r w:rsidR="009134C0" w:rsidRPr="007D162C">
        <w:t>millimetres</w:t>
      </w:r>
      <w:r w:rsidRPr="00097442">
        <w:t xml:space="preserve"> (AS/NZS3856.1 (1998) </w:t>
      </w:r>
      <w:r w:rsidRPr="00102DA1">
        <w:rPr>
          <w:i/>
        </w:rPr>
        <w:t>Clause 2.1.8 (g)</w:t>
      </w:r>
      <w:r w:rsidRPr="00097442">
        <w:t>).</w:t>
      </w:r>
    </w:p>
    <w:p w14:paraId="584E311E" w14:textId="77777777" w:rsidR="00094004" w:rsidRPr="00097442" w:rsidRDefault="00094004" w:rsidP="00094004">
      <w:pPr>
        <w:spacing w:before="120" w:after="120"/>
        <w:ind w:left="567"/>
      </w:pPr>
      <w:r>
        <w:t>This s</w:t>
      </w:r>
      <w:r w:rsidRPr="00097442">
        <w:t xml:space="preserve">ection pertains to conveyances, </w:t>
      </w:r>
      <w:r>
        <w:t>(</w:t>
      </w:r>
      <w:r w:rsidRPr="00097442">
        <w:t>except dedicated school buses</w:t>
      </w:r>
      <w:r>
        <w:t>)</w:t>
      </w:r>
      <w:r w:rsidRPr="00097442">
        <w:t xml:space="preserve"> and small aircraft.</w:t>
      </w:r>
    </w:p>
    <w:p w14:paraId="4ABF2284" w14:textId="77777777" w:rsidR="00094004" w:rsidRPr="00097442" w:rsidRDefault="00094004" w:rsidP="00094004">
      <w:pPr>
        <w:tabs>
          <w:tab w:val="left" w:pos="1134"/>
        </w:tabs>
        <w:spacing w:before="120" w:after="120"/>
        <w:ind w:left="567"/>
        <w:rPr>
          <w:b/>
        </w:rPr>
      </w:pPr>
      <w:r w:rsidRPr="00097442">
        <w:rPr>
          <w:b/>
        </w:rPr>
        <w:t>8.8</w:t>
      </w:r>
      <w:r w:rsidRPr="00097442">
        <w:rPr>
          <w:b/>
        </w:rPr>
        <w:tab/>
        <w:t>Notification by passenger of need for boarding device</w:t>
      </w:r>
    </w:p>
    <w:p w14:paraId="219BFAE5" w14:textId="77777777" w:rsidR="00094004" w:rsidRPr="00097442" w:rsidRDefault="00094004" w:rsidP="00094004">
      <w:pPr>
        <w:spacing w:before="120" w:after="120"/>
        <w:ind w:left="1134" w:hanging="567"/>
      </w:pPr>
      <w:r w:rsidRPr="00097442">
        <w:t>(1)</w:t>
      </w:r>
      <w:r w:rsidRPr="00097442">
        <w:tab/>
        <w:t>It must be possible for a passenger to notify the operator of a conveyance that he or she needs a boarding device to board or alight from a conveyance.</w:t>
      </w:r>
    </w:p>
    <w:p w14:paraId="77F4EDF7" w14:textId="77777777" w:rsidR="00094004" w:rsidRPr="00102DA1" w:rsidRDefault="00094004" w:rsidP="00094004">
      <w:pPr>
        <w:spacing w:before="120" w:after="120"/>
        <w:ind w:left="1134" w:hanging="567"/>
        <w:rPr>
          <w:i/>
        </w:rPr>
      </w:pPr>
      <w:r w:rsidRPr="00097442">
        <w:t>(2)</w:t>
      </w:r>
      <w:r w:rsidRPr="00097442">
        <w:tab/>
        <w:t xml:space="preserve">If a request signal device is used, it may be located on the conveyance or at the boarding point according to the dimensions given in AS1428.2 (1992) </w:t>
      </w:r>
      <w:r w:rsidRPr="00102DA1">
        <w:rPr>
          <w:i/>
        </w:rPr>
        <w:t>Clause 11.4, Call buttons.</w:t>
      </w:r>
    </w:p>
    <w:p w14:paraId="0A5A2794" w14:textId="77777777" w:rsidR="00094004" w:rsidRPr="00097442" w:rsidRDefault="00094004" w:rsidP="00094004">
      <w:pPr>
        <w:spacing w:before="120" w:after="120"/>
        <w:ind w:left="567"/>
      </w:pPr>
      <w:r>
        <w:lastRenderedPageBreak/>
        <w:t>This s</w:t>
      </w:r>
      <w:r w:rsidRPr="00097442">
        <w:t>ection pertains to the following conveyances: buses, except dedicated school buses, coaches, ferries, trains, trams and light rail, as well as premises, and infrastructure, except airports that do not accept regular public transport services.</w:t>
      </w:r>
    </w:p>
    <w:p w14:paraId="3FACFC35" w14:textId="77777777" w:rsidR="00094004" w:rsidRPr="00097442" w:rsidRDefault="00094004" w:rsidP="00094004">
      <w:pPr>
        <w:pStyle w:val="Heading4"/>
      </w:pPr>
      <w:r w:rsidRPr="00097442">
        <w:t>Non</w:t>
      </w:r>
      <w:r>
        <w:t>-</w:t>
      </w:r>
      <w:r w:rsidRPr="00097442">
        <w:t>regulatory option</w:t>
      </w:r>
    </w:p>
    <w:p w14:paraId="6A5453DE"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concerning requirements for assistance points to facilitate boarding. The guidance would encourage operators and providers to provide independent boarding where possible. </w:t>
      </w:r>
    </w:p>
    <w:p w14:paraId="40226AF4" w14:textId="77777777" w:rsidR="00094004" w:rsidRPr="00097442" w:rsidRDefault="00094004" w:rsidP="00094004">
      <w:r w:rsidRPr="00097442">
        <w:t>Specific guidance may include:</w:t>
      </w:r>
    </w:p>
    <w:p w14:paraId="036DDD6C" w14:textId="77777777" w:rsidR="00094004" w:rsidRPr="00097442" w:rsidRDefault="00094004" w:rsidP="006F65FB">
      <w:pPr>
        <w:pStyle w:val="ListParagraph"/>
        <w:numPr>
          <w:ilvl w:val="0"/>
          <w:numId w:val="44"/>
        </w:numPr>
        <w:autoSpaceDE w:val="0"/>
        <w:autoSpaceDN w:val="0"/>
        <w:spacing w:before="40" w:after="40"/>
      </w:pPr>
      <w:r w:rsidRPr="00097442">
        <w:t>Where independent boarding cannot be provided:</w:t>
      </w:r>
    </w:p>
    <w:p w14:paraId="28D4365A" w14:textId="77777777" w:rsidR="00094004" w:rsidRPr="00097442" w:rsidRDefault="00094004" w:rsidP="006F65FB">
      <w:pPr>
        <w:pStyle w:val="ListParagraph"/>
        <w:numPr>
          <w:ilvl w:val="0"/>
          <w:numId w:val="44"/>
        </w:numPr>
        <w:autoSpaceDE w:val="0"/>
        <w:autoSpaceDN w:val="0"/>
        <w:spacing w:before="40" w:after="40"/>
      </w:pPr>
      <w:r w:rsidRPr="00097442">
        <w:t>Public transport operators and providers may provide a nominated assistance point on infrastructure and premises, from which direct assistance can be provided to an accessible door on a conveyance.</w:t>
      </w:r>
    </w:p>
    <w:p w14:paraId="7035E46C" w14:textId="77777777" w:rsidR="00094004" w:rsidRPr="00097442" w:rsidRDefault="00094004" w:rsidP="006F65FB">
      <w:pPr>
        <w:pStyle w:val="ListParagraph"/>
        <w:numPr>
          <w:ilvl w:val="0"/>
          <w:numId w:val="44"/>
        </w:numPr>
        <w:autoSpaceDE w:val="0"/>
        <w:autoSpaceDN w:val="0"/>
        <w:spacing w:before="40" w:after="40"/>
      </w:pPr>
      <w:r w:rsidRPr="00097442">
        <w:t>Direct assistance procedures (including how to assist moving passengers from the nominated assistance point to an accessible door on a conveyance) should be informed through consultation with people with disability. Passengers at the nominated assistance point should be able to communicate with public transport staff (whether by face-to-face or by means of a communication device).</w:t>
      </w:r>
    </w:p>
    <w:p w14:paraId="5E88F93F" w14:textId="77777777" w:rsidR="00094004" w:rsidRPr="00097442" w:rsidRDefault="00094004" w:rsidP="006F65FB">
      <w:pPr>
        <w:pStyle w:val="ListParagraph"/>
        <w:numPr>
          <w:ilvl w:val="0"/>
          <w:numId w:val="44"/>
        </w:numPr>
        <w:autoSpaceDE w:val="0"/>
        <w:autoSpaceDN w:val="0"/>
        <w:spacing w:before="40" w:after="40"/>
      </w:pPr>
      <w:r w:rsidRPr="00097442">
        <w:t>Operators and providers should adopt solutions that:</w:t>
      </w:r>
    </w:p>
    <w:p w14:paraId="47CEC306" w14:textId="77777777" w:rsidR="00094004" w:rsidRPr="00097442" w:rsidRDefault="00094004" w:rsidP="006F65FB">
      <w:pPr>
        <w:pStyle w:val="ListParagraph"/>
        <w:numPr>
          <w:ilvl w:val="0"/>
          <w:numId w:val="44"/>
        </w:numPr>
        <w:autoSpaceDE w:val="0"/>
        <w:autoSpaceDN w:val="0"/>
        <w:spacing w:before="40" w:after="40"/>
      </w:pPr>
      <w:r w:rsidRPr="00097442">
        <w:t>Are operator and provider agnostic and mode agnostic (choosing whichever mode gets you to your destination via the fastest, most efficient or most direct route, depending on preference).</w:t>
      </w:r>
    </w:p>
    <w:p w14:paraId="621C8E8D" w14:textId="77777777" w:rsidR="00094004" w:rsidRPr="00097442" w:rsidRDefault="00094004" w:rsidP="006F65FB">
      <w:pPr>
        <w:pStyle w:val="ListParagraph"/>
        <w:numPr>
          <w:ilvl w:val="0"/>
          <w:numId w:val="44"/>
        </w:numPr>
        <w:autoSpaceDE w:val="0"/>
        <w:autoSpaceDN w:val="0"/>
        <w:spacing w:before="40" w:after="40"/>
      </w:pPr>
      <w:r w:rsidRPr="00097442">
        <w:t>Seek to achieve equivalency to the greatest extent possible for amenity and access to facilities from the assistance point (e.g. provision of information, shelter).</w:t>
      </w:r>
    </w:p>
    <w:p w14:paraId="7C959B19" w14:textId="77777777" w:rsidR="00094004" w:rsidRPr="00097442" w:rsidRDefault="00094004" w:rsidP="006F65FB">
      <w:pPr>
        <w:pStyle w:val="ListParagraph"/>
        <w:numPr>
          <w:ilvl w:val="0"/>
          <w:numId w:val="44"/>
        </w:numPr>
        <w:autoSpaceDE w:val="0"/>
        <w:autoSpaceDN w:val="0"/>
        <w:spacing w:before="40" w:after="40"/>
      </w:pPr>
      <w:r w:rsidRPr="00097442">
        <w:t>Seek to consider future modification and innovations while offering a consistent customer outcome regardless of operational and staff changes.</w:t>
      </w:r>
    </w:p>
    <w:p w14:paraId="126C1328" w14:textId="77777777" w:rsidR="00094004" w:rsidRPr="00097442" w:rsidRDefault="00094004" w:rsidP="006F65FB">
      <w:pPr>
        <w:pStyle w:val="ListParagraph"/>
        <w:numPr>
          <w:ilvl w:val="0"/>
          <w:numId w:val="44"/>
        </w:numPr>
        <w:autoSpaceDE w:val="0"/>
        <w:autoSpaceDN w:val="0"/>
        <w:spacing w:before="40" w:after="40"/>
      </w:pPr>
      <w:r w:rsidRPr="00097442">
        <w:t>Acknowledge the importance of staff training which includes knowing the correct boarding procedures and options available for customer requiring direct assistance.</w:t>
      </w:r>
    </w:p>
    <w:p w14:paraId="5727AFC9" w14:textId="77777777" w:rsidR="00094004" w:rsidRPr="00097442" w:rsidRDefault="00094004" w:rsidP="006F65FB">
      <w:pPr>
        <w:pStyle w:val="ListParagraph"/>
        <w:numPr>
          <w:ilvl w:val="0"/>
          <w:numId w:val="44"/>
        </w:numPr>
        <w:autoSpaceDE w:val="0"/>
        <w:autoSpaceDN w:val="0"/>
        <w:spacing w:before="40" w:after="40"/>
      </w:pPr>
      <w:r w:rsidRPr="00097442">
        <w:t>Clarify the nominated assistance point does not need to be co-located where you board a conveyance. Rather it is where you can talk to staff about boarding and get information and assistance with boarding.</w:t>
      </w:r>
    </w:p>
    <w:p w14:paraId="288F8C16" w14:textId="77777777" w:rsidR="00094004" w:rsidRPr="00097442" w:rsidRDefault="00094004" w:rsidP="006F65FB">
      <w:pPr>
        <w:pStyle w:val="ListParagraph"/>
        <w:numPr>
          <w:ilvl w:val="0"/>
          <w:numId w:val="44"/>
        </w:numPr>
        <w:autoSpaceDE w:val="0"/>
        <w:autoSpaceDN w:val="0"/>
        <w:spacing w:before="40" w:after="40"/>
      </w:pPr>
      <w:r w:rsidRPr="00097442">
        <w:t>Ensure the nominated assistance point is clearly identified by a symbol and tactile element.</w:t>
      </w:r>
    </w:p>
    <w:p w14:paraId="25FDE835" w14:textId="77777777" w:rsidR="00094004" w:rsidRPr="00097442" w:rsidRDefault="00094004" w:rsidP="006F65FB">
      <w:pPr>
        <w:pStyle w:val="ListParagraph"/>
        <w:numPr>
          <w:ilvl w:val="0"/>
          <w:numId w:val="44"/>
        </w:numPr>
        <w:autoSpaceDE w:val="0"/>
        <w:autoSpaceDN w:val="0"/>
        <w:spacing w:before="40" w:after="40"/>
      </w:pPr>
      <w:r w:rsidRPr="00097442">
        <w:t xml:space="preserve">Ensure the nominated assistance point is located in an area that is easily accessed in terms of amenity and dignity, and easily identified by </w:t>
      </w:r>
      <w:r>
        <w:t>people with disability</w:t>
      </w:r>
      <w:r w:rsidRPr="00097442">
        <w:t>.</w:t>
      </w:r>
    </w:p>
    <w:p w14:paraId="18C20648" w14:textId="77777777" w:rsidR="00094004" w:rsidRPr="00097442" w:rsidRDefault="00094004" w:rsidP="006F65FB">
      <w:pPr>
        <w:pStyle w:val="ListParagraph"/>
        <w:numPr>
          <w:ilvl w:val="0"/>
          <w:numId w:val="44"/>
        </w:numPr>
        <w:autoSpaceDE w:val="0"/>
        <w:autoSpaceDN w:val="0"/>
        <w:spacing w:before="40" w:after="40"/>
      </w:pPr>
      <w:r w:rsidRPr="00097442">
        <w:t>Reference case studies of how operators and providers provide a nominated assistance point.</w:t>
      </w:r>
    </w:p>
    <w:p w14:paraId="6677C781" w14:textId="77777777" w:rsidR="00094004" w:rsidRDefault="00094004" w:rsidP="00094004">
      <w:pPr>
        <w:pStyle w:val="Heading4"/>
      </w:pPr>
      <w:r w:rsidRPr="00097442">
        <w:t>Regulatory options</w:t>
      </w:r>
    </w:p>
    <w:p w14:paraId="1C2D876B" w14:textId="77777777" w:rsidR="00094004" w:rsidRPr="007812A5" w:rsidRDefault="00094004" w:rsidP="00094004">
      <w:r w:rsidRPr="00097442">
        <w:t xml:space="preserve">The </w:t>
      </w:r>
      <w:r>
        <w:t>Transport Standards</w:t>
      </w:r>
      <w:r w:rsidRPr="00097442">
        <w:t xml:space="preserve"> would be amended to include new requirements for </w:t>
      </w:r>
      <w:r>
        <w:t>nominated assistance points</w:t>
      </w:r>
      <w:r w:rsidRPr="00097442">
        <w:t xml:space="preserve">. There are </w:t>
      </w:r>
      <w:r>
        <w:t>two</w:t>
      </w:r>
      <w:r w:rsidRPr="00097442">
        <w:t xml:space="preserve"> </w:t>
      </w:r>
      <w:r>
        <w:t>regulatory options that were consulted on relating to the provision of nominated assistance points</w:t>
      </w:r>
      <w:r w:rsidRPr="00097442">
        <w:t>.</w:t>
      </w:r>
      <w:r>
        <w:t xml:space="preserve"> Option 1 would introduce a new section for nominated assistance points. Option 2 would amend s</w:t>
      </w:r>
      <w:r w:rsidRPr="00097442">
        <w:t>ection 8.8 Notification by passengers of need for boarding device</w:t>
      </w:r>
      <w:r>
        <w:t xml:space="preserve"> for nominated assistance points. </w:t>
      </w:r>
    </w:p>
    <w:p w14:paraId="19B0C866" w14:textId="77777777" w:rsidR="00094004" w:rsidRPr="00097442" w:rsidRDefault="00094004" w:rsidP="00094004">
      <w:pPr>
        <w:pStyle w:val="Heading5"/>
      </w:pPr>
      <w:r w:rsidRPr="00097442">
        <w:t>Option 1</w:t>
      </w:r>
    </w:p>
    <w:p w14:paraId="2E04B132" w14:textId="77777777" w:rsidR="00094004" w:rsidRPr="00097442" w:rsidRDefault="00094004" w:rsidP="00094004">
      <w:pPr>
        <w:spacing w:before="120"/>
      </w:pPr>
      <w:r w:rsidRPr="00097442">
        <w:t xml:space="preserve">The </w:t>
      </w:r>
      <w:r>
        <w:t>Transport Standards</w:t>
      </w:r>
      <w:r w:rsidRPr="00097442">
        <w:t xml:space="preserve"> would be amended to include the following new </w:t>
      </w:r>
      <w:r>
        <w:t>requirements</w:t>
      </w:r>
      <w:r w:rsidRPr="00097442">
        <w:t>:</w:t>
      </w:r>
    </w:p>
    <w:p w14:paraId="050E913A" w14:textId="77777777" w:rsidR="00094004" w:rsidRPr="00097442" w:rsidRDefault="00094004" w:rsidP="006F65FB">
      <w:pPr>
        <w:pStyle w:val="ListParagraph"/>
        <w:numPr>
          <w:ilvl w:val="0"/>
          <w:numId w:val="44"/>
        </w:numPr>
        <w:autoSpaceDE w:val="0"/>
        <w:autoSpaceDN w:val="0"/>
        <w:spacing w:before="40" w:after="40"/>
      </w:pPr>
      <w:r w:rsidRPr="00097442">
        <w:t xml:space="preserve">Independent boarding should be provided at all accessible entrances to a conveyance, noting that some entrances will only become accessible upon the deployment of a </w:t>
      </w:r>
      <w:r w:rsidRPr="00097442">
        <w:lastRenderedPageBreak/>
        <w:t xml:space="preserve">boarding device in accordance with </w:t>
      </w:r>
      <w:r>
        <w:t>Transport Standards s</w:t>
      </w:r>
      <w:r w:rsidRPr="00097442">
        <w:t xml:space="preserve">ection 8.2, When boarding devices must be provided. </w:t>
      </w:r>
    </w:p>
    <w:p w14:paraId="1AE60B2E" w14:textId="77777777" w:rsidR="00094004" w:rsidRPr="00097442" w:rsidRDefault="00094004" w:rsidP="006F65FB">
      <w:pPr>
        <w:pStyle w:val="ListParagraph"/>
        <w:numPr>
          <w:ilvl w:val="0"/>
          <w:numId w:val="44"/>
        </w:numPr>
        <w:autoSpaceDE w:val="0"/>
        <w:autoSpaceDN w:val="0"/>
        <w:spacing w:before="40" w:after="40"/>
      </w:pPr>
      <w:r w:rsidRPr="00097442">
        <w:t>Where independent boarding is not provided:</w:t>
      </w:r>
    </w:p>
    <w:p w14:paraId="0647A487" w14:textId="77777777" w:rsidR="00094004" w:rsidRPr="00097442" w:rsidRDefault="00094004" w:rsidP="006F65FB">
      <w:pPr>
        <w:pStyle w:val="ListParagraph"/>
        <w:numPr>
          <w:ilvl w:val="0"/>
          <w:numId w:val="45"/>
        </w:numPr>
        <w:autoSpaceDE w:val="0"/>
        <w:autoSpaceDN w:val="0"/>
        <w:spacing w:before="40" w:after="40"/>
      </w:pPr>
      <w:r w:rsidRPr="00097442">
        <w:t>Operators and providers may provide a nominated assistance point on infrastructure and premises from which direct assistance can be provided to an accessible door on a conveyance.</w:t>
      </w:r>
    </w:p>
    <w:p w14:paraId="057F8718" w14:textId="77777777" w:rsidR="00094004" w:rsidRPr="00097442" w:rsidRDefault="00094004" w:rsidP="006F65FB">
      <w:pPr>
        <w:pStyle w:val="ListParagraph"/>
        <w:numPr>
          <w:ilvl w:val="0"/>
          <w:numId w:val="45"/>
        </w:numPr>
        <w:autoSpaceDE w:val="0"/>
        <w:autoSpaceDN w:val="0"/>
        <w:spacing w:before="40" w:after="40"/>
      </w:pPr>
      <w:r w:rsidRPr="00097442">
        <w:t xml:space="preserve">Direct assistance procedures including how to assist moving passengers from the nominated assistance point to an accessible door on a conveyance must be informed through consultation with people with disability. Passengers at the nominated assistance point must be able to communicate with public transport staff (whether by face-to-face or by means of a communication device). </w:t>
      </w:r>
    </w:p>
    <w:p w14:paraId="086E521A" w14:textId="77777777" w:rsidR="00094004" w:rsidRPr="00097442" w:rsidRDefault="00094004" w:rsidP="006F65FB">
      <w:pPr>
        <w:pStyle w:val="ListParagraph"/>
        <w:numPr>
          <w:ilvl w:val="0"/>
          <w:numId w:val="44"/>
        </w:numPr>
        <w:autoSpaceDE w:val="0"/>
        <w:autoSpaceDN w:val="0"/>
        <w:spacing w:before="40" w:after="40"/>
      </w:pPr>
      <w:r w:rsidRPr="00097442">
        <w:t>There are five sub-options on how to define an accessible door.</w:t>
      </w:r>
    </w:p>
    <w:p w14:paraId="0B5073A2" w14:textId="77777777" w:rsidR="00094004" w:rsidRPr="00097442" w:rsidRDefault="00094004" w:rsidP="00094004">
      <w:pPr>
        <w:ind w:left="567"/>
      </w:pPr>
      <w:r w:rsidRPr="00097442">
        <w:t xml:space="preserve">Where a door on a conveyance is marked as being accessible, it must have: </w:t>
      </w:r>
    </w:p>
    <w:p w14:paraId="2870CC91" w14:textId="77777777" w:rsidR="00094004" w:rsidRPr="00097442" w:rsidRDefault="00094004" w:rsidP="00094004">
      <w:pPr>
        <w:pStyle w:val="Heading6"/>
        <w:ind w:left="1134"/>
      </w:pPr>
      <w:r w:rsidRPr="00097442">
        <w:t>Sub-option 1</w:t>
      </w:r>
    </w:p>
    <w:p w14:paraId="0A64B1CB" w14:textId="77777777" w:rsidR="00094004" w:rsidRPr="00097442" w:rsidRDefault="00094004" w:rsidP="00094004">
      <w:pPr>
        <w:ind w:left="1134"/>
      </w:pPr>
      <w:r w:rsidRPr="00097442">
        <w:t>Access to a seat.</w:t>
      </w:r>
    </w:p>
    <w:p w14:paraId="5405676D" w14:textId="77777777" w:rsidR="00094004" w:rsidRPr="00097442" w:rsidRDefault="00094004" w:rsidP="00094004">
      <w:pPr>
        <w:pStyle w:val="Heading6"/>
        <w:ind w:left="1134"/>
      </w:pPr>
      <w:r w:rsidRPr="00097442">
        <w:t>Sub-option 2</w:t>
      </w:r>
    </w:p>
    <w:p w14:paraId="6E5DA0A7" w14:textId="77777777" w:rsidR="00094004" w:rsidRPr="00097442" w:rsidRDefault="00094004" w:rsidP="00094004">
      <w:pPr>
        <w:ind w:left="1134"/>
      </w:pPr>
      <w:r w:rsidRPr="00097442">
        <w:t>Access to a priority seat.</w:t>
      </w:r>
    </w:p>
    <w:p w14:paraId="18E921A1" w14:textId="77777777" w:rsidR="00094004" w:rsidRPr="00097442" w:rsidRDefault="00094004" w:rsidP="00094004">
      <w:pPr>
        <w:pStyle w:val="Heading6"/>
        <w:ind w:left="1134"/>
      </w:pPr>
      <w:r w:rsidRPr="00097442">
        <w:t>Sub-option 3</w:t>
      </w:r>
    </w:p>
    <w:p w14:paraId="42BBD3D0" w14:textId="77777777" w:rsidR="00094004" w:rsidRPr="00097442" w:rsidRDefault="00094004" w:rsidP="00094004">
      <w:pPr>
        <w:ind w:left="1134"/>
      </w:pPr>
      <w:r w:rsidRPr="00097442">
        <w:t>Access to an allocated space.</w:t>
      </w:r>
    </w:p>
    <w:p w14:paraId="3AB9A07D" w14:textId="77777777" w:rsidR="00094004" w:rsidRPr="00097442" w:rsidRDefault="00094004" w:rsidP="00094004">
      <w:pPr>
        <w:pStyle w:val="Heading6"/>
        <w:ind w:left="1134"/>
      </w:pPr>
      <w:r w:rsidRPr="00097442">
        <w:t>Sub-option 4</w:t>
      </w:r>
    </w:p>
    <w:p w14:paraId="7E4EB1A6" w14:textId="77777777" w:rsidR="00094004" w:rsidRPr="00097442" w:rsidRDefault="00094004" w:rsidP="00094004">
      <w:pPr>
        <w:ind w:left="1134"/>
      </w:pPr>
      <w:r w:rsidRPr="00097442">
        <w:t>Access to other accessible facilities, such as an accessible toilet, where available.</w:t>
      </w:r>
    </w:p>
    <w:p w14:paraId="2C023022" w14:textId="77777777" w:rsidR="00094004" w:rsidRPr="00097442" w:rsidRDefault="00094004" w:rsidP="00094004">
      <w:pPr>
        <w:pStyle w:val="Heading6"/>
        <w:ind w:left="1134"/>
      </w:pPr>
      <w:r w:rsidRPr="00097442">
        <w:t>Sub-option 5</w:t>
      </w:r>
    </w:p>
    <w:p w14:paraId="6AFD4185" w14:textId="77777777" w:rsidR="00094004" w:rsidRPr="00097442" w:rsidRDefault="00094004" w:rsidP="00094004">
      <w:pPr>
        <w:ind w:left="1134"/>
      </w:pPr>
      <w:r w:rsidRPr="00097442">
        <w:t>All of the above.</w:t>
      </w:r>
    </w:p>
    <w:p w14:paraId="10C77BDD" w14:textId="77777777" w:rsidR="00094004" w:rsidRPr="00097442" w:rsidRDefault="00094004" w:rsidP="00094004">
      <w:pPr>
        <w:pStyle w:val="Heading5"/>
      </w:pPr>
      <w:r w:rsidRPr="00097442">
        <w:t>Option 2</w:t>
      </w:r>
    </w:p>
    <w:p w14:paraId="4FE77A2B" w14:textId="77777777" w:rsidR="00094004" w:rsidRPr="00097442" w:rsidRDefault="00094004" w:rsidP="00094004">
      <w:pPr>
        <w:spacing w:before="120"/>
      </w:pPr>
      <w:r>
        <w:t>Transport Standards s</w:t>
      </w:r>
      <w:r w:rsidRPr="00097442">
        <w:t>ection 8.8 Notification by passengers of need for boarding device</w:t>
      </w:r>
      <w:r>
        <w:t>,</w:t>
      </w:r>
      <w:r w:rsidRPr="00097442">
        <w:t xml:space="preserve"> would be amended to include the following requirements:</w:t>
      </w:r>
    </w:p>
    <w:p w14:paraId="7E4695E4" w14:textId="77777777" w:rsidR="00094004" w:rsidRPr="00097442" w:rsidRDefault="00094004" w:rsidP="006F65FB">
      <w:pPr>
        <w:pStyle w:val="ListParagraph"/>
        <w:numPr>
          <w:ilvl w:val="0"/>
          <w:numId w:val="46"/>
        </w:numPr>
        <w:autoSpaceDE w:val="0"/>
        <w:autoSpaceDN w:val="0"/>
        <w:spacing w:before="40" w:after="40"/>
      </w:pPr>
      <w:r w:rsidRPr="00097442">
        <w:t>It must be possible for a passenger waiting to board a conveyance to notify the operator that he or she needs a boarding device.</w:t>
      </w:r>
    </w:p>
    <w:p w14:paraId="74F13699" w14:textId="77777777" w:rsidR="00094004" w:rsidRPr="00102DA1" w:rsidRDefault="00094004" w:rsidP="006F65FB">
      <w:pPr>
        <w:pStyle w:val="ListParagraph"/>
        <w:numPr>
          <w:ilvl w:val="0"/>
          <w:numId w:val="46"/>
        </w:numPr>
        <w:autoSpaceDE w:val="0"/>
        <w:autoSpaceDN w:val="0"/>
        <w:spacing w:before="40" w:after="40"/>
        <w:rPr>
          <w:i/>
        </w:rPr>
      </w:pPr>
      <w:r w:rsidRPr="00097442">
        <w:t xml:space="preserve">If a request signal device is used, it may be located on the conveyance or at the boarding point according to the dimensions given in AS1428.2 (1992), </w:t>
      </w:r>
      <w:r w:rsidRPr="00102DA1">
        <w:rPr>
          <w:i/>
        </w:rPr>
        <w:t>Design for access and mobility, Part 2: Enhanced and additional requirements - Buildings and facilities, Clause 11.4, Call buttons.</w:t>
      </w:r>
    </w:p>
    <w:p w14:paraId="64C885A3" w14:textId="77777777" w:rsidR="00094004" w:rsidRPr="00097442" w:rsidRDefault="00094004" w:rsidP="006F65FB">
      <w:pPr>
        <w:pStyle w:val="ListParagraph"/>
        <w:numPr>
          <w:ilvl w:val="0"/>
          <w:numId w:val="46"/>
        </w:numPr>
        <w:autoSpaceDE w:val="0"/>
        <w:autoSpaceDN w:val="0"/>
        <w:spacing w:before="40" w:after="40"/>
      </w:pPr>
      <w:r w:rsidRPr="00097442">
        <w:t>Operators and providers may choose to designate a nominated assistance point for a passenger to request direct assistance at the boarding point. The nominated assistance point must be located on or adjacent to an access path.</w:t>
      </w:r>
    </w:p>
    <w:p w14:paraId="7BBBBA5E" w14:textId="77777777" w:rsidR="00094004" w:rsidRPr="00097442" w:rsidRDefault="00094004" w:rsidP="00094004">
      <w:pPr>
        <w:spacing w:before="120"/>
      </w:pPr>
      <w:r w:rsidRPr="00097442">
        <w:t>These requirements would apply to buses (except dedicated school buses), coaches, ferries, trains, trams, light rail, premises and infrastructure (except airports that do not accept regular public transport services).</w:t>
      </w:r>
    </w:p>
    <w:p w14:paraId="6BE9A786" w14:textId="77777777" w:rsidR="00094004" w:rsidRDefault="00094004" w:rsidP="00094004">
      <w:pPr>
        <w:spacing w:before="120"/>
      </w:pPr>
      <w:r w:rsidRPr="00097442">
        <w:t xml:space="preserve">Any proposed option will need to consider interactions with other relevant parts of the </w:t>
      </w:r>
      <w:r>
        <w:t>Transport Standards</w:t>
      </w:r>
      <w:r w:rsidRPr="00097442">
        <w:t xml:space="preserve">, such as consolidation of on-board facilities. </w:t>
      </w:r>
    </w:p>
    <w:p w14:paraId="7DCCB7C9" w14:textId="77777777" w:rsidR="00094004" w:rsidRPr="00097442" w:rsidRDefault="00094004" w:rsidP="00094004">
      <w:pPr>
        <w:spacing w:before="120"/>
      </w:pPr>
      <w:r>
        <w:lastRenderedPageBreak/>
        <w:t xml:space="preserve">Amendments to section 8.8 are also being considered in chapter 40, notification by passenger of need for boarding device as there are overlaps between the reform issues. </w:t>
      </w:r>
    </w:p>
    <w:p w14:paraId="31B3A0D1" w14:textId="77777777" w:rsidR="00094004" w:rsidRPr="00097442" w:rsidRDefault="00094004" w:rsidP="00094004">
      <w:pPr>
        <w:spacing w:before="120"/>
      </w:pPr>
      <w:r w:rsidRPr="00097442">
        <w:t xml:space="preserve">The </w:t>
      </w:r>
      <w:r>
        <w:t>Transport Standards</w:t>
      </w:r>
      <w:r w:rsidRPr="00097442">
        <w:t xml:space="preserve"> Guidelines and / or The Whole Journey Guide would be updated to reflect the new requirements and provide advice for operators and providers to provide solutions that:</w:t>
      </w:r>
    </w:p>
    <w:p w14:paraId="532D4313" w14:textId="77777777" w:rsidR="00094004" w:rsidRPr="00097442" w:rsidRDefault="00094004" w:rsidP="006F65FB">
      <w:pPr>
        <w:pStyle w:val="ListParagraph"/>
        <w:numPr>
          <w:ilvl w:val="0"/>
          <w:numId w:val="46"/>
        </w:numPr>
        <w:autoSpaceDE w:val="0"/>
        <w:autoSpaceDN w:val="0"/>
        <w:spacing w:before="40" w:after="40"/>
      </w:pPr>
      <w:r>
        <w:t xml:space="preserve">are </w:t>
      </w:r>
      <w:r w:rsidRPr="00097442">
        <w:t xml:space="preserve">operator and provider agnostic and mode </w:t>
      </w:r>
      <w:r>
        <w:t>agnostic</w:t>
      </w:r>
    </w:p>
    <w:p w14:paraId="0A72FEE1" w14:textId="77777777" w:rsidR="00094004" w:rsidRPr="00097442" w:rsidRDefault="00094004" w:rsidP="006F65FB">
      <w:pPr>
        <w:pStyle w:val="ListParagraph"/>
        <w:numPr>
          <w:ilvl w:val="0"/>
          <w:numId w:val="46"/>
        </w:numPr>
        <w:autoSpaceDE w:val="0"/>
        <w:autoSpaceDN w:val="0"/>
        <w:spacing w:before="40" w:after="40"/>
      </w:pPr>
      <w:r>
        <w:t>s</w:t>
      </w:r>
      <w:r w:rsidRPr="00097442">
        <w:t>eek to achieve equivalency to the greatest extent possible for amenity and access to facilities from the assistance point (e.g. pro</w:t>
      </w:r>
      <w:r>
        <w:t>vision of information, shelter)</w:t>
      </w:r>
    </w:p>
    <w:p w14:paraId="78A8C272" w14:textId="77777777" w:rsidR="00094004" w:rsidRPr="00097442" w:rsidRDefault="00094004" w:rsidP="006F65FB">
      <w:pPr>
        <w:pStyle w:val="ListParagraph"/>
        <w:numPr>
          <w:ilvl w:val="0"/>
          <w:numId w:val="46"/>
        </w:numPr>
        <w:autoSpaceDE w:val="0"/>
        <w:autoSpaceDN w:val="0"/>
        <w:spacing w:before="40" w:after="40"/>
      </w:pPr>
      <w:r>
        <w:t>s</w:t>
      </w:r>
      <w:r w:rsidRPr="00097442">
        <w:t>eek to consider future modification and innovations while offering a consistent outcome for passengers regardless o</w:t>
      </w:r>
      <w:r>
        <w:t>f operational and staff changes</w:t>
      </w:r>
    </w:p>
    <w:p w14:paraId="7D387EE7" w14:textId="77777777" w:rsidR="00094004" w:rsidRPr="00097442" w:rsidRDefault="00094004" w:rsidP="006F65FB">
      <w:pPr>
        <w:pStyle w:val="ListParagraph"/>
        <w:numPr>
          <w:ilvl w:val="0"/>
          <w:numId w:val="46"/>
        </w:numPr>
        <w:autoSpaceDE w:val="0"/>
        <w:autoSpaceDN w:val="0"/>
        <w:spacing w:before="40" w:after="40"/>
      </w:pPr>
      <w:r>
        <w:t>a</w:t>
      </w:r>
      <w:r w:rsidRPr="00097442">
        <w:t>cknowledge the importance of staff training which includes knowing the correct boarding procedures and options available for passengers requiring direct assistance.</w:t>
      </w:r>
    </w:p>
    <w:p w14:paraId="7B696EE8" w14:textId="77777777" w:rsidR="00094004" w:rsidRPr="00097442" w:rsidRDefault="00094004" w:rsidP="006F65FB">
      <w:pPr>
        <w:pStyle w:val="ListParagraph"/>
        <w:numPr>
          <w:ilvl w:val="0"/>
          <w:numId w:val="46"/>
        </w:numPr>
        <w:autoSpaceDE w:val="0"/>
        <w:autoSpaceDN w:val="0"/>
        <w:spacing w:before="40" w:after="40"/>
      </w:pPr>
      <w:r>
        <w:t>c</w:t>
      </w:r>
      <w:r w:rsidRPr="00097442">
        <w:t>larify the nominated assistance point does not need to be co-located where a passenger boards a conveyance, it is where passengers can talk to staff about boarding, get informati</w:t>
      </w:r>
      <w:r>
        <w:t>on and assistance with boarding</w:t>
      </w:r>
    </w:p>
    <w:p w14:paraId="16D0B863" w14:textId="77777777" w:rsidR="00094004" w:rsidRPr="00097442" w:rsidRDefault="00094004" w:rsidP="006F65FB">
      <w:pPr>
        <w:pStyle w:val="ListParagraph"/>
        <w:numPr>
          <w:ilvl w:val="0"/>
          <w:numId w:val="46"/>
        </w:numPr>
        <w:autoSpaceDE w:val="0"/>
        <w:autoSpaceDN w:val="0"/>
        <w:spacing w:before="40" w:after="40"/>
      </w:pPr>
      <w:r>
        <w:t>e</w:t>
      </w:r>
      <w:r w:rsidRPr="00097442">
        <w:t>nsure the nominated assistance point is clearly identified by a symbol and tactile element.</w:t>
      </w:r>
    </w:p>
    <w:p w14:paraId="603E7C6A" w14:textId="77777777" w:rsidR="00094004" w:rsidRPr="00097442" w:rsidRDefault="00094004" w:rsidP="006F65FB">
      <w:pPr>
        <w:pStyle w:val="ListParagraph"/>
        <w:numPr>
          <w:ilvl w:val="0"/>
          <w:numId w:val="46"/>
        </w:numPr>
        <w:autoSpaceDE w:val="0"/>
        <w:autoSpaceDN w:val="0"/>
        <w:spacing w:before="40" w:after="40"/>
      </w:pPr>
      <w:r>
        <w:t>e</w:t>
      </w:r>
      <w:r w:rsidRPr="00097442">
        <w:t>nsure that the nominated assistance point is located in an area that is easily accessed, in terms of amenity and dignity, and easily identified by</w:t>
      </w:r>
      <w:r>
        <w:t xml:space="preserve"> passengers who have disability</w:t>
      </w:r>
    </w:p>
    <w:p w14:paraId="5837CF2A" w14:textId="77777777" w:rsidR="00094004" w:rsidRDefault="00094004" w:rsidP="006F65FB">
      <w:pPr>
        <w:pStyle w:val="ListParagraph"/>
        <w:numPr>
          <w:ilvl w:val="0"/>
          <w:numId w:val="46"/>
        </w:numPr>
        <w:autoSpaceDE w:val="0"/>
        <w:autoSpaceDN w:val="0"/>
        <w:spacing w:before="40" w:after="40"/>
      </w:pPr>
      <w:r>
        <w:t>r</w:t>
      </w:r>
      <w:r w:rsidRPr="00097442">
        <w:t>eference case studies of how operators and providers provide a nominated assistance point.</w:t>
      </w:r>
    </w:p>
    <w:p w14:paraId="7013643C" w14:textId="2939AC05" w:rsidR="00094004" w:rsidRDefault="00094004" w:rsidP="006F65FB">
      <w:pPr>
        <w:pStyle w:val="Heading3"/>
        <w:numPr>
          <w:ilvl w:val="0"/>
          <w:numId w:val="47"/>
        </w:numPr>
        <w:ind w:left="567" w:hanging="567"/>
      </w:pPr>
      <w:bookmarkStart w:id="972" w:name="_Toc127351865"/>
      <w:bookmarkStart w:id="973" w:name="_Toc130914543"/>
      <w:bookmarkStart w:id="974" w:name="_Toc140239835"/>
      <w:r w:rsidRPr="00130222">
        <w:t>Identification of lead stops</w:t>
      </w:r>
      <w:bookmarkEnd w:id="972"/>
      <w:bookmarkEnd w:id="973"/>
      <w:bookmarkEnd w:id="974"/>
    </w:p>
    <w:p w14:paraId="32F933CE" w14:textId="77777777" w:rsidR="00094004" w:rsidRPr="00097442" w:rsidRDefault="00094004" w:rsidP="00094004">
      <w:pPr>
        <w:pStyle w:val="Heading4"/>
      </w:pPr>
      <w:r w:rsidRPr="00097442">
        <w:t>Status quo</w:t>
      </w:r>
    </w:p>
    <w:p w14:paraId="1D452FCB"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02473CF1" w14:textId="77777777" w:rsidR="00094004" w:rsidRDefault="00094004" w:rsidP="00094004">
      <w:r w:rsidRPr="00097442">
        <w:t xml:space="preserve">The </w:t>
      </w:r>
      <w:r>
        <w:t>Transport Standards</w:t>
      </w:r>
      <w:r w:rsidRPr="00097442">
        <w:t xml:space="preserve"> would continue to have no requirements for lead stop identification. People with disability will continue to have difficulty with service recognition at bus stations, bus interchange or bus zones.</w:t>
      </w:r>
    </w:p>
    <w:p w14:paraId="01F993E4" w14:textId="77777777" w:rsidR="00094004" w:rsidRPr="00097442" w:rsidRDefault="00094004" w:rsidP="00094004">
      <w:pPr>
        <w:pStyle w:val="Heading4"/>
      </w:pPr>
      <w:r>
        <w:t>Non-regulatory</w:t>
      </w:r>
      <w:r w:rsidRPr="00097442">
        <w:t xml:space="preserve"> option</w:t>
      </w:r>
    </w:p>
    <w:p w14:paraId="5EAB36FE"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w:t>
      </w:r>
      <w:r w:rsidRPr="00097442" w:rsidDel="009E5CAA">
        <w:t xml:space="preserve"> </w:t>
      </w:r>
      <w:r w:rsidRPr="00097442">
        <w:t xml:space="preserve">technical specifications for how </w:t>
      </w:r>
      <w:r>
        <w:t>people with disability</w:t>
      </w:r>
      <w:r w:rsidRPr="00097442">
        <w:t xml:space="preserve"> are able to identify lead stops at bus stations, bus interchanges and bus zones. </w:t>
      </w:r>
    </w:p>
    <w:p w14:paraId="6969A2B5" w14:textId="77777777" w:rsidR="00094004" w:rsidRPr="00097442" w:rsidRDefault="00094004" w:rsidP="00094004">
      <w:r w:rsidRPr="00097442">
        <w:t>Specific guidance may include the following:</w:t>
      </w:r>
    </w:p>
    <w:p w14:paraId="1493D64B" w14:textId="77777777" w:rsidR="00094004" w:rsidRPr="00097442" w:rsidRDefault="00094004" w:rsidP="0020414C">
      <w:pPr>
        <w:pStyle w:val="Listparagraphbullets"/>
      </w:pPr>
      <w:r w:rsidRPr="00097442">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0690BB3D" w14:textId="77777777" w:rsidR="00094004" w:rsidRPr="00097442" w:rsidRDefault="00094004" w:rsidP="0020414C">
      <w:pPr>
        <w:pStyle w:val="Listparagraphbullets"/>
      </w:pPr>
      <w:r w:rsidRPr="00097442">
        <w:t>Lead stops should be clearly identifiable by people with disability. If a bus station, interchange or zone has multiple lead stops, each should be identifiable and distinguishable from the others.</w:t>
      </w:r>
    </w:p>
    <w:p w14:paraId="796BCB47" w14:textId="77777777" w:rsidR="00094004" w:rsidRPr="00097442" w:rsidRDefault="00094004" w:rsidP="0020414C">
      <w:pPr>
        <w:pStyle w:val="Listparagraphbullets"/>
      </w:pPr>
      <w:r w:rsidRPr="00097442">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376264DF" w14:textId="77777777" w:rsidR="00094004" w:rsidRPr="00097442" w:rsidRDefault="00094004" w:rsidP="0020414C">
      <w:pPr>
        <w:pStyle w:val="Listparagraphbullets"/>
      </w:pPr>
      <w:r w:rsidRPr="00097442">
        <w:t xml:space="preserve">Having a clearly identifiable lead stop will permit passengers to wait for their service in the correct location. This may be achieved by using a combination of cues including but not limited to overhead and tactile signs, tactile ground surface indicators and smartphone wayfinding </w:t>
      </w:r>
      <w:bookmarkStart w:id="975" w:name="_Hlk74317384"/>
      <w:r w:rsidRPr="00097442">
        <w:t xml:space="preserve">or </w:t>
      </w:r>
      <w:r w:rsidRPr="00097442">
        <w:lastRenderedPageBreak/>
        <w:t xml:space="preserve">other electronic device </w:t>
      </w:r>
      <w:bookmarkEnd w:id="975"/>
      <w:r w:rsidRPr="00097442">
        <w:t xml:space="preserve">solutions. Customer liaison officers should also be considered at times of peak crowding to assist </w:t>
      </w:r>
      <w:r>
        <w:t>people with disability</w:t>
      </w:r>
      <w:r w:rsidRPr="00097442">
        <w:t xml:space="preserve"> locate the lead stop.</w:t>
      </w:r>
    </w:p>
    <w:p w14:paraId="54C47F13" w14:textId="77777777" w:rsidR="00094004" w:rsidRPr="00097442" w:rsidRDefault="00094004" w:rsidP="0020414C">
      <w:pPr>
        <w:pStyle w:val="Listparagraphbullets"/>
      </w:pPr>
      <w:r w:rsidRPr="00097442">
        <w:t xml:space="preserve">When providing lead stop solutions, bus operation aspects should be coordinated with the overall service, including clearly identifying the lead stop boarding point. The training of bus drivers to understand the requirements </w:t>
      </w:r>
      <w:bookmarkStart w:id="976" w:name="_Hlk74317416"/>
      <w:r w:rsidRPr="00097442">
        <w:t>and why lead stop arrangements promote accessible boarding</w:t>
      </w:r>
      <w:bookmarkEnd w:id="976"/>
      <w:r w:rsidRPr="00097442">
        <w:t xml:space="preserve"> is encouraged.</w:t>
      </w:r>
    </w:p>
    <w:p w14:paraId="114BE15C" w14:textId="77777777" w:rsidR="00094004" w:rsidRPr="00097442" w:rsidRDefault="00094004" w:rsidP="00094004">
      <w:pPr>
        <w:pStyle w:val="Heading4"/>
      </w:pPr>
      <w:r w:rsidRPr="00097442">
        <w:t>Regulatory option</w:t>
      </w:r>
    </w:p>
    <w:p w14:paraId="271137A7" w14:textId="77777777" w:rsidR="00094004" w:rsidRPr="00097442" w:rsidRDefault="00094004" w:rsidP="00094004">
      <w:r w:rsidRPr="00097442">
        <w:t xml:space="preserve">The </w:t>
      </w:r>
      <w:r>
        <w:t>Transport Standards</w:t>
      </w:r>
      <w:r w:rsidRPr="00097442">
        <w:t xml:space="preserve"> would </w:t>
      </w:r>
      <w:r>
        <w:t xml:space="preserve">include new </w:t>
      </w:r>
      <w:r w:rsidRPr="00097442">
        <w:t xml:space="preserve">requirements for lead stop identification at bus stations, bus interchanges and bus zones. </w:t>
      </w:r>
    </w:p>
    <w:p w14:paraId="5A90C21B" w14:textId="77777777" w:rsidR="00094004" w:rsidRPr="00097442" w:rsidRDefault="00094004" w:rsidP="00094004">
      <w:r w:rsidRPr="00097442">
        <w:t xml:space="preserve">The </w:t>
      </w:r>
      <w:r>
        <w:t>Transport Standards</w:t>
      </w:r>
      <w:r w:rsidRPr="00097442">
        <w:t xml:space="preserve"> would be updated to include the following new requirements:</w:t>
      </w:r>
    </w:p>
    <w:p w14:paraId="7E7367BD" w14:textId="77777777" w:rsidR="00094004" w:rsidRPr="00097442" w:rsidRDefault="00094004" w:rsidP="0020414C">
      <w:pPr>
        <w:pStyle w:val="Listparagraphbullets"/>
      </w:pPr>
      <w:r w:rsidRPr="00097442">
        <w:t>Where passengers board at a lead stop, the lead stop must be clearly identifiable by people with disability. If a bus station, interchange or zones has multiple lead stops each must be identifiable and distinguishable from the others.</w:t>
      </w:r>
    </w:p>
    <w:p w14:paraId="2C5FA703" w14:textId="77777777" w:rsidR="00094004" w:rsidRPr="00097442" w:rsidRDefault="00094004" w:rsidP="00094004">
      <w:r w:rsidRPr="00097442">
        <w:t>These new requirements would apply to bus stations in premises and bus zones and interchanges as part of public transport infrastructure.</w:t>
      </w:r>
    </w:p>
    <w:p w14:paraId="6C96E08D" w14:textId="77777777" w:rsidR="00094004" w:rsidRPr="00097442" w:rsidRDefault="00094004" w:rsidP="00094004">
      <w:r w:rsidRPr="00097442">
        <w:t xml:space="preserve">The </w:t>
      </w:r>
      <w:r>
        <w:t>Transport Standards</w:t>
      </w:r>
      <w:r w:rsidRPr="00097442">
        <w:t xml:space="preserve"> Guidelines and / or The Whole Journey Guide would be updated to reflect the new requirements. </w:t>
      </w:r>
    </w:p>
    <w:p w14:paraId="73315F7B" w14:textId="77777777" w:rsidR="00094004" w:rsidRPr="00097442" w:rsidRDefault="00094004" w:rsidP="00094004">
      <w:r w:rsidRPr="00097442">
        <w:t>Specific guidance may include the following:</w:t>
      </w:r>
    </w:p>
    <w:p w14:paraId="4828DF01" w14:textId="77777777" w:rsidR="00094004" w:rsidRPr="00097442" w:rsidRDefault="00094004" w:rsidP="0020414C">
      <w:pPr>
        <w:pStyle w:val="Listparagraphbullets"/>
      </w:pPr>
      <w:r w:rsidRPr="00097442">
        <w:t>A lead stop is a bus stop which is designed to have a single platform boarding point for passengers. Buses queue behind each other at lead stops as opposed to independent designated stops for different services. Lead stops are typical for bus stops with a high frequency of services passing through and are designed to reduce dwell times.</w:t>
      </w:r>
    </w:p>
    <w:p w14:paraId="630003CD" w14:textId="77777777" w:rsidR="00094004" w:rsidRPr="00097442" w:rsidRDefault="00094004" w:rsidP="0020414C">
      <w:pPr>
        <w:pStyle w:val="Listparagraphbullets"/>
      </w:pPr>
      <w:r w:rsidRPr="00097442">
        <w:t>Lead stops should be clearly identifiable by people with disability. If a bus station, interchange or zone has multiple lead stops, each should be identifiable and distinguishable from the others.</w:t>
      </w:r>
    </w:p>
    <w:p w14:paraId="129EB288" w14:textId="77777777" w:rsidR="00094004" w:rsidRPr="00097442" w:rsidRDefault="00094004" w:rsidP="0020414C">
      <w:pPr>
        <w:pStyle w:val="Listparagraphbullets"/>
      </w:pPr>
      <w:r w:rsidRPr="00097442">
        <w:t xml:space="preserve">Lead stops offer an effective means for passengers who have mobility, vision or cognitive impairments to board their bus at locations where multiple buses might be standing at the kerbside. The bus will come to the waiting passenger as opposed to the passenger having to locate their bus. </w:t>
      </w:r>
    </w:p>
    <w:p w14:paraId="6D33C3D3" w14:textId="77777777" w:rsidR="00094004" w:rsidRPr="00097442" w:rsidRDefault="00094004" w:rsidP="0020414C">
      <w:pPr>
        <w:pStyle w:val="Listparagraphbullets"/>
      </w:pPr>
      <w:r w:rsidRPr="00097442">
        <w:t xml:space="preserve">Having a clearly identifiable lead stop will permit passengers to wait for their service in the correct location. This may be achieved using a combination of cues including but not limited to overhead and tactile signs, TGSIs and smartphone wayfinding or other electronic device solutions. Customer liaison officers should also be considered at times of peak crowding to assist </w:t>
      </w:r>
      <w:r>
        <w:t>people with disability</w:t>
      </w:r>
      <w:r w:rsidRPr="00097442">
        <w:t xml:space="preserve"> locate the lead stop.</w:t>
      </w:r>
    </w:p>
    <w:p w14:paraId="75EC6D3C" w14:textId="77777777" w:rsidR="00094004" w:rsidRDefault="00094004" w:rsidP="0020414C">
      <w:pPr>
        <w:pStyle w:val="Listparagraphbullets"/>
      </w:pPr>
      <w:r w:rsidRPr="00097442">
        <w:t>When providing lead stop solutions, bus operation aspects should be coordinated with the overall service, including clearly identifying the lead stop boarding point. The training of bus drivers to understand the requirements and why lead stop arrangements promote accessible boarding is encouraged.</w:t>
      </w:r>
    </w:p>
    <w:p w14:paraId="0A27931B" w14:textId="77777777" w:rsidR="00094004" w:rsidRDefault="00094004" w:rsidP="00094004">
      <w:pPr>
        <w:pStyle w:val="Bullet1"/>
        <w:numPr>
          <w:ilvl w:val="0"/>
          <w:numId w:val="0"/>
        </w:numPr>
        <w:ind w:left="284"/>
      </w:pPr>
    </w:p>
    <w:p w14:paraId="2B433379" w14:textId="57DBF28F" w:rsidR="00094004" w:rsidRDefault="00094004" w:rsidP="006F65FB">
      <w:pPr>
        <w:pStyle w:val="Heading3"/>
        <w:numPr>
          <w:ilvl w:val="0"/>
          <w:numId w:val="47"/>
        </w:numPr>
        <w:ind w:left="567" w:hanging="567"/>
      </w:pPr>
      <w:bookmarkStart w:id="977" w:name="_Toc127351866"/>
      <w:bookmarkStart w:id="978" w:name="_Toc130914544"/>
      <w:bookmarkStart w:id="979" w:name="_Toc140239836"/>
      <w:r w:rsidRPr="00130222">
        <w:t>Pontoon boarding points on infrastructure</w:t>
      </w:r>
      <w:bookmarkEnd w:id="977"/>
      <w:bookmarkEnd w:id="978"/>
      <w:bookmarkEnd w:id="979"/>
    </w:p>
    <w:p w14:paraId="4C1A796E" w14:textId="77777777" w:rsidR="00094004" w:rsidRPr="00097442" w:rsidRDefault="00094004" w:rsidP="00094004">
      <w:pPr>
        <w:pStyle w:val="Heading4"/>
      </w:pPr>
      <w:r w:rsidRPr="00097442">
        <w:t>Status quo</w:t>
      </w:r>
    </w:p>
    <w:p w14:paraId="2EB14DF3" w14:textId="77777777" w:rsidR="00094004" w:rsidRPr="00097442" w:rsidRDefault="00094004" w:rsidP="00094004">
      <w:pPr>
        <w:spacing w:line="259" w:lineRule="auto"/>
      </w:pPr>
      <w:r w:rsidRPr="00097442">
        <w:t xml:space="preserve">The </w:t>
      </w:r>
      <w:r>
        <w:t>Transport Standards</w:t>
      </w:r>
      <w:r w:rsidRPr="00097442">
        <w:t xml:space="preserve"> would remain unchanged and no requirements concerning pontoon boarding points would be added.</w:t>
      </w:r>
    </w:p>
    <w:p w14:paraId="630826B6" w14:textId="77777777" w:rsidR="00094004" w:rsidRPr="00097442" w:rsidRDefault="00094004" w:rsidP="00094004">
      <w:pPr>
        <w:pStyle w:val="Heading4"/>
      </w:pPr>
      <w:r>
        <w:lastRenderedPageBreak/>
        <w:t>Non-regulatory</w:t>
      </w:r>
      <w:r w:rsidRPr="00097442">
        <w:t xml:space="preserve"> option</w:t>
      </w:r>
    </w:p>
    <w:p w14:paraId="4AC2003D" w14:textId="77777777" w:rsidR="00094004" w:rsidRPr="00097442" w:rsidRDefault="00094004" w:rsidP="00094004">
      <w:r w:rsidRPr="00097442">
        <w:t xml:space="preserve">The Whole Journey Guide and /or the </w:t>
      </w:r>
      <w:r>
        <w:t>Transport Standards</w:t>
      </w:r>
      <w:r w:rsidRPr="00097442">
        <w:t xml:space="preserve"> Guidelines would be updated to include advice on</w:t>
      </w:r>
      <w:r w:rsidRPr="00097442" w:rsidDel="005527EC">
        <w:t xml:space="preserve"> </w:t>
      </w:r>
      <w:r w:rsidRPr="00097442">
        <w:t xml:space="preserve">pontoon boarding points, to ensure they have maximum stability and lowest possible gradients in their operating environment. </w:t>
      </w:r>
    </w:p>
    <w:p w14:paraId="0F900220" w14:textId="77777777" w:rsidR="00094004" w:rsidRPr="00097442" w:rsidRDefault="00094004" w:rsidP="00094004">
      <w:r w:rsidRPr="00097442">
        <w:t>Specific guidance may include the following:</w:t>
      </w:r>
    </w:p>
    <w:p w14:paraId="22AE3090" w14:textId="77777777" w:rsidR="00094004" w:rsidRPr="009E26EE" w:rsidRDefault="00094004" w:rsidP="0020414C">
      <w:pPr>
        <w:pStyle w:val="Listparagraphbullets"/>
      </w:pPr>
      <w:r w:rsidRPr="009E26EE">
        <w:t>Pontoons should have a flat and stable surface to which a removable gangway or other boarding device can be deployed.</w:t>
      </w:r>
    </w:p>
    <w:p w14:paraId="0F89BADD" w14:textId="77777777" w:rsidR="00094004" w:rsidRPr="009E26EE" w:rsidRDefault="00094004" w:rsidP="0020414C">
      <w:pPr>
        <w:pStyle w:val="Listparagraphbullets"/>
      </w:pPr>
      <w:r w:rsidRPr="009E26EE">
        <w:t xml:space="preserve">Ferry pontoon design should minimise vertical, horizontal and rocking movement of the boarding point. AS3962 (2020) Marina Design, section 4 Loading and stability should be consulted as a means to maximise pontoon stability. </w:t>
      </w:r>
    </w:p>
    <w:p w14:paraId="31D26CC1" w14:textId="77777777" w:rsidR="00094004" w:rsidRPr="009E26EE" w:rsidRDefault="00094004" w:rsidP="0020414C">
      <w:pPr>
        <w:pStyle w:val="Listparagraphbullets"/>
      </w:pPr>
      <w:r w:rsidRPr="009E26EE">
        <w:t xml:space="preserve">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 </w:t>
      </w:r>
    </w:p>
    <w:p w14:paraId="70A2F1FD" w14:textId="77777777" w:rsidR="00094004" w:rsidRPr="009E26EE" w:rsidRDefault="00094004" w:rsidP="0020414C">
      <w:pPr>
        <w:pStyle w:val="Listparagraphbullets"/>
      </w:pPr>
      <w:r w:rsidRPr="009E26EE">
        <w:t xml:space="preserve">Ferries of significantly different freeboard must often use the same pontoon. This can mean steep removable gangway gradients if the grade separation between pontoon and ferry decks is significant. </w:t>
      </w:r>
    </w:p>
    <w:p w14:paraId="362A7ADC" w14:textId="77777777" w:rsidR="00094004" w:rsidRPr="009E26EE" w:rsidRDefault="00094004" w:rsidP="0020414C">
      <w:pPr>
        <w:pStyle w:val="Listparagraphbullets"/>
      </w:pPr>
      <w:r w:rsidRPr="009E26EE">
        <w:t>For independent access, gradients along the removable gangway must not exceed 1:8. Gradients steeper than this may require the need for direct assistance by staff.</w:t>
      </w:r>
    </w:p>
    <w:p w14:paraId="16B81ED2" w14:textId="77777777" w:rsidR="00094004" w:rsidRPr="009E26EE" w:rsidRDefault="00094004" w:rsidP="0020414C">
      <w:pPr>
        <w:pStyle w:val="Listparagraphbullets"/>
      </w:pPr>
      <w:r w:rsidRPr="009E26EE">
        <w:t xml:space="preserve">Grade separated boarding points, options of removable gangways with varying lengths or a means of adjusting pontoon freeboard could be considered as ways to address the issue of excessive removable gangway gradient. </w:t>
      </w:r>
    </w:p>
    <w:p w14:paraId="30830A0C" w14:textId="77777777" w:rsidR="00094004" w:rsidRPr="00097442" w:rsidRDefault="00094004" w:rsidP="00094004">
      <w:pPr>
        <w:pStyle w:val="Heading4"/>
      </w:pPr>
      <w:r w:rsidRPr="00097442">
        <w:t>Regulatory option</w:t>
      </w:r>
    </w:p>
    <w:p w14:paraId="2E254B32" w14:textId="77777777" w:rsidR="00094004" w:rsidRPr="00097442" w:rsidRDefault="00094004" w:rsidP="00094004">
      <w:r w:rsidRPr="00097442">
        <w:t xml:space="preserve">The </w:t>
      </w:r>
      <w:r>
        <w:t>Transport Standards</w:t>
      </w:r>
      <w:r w:rsidRPr="00097442">
        <w:t xml:space="preserve"> would be amended to provide requirements for pontoon boarding points to ensure they have maximum stability and lowest possible gradients in their operating environment.</w:t>
      </w:r>
      <w:bookmarkStart w:id="980" w:name="_Toc54814785"/>
    </w:p>
    <w:p w14:paraId="67C29906" w14:textId="77777777" w:rsidR="00094004" w:rsidRPr="00097442" w:rsidRDefault="00094004" w:rsidP="00094004">
      <w:pPr>
        <w:rPr>
          <w:i/>
        </w:rPr>
      </w:pPr>
      <w:r w:rsidRPr="00097442">
        <w:t xml:space="preserve">The </w:t>
      </w:r>
      <w:r>
        <w:t>Transport Standards</w:t>
      </w:r>
      <w:r w:rsidRPr="00097442">
        <w:t xml:space="preserve"> would include the following new requirements:</w:t>
      </w:r>
    </w:p>
    <w:bookmarkEnd w:id="980"/>
    <w:p w14:paraId="2F756F8B" w14:textId="77777777" w:rsidR="00094004" w:rsidRPr="009E26EE" w:rsidRDefault="00094004" w:rsidP="0020414C">
      <w:pPr>
        <w:pStyle w:val="Listparagraphbullets"/>
      </w:pPr>
      <w:r w:rsidRPr="009E26EE">
        <w:t>Pontoons must have a flat and stable surface to which a removable gangway or other boarding device can be deployed.</w:t>
      </w:r>
    </w:p>
    <w:p w14:paraId="474504B5" w14:textId="77777777" w:rsidR="00094004" w:rsidRPr="009E26EE" w:rsidRDefault="00094004" w:rsidP="0020414C">
      <w:pPr>
        <w:pStyle w:val="Listparagraphbullets"/>
      </w:pPr>
      <w:r w:rsidRPr="009E26EE">
        <w:t>Ferry pontoon design must minimise vertical, horizontal and rocking movement of the boarding point as per AS3962 (2020) Marina Design, section 4 Loading and stability.</w:t>
      </w:r>
    </w:p>
    <w:p w14:paraId="3DD26C18" w14:textId="77777777" w:rsidR="00094004" w:rsidRPr="00097442" w:rsidRDefault="00094004" w:rsidP="00094004">
      <w:pPr>
        <w:rPr>
          <w:rFonts w:cstheme="minorHAnsi"/>
        </w:rPr>
      </w:pPr>
      <w:r w:rsidRPr="00097442">
        <w:rPr>
          <w:rFonts w:cstheme="minorHAnsi"/>
        </w:rPr>
        <w:t xml:space="preserve">The </w:t>
      </w:r>
      <w:r>
        <w:rPr>
          <w:rFonts w:cstheme="minorHAnsi"/>
        </w:rPr>
        <w:t>Transport Standards</w:t>
      </w:r>
      <w:r w:rsidRPr="00097442">
        <w:rPr>
          <w:rFonts w:cstheme="minorHAnsi"/>
        </w:rPr>
        <w:t xml:space="preserve"> Guidelines and / or the Whole Journey Guide would be updated to reflect the new requirements and include specific guidance for pontoon wharves. </w:t>
      </w:r>
    </w:p>
    <w:p w14:paraId="4C89B47A" w14:textId="77777777" w:rsidR="00094004" w:rsidRPr="00097442" w:rsidRDefault="00094004" w:rsidP="00094004">
      <w:pPr>
        <w:rPr>
          <w:rFonts w:cstheme="minorHAnsi"/>
        </w:rPr>
      </w:pPr>
      <w:r w:rsidRPr="00097442">
        <w:rPr>
          <w:rFonts w:cstheme="minorHAnsi"/>
        </w:rPr>
        <w:t>Specific guidance would include the following:</w:t>
      </w:r>
    </w:p>
    <w:p w14:paraId="59DD8B67" w14:textId="77777777" w:rsidR="00094004" w:rsidRPr="00097442" w:rsidRDefault="00094004" w:rsidP="0020414C">
      <w:pPr>
        <w:pStyle w:val="Listparagraphbullets"/>
      </w:pPr>
      <w:r w:rsidRPr="00097442">
        <w:t>Pontoons are unique boarding points in that they are floating structures subject to dynamic and variable forces. This makes absolute stability, which is achievable on a bus stop slab or rail platform, difficult to design for. As such, a design that provides safe and functional pontoon stability, site by site, should be achieved.</w:t>
      </w:r>
    </w:p>
    <w:p w14:paraId="2339DB84" w14:textId="77777777" w:rsidR="00094004" w:rsidRPr="00097442" w:rsidRDefault="00094004" w:rsidP="0020414C">
      <w:pPr>
        <w:pStyle w:val="Listparagraphbullets"/>
      </w:pPr>
      <w:r w:rsidRPr="00097442">
        <w:t>Ferries of significantly different freeboard must often use the same pontoon. This can mean steep removable gangway gradients if the grade separation between pontoon and ferry decks is significant.</w:t>
      </w:r>
    </w:p>
    <w:p w14:paraId="7DA71C69" w14:textId="77777777" w:rsidR="00094004" w:rsidRDefault="00094004" w:rsidP="0020414C">
      <w:pPr>
        <w:pStyle w:val="Listparagraphbullets"/>
      </w:pPr>
      <w:r w:rsidRPr="00097442">
        <w:t>Grade separated boarding points, options of removable gangways with varying lengths or a means of adjusting pontoon freeboard could be considered as ways to address the issue of excessive removable gangway gradient.</w:t>
      </w:r>
    </w:p>
    <w:p w14:paraId="0EF9D099" w14:textId="77777777" w:rsidR="00094004" w:rsidRPr="003D6BDE" w:rsidRDefault="00094004" w:rsidP="00094004">
      <w:pPr>
        <w:pStyle w:val="Bullet1"/>
        <w:numPr>
          <w:ilvl w:val="0"/>
          <w:numId w:val="0"/>
        </w:numPr>
        <w:ind w:left="284"/>
      </w:pPr>
    </w:p>
    <w:p w14:paraId="20C43927" w14:textId="6B687042" w:rsidR="00094004" w:rsidRDefault="00094004" w:rsidP="006F65FB">
      <w:pPr>
        <w:pStyle w:val="Heading3"/>
        <w:numPr>
          <w:ilvl w:val="0"/>
          <w:numId w:val="47"/>
        </w:numPr>
        <w:ind w:left="567" w:hanging="567"/>
      </w:pPr>
      <w:bookmarkStart w:id="981" w:name="_Toc127351867"/>
      <w:bookmarkStart w:id="982" w:name="_Toc130914545"/>
      <w:bookmarkStart w:id="983" w:name="_Toc140239837"/>
      <w:r w:rsidRPr="00130222">
        <w:t>Bus, tram and light rail boarding points on infrastructure</w:t>
      </w:r>
      <w:bookmarkEnd w:id="981"/>
      <w:bookmarkEnd w:id="982"/>
      <w:bookmarkEnd w:id="983"/>
      <w:r w:rsidRPr="00130222">
        <w:t xml:space="preserve"> </w:t>
      </w:r>
    </w:p>
    <w:p w14:paraId="22D15028" w14:textId="77777777" w:rsidR="00094004" w:rsidRPr="00097442" w:rsidRDefault="00094004" w:rsidP="00094004">
      <w:pPr>
        <w:pStyle w:val="Heading4"/>
      </w:pPr>
      <w:r w:rsidRPr="00097442">
        <w:t>Status quo</w:t>
      </w:r>
    </w:p>
    <w:p w14:paraId="52FCD0D8" w14:textId="77777777" w:rsidR="00094004" w:rsidRPr="00097442" w:rsidRDefault="00094004" w:rsidP="00094004">
      <w:r w:rsidRPr="00097442">
        <w:t xml:space="preserve">The </w:t>
      </w:r>
      <w:r>
        <w:t>Transport Standards</w:t>
      </w:r>
      <w:r w:rsidRPr="00097442">
        <w:t xml:space="preserve"> would remain unchanged and no additional guidance would be issued. </w:t>
      </w:r>
    </w:p>
    <w:p w14:paraId="47E4BECB" w14:textId="77777777" w:rsidR="00094004" w:rsidRPr="00097442" w:rsidRDefault="00094004" w:rsidP="00094004">
      <w:r w:rsidRPr="00097442">
        <w:t xml:space="preserve">The </w:t>
      </w:r>
      <w:r>
        <w:t>Transport Standards</w:t>
      </w:r>
      <w:r w:rsidRPr="00097442">
        <w:t xml:space="preserve"> would continue to not have requirements for bus, tram and light rail boarding points to ensure they are accessible for people with disability. </w:t>
      </w:r>
    </w:p>
    <w:p w14:paraId="2D7840CC" w14:textId="77777777" w:rsidR="00094004" w:rsidRPr="00097442" w:rsidRDefault="00094004" w:rsidP="00094004">
      <w:pPr>
        <w:pStyle w:val="Heading4"/>
      </w:pPr>
      <w:r>
        <w:t>Non-regulatory</w:t>
      </w:r>
      <w:r w:rsidRPr="00097442">
        <w:t xml:space="preserve"> option</w:t>
      </w:r>
    </w:p>
    <w:p w14:paraId="795A9DC9"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bus, tram and light rail boarding points</w:t>
      </w:r>
      <w:r>
        <w:t>.</w:t>
      </w:r>
    </w:p>
    <w:p w14:paraId="24641365" w14:textId="77777777" w:rsidR="00094004" w:rsidRPr="00097442" w:rsidRDefault="00094004" w:rsidP="00094004">
      <w:r w:rsidRPr="00097442">
        <w:t>Specific guidance may include the following:</w:t>
      </w:r>
    </w:p>
    <w:p w14:paraId="2E48C868" w14:textId="77777777" w:rsidR="00094004" w:rsidRPr="006715E4" w:rsidRDefault="00094004" w:rsidP="0020414C">
      <w:pPr>
        <w:pStyle w:val="Listparagraphbullets"/>
      </w:pPr>
      <w:r w:rsidRPr="006715E4">
        <w:t>Boarding points on bus, tram and light rail stops, except for bitumen surfaces, should have a flat and stable surface to which a boarding device can be safely deployed and should have a gradient and camber (crossfall) no steeper than 1:40. The gradient and camber (crossfall) of a bitumen boarding point should be no steeper than 1:33.</w:t>
      </w:r>
    </w:p>
    <w:p w14:paraId="393D18E5" w14:textId="77777777" w:rsidR="00094004" w:rsidRPr="006715E4" w:rsidRDefault="00094004" w:rsidP="0020414C">
      <w:pPr>
        <w:pStyle w:val="Listparagraphbullets"/>
      </w:pPr>
      <w:r w:rsidRPr="006715E4">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77F0DE3B" w14:textId="77777777" w:rsidR="00094004" w:rsidRPr="006715E4" w:rsidRDefault="00094004" w:rsidP="0020414C">
      <w:pPr>
        <w:pStyle w:val="Listparagraphbullets"/>
      </w:pPr>
      <w:r w:rsidRPr="006715E4">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6E8A83DA" w14:textId="77777777" w:rsidR="00094004" w:rsidRPr="006715E4" w:rsidRDefault="00094004" w:rsidP="0020414C">
      <w:pPr>
        <w:pStyle w:val="Listparagraphbullets"/>
      </w:pPr>
      <w:r w:rsidRPr="006715E4">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52F13D4D" w14:textId="77777777" w:rsidR="00094004" w:rsidRPr="006715E4" w:rsidRDefault="00094004" w:rsidP="0020414C">
      <w:pPr>
        <w:pStyle w:val="Listparagraphbullets"/>
      </w:pPr>
      <w:r w:rsidRPr="006715E4">
        <w:t xml:space="preserve">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w:t>
      </w:r>
      <w:r>
        <w:t>passengers</w:t>
      </w:r>
      <w:r w:rsidRPr="006715E4">
        <w:t xml:space="preserve"> of the space.</w:t>
      </w:r>
    </w:p>
    <w:p w14:paraId="0BC99D99" w14:textId="77777777" w:rsidR="00094004" w:rsidRPr="00097442" w:rsidRDefault="00094004" w:rsidP="00094004">
      <w:pPr>
        <w:pStyle w:val="Heading4"/>
      </w:pPr>
      <w:r w:rsidRPr="00097442">
        <w:t>Regulatory option</w:t>
      </w:r>
    </w:p>
    <w:p w14:paraId="50AFBC44" w14:textId="77777777" w:rsidR="00094004" w:rsidRPr="00097442" w:rsidRDefault="00094004" w:rsidP="00094004">
      <w:r>
        <w:t xml:space="preserve">The Transport Standards would include new requirements </w:t>
      </w:r>
      <w:r w:rsidRPr="00097442">
        <w:t>in relation to bus, tram and light rail boarding points.</w:t>
      </w:r>
      <w:r>
        <w:t xml:space="preserve"> There are two regulatory options that were consulted on. Option 2 includes additional requirements for roads with a gradient steeper than 1:40.</w:t>
      </w:r>
    </w:p>
    <w:p w14:paraId="00D653B3" w14:textId="77777777" w:rsidR="00094004" w:rsidRPr="00097442" w:rsidRDefault="00094004" w:rsidP="00094004">
      <w:pPr>
        <w:pStyle w:val="Heading5"/>
      </w:pPr>
      <w:r w:rsidRPr="00097442">
        <w:t>Option 1</w:t>
      </w:r>
    </w:p>
    <w:p w14:paraId="3955A915" w14:textId="77777777" w:rsidR="00094004" w:rsidRPr="00097442" w:rsidRDefault="00094004" w:rsidP="00094004">
      <w:r w:rsidRPr="00097442">
        <w:t xml:space="preserve">The </w:t>
      </w:r>
      <w:r>
        <w:t>Transport Standards</w:t>
      </w:r>
      <w:r w:rsidRPr="00097442">
        <w:t xml:space="preserve"> would be amended to include requirements for bus, tram and light rail boarding points</w:t>
      </w:r>
      <w:r>
        <w:t>.</w:t>
      </w:r>
      <w:r w:rsidRPr="00097442">
        <w:t xml:space="preserve"> </w:t>
      </w:r>
    </w:p>
    <w:p w14:paraId="2644672B" w14:textId="77777777" w:rsidR="00094004" w:rsidRPr="00097442" w:rsidRDefault="00094004" w:rsidP="00094004">
      <w:r w:rsidRPr="00097442">
        <w:t xml:space="preserve">The </w:t>
      </w:r>
      <w:r>
        <w:t>Transport Standards</w:t>
      </w:r>
      <w:r w:rsidRPr="00097442">
        <w:t xml:space="preserve"> would include the following new requirements:</w:t>
      </w:r>
    </w:p>
    <w:p w14:paraId="2936A813" w14:textId="77777777" w:rsidR="00094004" w:rsidRPr="006715E4" w:rsidRDefault="00094004" w:rsidP="0020414C">
      <w:pPr>
        <w:pStyle w:val="Listparagraphbullets"/>
      </w:pPr>
      <w:r w:rsidRPr="006715E4">
        <w:t>Boarding points must have a flat and stable surface to which a boarding device can be safely deployed and have a gradient no steeper than 1:40 (AS1428.1 (2009) Clause 6.5.1).</w:t>
      </w:r>
    </w:p>
    <w:p w14:paraId="30DAB75F" w14:textId="77777777" w:rsidR="00094004" w:rsidRPr="006715E4" w:rsidRDefault="00094004" w:rsidP="0020414C">
      <w:pPr>
        <w:pStyle w:val="Listparagraphbullets"/>
      </w:pPr>
      <w:r w:rsidRPr="006715E4">
        <w:lastRenderedPageBreak/>
        <w:t>The camber (crossfall) of a boarding point must be no steeper than 1:40, except for bitumen surfaces, where 1:33 is permitted (AS1428.1 (2009) Clause 10.1(d)).</w:t>
      </w:r>
    </w:p>
    <w:p w14:paraId="51B98284" w14:textId="77777777" w:rsidR="00094004" w:rsidRPr="00097442" w:rsidRDefault="00094004" w:rsidP="00094004">
      <w:r w:rsidRPr="00097442">
        <w:t>These requirements pertain to premises and bus, tram and light rail boarding points on infrastructure.</w:t>
      </w:r>
    </w:p>
    <w:p w14:paraId="54D0D4F9" w14:textId="77777777" w:rsidR="00094004" w:rsidRPr="00097442" w:rsidRDefault="00094004" w:rsidP="00094004">
      <w:pPr>
        <w:pStyle w:val="Heading5"/>
      </w:pPr>
      <w:r w:rsidRPr="00097442">
        <w:t>Option 2</w:t>
      </w:r>
    </w:p>
    <w:p w14:paraId="6A87382F" w14:textId="77777777" w:rsidR="00094004" w:rsidRPr="00097442" w:rsidRDefault="00094004" w:rsidP="00094004">
      <w:r w:rsidRPr="00097442">
        <w:t xml:space="preserve">The </w:t>
      </w:r>
      <w:r>
        <w:t>Transport Standards</w:t>
      </w:r>
      <w:r w:rsidRPr="00097442">
        <w:t xml:space="preserve"> would be amended to include requirements for bus, tram and light rail boarding points, including specific requirements for road gradients where the gradient is steeper than 1:40. </w:t>
      </w:r>
    </w:p>
    <w:p w14:paraId="60835A35" w14:textId="77777777" w:rsidR="00094004" w:rsidRPr="00097442" w:rsidRDefault="00094004" w:rsidP="00094004">
      <w:r w:rsidRPr="00097442">
        <w:t xml:space="preserve">The </w:t>
      </w:r>
      <w:r>
        <w:t>Transport Standards</w:t>
      </w:r>
      <w:r w:rsidRPr="00097442">
        <w:t xml:space="preserve"> would include the following new requirements:</w:t>
      </w:r>
    </w:p>
    <w:p w14:paraId="2A289C1D" w14:textId="77777777" w:rsidR="00094004" w:rsidRPr="006715E4" w:rsidRDefault="00094004" w:rsidP="0020414C">
      <w:pPr>
        <w:pStyle w:val="Listparagraphbullets"/>
      </w:pPr>
      <w:r w:rsidRPr="006715E4">
        <w:t>Boarding points must have a flat and stable surface to which a boarding device can be safely deployed and have a gradient no steeper than 1:40 (AS1428.1 (2009) Clause 6.5.1).</w:t>
      </w:r>
    </w:p>
    <w:p w14:paraId="72F9DDD9" w14:textId="77777777" w:rsidR="00094004" w:rsidRPr="006715E4" w:rsidRDefault="00094004" w:rsidP="0020414C">
      <w:pPr>
        <w:pStyle w:val="Listparagraphbullets"/>
      </w:pPr>
      <w:r w:rsidRPr="006715E4">
        <w:t>The camber (crossfall) of a boarding point must be no steeper than 1:40, except for bitumen surfaces where 1:33 is permitted (AS1428.1 (2009) Clause 10.1(d)).</w:t>
      </w:r>
    </w:p>
    <w:p w14:paraId="76C0BB73" w14:textId="77777777" w:rsidR="00094004" w:rsidRPr="006715E4" w:rsidRDefault="00094004" w:rsidP="0020414C">
      <w:pPr>
        <w:pStyle w:val="Listparagraphbullets"/>
      </w:pPr>
      <w:r w:rsidRPr="006715E4">
        <w:t xml:space="preserve">Where road gradient is at a gradient steeper than 1:40 and a 1:40 boarding point gradient would prevent safe deployment of a boarding device, the boarding point gradient may match that of the road. </w:t>
      </w:r>
    </w:p>
    <w:p w14:paraId="5AE42116" w14:textId="77777777" w:rsidR="00094004" w:rsidRDefault="00094004" w:rsidP="00094004">
      <w:r w:rsidRPr="00097442">
        <w:t>These requirements would pertain to premises and bus, tram and light rail boarding points on infrastructure.</w:t>
      </w:r>
    </w:p>
    <w:p w14:paraId="7CD641FF" w14:textId="77777777" w:rsidR="00094004" w:rsidRPr="00097442" w:rsidRDefault="00094004" w:rsidP="00094004">
      <w:r>
        <w:t>Under both options, t</w:t>
      </w:r>
      <w:r w:rsidRPr="00097442">
        <w:t xml:space="preserve">he </w:t>
      </w:r>
      <w:r>
        <w:t>Transport Standards</w:t>
      </w:r>
      <w:r w:rsidRPr="00097442">
        <w:t xml:space="preserve"> Guidelines and / or The Whole Journey Guide would be updated to reflect new requirements and include guidance for light rail, bus and tram boarding points.</w:t>
      </w:r>
    </w:p>
    <w:p w14:paraId="42AEE140" w14:textId="77777777" w:rsidR="00094004" w:rsidRPr="00097442" w:rsidRDefault="00094004" w:rsidP="00094004">
      <w:r w:rsidRPr="00097442">
        <w:t>Specific guidance may include the following:</w:t>
      </w:r>
    </w:p>
    <w:p w14:paraId="4A0439C7" w14:textId="77777777" w:rsidR="00094004" w:rsidRPr="00097442" w:rsidRDefault="00094004" w:rsidP="0020414C">
      <w:pPr>
        <w:pStyle w:val="Listparagraphbullets"/>
      </w:pPr>
      <w:r w:rsidRPr="00097442">
        <w:t xml:space="preserve">The extent of the boarding point on a bus or tram stop, bus interchange or bus station or light rail station platform varies with the layout of the infrastructure. Broadly, it includes the area in which boarding devices must be deployed, and in which people must manoeuvre to enter the boarding device or conveyance door. It would not include any waiting area with seats and or shelter that may have been provided at the stop or platform. </w:t>
      </w:r>
    </w:p>
    <w:p w14:paraId="1F2965DB" w14:textId="77777777" w:rsidR="00094004" w:rsidRPr="00097442" w:rsidRDefault="00094004" w:rsidP="0020414C">
      <w:pPr>
        <w:pStyle w:val="Listparagraphbullets"/>
      </w:pPr>
      <w:r w:rsidRPr="00097442">
        <w:t xml:space="preserve">For a number of bus and tram stops and some light rail stations there will be locations (i.e. hilly areas, road reserves or other public areas that have limited space) where a compliant boarding point via either a prescriptive or equivalent access solution will not be achievable. </w:t>
      </w:r>
    </w:p>
    <w:p w14:paraId="12353EE1" w14:textId="77777777" w:rsidR="00094004" w:rsidRPr="00097442" w:rsidRDefault="00094004" w:rsidP="0020414C">
      <w:pPr>
        <w:pStyle w:val="Listparagraphbullets"/>
      </w:pPr>
      <w:r w:rsidRPr="00097442">
        <w:t xml:space="preserve">While crossfall can often be dealt with through excavation and retention work, gradient is constrained by road gradient. Gradients of boarding points and roads will need to closely align as any difference between the gradient of the boarding point and that of the road will compromise the accessible deployment of the boarding ramp. </w:t>
      </w:r>
    </w:p>
    <w:p w14:paraId="1FB9F9AF" w14:textId="77777777" w:rsidR="00094004" w:rsidRDefault="00094004" w:rsidP="0020414C">
      <w:pPr>
        <w:pStyle w:val="Listparagraphbullets"/>
      </w:pPr>
      <w:r w:rsidRPr="00097442">
        <w:t xml:space="preserve">Where boarding points intersect with bicycle paths or shared pathways, appropriate measures should be in place to ensure that the technical requirements for the pathways do not conflict with those of the boarding point. Further, it should be promoted that people boarding or alighting from the service have priority at the boarding point over other transient </w:t>
      </w:r>
      <w:r>
        <w:t>passengers</w:t>
      </w:r>
      <w:r w:rsidRPr="00097442">
        <w:t xml:space="preserve"> of the space.</w:t>
      </w:r>
    </w:p>
    <w:p w14:paraId="3CAC6E0A" w14:textId="77777777" w:rsidR="00094004" w:rsidRDefault="00094004" w:rsidP="00094004">
      <w:pPr>
        <w:pStyle w:val="Bullet1"/>
        <w:numPr>
          <w:ilvl w:val="0"/>
          <w:numId w:val="0"/>
        </w:numPr>
        <w:ind w:left="284"/>
      </w:pPr>
    </w:p>
    <w:p w14:paraId="3E0649B4" w14:textId="06800758" w:rsidR="00094004" w:rsidRDefault="00094004" w:rsidP="006F65FB">
      <w:pPr>
        <w:pStyle w:val="Heading3"/>
        <w:numPr>
          <w:ilvl w:val="0"/>
          <w:numId w:val="47"/>
        </w:numPr>
        <w:ind w:left="567" w:hanging="567"/>
      </w:pPr>
      <w:bookmarkStart w:id="984" w:name="_Toc127351868"/>
      <w:bookmarkStart w:id="985" w:name="_Toc130914546"/>
      <w:bookmarkStart w:id="986" w:name="_Toc140239838"/>
      <w:r w:rsidRPr="00130222">
        <w:lastRenderedPageBreak/>
        <w:t>Hail-and-ride boarding points on infrastructure</w:t>
      </w:r>
      <w:bookmarkEnd w:id="984"/>
      <w:bookmarkEnd w:id="985"/>
      <w:bookmarkEnd w:id="986"/>
    </w:p>
    <w:p w14:paraId="12465097" w14:textId="77777777" w:rsidR="00094004" w:rsidRPr="00097442" w:rsidRDefault="00094004" w:rsidP="00094004">
      <w:pPr>
        <w:pStyle w:val="Heading4"/>
      </w:pPr>
      <w:r w:rsidRPr="00097442">
        <w:t>Status quo</w:t>
      </w:r>
    </w:p>
    <w:p w14:paraId="2E8E6E4C" w14:textId="77777777" w:rsidR="00094004" w:rsidRPr="00097442" w:rsidRDefault="00094004" w:rsidP="00094004">
      <w:r>
        <w:t>Transport Standards s</w:t>
      </w:r>
      <w:r w:rsidRPr="00097442">
        <w:t>ection 8.4</w:t>
      </w:r>
      <w:r>
        <w:t xml:space="preserve"> </w:t>
      </w:r>
      <w:r w:rsidRPr="00097442">
        <w:t>Hail-and-ride services</w:t>
      </w:r>
      <w:r>
        <w:t>,</w:t>
      </w:r>
      <w:r w:rsidRPr="00097442">
        <w:t xml:space="preserve"> would remain unchanged and no additional guidance would be issued. </w:t>
      </w:r>
    </w:p>
    <w:p w14:paraId="292A315A" w14:textId="77777777" w:rsidR="00094004" w:rsidRPr="00097442" w:rsidRDefault="00094004" w:rsidP="00094004">
      <w:pPr>
        <w:ind w:left="1134" w:hanging="567"/>
        <w:rPr>
          <w:b/>
        </w:rPr>
      </w:pPr>
      <w:r w:rsidRPr="00097442">
        <w:rPr>
          <w:b/>
        </w:rPr>
        <w:t>8.1</w:t>
      </w:r>
      <w:r w:rsidRPr="00097442">
        <w:rPr>
          <w:b/>
        </w:rPr>
        <w:tab/>
        <w:t>Boarding points and kerbs</w:t>
      </w:r>
    </w:p>
    <w:p w14:paraId="52B41812" w14:textId="77777777" w:rsidR="00094004" w:rsidRPr="00097442" w:rsidRDefault="00094004" w:rsidP="00094004">
      <w:pPr>
        <w:ind w:left="1134" w:hanging="567"/>
      </w:pPr>
      <w:r w:rsidRPr="00097442">
        <w:t>(1)</w:t>
      </w:r>
      <w:r w:rsidRPr="00097442">
        <w:tab/>
        <w:t>Operators and providers may assume that passengers will board at a point that has a firm and level surface to which a boarding device can be deployed.</w:t>
      </w:r>
    </w:p>
    <w:p w14:paraId="620C443A" w14:textId="2C8169D9" w:rsidR="00094004" w:rsidRPr="00097442" w:rsidRDefault="00094004" w:rsidP="00094004">
      <w:pPr>
        <w:ind w:left="1134" w:hanging="567"/>
      </w:pPr>
      <w:r w:rsidRPr="00097442">
        <w:t>(2)</w:t>
      </w:r>
      <w:r w:rsidRPr="00097442">
        <w:tab/>
        <w:t xml:space="preserve">If a kerb is installed, it must be at least 150 </w:t>
      </w:r>
      <w:r w:rsidR="009134C0" w:rsidRPr="007D162C">
        <w:t>millimetres</w:t>
      </w:r>
      <w:r w:rsidRPr="00097442">
        <w:t xml:space="preserve"> higher than the road surface.</w:t>
      </w:r>
    </w:p>
    <w:p w14:paraId="0BA24F2C" w14:textId="77777777" w:rsidR="00094004" w:rsidRDefault="00094004" w:rsidP="00094004">
      <w:pPr>
        <w:ind w:left="567"/>
      </w:pPr>
      <w:r>
        <w:t>This s</w:t>
      </w:r>
      <w:r w:rsidRPr="00097442">
        <w:t>ection pertains to premises and infrastructure, except airports that do not accept regular public transport services.</w:t>
      </w:r>
    </w:p>
    <w:p w14:paraId="6CC40640" w14:textId="77777777" w:rsidR="00094004" w:rsidRPr="00097442" w:rsidRDefault="00094004" w:rsidP="00094004">
      <w:pPr>
        <w:ind w:left="1134" w:hanging="567"/>
        <w:rPr>
          <w:b/>
        </w:rPr>
      </w:pPr>
      <w:r w:rsidRPr="00097442">
        <w:rPr>
          <w:b/>
        </w:rPr>
        <w:t>8.4</w:t>
      </w:r>
      <w:r w:rsidRPr="00097442">
        <w:rPr>
          <w:b/>
        </w:rPr>
        <w:tab/>
        <w:t>Hail-and-ride services</w:t>
      </w:r>
    </w:p>
    <w:p w14:paraId="3730B917" w14:textId="77777777" w:rsidR="00094004" w:rsidRPr="00097442" w:rsidRDefault="00094004" w:rsidP="00094004">
      <w:pPr>
        <w:ind w:left="1134" w:hanging="567"/>
      </w:pPr>
      <w:r w:rsidRPr="00097442">
        <w:t xml:space="preserve">(1) </w:t>
      </w:r>
      <w:r w:rsidRPr="00097442">
        <w:tab/>
        <w:t>If a hail-and-ride service is offered, passengers must be able to hail the service at nominated accessible boarding points where boarding devices can be deployed.</w:t>
      </w:r>
    </w:p>
    <w:p w14:paraId="63397A4D" w14:textId="77777777" w:rsidR="00094004" w:rsidRPr="00097442" w:rsidRDefault="00094004" w:rsidP="00094004">
      <w:pPr>
        <w:ind w:left="1134" w:hanging="567"/>
      </w:pPr>
      <w:r w:rsidRPr="00097442">
        <w:t xml:space="preserve">(2) </w:t>
      </w:r>
      <w:r w:rsidRPr="00097442">
        <w:tab/>
        <w:t>The boarding points must offer equal access to public transport services.</w:t>
      </w:r>
    </w:p>
    <w:p w14:paraId="2F15B8BC" w14:textId="77777777" w:rsidR="00094004" w:rsidRPr="00097442" w:rsidRDefault="00094004" w:rsidP="00094004">
      <w:pPr>
        <w:ind w:left="567"/>
      </w:pPr>
      <w:r>
        <w:t>This s</w:t>
      </w:r>
      <w:r w:rsidRPr="00097442">
        <w:t>ection applies to hail-and-ride services, except dedicated school buses and infrastructure.</w:t>
      </w:r>
    </w:p>
    <w:p w14:paraId="6F5CD930" w14:textId="77777777" w:rsidR="00094004" w:rsidRPr="00097442" w:rsidRDefault="00094004" w:rsidP="00094004">
      <w:pPr>
        <w:pStyle w:val="Heading4"/>
      </w:pPr>
      <w:r>
        <w:t>Non-regulatory</w:t>
      </w:r>
      <w:r w:rsidRPr="00097442">
        <w:t xml:space="preserve"> option</w:t>
      </w:r>
    </w:p>
    <w:p w14:paraId="5804FEEC"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good practice for hail and ride boarding points, which would explain differences between vehicles, operator and provider, and passenger responsibilities.</w:t>
      </w:r>
    </w:p>
    <w:p w14:paraId="52B48092" w14:textId="77777777" w:rsidR="00094004" w:rsidRPr="00097442" w:rsidRDefault="00094004" w:rsidP="00094004">
      <w:r w:rsidRPr="00097442">
        <w:t>Specific guidance may include the following:</w:t>
      </w:r>
    </w:p>
    <w:p w14:paraId="71B53CE6" w14:textId="77777777" w:rsidR="00094004" w:rsidRPr="00481081" w:rsidRDefault="00094004" w:rsidP="0020414C">
      <w:pPr>
        <w:pStyle w:val="Listparagraphbullets"/>
      </w:pPr>
      <w:r w:rsidRPr="00481081">
        <w:t xml:space="preserve">Vehicles may have either side or rear loading boarding devices. </w:t>
      </w:r>
    </w:p>
    <w:p w14:paraId="50EE37EB" w14:textId="77777777" w:rsidR="00094004" w:rsidRPr="00481081" w:rsidRDefault="00094004" w:rsidP="0020414C">
      <w:pPr>
        <w:pStyle w:val="Listparagraphbullets"/>
      </w:pPr>
      <w:r w:rsidRPr="00481081">
        <w:t>The accessible boarding points must offer equal access to the hail-and-ride. For example, passengers with mobility aids should be able to cross kerbs in order to board rear loading conveyances. This may be achieved through the use of portable ramps or by using existing kerb ramps at or adjacent to the boarding point.</w:t>
      </w:r>
    </w:p>
    <w:p w14:paraId="5DE40FA8" w14:textId="77777777" w:rsidR="00094004" w:rsidRPr="00481081" w:rsidRDefault="00094004" w:rsidP="0020414C">
      <w:pPr>
        <w:pStyle w:val="Listparagraphbullets"/>
      </w:pPr>
      <w:r w:rsidRPr="00481081">
        <w:t xml:space="preserve">Operators would not be expected to nominate or identify accessible boarding points, rather the expectation is that any safe location along the route people could hail and board a service. </w:t>
      </w:r>
    </w:p>
    <w:p w14:paraId="11397F58" w14:textId="77777777" w:rsidR="00094004" w:rsidRPr="00481081" w:rsidRDefault="00094004" w:rsidP="0020414C">
      <w:pPr>
        <w:pStyle w:val="Listparagraphbullets"/>
      </w:pPr>
      <w:r w:rsidRPr="00481081">
        <w:t>Passengers should understand that it is their responsibility to select a boarding point that is accessible and at which a hail-and-ride vehicle can safely and lawfully stop. It is the responsibility of the operator to ensure that the passenger is able board the vehicle from this accessible boarding point.</w:t>
      </w:r>
    </w:p>
    <w:p w14:paraId="65D7083E" w14:textId="77777777" w:rsidR="00094004" w:rsidRPr="00097442" w:rsidRDefault="00094004" w:rsidP="00094004">
      <w:pPr>
        <w:pStyle w:val="Heading4"/>
      </w:pPr>
      <w:r w:rsidRPr="00097442">
        <w:t>Regulatory option</w:t>
      </w:r>
    </w:p>
    <w:p w14:paraId="056411FC" w14:textId="77777777" w:rsidR="00094004" w:rsidRPr="00097442" w:rsidRDefault="00094004" w:rsidP="00094004">
      <w:r w:rsidRPr="00097442">
        <w:t xml:space="preserve">The </w:t>
      </w:r>
      <w:r>
        <w:t>Transport Standards</w:t>
      </w:r>
      <w:r w:rsidRPr="00097442">
        <w:t xml:space="preserve"> would be amended to include requirements for hail-and-ride boarding points.</w:t>
      </w:r>
    </w:p>
    <w:p w14:paraId="6B12B3C1" w14:textId="77777777" w:rsidR="00094004" w:rsidRPr="00097442" w:rsidRDefault="00094004" w:rsidP="00094004">
      <w:r>
        <w:t>Transport Standards s</w:t>
      </w:r>
      <w:r w:rsidRPr="00097442">
        <w:t>ection 8.4 would be amended to include the following:</w:t>
      </w:r>
    </w:p>
    <w:p w14:paraId="4786F0B1" w14:textId="77777777" w:rsidR="00094004" w:rsidRPr="00481081" w:rsidRDefault="00094004" w:rsidP="0020414C">
      <w:pPr>
        <w:pStyle w:val="Listparagraphbullets"/>
      </w:pPr>
      <w:r w:rsidRPr="00481081">
        <w:t>If a hail-and-ride service is offered, passengers must be able to hail the service at accessible boarding points where boarding devices can be deployed.</w:t>
      </w:r>
    </w:p>
    <w:p w14:paraId="1ECCA0A0" w14:textId="77777777" w:rsidR="00094004" w:rsidRPr="00481081" w:rsidRDefault="00094004" w:rsidP="0020414C">
      <w:pPr>
        <w:pStyle w:val="Listparagraphbullets"/>
      </w:pPr>
      <w:r w:rsidRPr="00481081">
        <w:lastRenderedPageBreak/>
        <w:t>The accessible boarding points must offer equal access to public transport services.</w:t>
      </w:r>
    </w:p>
    <w:p w14:paraId="2B3AEA4D" w14:textId="77777777" w:rsidR="00094004" w:rsidRPr="00097442" w:rsidRDefault="00094004" w:rsidP="00094004">
      <w:pPr>
        <w:ind w:left="567" w:hanging="567"/>
      </w:pPr>
      <w:r w:rsidRPr="00097442">
        <w:t xml:space="preserve">These requirements would pertain to hail-and-ride services, </w:t>
      </w:r>
      <w:r>
        <w:t>(</w:t>
      </w:r>
      <w:r w:rsidRPr="00097442">
        <w:t>except dedicated school buses</w:t>
      </w:r>
      <w:r>
        <w:t>).</w:t>
      </w:r>
    </w:p>
    <w:p w14:paraId="0E3B4D17"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hail and ride services except dedicated school buses.</w:t>
      </w:r>
    </w:p>
    <w:p w14:paraId="140918EA" w14:textId="77777777" w:rsidR="00094004" w:rsidRPr="00097442" w:rsidRDefault="00094004" w:rsidP="00094004">
      <w:r w:rsidRPr="00097442">
        <w:t>Specific guidance may include the following:</w:t>
      </w:r>
    </w:p>
    <w:p w14:paraId="3C0D8D45" w14:textId="77777777" w:rsidR="00094004" w:rsidRPr="00097442" w:rsidRDefault="00094004" w:rsidP="0020414C">
      <w:pPr>
        <w:pStyle w:val="Listparagraphbullets"/>
      </w:pPr>
      <w:r w:rsidRPr="00097442">
        <w:t>Vehicles may have either side or rear loading boarding devices. Passengers with mobility aids should be able to cross kerbs in order to board rear loading conveyances. This may be achieved through the use of portable ramps or by using existing kerb ramps at or adjacent to the boarding point.</w:t>
      </w:r>
    </w:p>
    <w:p w14:paraId="6EF155BF" w14:textId="77777777" w:rsidR="00094004" w:rsidRPr="00097442" w:rsidRDefault="00094004" w:rsidP="0020414C">
      <w:pPr>
        <w:pStyle w:val="Listparagraphbullets"/>
      </w:pPr>
      <w:r w:rsidRPr="00097442">
        <w:t xml:space="preserve">Operators would not be expected to nominate or identify accessible boarding points, rather the expectation is that any safe location along the route people could hail and board a service. </w:t>
      </w:r>
    </w:p>
    <w:p w14:paraId="3B737DBE" w14:textId="77777777" w:rsidR="00094004" w:rsidRPr="003D6BDE" w:rsidRDefault="00094004" w:rsidP="0020414C">
      <w:pPr>
        <w:pStyle w:val="Listparagraphbullets"/>
      </w:pPr>
      <w:r w:rsidRPr="00097442">
        <w:t xml:space="preserve">Passengers should understand that it is their responsibility to select a boarding point that is accessible and at which a hail and ride vehicle can safely and lawfully stop. It is the responsibility of the operator to ensure that the passenger is able </w:t>
      </w:r>
      <w:r>
        <w:t xml:space="preserve">to </w:t>
      </w:r>
      <w:r w:rsidRPr="00097442">
        <w:t>board the vehicle from this accessible boarding point.</w:t>
      </w:r>
    </w:p>
    <w:p w14:paraId="58ABB784" w14:textId="5A491D6A" w:rsidR="00094004" w:rsidRDefault="00094004" w:rsidP="006F65FB">
      <w:pPr>
        <w:pStyle w:val="Heading3"/>
        <w:numPr>
          <w:ilvl w:val="0"/>
          <w:numId w:val="47"/>
        </w:numPr>
        <w:ind w:left="567" w:hanging="567"/>
      </w:pPr>
      <w:bookmarkStart w:id="987" w:name="_Toc127351869"/>
      <w:bookmarkStart w:id="988" w:name="_Toc130914547"/>
      <w:bookmarkStart w:id="989" w:name="_Toc140239839"/>
      <w:r w:rsidRPr="00130222">
        <w:t>Accessible taxi ranks</w:t>
      </w:r>
      <w:bookmarkEnd w:id="987"/>
      <w:bookmarkEnd w:id="988"/>
      <w:bookmarkEnd w:id="989"/>
    </w:p>
    <w:p w14:paraId="4EAC2675" w14:textId="77777777" w:rsidR="00094004" w:rsidRPr="00097442" w:rsidRDefault="00094004" w:rsidP="00094004">
      <w:pPr>
        <w:pStyle w:val="Heading4"/>
      </w:pPr>
      <w:r w:rsidRPr="00097442">
        <w:t>Status quo</w:t>
      </w:r>
    </w:p>
    <w:p w14:paraId="3D4C38BC"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30296328" w14:textId="77777777" w:rsidR="00094004" w:rsidRPr="00097442" w:rsidRDefault="00094004" w:rsidP="00094004">
      <w:r w:rsidRPr="00097442">
        <w:t xml:space="preserve">The </w:t>
      </w:r>
      <w:r>
        <w:t>Transport Standards</w:t>
      </w:r>
      <w:r w:rsidRPr="00097442">
        <w:t xml:space="preserve"> would continue to not provide accessibility specifications for taxi ranks to encourage that on-street taxi ranks will be accessible to passengers with mobility impairments.</w:t>
      </w:r>
    </w:p>
    <w:p w14:paraId="3ECDCDB9" w14:textId="77777777" w:rsidR="00094004" w:rsidRPr="00097442" w:rsidRDefault="00094004" w:rsidP="00094004">
      <w:pPr>
        <w:pStyle w:val="Heading4"/>
      </w:pPr>
      <w:r>
        <w:t>Non-regulatory</w:t>
      </w:r>
      <w:r w:rsidRPr="00097442">
        <w:t xml:space="preserve"> option</w:t>
      </w:r>
    </w:p>
    <w:p w14:paraId="785A0407" w14:textId="77777777" w:rsidR="00094004" w:rsidRDefault="00094004" w:rsidP="00094004">
      <w:r w:rsidRPr="00097442">
        <w:t xml:space="preserve">The </w:t>
      </w:r>
      <w:r>
        <w:t>Transport Standards</w:t>
      </w:r>
      <w:r w:rsidRPr="00097442">
        <w:t xml:space="preserve"> Guidelines and /or The Whole Journey Guide would be updated to include advice on accessibility specifications for taxi ranks.</w:t>
      </w:r>
      <w:r>
        <w:t xml:space="preserve"> </w:t>
      </w:r>
    </w:p>
    <w:p w14:paraId="305967DF" w14:textId="77777777" w:rsidR="00094004" w:rsidRPr="00097442" w:rsidRDefault="00094004" w:rsidP="00094004">
      <w:r>
        <w:t>There are three sub-options for the number of vehicle spaces that should be accessible.</w:t>
      </w:r>
    </w:p>
    <w:p w14:paraId="70F29C11" w14:textId="77777777" w:rsidR="00094004" w:rsidRPr="00097442" w:rsidRDefault="00094004" w:rsidP="00094004">
      <w:r w:rsidRPr="00097442">
        <w:t>Specific guidance may include the following:</w:t>
      </w:r>
    </w:p>
    <w:p w14:paraId="265A3203" w14:textId="77777777" w:rsidR="00094004" w:rsidRPr="00856A4A" w:rsidRDefault="00094004" w:rsidP="0020414C">
      <w:pPr>
        <w:pStyle w:val="Listparagraphbullets"/>
      </w:pPr>
      <w:r w:rsidRPr="00856A4A">
        <w:t>If unloading from a wheelchair accessible taxi a mobility aid user should be able to safely move from the carriageway behind the taxi to the footpath.</w:t>
      </w:r>
    </w:p>
    <w:p w14:paraId="6D3D5E0D" w14:textId="77777777" w:rsidR="00094004" w:rsidRPr="00856A4A" w:rsidRDefault="00094004" w:rsidP="0020414C">
      <w:pPr>
        <w:pStyle w:val="Listparagraphbullets"/>
      </w:pPr>
      <w:r w:rsidRPr="00856A4A">
        <w:t xml:space="preserve">While the first and last taxi spaces in a taxi rank should be the accessible spaces, intermediate spaces may also be made accessible at the discretion of the asset owner. This would be particularly advantageous at longer ranks if the wheelchair accessible taxi was well back in the queue. </w:t>
      </w:r>
    </w:p>
    <w:p w14:paraId="664E0511" w14:textId="77777777" w:rsidR="00094004" w:rsidRPr="00856A4A" w:rsidRDefault="00094004" w:rsidP="0020414C">
      <w:pPr>
        <w:pStyle w:val="Listparagraphbullets"/>
      </w:pPr>
      <w:r w:rsidRPr="00856A4A">
        <w:t>If a taxi rank has one vehicle space it should be accessible. If it has more than one vehicle space:</w:t>
      </w:r>
    </w:p>
    <w:p w14:paraId="5A255030" w14:textId="77777777" w:rsidR="00094004" w:rsidRPr="00097442" w:rsidRDefault="00094004" w:rsidP="00094004">
      <w:pPr>
        <w:pStyle w:val="Heading6"/>
        <w:ind w:left="1134"/>
      </w:pPr>
      <w:r w:rsidRPr="00097442">
        <w:t>Sub-option 1</w:t>
      </w:r>
    </w:p>
    <w:p w14:paraId="64823AAB" w14:textId="77777777" w:rsidR="00094004" w:rsidRPr="00097442" w:rsidRDefault="00094004" w:rsidP="00094004">
      <w:pPr>
        <w:ind w:left="1134"/>
      </w:pPr>
      <w:r w:rsidRPr="00097442">
        <w:t>The first and last vehicle space should be accessible.</w:t>
      </w:r>
    </w:p>
    <w:p w14:paraId="7311AE46" w14:textId="77777777" w:rsidR="00094004" w:rsidRPr="00097442" w:rsidRDefault="00094004" w:rsidP="00094004">
      <w:pPr>
        <w:pStyle w:val="Heading6"/>
        <w:ind w:left="1134"/>
      </w:pPr>
      <w:r w:rsidRPr="00097442">
        <w:t>Sub-option 2</w:t>
      </w:r>
    </w:p>
    <w:p w14:paraId="0857B2D0" w14:textId="77777777" w:rsidR="00094004" w:rsidRPr="00097442" w:rsidRDefault="00094004" w:rsidP="00094004">
      <w:pPr>
        <w:ind w:left="1134"/>
      </w:pPr>
      <w:r w:rsidRPr="00097442">
        <w:t>The first, second and last vehicle space should be accessible.</w:t>
      </w:r>
    </w:p>
    <w:p w14:paraId="277380F3" w14:textId="77777777" w:rsidR="00094004" w:rsidRPr="00097442" w:rsidRDefault="00094004" w:rsidP="00094004">
      <w:pPr>
        <w:pStyle w:val="Heading6"/>
        <w:ind w:left="1134"/>
      </w:pPr>
      <w:r w:rsidRPr="00097442">
        <w:lastRenderedPageBreak/>
        <w:t>Sub-option 3</w:t>
      </w:r>
    </w:p>
    <w:p w14:paraId="1526A446" w14:textId="77777777" w:rsidR="00094004" w:rsidRPr="00097442" w:rsidRDefault="00094004" w:rsidP="00094004">
      <w:pPr>
        <w:ind w:left="1134"/>
      </w:pPr>
      <w:r w:rsidRPr="00097442">
        <w:t>Where there are more than five spaces the first and last vehicle space should be accessible. In addition, one space for every four spaces between the first and last space should be accessible.</w:t>
      </w:r>
    </w:p>
    <w:p w14:paraId="0678DB8A" w14:textId="77777777" w:rsidR="00094004" w:rsidRPr="00856A4A" w:rsidRDefault="00094004" w:rsidP="0020414C">
      <w:pPr>
        <w:pStyle w:val="Listparagraphbullets"/>
      </w:pPr>
      <w:r w:rsidRPr="00856A4A">
        <w:t xml:space="preserve">Accessible taxi spaces within a rank should conform to the requirements for disability parking spaces as per AS2890.5 (2020) Parking facilities Part 5: On-Street parking (AS2890.5 (2020)) Clause 4.5.2 (a), (b), (c) and (f). 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Temporary taxi ranks should have the same specifications as permanent taxi ranks. </w:t>
      </w:r>
    </w:p>
    <w:p w14:paraId="658AE2E5" w14:textId="77777777" w:rsidR="00094004" w:rsidRPr="00856A4A" w:rsidRDefault="00094004" w:rsidP="0020414C">
      <w:pPr>
        <w:pStyle w:val="Listparagraphbullets"/>
      </w:pPr>
      <w:r w:rsidRPr="00856A4A">
        <w:t xml:space="preserve">If kerb ramps are installed, they should be placed to the rear of the accessible taxi space.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 </w:t>
      </w:r>
    </w:p>
    <w:p w14:paraId="1C2F5A03" w14:textId="77777777" w:rsidR="00094004" w:rsidRPr="00856A4A" w:rsidRDefault="00094004" w:rsidP="0020414C">
      <w:pPr>
        <w:pStyle w:val="Listparagraphbullets"/>
      </w:pPr>
      <w:r w:rsidRPr="00856A4A">
        <w:t>If an accessible taxi space is at the same grade as the adjacent footpath, bollards and warning tactile ground surface indicators (TGSIs) as per AS1428.4.1 (2009) Design for access and mobility (AS1428.4.1 (2009)) Clause 2.5 and Figure 2.5 (B) should be installed for the length of the same grade section.</w:t>
      </w:r>
    </w:p>
    <w:p w14:paraId="5F9CF15E" w14:textId="77777777" w:rsidR="00094004" w:rsidRPr="00856A4A" w:rsidRDefault="00094004" w:rsidP="0020414C">
      <w:pPr>
        <w:pStyle w:val="Listparagraphbullets"/>
      </w:pPr>
      <w:r w:rsidRPr="00856A4A">
        <w:t>Most taxi ranks on-street will fall under the jurisdiction of the local authority. Authorities should therefore be mindful of the accessibility requirements for taxi ranks and install them accordingly. In choosing the location for taxi ranks, the gradient and crossfall of the road and footpath should be carefully assessed. The traffic volume of the road at peak times should also be considered, with further guidance on this matter available from Austroads publications.</w:t>
      </w:r>
    </w:p>
    <w:p w14:paraId="22E4798B" w14:textId="77777777" w:rsidR="00094004" w:rsidRPr="00856A4A" w:rsidRDefault="00094004" w:rsidP="0020414C">
      <w:pPr>
        <w:pStyle w:val="Listparagraphbullets"/>
      </w:pPr>
      <w:r w:rsidRPr="00856A4A">
        <w:t>As per bus stops there will sometimes be a conflict between the ideal location for the taxi rank and the gradient of the road reserve. If no other location is available for the taxi rank the Unjustifiable Hardship clauses of the Transport Standards will apply to the rank.</w:t>
      </w:r>
    </w:p>
    <w:p w14:paraId="32178D88" w14:textId="77777777" w:rsidR="00094004" w:rsidRPr="00856A4A" w:rsidRDefault="00094004" w:rsidP="0020414C">
      <w:pPr>
        <w:pStyle w:val="Listparagraphbullets"/>
      </w:pPr>
      <w:r w:rsidRPr="00856A4A">
        <w:t>Accessible taxi ranks should be connected via access paths to local facilities and attractors, particularly to their accessible entrances.</w:t>
      </w:r>
    </w:p>
    <w:p w14:paraId="4C9D718C" w14:textId="77777777" w:rsidR="00094004" w:rsidRPr="00856A4A" w:rsidRDefault="00094004" w:rsidP="0020414C">
      <w:pPr>
        <w:pStyle w:val="Listparagraphbullets"/>
      </w:pPr>
      <w:r w:rsidRPr="00856A4A">
        <w:t xml:space="preserve">Temporary taxi ranks should have the same specifications as permanent taxi ranks. </w:t>
      </w:r>
    </w:p>
    <w:p w14:paraId="4F19EB37" w14:textId="77777777" w:rsidR="00094004" w:rsidRPr="00097442" w:rsidRDefault="00094004" w:rsidP="00094004">
      <w:pPr>
        <w:pStyle w:val="Heading4"/>
      </w:pPr>
      <w:r w:rsidRPr="00097442">
        <w:t>Regulatory option</w:t>
      </w:r>
    </w:p>
    <w:p w14:paraId="30617147" w14:textId="77777777" w:rsidR="00094004" w:rsidRDefault="00094004" w:rsidP="00094004">
      <w:r w:rsidRPr="00097442">
        <w:t xml:space="preserve">The </w:t>
      </w:r>
      <w:r>
        <w:t>Transport Standards</w:t>
      </w:r>
      <w:r w:rsidRPr="00097442">
        <w:t xml:space="preserve"> would be amended to include requirements for accessible on-street taxi ranks to ensure that on-street taxi ranks will be accessible to passengers with mobility impairments. </w:t>
      </w:r>
    </w:p>
    <w:p w14:paraId="25437188" w14:textId="77777777" w:rsidR="00094004" w:rsidRPr="00097442" w:rsidRDefault="00094004" w:rsidP="00094004">
      <w:r>
        <w:t>There are three sub-options for the number of vehicle spaces that should be accessible.</w:t>
      </w:r>
    </w:p>
    <w:p w14:paraId="276745D9" w14:textId="77777777" w:rsidR="00094004" w:rsidRPr="00097442" w:rsidRDefault="00094004" w:rsidP="00094004">
      <w:r w:rsidRPr="00097442">
        <w:t xml:space="preserve">The </w:t>
      </w:r>
      <w:r>
        <w:t>Transport Standards</w:t>
      </w:r>
      <w:r w:rsidRPr="00097442">
        <w:t xml:space="preserve"> would include the following new requirements:</w:t>
      </w:r>
    </w:p>
    <w:p w14:paraId="3FEF6EB3" w14:textId="77777777" w:rsidR="00094004" w:rsidRPr="00856A4A" w:rsidRDefault="00094004" w:rsidP="0020414C">
      <w:pPr>
        <w:pStyle w:val="Listparagraphbullets"/>
      </w:pPr>
      <w:r w:rsidRPr="00856A4A">
        <w:t xml:space="preserve">Taxi ranks are boarding points that must connect to accessways. </w:t>
      </w:r>
    </w:p>
    <w:p w14:paraId="5F768CD6" w14:textId="77777777" w:rsidR="00094004" w:rsidRPr="00856A4A" w:rsidRDefault="00094004" w:rsidP="0020414C">
      <w:pPr>
        <w:pStyle w:val="Listparagraphbullets"/>
      </w:pPr>
      <w:r w:rsidRPr="00856A4A">
        <w:t>If a taxi rank has one vehicle space it must be accessible. If it has more than one vehicle space:</w:t>
      </w:r>
    </w:p>
    <w:p w14:paraId="6205D657" w14:textId="77777777" w:rsidR="00094004" w:rsidRPr="006100DE" w:rsidRDefault="00094004" w:rsidP="00094004">
      <w:pPr>
        <w:pStyle w:val="Heading6"/>
        <w:ind w:left="1134"/>
      </w:pPr>
      <w:r w:rsidRPr="006100DE">
        <w:t>Sub-Option 1</w:t>
      </w:r>
    </w:p>
    <w:p w14:paraId="14FCB754" w14:textId="77777777" w:rsidR="00094004" w:rsidRPr="00097442" w:rsidRDefault="00094004" w:rsidP="00094004">
      <w:pPr>
        <w:ind w:left="1134"/>
      </w:pPr>
      <w:r w:rsidRPr="00097442">
        <w:t>The first and last vehicle space must be accessible.</w:t>
      </w:r>
    </w:p>
    <w:p w14:paraId="3E11BE53" w14:textId="77777777" w:rsidR="00094004" w:rsidRPr="00097442" w:rsidRDefault="00094004" w:rsidP="00094004">
      <w:pPr>
        <w:pStyle w:val="Heading6"/>
        <w:ind w:left="1134"/>
      </w:pPr>
      <w:r>
        <w:lastRenderedPageBreak/>
        <w:t>Sub-Option 2</w:t>
      </w:r>
    </w:p>
    <w:p w14:paraId="49BF4174" w14:textId="77777777" w:rsidR="00094004" w:rsidRPr="00097442" w:rsidRDefault="00094004" w:rsidP="00094004">
      <w:pPr>
        <w:ind w:left="1134"/>
      </w:pPr>
      <w:r w:rsidRPr="00097442">
        <w:t>The first, second and last vehicle space must be accessible.</w:t>
      </w:r>
    </w:p>
    <w:p w14:paraId="493EEE09" w14:textId="77777777" w:rsidR="00094004" w:rsidRPr="00097442" w:rsidRDefault="00094004" w:rsidP="00094004">
      <w:pPr>
        <w:pStyle w:val="Heading6"/>
        <w:ind w:left="1134"/>
      </w:pPr>
      <w:r>
        <w:t>Sub-Option 3</w:t>
      </w:r>
    </w:p>
    <w:p w14:paraId="0E3EA285" w14:textId="77777777" w:rsidR="00094004" w:rsidRPr="00097442" w:rsidRDefault="00094004" w:rsidP="00094004">
      <w:pPr>
        <w:ind w:left="1134"/>
      </w:pPr>
      <w:r w:rsidRPr="00097442">
        <w:t>Where there are more than five spaces the first and last vehicle space must be accessible. In addition, one space for every four spaces between the first and last space must be accessible.</w:t>
      </w:r>
    </w:p>
    <w:p w14:paraId="13ED743A" w14:textId="77777777" w:rsidR="00094004" w:rsidRPr="00856A4A" w:rsidRDefault="00094004" w:rsidP="0020414C">
      <w:pPr>
        <w:pStyle w:val="Listparagraphbullets"/>
      </w:pPr>
      <w:r w:rsidRPr="00856A4A">
        <w:t xml:space="preserve">Accessible taxi spaces within a rank must conform to the requirements for disability parking spaces as per AS2890.5 (2020) Clause 4.5.2 (a), (b), (c) and (f). </w:t>
      </w:r>
    </w:p>
    <w:p w14:paraId="1790997C" w14:textId="77777777" w:rsidR="00094004" w:rsidRPr="00856A4A" w:rsidRDefault="00094004" w:rsidP="0020414C">
      <w:pPr>
        <w:pStyle w:val="Listparagraphbullets"/>
      </w:pPr>
      <w:r w:rsidRPr="00856A4A">
        <w:t xml:space="preserve">Kerb ramps must be placed to the rear of the accessible taxi space. </w:t>
      </w:r>
    </w:p>
    <w:p w14:paraId="215CD74E" w14:textId="77777777" w:rsidR="00094004" w:rsidRPr="00856A4A" w:rsidRDefault="00094004" w:rsidP="0020414C">
      <w:pPr>
        <w:pStyle w:val="Listparagraphbullets"/>
      </w:pPr>
      <w:r w:rsidRPr="00856A4A">
        <w:t>If an accessible taxi space is at the same grade as the adjacent footpath, bollards and warning TGSIs as per AS1428.4.1 (2009) Clause 2.5 and Figure 2.5 (B) must be installed for the length of the same grade section.</w:t>
      </w:r>
    </w:p>
    <w:p w14:paraId="01BC9A17" w14:textId="77777777" w:rsidR="00094004" w:rsidRPr="00097442" w:rsidRDefault="00094004" w:rsidP="00094004">
      <w:r w:rsidRPr="00097442">
        <w:t>These requirements would pertain to infrastructure.</w:t>
      </w:r>
    </w:p>
    <w:p w14:paraId="3B701429"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buses, trams and light rail and ferries.</w:t>
      </w:r>
    </w:p>
    <w:p w14:paraId="55C23E64" w14:textId="77777777" w:rsidR="00094004" w:rsidRPr="00097442" w:rsidRDefault="00094004" w:rsidP="00094004">
      <w:r w:rsidRPr="00097442">
        <w:t>Specific guidance may include the following:</w:t>
      </w:r>
    </w:p>
    <w:p w14:paraId="17E0567A" w14:textId="77777777" w:rsidR="00094004" w:rsidRPr="00097442" w:rsidRDefault="00094004" w:rsidP="0020414C">
      <w:pPr>
        <w:pStyle w:val="Listparagraphbullets"/>
      </w:pPr>
      <w:r w:rsidRPr="00097442">
        <w:t xml:space="preserve">Intermediate vehicle spaces in a taxi rank might be also be made accessible at the discretion of the asset owner. This would be particularly advantageous at longer ranks if the WAT was well back in the queue. </w:t>
      </w:r>
    </w:p>
    <w:p w14:paraId="14623920" w14:textId="77777777" w:rsidR="00094004" w:rsidRPr="00097442" w:rsidRDefault="00094004" w:rsidP="0020414C">
      <w:pPr>
        <w:pStyle w:val="Listparagraphbullets"/>
      </w:pPr>
      <w:r w:rsidRPr="00097442">
        <w:t>Line marking should be installed to delineate accessible vehicle spaces in a taxi rank. This would be useful in allowing other drivers to judge the space required for deployment of the wheelchair accessible taxi’s boarding lift platform and the circulation space required by the mobility aid user. The rear section of the accessible taxi space should be boldly marked in order to warn the drivers of following vehicles in the queue not to encroach into the accessible taxi space. This encroachment will block the deployment of the boarding lift platform and block the kerb ramp at grade separated taxi ranks. Blocks of colour, chevrons or hatching, in combination with the international symbol and messages such as ‘Keep Clear’, might be considered as appropriate markings for the area at the rear of the accessible vehicle space.</w:t>
      </w:r>
    </w:p>
    <w:p w14:paraId="173639F3" w14:textId="77777777" w:rsidR="00094004" w:rsidRPr="00097442" w:rsidRDefault="00094004" w:rsidP="0020414C">
      <w:pPr>
        <w:pStyle w:val="Listparagraphbullets"/>
      </w:pPr>
      <w:r w:rsidRPr="00097442">
        <w:t xml:space="preserve">As per bus stops and passenger loading zones most taxi ranks on-street will fall under the jurisdiction of the local authority. Authorities should be mindful of the accessibility requirements for taxi ranks and install them accordingly. In choosing the location for taxi ranks, the gradient and crossfall of the road and footpath should be carefully assessed. Like bus stops there may be a conflict between the ideal location for the taxi rank and the gradient of the road reserve. The traffic volume of the road at peak times should also be considered, with further guidance on this matter available from Austroads publications. </w:t>
      </w:r>
    </w:p>
    <w:p w14:paraId="1659D108" w14:textId="77777777" w:rsidR="00094004" w:rsidRPr="00097442" w:rsidRDefault="00094004" w:rsidP="0020414C">
      <w:pPr>
        <w:pStyle w:val="Listparagraphbullets"/>
      </w:pPr>
      <w:r w:rsidRPr="00097442">
        <w:t xml:space="preserve">Temporary taxi ranks should have the same specifications as permanent taxi ranks. </w:t>
      </w:r>
    </w:p>
    <w:p w14:paraId="0EB4EAC3" w14:textId="77777777" w:rsidR="00094004" w:rsidRPr="003D6BDE" w:rsidRDefault="00094004" w:rsidP="0020414C">
      <w:pPr>
        <w:pStyle w:val="Listparagraphbullets"/>
      </w:pPr>
      <w:r w:rsidRPr="00097442">
        <w:t>Accessible taxi ranks should be connected via access paths to local facilities and attractors, particularly to their accessible entrances.</w:t>
      </w:r>
    </w:p>
    <w:p w14:paraId="4D9EFFEC" w14:textId="7DD85A4A" w:rsidR="00094004" w:rsidRDefault="00094004" w:rsidP="006F65FB">
      <w:pPr>
        <w:pStyle w:val="Heading3"/>
        <w:numPr>
          <w:ilvl w:val="0"/>
          <w:numId w:val="47"/>
        </w:numPr>
        <w:ind w:left="567" w:hanging="567"/>
      </w:pPr>
      <w:bookmarkStart w:id="990" w:name="_Toc127351870"/>
      <w:bookmarkStart w:id="991" w:name="_Toc130914548"/>
      <w:bookmarkStart w:id="992" w:name="_Toc140239840"/>
      <w:r w:rsidRPr="00130222">
        <w:t>Accessible passenger loading zones on-street</w:t>
      </w:r>
      <w:bookmarkEnd w:id="990"/>
      <w:bookmarkEnd w:id="991"/>
      <w:bookmarkEnd w:id="992"/>
    </w:p>
    <w:p w14:paraId="67CCECB4" w14:textId="77777777" w:rsidR="00094004" w:rsidRPr="00097442" w:rsidRDefault="00094004" w:rsidP="00094004">
      <w:pPr>
        <w:pStyle w:val="Heading4"/>
      </w:pPr>
      <w:r w:rsidRPr="00097442">
        <w:t>Status quo</w:t>
      </w:r>
    </w:p>
    <w:p w14:paraId="3BA1ABC7"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4447CAD5" w14:textId="77777777" w:rsidR="00094004" w:rsidRPr="00097442" w:rsidRDefault="00094004" w:rsidP="00094004">
      <w:r w:rsidRPr="00097442">
        <w:t xml:space="preserve">The </w:t>
      </w:r>
      <w:r>
        <w:t>Transport Standards</w:t>
      </w:r>
      <w:r w:rsidRPr="00097442">
        <w:t xml:space="preserve"> would continue to not provide accessibility specifications for </w:t>
      </w:r>
      <w:r>
        <w:t>on-street passenger loading areas</w:t>
      </w:r>
      <w:r w:rsidRPr="00097442">
        <w:t>.</w:t>
      </w:r>
    </w:p>
    <w:p w14:paraId="113D298B" w14:textId="77777777" w:rsidR="00094004" w:rsidRPr="00097442" w:rsidRDefault="00094004" w:rsidP="00094004">
      <w:pPr>
        <w:pStyle w:val="Heading4"/>
      </w:pPr>
      <w:r>
        <w:lastRenderedPageBreak/>
        <w:t>Non-regulatory</w:t>
      </w:r>
      <w:r w:rsidRPr="00097442">
        <w:t xml:space="preserve"> option</w:t>
      </w:r>
    </w:p>
    <w:p w14:paraId="726F7D01" w14:textId="77777777" w:rsidR="00094004" w:rsidRDefault="00094004" w:rsidP="00094004">
      <w:r w:rsidRPr="00097442">
        <w:t xml:space="preserve">The </w:t>
      </w:r>
      <w:r>
        <w:t>Transport Standards</w:t>
      </w:r>
      <w:r w:rsidRPr="00097442">
        <w:t xml:space="preserve"> Guidelines and /or The Whole Journey Guide would be updated to include advice for on-street passenger loading zones pertaining to infrastructure and would encourage operators and providers to ensure on-street passenger loading zones be recognised as WAT and small conveyance boarding points with specific technical requirements. </w:t>
      </w:r>
    </w:p>
    <w:p w14:paraId="3A1B8274" w14:textId="77777777" w:rsidR="00094004" w:rsidRPr="00097442" w:rsidRDefault="00094004" w:rsidP="00094004">
      <w:r>
        <w:t>There are three sub-options for the number of vehicle spaces that should be accessible.</w:t>
      </w:r>
    </w:p>
    <w:p w14:paraId="4C6875FB" w14:textId="77777777" w:rsidR="00094004" w:rsidRPr="00097442" w:rsidRDefault="00094004" w:rsidP="00094004">
      <w:r w:rsidRPr="00097442">
        <w:t>Specific guidance may include the following:</w:t>
      </w:r>
    </w:p>
    <w:p w14:paraId="5E82EFDB" w14:textId="77777777" w:rsidR="00094004" w:rsidRPr="00A95651" w:rsidRDefault="00094004" w:rsidP="0020414C">
      <w:pPr>
        <w:pStyle w:val="Listparagraphbullets"/>
      </w:pPr>
      <w:r w:rsidRPr="00A95651">
        <w:t xml:space="preserve">Designated on-street passenger loading zones are boarding points for taxis, including WAT, and other public transport vehicles. They are also loading zones for any other member of the public as per the signage installed at each loading zone. </w:t>
      </w:r>
    </w:p>
    <w:p w14:paraId="60387DF2" w14:textId="77777777" w:rsidR="00094004" w:rsidRPr="00A95651" w:rsidRDefault="00094004" w:rsidP="0020414C">
      <w:pPr>
        <w:pStyle w:val="Listparagraphbullets"/>
      </w:pPr>
      <w:r w:rsidRPr="00A95651">
        <w:t xml:space="preserve">The performance outcome sought for the passengers of wheelchair accessible taxis is that mobility aid </w:t>
      </w:r>
      <w:r>
        <w:t>passengers</w:t>
      </w:r>
      <w:r w:rsidRPr="00A95651">
        <w:t xml:space="preserve"> can access the carriageway from the footpath if they are to board a rear loading wheelchair accessible taxi. If unloading from a WAT a mobility aid user should be able to safely move from the carriageway behind the taxi to the footpath. Local authorities should consider permitting WAT to dwell for five or more minutes due to timeframes imposed by the necessary loading and unloading procedure for passengers travelling in wheelchairs or similar mobility aids. </w:t>
      </w:r>
    </w:p>
    <w:p w14:paraId="7244A180" w14:textId="77777777" w:rsidR="00094004" w:rsidRPr="00A95651" w:rsidRDefault="00094004" w:rsidP="0020414C">
      <w:pPr>
        <w:pStyle w:val="Listparagraphbullets"/>
      </w:pPr>
      <w:r w:rsidRPr="00A95651">
        <w:t xml:space="preserve">While the first and last vehicle spaces in a passenger loading zone should be the accessible spaces, other spaces may also be made accessible at the discretion of the asset owner. This would be advantageous at longer passenger loading zones if the wheelchair accessible taxi or other public transport conveyance was well back in the queue. </w:t>
      </w:r>
    </w:p>
    <w:p w14:paraId="4DF49D9E" w14:textId="77777777" w:rsidR="00094004" w:rsidRPr="00A95651" w:rsidRDefault="00094004" w:rsidP="0020414C">
      <w:pPr>
        <w:pStyle w:val="Listparagraphbullets"/>
      </w:pPr>
      <w:r w:rsidRPr="00A95651">
        <w:t>If a passenger loading zone has more than one vehicle space:</w:t>
      </w:r>
    </w:p>
    <w:p w14:paraId="3C4F8274" w14:textId="77777777" w:rsidR="00094004" w:rsidRPr="00097442" w:rsidRDefault="00094004" w:rsidP="00094004">
      <w:pPr>
        <w:pStyle w:val="Heading6"/>
        <w:ind w:left="1134"/>
      </w:pPr>
      <w:r>
        <w:t>Sub-o</w:t>
      </w:r>
      <w:r w:rsidRPr="00097442">
        <w:t>ption 1</w:t>
      </w:r>
    </w:p>
    <w:p w14:paraId="514C5DA1" w14:textId="77777777" w:rsidR="00094004" w:rsidRPr="00097442" w:rsidRDefault="00094004" w:rsidP="00094004">
      <w:pPr>
        <w:ind w:left="1134"/>
        <w:rPr>
          <w:b/>
        </w:rPr>
      </w:pPr>
      <w:r w:rsidRPr="00097442">
        <w:t>The first and last vehicle space should be accessible</w:t>
      </w:r>
      <w:r>
        <w:rPr>
          <w:b/>
        </w:rPr>
        <w:t>.</w:t>
      </w:r>
    </w:p>
    <w:p w14:paraId="79B0B9E2" w14:textId="77777777" w:rsidR="00094004" w:rsidRPr="00097442" w:rsidRDefault="00094004" w:rsidP="00094004">
      <w:pPr>
        <w:pStyle w:val="Heading6"/>
        <w:ind w:left="1134"/>
      </w:pPr>
      <w:r>
        <w:t>Sub-option 2</w:t>
      </w:r>
    </w:p>
    <w:p w14:paraId="0BD80F7C" w14:textId="77777777" w:rsidR="00094004" w:rsidRPr="00097442" w:rsidRDefault="00094004" w:rsidP="00094004">
      <w:pPr>
        <w:ind w:left="1134"/>
      </w:pPr>
      <w:r w:rsidRPr="00097442">
        <w:t>The first, second and last vehicle space should be accessible.</w:t>
      </w:r>
    </w:p>
    <w:p w14:paraId="7AD6CF9A" w14:textId="77777777" w:rsidR="00094004" w:rsidRPr="00097442" w:rsidRDefault="00094004" w:rsidP="00094004">
      <w:pPr>
        <w:pStyle w:val="Heading6"/>
        <w:ind w:left="1134"/>
      </w:pPr>
      <w:r>
        <w:t>Sub-option 3</w:t>
      </w:r>
    </w:p>
    <w:p w14:paraId="1DE732B2" w14:textId="77777777" w:rsidR="00094004" w:rsidRPr="00097442" w:rsidRDefault="00094004" w:rsidP="00094004">
      <w:pPr>
        <w:ind w:left="1134"/>
      </w:pPr>
      <w:r w:rsidRPr="00097442">
        <w:t>Where there are more than five spaces the first and last vehicle space should be accessible. In addition, one space for every four spaces between the first and last space should be accessible.</w:t>
      </w:r>
    </w:p>
    <w:p w14:paraId="499091EF" w14:textId="77777777" w:rsidR="00094004" w:rsidRPr="00A95651" w:rsidRDefault="00094004" w:rsidP="0020414C">
      <w:pPr>
        <w:pStyle w:val="Listparagraphbullets"/>
      </w:pPr>
      <w:r w:rsidRPr="00A95651">
        <w:t>Accessible passenger loading spaces should conform to the requirements for on-street disability parking spaces as per AS2890.5 (2020) Parking facilities, Clause 4.5.2 (a), (b), (c) and (f). 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Temporary loading zones should have the same specifications as permanent loading zones.</w:t>
      </w:r>
    </w:p>
    <w:p w14:paraId="4A3B4B4D" w14:textId="77777777" w:rsidR="00094004" w:rsidRPr="00A95651" w:rsidRDefault="00094004" w:rsidP="0020414C">
      <w:pPr>
        <w:pStyle w:val="Listparagraphbullets"/>
      </w:pPr>
      <w:r w:rsidRPr="00A95651">
        <w:t>If a kerb ramp is installed in an accessible passenger loading zone vehicle space, it should be placed to the rear of the accessible vehicle space. The rear section of the accessible vehicle space should be boldly marked to warn the drivers of following vehicles in the queue not to encroach into the accessible vehicle space. This encroachment will obstruct the deployment of the boarding lift platform and block the kerb ramp at grade separated loading zones. Blocks of colour, chevrons or hatching, in combination with messages such as ‘Keep Clear’, may be considered as appropriate markings for the area at the rear of the accessible vehicle space.</w:t>
      </w:r>
    </w:p>
    <w:p w14:paraId="5FC49BC4" w14:textId="77777777" w:rsidR="00094004" w:rsidRPr="00A95651" w:rsidRDefault="00094004" w:rsidP="0020414C">
      <w:pPr>
        <w:pStyle w:val="Listparagraphbullets"/>
      </w:pPr>
      <w:r w:rsidRPr="00A95651">
        <w:lastRenderedPageBreak/>
        <w:t>If an accessible passenger loading zone vehicle space is at the same grade as the adjacent footpath, bollards and warning TGSIs as per AS/NZS1428.4.1 (2009) Design for access and mobility, Clause 2.5 and Figure 2.5 (B) should be installed for the length of the same grade section.</w:t>
      </w:r>
    </w:p>
    <w:p w14:paraId="1498A365" w14:textId="77777777" w:rsidR="00094004" w:rsidRPr="00A95651" w:rsidRDefault="00094004" w:rsidP="0020414C">
      <w:pPr>
        <w:pStyle w:val="Listparagraphbullets"/>
      </w:pPr>
      <w:r w:rsidRPr="00A95651">
        <w:t xml:space="preserve">Most on-street passenger loading zones will fall under the jurisdiction of the local authority.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3EC11077" w14:textId="77777777" w:rsidR="00094004" w:rsidRPr="00A95651" w:rsidRDefault="00094004" w:rsidP="0020414C">
      <w:pPr>
        <w:pStyle w:val="Listparagraphbullets"/>
      </w:pPr>
      <w:r w:rsidRPr="00A95651">
        <w:t>Private property owners and governments often own or manage off-street carparks that may incorporate passenger loading zones. While not directly covered by this advice, owners and managers should consider this advice in designing accessible passenger loading zones as part of their parking facilities.</w:t>
      </w:r>
    </w:p>
    <w:p w14:paraId="0FA1769B" w14:textId="77777777" w:rsidR="00094004" w:rsidRPr="00097442" w:rsidRDefault="00094004" w:rsidP="00094004">
      <w:pPr>
        <w:pStyle w:val="Heading4"/>
      </w:pPr>
      <w:r w:rsidRPr="00097442">
        <w:t>Regulatory option</w:t>
      </w:r>
    </w:p>
    <w:p w14:paraId="404FD5D3" w14:textId="77777777" w:rsidR="00094004" w:rsidRDefault="00094004" w:rsidP="00094004">
      <w:r w:rsidRPr="00097442">
        <w:t xml:space="preserve">The </w:t>
      </w:r>
      <w:r>
        <w:t>Transport Standards</w:t>
      </w:r>
      <w:r w:rsidRPr="00097442">
        <w:t xml:space="preserve"> would be amended to include</w:t>
      </w:r>
      <w:r>
        <w:t xml:space="preserve"> new</w:t>
      </w:r>
      <w:r w:rsidRPr="00097442">
        <w:rPr>
          <w:i/>
        </w:rPr>
        <w:t xml:space="preserve"> </w:t>
      </w:r>
      <w:r w:rsidRPr="00097442">
        <w:t xml:space="preserve">requirements for on-street passenger loading zones to ensure that on-street passenger loading zones will be recognised as wheelchair accessible taxi and small conveyance boarding points with technical requirements listed in </w:t>
      </w:r>
      <w:r>
        <w:t>Transport Standards</w:t>
      </w:r>
      <w:r w:rsidRPr="00097442">
        <w:t>.</w:t>
      </w:r>
    </w:p>
    <w:p w14:paraId="51CADE5C" w14:textId="77777777" w:rsidR="00094004" w:rsidRPr="00097442" w:rsidRDefault="00094004" w:rsidP="00094004">
      <w:r>
        <w:t>There are three sub-options for the number of vehicle spaces that should be accessible.</w:t>
      </w:r>
    </w:p>
    <w:p w14:paraId="6EC16009" w14:textId="77777777" w:rsidR="00094004" w:rsidRPr="00097442" w:rsidRDefault="00094004" w:rsidP="00094004">
      <w:r w:rsidRPr="00097442">
        <w:t xml:space="preserve">The </w:t>
      </w:r>
      <w:r>
        <w:t>Transport Standards</w:t>
      </w:r>
      <w:r w:rsidRPr="00097442">
        <w:t xml:space="preserve"> would include the following new requirements:</w:t>
      </w:r>
    </w:p>
    <w:p w14:paraId="0B8E39B3" w14:textId="77777777" w:rsidR="00094004" w:rsidRPr="00A95651" w:rsidRDefault="00094004" w:rsidP="00124C72">
      <w:pPr>
        <w:pStyle w:val="Listparagraphbullets"/>
      </w:pPr>
      <w:r w:rsidRPr="00A95651">
        <w:t>On-street passenger loading zones are boarding points for wheelchair accessible taxis and other public transport conveyances.</w:t>
      </w:r>
    </w:p>
    <w:p w14:paraId="6A484863" w14:textId="77777777" w:rsidR="00094004" w:rsidRPr="00A95651" w:rsidRDefault="00094004" w:rsidP="00124C72">
      <w:pPr>
        <w:pStyle w:val="Listparagraphbullets"/>
      </w:pPr>
      <w:r w:rsidRPr="00A95651">
        <w:t>If a passenger loading zone has more than one vehicle space:</w:t>
      </w:r>
    </w:p>
    <w:p w14:paraId="720DFF4A" w14:textId="77777777" w:rsidR="00094004" w:rsidRPr="006100DE" w:rsidRDefault="00094004" w:rsidP="00094004">
      <w:pPr>
        <w:pStyle w:val="Heading6"/>
        <w:ind w:left="1134"/>
      </w:pPr>
      <w:r w:rsidRPr="006100DE">
        <w:t>Sub-option 1</w:t>
      </w:r>
    </w:p>
    <w:p w14:paraId="1E07A75B" w14:textId="77777777" w:rsidR="00094004" w:rsidRPr="00097442" w:rsidRDefault="00094004" w:rsidP="00094004">
      <w:pPr>
        <w:ind w:left="1134"/>
      </w:pPr>
      <w:r w:rsidRPr="00097442">
        <w:t>The first and last vehicle space must be accessible.</w:t>
      </w:r>
    </w:p>
    <w:p w14:paraId="26AC1013" w14:textId="77777777" w:rsidR="00094004" w:rsidRPr="00097442" w:rsidRDefault="00094004" w:rsidP="00094004">
      <w:pPr>
        <w:pStyle w:val="Heading6"/>
        <w:ind w:left="1134"/>
      </w:pPr>
      <w:r>
        <w:t>Sub-option 2</w:t>
      </w:r>
    </w:p>
    <w:p w14:paraId="31F15D5A" w14:textId="77777777" w:rsidR="00094004" w:rsidRPr="00097442" w:rsidRDefault="00094004" w:rsidP="00094004">
      <w:pPr>
        <w:ind w:left="1134"/>
      </w:pPr>
      <w:r w:rsidRPr="00097442">
        <w:t>The first, second and last vehicle space must be accessible.</w:t>
      </w:r>
    </w:p>
    <w:p w14:paraId="1397253B" w14:textId="77777777" w:rsidR="00094004" w:rsidRPr="00097442" w:rsidRDefault="00094004" w:rsidP="00094004">
      <w:pPr>
        <w:pStyle w:val="Heading6"/>
        <w:ind w:left="1134"/>
      </w:pPr>
      <w:r>
        <w:t>Sub-option 3</w:t>
      </w:r>
    </w:p>
    <w:p w14:paraId="287C129D" w14:textId="77777777" w:rsidR="00094004" w:rsidRPr="00097442" w:rsidRDefault="00094004" w:rsidP="00094004">
      <w:pPr>
        <w:ind w:left="1134"/>
      </w:pPr>
      <w:r w:rsidRPr="00097442">
        <w:t>Where there are more than five spaces the first and last vehicle space must be accessible. In addition, one space for every four spaces between the first and last space must be accessible.</w:t>
      </w:r>
    </w:p>
    <w:p w14:paraId="3AE2E422" w14:textId="77777777" w:rsidR="00094004" w:rsidRPr="00A95651" w:rsidRDefault="00094004" w:rsidP="00124C72">
      <w:pPr>
        <w:pStyle w:val="Listparagraphbullets"/>
      </w:pPr>
      <w:r w:rsidRPr="00A95651">
        <w:t>Accessible passenger loading spaces must conform to the requirements for on-street disability parking spaces as per AS2890.5 (2020), Clause 4.5.2 (a), (b), (c) and (f).</w:t>
      </w:r>
    </w:p>
    <w:p w14:paraId="2D56B0B0" w14:textId="77777777" w:rsidR="00094004" w:rsidRPr="00A95651" w:rsidRDefault="00094004" w:rsidP="00124C72">
      <w:pPr>
        <w:pStyle w:val="Listparagraphbullets"/>
      </w:pPr>
      <w:r w:rsidRPr="00A95651">
        <w:t xml:space="preserve">If a kerb ramp is installed in an accessible passenger loading zone vehicle space, it must be placed to the rear of the accessible vehicle space. </w:t>
      </w:r>
    </w:p>
    <w:p w14:paraId="71C51C96" w14:textId="77777777" w:rsidR="00094004" w:rsidRPr="00A95651" w:rsidRDefault="00094004" w:rsidP="00124C72">
      <w:pPr>
        <w:pStyle w:val="Listparagraphbullets"/>
      </w:pPr>
      <w:r w:rsidRPr="00A95651">
        <w:t>If an accessible passenger loading zone vehicle space is at the same grade as the adjacent footpath, bollards and warning TGSIs as per AS/NZS1428.4.1 (2009) Clause 2.5 and Figure 2.5 (B) must be installed for the length of the same grade section.</w:t>
      </w:r>
    </w:p>
    <w:p w14:paraId="31E69FBA" w14:textId="77777777" w:rsidR="00094004" w:rsidRPr="00097442" w:rsidRDefault="00094004" w:rsidP="00094004">
      <w:r w:rsidRPr="00097442">
        <w:t>These requirements would pertain to infrastructure.</w:t>
      </w:r>
    </w:p>
    <w:p w14:paraId="778A7883"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guidance for infrastructure.</w:t>
      </w:r>
    </w:p>
    <w:p w14:paraId="163E208B" w14:textId="77777777" w:rsidR="00094004" w:rsidRPr="00097442" w:rsidRDefault="00094004" w:rsidP="00094004">
      <w:r w:rsidRPr="00097442">
        <w:lastRenderedPageBreak/>
        <w:t>Specific guidance may include the following:</w:t>
      </w:r>
    </w:p>
    <w:p w14:paraId="68733E26" w14:textId="77777777" w:rsidR="00094004" w:rsidRPr="00097442" w:rsidRDefault="00094004" w:rsidP="00124C72">
      <w:pPr>
        <w:pStyle w:val="Listparagraphbullets"/>
      </w:pPr>
      <w:r w:rsidRPr="00097442">
        <w:t xml:space="preserve">Designated on-street passenger loading zones are boarding points for taxis, including wheelchair accessible taxis, and other public transport vehicles. They are also loading zones for any other member of the public as per the signage installed at each loading zone. </w:t>
      </w:r>
    </w:p>
    <w:p w14:paraId="282426DA" w14:textId="77777777" w:rsidR="00094004" w:rsidRPr="00097442" w:rsidRDefault="00094004" w:rsidP="00124C72">
      <w:pPr>
        <w:pStyle w:val="Listparagraphbullets"/>
      </w:pPr>
      <w:r w:rsidRPr="00097442">
        <w:t xml:space="preserve">The performance outcome sought for the passengers of wheelchair accessible taxis is that mobility aid </w:t>
      </w:r>
      <w:r>
        <w:t>passengers</w:t>
      </w:r>
      <w:r w:rsidRPr="00097442">
        <w:t xml:space="preserve"> can access the carriageway from the footpath if they are to board a rear loading wheelchair accessible taxi. If unloading from a wheelchair accessible taxi a mobility aid user should be able to safely move from the carriageway behind the taxi to the footpath.</w:t>
      </w:r>
    </w:p>
    <w:p w14:paraId="0DF33404" w14:textId="77777777" w:rsidR="00094004" w:rsidRPr="00097442" w:rsidRDefault="00094004" w:rsidP="00124C72">
      <w:pPr>
        <w:pStyle w:val="Listparagraphbullets"/>
      </w:pPr>
      <w:r w:rsidRPr="00097442">
        <w:t>Local authorities should consider permitting wheelchair accessible taxis to dwell for five or more minutes due to timeframes imposed by the necessary loading and unloading procedure for passengers travelling in wheelchairs or similar mobility aids.</w:t>
      </w:r>
    </w:p>
    <w:p w14:paraId="461F477B" w14:textId="77777777" w:rsidR="00094004" w:rsidRPr="00097442" w:rsidRDefault="00094004" w:rsidP="00124C72">
      <w:pPr>
        <w:pStyle w:val="Listparagraphbullets"/>
      </w:pPr>
      <w:r w:rsidRPr="00097442">
        <w:t xml:space="preserve">While the first and last vehicle spaces in a passenger loading zone should be the accessible spaces, other spaces </w:t>
      </w:r>
      <w:r>
        <w:t>may also be</w:t>
      </w:r>
      <w:r w:rsidRPr="00097442">
        <w:t xml:space="preserve"> made accessible at the discretion of the asset owner. This would be particularly advantageous at longer passenger loading zones if the wheelchair accessible taxi or other public transport conveyance was well back in the queue. </w:t>
      </w:r>
    </w:p>
    <w:p w14:paraId="39062535" w14:textId="77777777" w:rsidR="00094004" w:rsidRPr="00097442" w:rsidRDefault="00094004" w:rsidP="00124C72">
      <w:pPr>
        <w:pStyle w:val="Listparagraphbullets"/>
      </w:pPr>
      <w:r w:rsidRPr="00097442">
        <w:t xml:space="preserve">Line marking should be installed to delineate accessible passenger loading zones. This would be useful in allowing other drivers to judge the space required for deployment of the wheelchair accessible taxi’s boarding lift platform and the circulation space required by the mobility aid user. </w:t>
      </w:r>
    </w:p>
    <w:p w14:paraId="3BCE2ED5" w14:textId="77777777" w:rsidR="00094004" w:rsidRPr="00097442" w:rsidRDefault="00094004" w:rsidP="00124C72">
      <w:pPr>
        <w:pStyle w:val="Listparagraphbullets"/>
      </w:pPr>
      <w:r>
        <w:t>M</w:t>
      </w:r>
      <w:r w:rsidRPr="00097442">
        <w:t xml:space="preserve">ost on-street passenger loading zones will fall under the jurisdiction of local authorities. Authorities should therefore be mindful of the accessibility requirements for passenger loading zones and install them accordingly. In choosing the location for accessible passenger loading zones, the gradient and crossfall of the road and footpath should be carefully assessed. The traffic volume of the road at peak times should also be considered, with further guidance on this matter available from Austroads publications. </w:t>
      </w:r>
    </w:p>
    <w:p w14:paraId="6FE76D47" w14:textId="77777777" w:rsidR="00094004" w:rsidRPr="00097442" w:rsidRDefault="00094004" w:rsidP="00124C72">
      <w:pPr>
        <w:pStyle w:val="Listparagraphbullets"/>
      </w:pPr>
      <w:r w:rsidRPr="00097442">
        <w:t>The rear section of the accessible vehicle space should be boldly marked in order to warn the drivers of following vehicles in the queue not to encroach into the accessible vehicle space. This encroachment will obstruct the deployment of the boarding lift platform and block the kerb ramp at grade separated taxi ranks. Blocks of colour, chevrons or hatching, in combination with messages such as ‘Keep Clear’, might be considered as appropriate markings for the area at the rear of the accessible vehicle space.</w:t>
      </w:r>
    </w:p>
    <w:p w14:paraId="1C583D13" w14:textId="77777777" w:rsidR="00094004" w:rsidRPr="00097442" w:rsidRDefault="00094004" w:rsidP="00124C72">
      <w:pPr>
        <w:pStyle w:val="Listparagraphbullets"/>
      </w:pPr>
      <w:r w:rsidRPr="00097442">
        <w:t xml:space="preserve">Temporary loading zones should have the same specifications as permanent loading zones. </w:t>
      </w:r>
    </w:p>
    <w:p w14:paraId="002BB42F" w14:textId="77777777" w:rsidR="00094004" w:rsidRPr="001B78B1" w:rsidRDefault="00094004" w:rsidP="00124C72">
      <w:pPr>
        <w:pStyle w:val="Listparagraphbullets"/>
      </w:pPr>
      <w:r w:rsidRPr="00097442">
        <w:t>Private property owners and government often own or manage off-street carparks that may incorporate passenger loading zones. While not directly covered by this advice, owners and managers should consider this advice in designing accessible passenger loading zones as part of their parking facilities.</w:t>
      </w:r>
    </w:p>
    <w:p w14:paraId="27AC1DFB" w14:textId="7C8F00F6" w:rsidR="00094004" w:rsidRDefault="00094004" w:rsidP="006F65FB">
      <w:pPr>
        <w:pStyle w:val="Heading3"/>
        <w:numPr>
          <w:ilvl w:val="0"/>
          <w:numId w:val="47"/>
        </w:numPr>
        <w:ind w:left="567" w:hanging="567"/>
      </w:pPr>
      <w:bookmarkStart w:id="993" w:name="_Toc127351871"/>
      <w:bookmarkStart w:id="994" w:name="_Toc130914549"/>
      <w:bookmarkStart w:id="995" w:name="_Toc140239841"/>
      <w:r w:rsidRPr="00130222">
        <w:t>Accessible parking spaces in infrastructure off-street carparks</w:t>
      </w:r>
      <w:bookmarkEnd w:id="993"/>
      <w:bookmarkEnd w:id="994"/>
      <w:bookmarkEnd w:id="995"/>
    </w:p>
    <w:p w14:paraId="1106F4CA" w14:textId="77777777" w:rsidR="00094004" w:rsidRPr="00097442" w:rsidRDefault="00094004" w:rsidP="00094004">
      <w:pPr>
        <w:pStyle w:val="Heading4"/>
      </w:pPr>
      <w:r w:rsidRPr="00097442">
        <w:t>Status quo</w:t>
      </w:r>
    </w:p>
    <w:p w14:paraId="52E999A3" w14:textId="77777777" w:rsidR="00094004" w:rsidRPr="00097442"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66B7DB27" w14:textId="77777777" w:rsidR="00094004" w:rsidRPr="00097442" w:rsidRDefault="00094004" w:rsidP="00094004">
      <w:r w:rsidRPr="00097442">
        <w:t xml:space="preserve">The </w:t>
      </w:r>
      <w:r>
        <w:t>Transport Standards</w:t>
      </w:r>
      <w:r w:rsidRPr="00097442">
        <w:t xml:space="preserve"> would continue to have no off-street parking requirements.</w:t>
      </w:r>
    </w:p>
    <w:p w14:paraId="365F5850" w14:textId="77777777" w:rsidR="00094004" w:rsidRPr="00097442" w:rsidRDefault="00094004" w:rsidP="00094004">
      <w:pPr>
        <w:pStyle w:val="Heading4"/>
      </w:pPr>
      <w:r>
        <w:t>Non-regulatory</w:t>
      </w:r>
      <w:r w:rsidRPr="00097442">
        <w:t xml:space="preserve"> option</w:t>
      </w:r>
    </w:p>
    <w:p w14:paraId="02CBB32F" w14:textId="77777777" w:rsidR="00094004" w:rsidRPr="00097442" w:rsidRDefault="00094004" w:rsidP="00094004">
      <w:r w:rsidRPr="00097442">
        <w:t xml:space="preserve">The </w:t>
      </w:r>
      <w:r>
        <w:t>Transport Standards</w:t>
      </w:r>
      <w:r w:rsidRPr="00097442">
        <w:t xml:space="preserve"> Guidelines and /or The Whole Journey Guide would be updated to include advice for off-street parking areas.</w:t>
      </w:r>
    </w:p>
    <w:p w14:paraId="5BA5B570" w14:textId="77777777" w:rsidR="00094004" w:rsidRPr="00097442" w:rsidRDefault="00094004" w:rsidP="00094004">
      <w:r w:rsidRPr="00097442">
        <w:lastRenderedPageBreak/>
        <w:t>Specific guidance may include the following:</w:t>
      </w:r>
    </w:p>
    <w:p w14:paraId="7F2E7FB3" w14:textId="77777777" w:rsidR="00094004" w:rsidRPr="00446671" w:rsidRDefault="00094004" w:rsidP="00124C72">
      <w:pPr>
        <w:pStyle w:val="Listparagraphbullets"/>
      </w:pPr>
      <w:r w:rsidRPr="00446671">
        <w:t>Off-street public parking areas that form part of, or are directly associated with, public transport services should provide accessible parking spaces in the proportions noted in the Premises Standards and with the same layout and dimensions.</w:t>
      </w:r>
    </w:p>
    <w:p w14:paraId="35E5EA18" w14:textId="77777777" w:rsidR="00094004" w:rsidRPr="00446671" w:rsidRDefault="00094004" w:rsidP="00124C72">
      <w:pPr>
        <w:pStyle w:val="Listparagraphbullets"/>
      </w:pPr>
      <w:r w:rsidRPr="00446671">
        <w:t xml:space="preserve">Accessible parking spaces should be located as close as practicable to accessible entrances of premises or infrastructure and connected to them via accessways. Wherever practicable, accessible parking spaces should be directly adjacent to accessible entrances or within 60 metres of accessible entrances. They should be on the same level as the accessible entrance where practicable and connected to accessible entrances via an access path. </w:t>
      </w:r>
    </w:p>
    <w:p w14:paraId="50525C21" w14:textId="77777777" w:rsidR="00094004" w:rsidRPr="00446671" w:rsidRDefault="00094004" w:rsidP="00124C72">
      <w:pPr>
        <w:pStyle w:val="Listparagraphbullets"/>
      </w:pPr>
      <w:r w:rsidRPr="00446671">
        <w:t>In some instances, car parks that are intended and signed for the exclusive use of passengers cannot be located directly adjacent to the transport node. While not adjacent to the transport node these car parks are directly associated with the node and so fall under the Transport Standards. Accessible parking spaces should be located as close as practicable to the access paths leading from the car park to the transport node. Many people who are eligible for an Australian Disability Parking Permit experience rapid onset of fatigue or pain if obliged to walk more than a short distance. Accessible parking spaces should therefore be located as close as practicable to the entrance of the transport facility served by the carpark. Failure to appropriately locate accessible parking spaces may result in some people not being able to complete their journey or experiencing undue stress.</w:t>
      </w:r>
    </w:p>
    <w:p w14:paraId="02A54DC9" w14:textId="77777777" w:rsidR="00094004" w:rsidRPr="00446671" w:rsidRDefault="00094004" w:rsidP="00124C72">
      <w:pPr>
        <w:pStyle w:val="Listparagraphbullets"/>
      </w:pPr>
      <w:r w:rsidRPr="00446671">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p>
    <w:p w14:paraId="1AA5CBCC" w14:textId="77777777" w:rsidR="00094004" w:rsidRPr="00446671" w:rsidRDefault="00094004" w:rsidP="00124C72">
      <w:pPr>
        <w:pStyle w:val="Listparagraphbullets"/>
      </w:pPr>
      <w:r w:rsidRPr="00446671">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6588184B" w14:textId="77777777" w:rsidR="00094004" w:rsidRPr="00097442" w:rsidRDefault="00094004" w:rsidP="00094004">
      <w:pPr>
        <w:pStyle w:val="Heading4"/>
      </w:pPr>
      <w:r w:rsidRPr="00097442">
        <w:t>Regulatory option</w:t>
      </w:r>
    </w:p>
    <w:p w14:paraId="3118D528" w14:textId="77777777" w:rsidR="00094004" w:rsidRDefault="00094004" w:rsidP="00094004">
      <w:r w:rsidRPr="00097442">
        <w:t xml:space="preserve">The </w:t>
      </w:r>
      <w:r>
        <w:t>Transport Standards</w:t>
      </w:r>
      <w:r w:rsidRPr="00097442">
        <w:t xml:space="preserve"> would be amended to include</w:t>
      </w:r>
      <w:r>
        <w:t xml:space="preserve"> new</w:t>
      </w:r>
      <w:r w:rsidRPr="00097442">
        <w:t xml:space="preserve"> requirements for off-street parking areas associated with public transport infrastructure and specifications for accessible parking spaces. This will ensure areas with off-street car parking associated with infrastructure and premises to which the Premises Standards does not apply, have accessible parking spaces.</w:t>
      </w:r>
    </w:p>
    <w:p w14:paraId="20B62631" w14:textId="77777777" w:rsidR="00094004" w:rsidRPr="00097442" w:rsidRDefault="00094004" w:rsidP="00094004">
      <w:r w:rsidRPr="00097442">
        <w:t xml:space="preserve">The </w:t>
      </w:r>
      <w:r>
        <w:t>Transport Standards</w:t>
      </w:r>
      <w:r w:rsidRPr="00097442">
        <w:t xml:space="preserve"> would include the following new requirements:</w:t>
      </w:r>
    </w:p>
    <w:p w14:paraId="06E3E44B" w14:textId="77777777" w:rsidR="00094004" w:rsidRPr="00446671" w:rsidRDefault="00094004" w:rsidP="00124C72">
      <w:pPr>
        <w:pStyle w:val="Listparagraphbullets"/>
      </w:pPr>
      <w:r w:rsidRPr="00446671">
        <w:t>Off-street public parking areas that form part of, or are directly associated with, public transport services must provide one accessible parking space for every 50 parking spaces (or part thereof) where there are more than five parking spaces and:</w:t>
      </w:r>
    </w:p>
    <w:p w14:paraId="6FB9D774" w14:textId="77777777" w:rsidR="00094004" w:rsidRPr="00097442" w:rsidRDefault="00094004" w:rsidP="00094004">
      <w:pPr>
        <w:pStyle w:val="Heading6"/>
        <w:ind w:left="1134"/>
      </w:pPr>
      <w:r w:rsidRPr="00097442">
        <w:t>Sub-Option 1</w:t>
      </w:r>
    </w:p>
    <w:p w14:paraId="478B5E8C" w14:textId="77777777" w:rsidR="00094004" w:rsidRPr="00097442" w:rsidRDefault="00094004" w:rsidP="00094004">
      <w:pPr>
        <w:ind w:left="1134"/>
      </w:pPr>
      <w:r w:rsidRPr="00097442">
        <w:t>Are not required to have designated accessible parking spaces where there is a total of not more than five car parking spaces in the parking area.</w:t>
      </w:r>
    </w:p>
    <w:p w14:paraId="48B6FFCB" w14:textId="77777777" w:rsidR="00094004" w:rsidRPr="00097442" w:rsidRDefault="00094004" w:rsidP="00094004">
      <w:pPr>
        <w:pStyle w:val="Heading6"/>
        <w:ind w:left="1134"/>
      </w:pPr>
      <w:r w:rsidRPr="00097442">
        <w:t>Sub-option 2</w:t>
      </w:r>
    </w:p>
    <w:p w14:paraId="2F7FEDE8" w14:textId="77777777" w:rsidR="00094004" w:rsidRPr="00097442" w:rsidRDefault="00094004" w:rsidP="00094004">
      <w:pPr>
        <w:ind w:left="1134"/>
      </w:pPr>
      <w:r w:rsidRPr="00097442">
        <w:t>Must designate all parking spaces as accessible parking spaces where there is a total of not more than five car parking spaces in the parking area.</w:t>
      </w:r>
    </w:p>
    <w:p w14:paraId="59D6AAFB" w14:textId="77777777" w:rsidR="00094004" w:rsidRPr="00446671" w:rsidRDefault="00094004" w:rsidP="00124C72">
      <w:pPr>
        <w:pStyle w:val="Listparagraphbullets"/>
      </w:pPr>
      <w:r w:rsidRPr="00446671">
        <w:t>Accessible parking spaces must be located as close as practicable to accessible entrances of the premises or infrastructure and connected to them via accessways.</w:t>
      </w:r>
    </w:p>
    <w:p w14:paraId="1B6A46E3" w14:textId="77777777" w:rsidR="00094004" w:rsidRPr="00446671" w:rsidRDefault="00094004" w:rsidP="00124C72">
      <w:pPr>
        <w:pStyle w:val="Listparagraphbullets"/>
      </w:pPr>
      <w:r w:rsidRPr="00446671">
        <w:lastRenderedPageBreak/>
        <w:t>Accessible parking spaces must conform to the layouts and dimensions of AS/NZS2890.6 (2009) Design for access and mobility.</w:t>
      </w:r>
    </w:p>
    <w:p w14:paraId="572E34ED" w14:textId="77777777" w:rsidR="00094004" w:rsidRPr="00097442" w:rsidRDefault="00094004" w:rsidP="00094004">
      <w:r w:rsidRPr="00097442">
        <w:t>These requirements would apply to premises, except premises to which the Premises Standards apply and infrastructure.</w:t>
      </w:r>
    </w:p>
    <w:p w14:paraId="22B1465C" w14:textId="77777777" w:rsidR="00094004" w:rsidRPr="00097442" w:rsidRDefault="00094004" w:rsidP="00094004">
      <w:r w:rsidRPr="00097442">
        <w:t xml:space="preserve">The </w:t>
      </w:r>
      <w:r>
        <w:t>Transport Standards</w:t>
      </w:r>
      <w:r w:rsidRPr="00097442">
        <w:t xml:space="preserve"> Guidelines and /or The Whole Journey Guide would be updated to reflect new requirements and include specific guidance for premises, except premises to which the Premises Standards apply and infrastructure.</w:t>
      </w:r>
    </w:p>
    <w:p w14:paraId="05E4FE3C" w14:textId="77777777" w:rsidR="00094004" w:rsidRPr="00097442" w:rsidRDefault="00094004" w:rsidP="00094004">
      <w:r w:rsidRPr="00097442">
        <w:t>Specific guidance may include the following:</w:t>
      </w:r>
    </w:p>
    <w:p w14:paraId="3CF9E9DC" w14:textId="77777777" w:rsidR="00094004" w:rsidRPr="00097442" w:rsidRDefault="00094004" w:rsidP="00124C72">
      <w:pPr>
        <w:pStyle w:val="Listparagraphbullets"/>
      </w:pPr>
      <w:r w:rsidRPr="00097442">
        <w:t xml:space="preserve">Many people who are eligible for an Australian Disability Parking Permit experience rapid onset of fatigue or pain if obliged to walk more than a short distance. Accessible parking spaces should therefore be located as close as practicable to accessible entrances of the premises or infrastructure and connected to them via accessways. </w:t>
      </w:r>
    </w:p>
    <w:p w14:paraId="5A8D8140" w14:textId="77777777" w:rsidR="00094004" w:rsidRPr="00097442" w:rsidRDefault="00094004" w:rsidP="00124C72">
      <w:pPr>
        <w:pStyle w:val="Listparagraphbullets"/>
      </w:pPr>
      <w:r w:rsidRPr="00097442">
        <w:t>Wherever practicable, accessible parking spaces should be directly adjacent to accessible entrances or within 60 metres of accessible entrances. They should be on the same level as the accessible entrance where practicable and connected to accessible entrances via an access path. Failure to appropriately locate accessible parking spaces may result in some people not being able to complete their journey or experiencing undue stress if they do.</w:t>
      </w:r>
    </w:p>
    <w:p w14:paraId="01A45669" w14:textId="77777777" w:rsidR="00094004" w:rsidRPr="00CD0AB1" w:rsidRDefault="00094004" w:rsidP="00124C72">
      <w:pPr>
        <w:pStyle w:val="Listparagraphbullets"/>
      </w:pPr>
      <w:r w:rsidRPr="00097442">
        <w:t xml:space="preserve">These access paths from carparks distant from the transport facility will mostly fall under the jurisdiction of a local authority or private property owner. Ensuring that the access paths are fit for purpose may involve negotiations with the local authority or property owner. </w:t>
      </w:r>
      <w:r w:rsidRPr="00CD0AB1">
        <w:t xml:space="preserve">In some instances, car parks that are intended and signed for the exclusive use of passengers cannot be located directly adjacent to the transport node. While not adjacent to the transport node these car parks are directly associated with the node and so fall under the </w:t>
      </w:r>
      <w:r>
        <w:t>Transport Standards</w:t>
      </w:r>
      <w:r w:rsidRPr="00CD0AB1">
        <w:t>. Accessible parking spaces should be located as close as practicable to the access paths leading from the car park to the transport node.</w:t>
      </w:r>
    </w:p>
    <w:p w14:paraId="1893ABAD" w14:textId="77777777" w:rsidR="00094004" w:rsidRPr="001B78B1" w:rsidRDefault="00094004" w:rsidP="00124C72">
      <w:pPr>
        <w:pStyle w:val="Listparagraphbullets"/>
      </w:pPr>
      <w:r w:rsidRPr="00097442">
        <w:t>While the intention for accessible parking spaces would be to match the 1:50 ratio or part thereof found in the Premises Standards, the demography of the precinct in which the carpark is located should be considered. Locations that have a population of residents or visitors who are likely to have a higher proportion of Australian Disability Parking Permits than average should be considered for more than the minimum number of accessible parking spaces.</w:t>
      </w:r>
    </w:p>
    <w:p w14:paraId="1A708C10" w14:textId="2DB0A026" w:rsidR="00094004" w:rsidRDefault="00094004" w:rsidP="006F65FB">
      <w:pPr>
        <w:pStyle w:val="Heading3"/>
        <w:numPr>
          <w:ilvl w:val="0"/>
          <w:numId w:val="47"/>
        </w:numPr>
        <w:ind w:left="567" w:hanging="567"/>
      </w:pPr>
      <w:bookmarkStart w:id="996" w:name="_Toc127351873"/>
      <w:bookmarkStart w:id="997" w:name="_Toc130914551"/>
      <w:bookmarkStart w:id="998" w:name="_Toc140239842"/>
      <w:r w:rsidRPr="00130222">
        <w:t>Grabrails on access paths</w:t>
      </w:r>
      <w:bookmarkEnd w:id="996"/>
      <w:bookmarkEnd w:id="997"/>
      <w:bookmarkEnd w:id="998"/>
    </w:p>
    <w:p w14:paraId="6AB9EEB1" w14:textId="77777777" w:rsidR="00094004" w:rsidRPr="00097442" w:rsidRDefault="00094004" w:rsidP="00094004">
      <w:pPr>
        <w:pStyle w:val="Heading4"/>
      </w:pPr>
      <w:r w:rsidRPr="00097442">
        <w:t>Status quo</w:t>
      </w:r>
    </w:p>
    <w:p w14:paraId="7A06F4EF" w14:textId="77777777" w:rsidR="00094004" w:rsidRDefault="00094004" w:rsidP="00094004">
      <w:r w:rsidRPr="00097442">
        <w:t xml:space="preserve">The </w:t>
      </w:r>
      <w:r>
        <w:t>Transport Standards</w:t>
      </w:r>
      <w:r w:rsidRPr="00097442">
        <w:t xml:space="preserve"> would remain unchanged and no additional guidance would be issued.</w:t>
      </w:r>
    </w:p>
    <w:p w14:paraId="77EF5F98" w14:textId="77777777" w:rsidR="00094004" w:rsidRPr="00097442" w:rsidRDefault="00094004" w:rsidP="00094004">
      <w:r>
        <w:t xml:space="preserve">The Transport Standards would continue to have no requirements for grabrails along access paths on conveyances. </w:t>
      </w:r>
    </w:p>
    <w:p w14:paraId="35334447" w14:textId="77777777" w:rsidR="00094004" w:rsidRPr="00097442" w:rsidRDefault="00094004" w:rsidP="00094004">
      <w:pPr>
        <w:pStyle w:val="Heading4"/>
      </w:pPr>
      <w:r>
        <w:t>Non-regulatory</w:t>
      </w:r>
      <w:r w:rsidRPr="00097442">
        <w:t xml:space="preserve"> option</w:t>
      </w:r>
    </w:p>
    <w:p w14:paraId="0ACF2D97" w14:textId="77777777" w:rsidR="00094004" w:rsidRPr="00097442" w:rsidRDefault="00094004" w:rsidP="00094004">
      <w:r w:rsidRPr="00097442">
        <w:t xml:space="preserve">The </w:t>
      </w:r>
      <w:r>
        <w:t>Transport Standards</w:t>
      </w:r>
      <w:r w:rsidRPr="00097442">
        <w:t xml:space="preserve"> Guidelines and /</w:t>
      </w:r>
      <w:r>
        <w:t xml:space="preserve"> </w:t>
      </w:r>
      <w:r w:rsidRPr="00097442">
        <w:t>or The Whole Journey Guide would be updated to include advice on luminance contrasting grabrails on conveyances.</w:t>
      </w:r>
    </w:p>
    <w:p w14:paraId="4914AC82" w14:textId="77777777" w:rsidR="00094004" w:rsidRPr="00097442" w:rsidRDefault="00094004" w:rsidP="00094004">
      <w:r w:rsidRPr="00097442">
        <w:t>Specific guidance may include the following:</w:t>
      </w:r>
    </w:p>
    <w:p w14:paraId="392AC8F9" w14:textId="77777777" w:rsidR="00094004" w:rsidRPr="00097442" w:rsidRDefault="00094004" w:rsidP="006F65FB">
      <w:pPr>
        <w:pStyle w:val="ListParagraph"/>
        <w:numPr>
          <w:ilvl w:val="0"/>
          <w:numId w:val="49"/>
        </w:numPr>
        <w:autoSpaceDE w:val="0"/>
        <w:autoSpaceDN w:val="0"/>
        <w:spacing w:before="40" w:after="40"/>
      </w:pPr>
      <w:r>
        <w:t>People with disability</w:t>
      </w:r>
      <w:r w:rsidRPr="00097442">
        <w:t xml:space="preserve"> who are ambulant (able to walk) benefit from grabrail support while travelling between the conveyance door and the priority seating. They also benefit from door mounted grabrails when boarding or alighting and in some circumstances, when the </w:t>
      </w:r>
      <w:r w:rsidRPr="00097442">
        <w:lastRenderedPageBreak/>
        <w:t xml:space="preserve">conveyance is moving. This is particularly the case where passengers must negotiate a step up or down such as at entrance doors or beside steps in aisles. </w:t>
      </w:r>
    </w:p>
    <w:p w14:paraId="396CD8D1" w14:textId="77777777" w:rsidR="00094004" w:rsidRPr="00097442" w:rsidRDefault="00094004" w:rsidP="006F65FB">
      <w:pPr>
        <w:pStyle w:val="ListParagraph"/>
        <w:numPr>
          <w:ilvl w:val="0"/>
          <w:numId w:val="49"/>
        </w:numPr>
        <w:autoSpaceDE w:val="0"/>
        <w:autoSpaceDN w:val="0"/>
        <w:spacing w:before="40" w:after="40"/>
      </w:pPr>
      <w:r w:rsidRPr="00097442">
        <w:t xml:space="preserve">If practicable, grabrails might also be located adjacent to priority seats as an aid to sitting and standing. These grabrails will also benefit other passengers entering or exiting a conveyance or who stand while the conveyance is in transit. </w:t>
      </w:r>
    </w:p>
    <w:p w14:paraId="1FC69408" w14:textId="77777777" w:rsidR="00094004" w:rsidRPr="00097442" w:rsidRDefault="00094004" w:rsidP="006F65FB">
      <w:pPr>
        <w:pStyle w:val="ListParagraph"/>
        <w:numPr>
          <w:ilvl w:val="0"/>
          <w:numId w:val="49"/>
        </w:numPr>
        <w:autoSpaceDE w:val="0"/>
        <w:autoSpaceDN w:val="0"/>
        <w:spacing w:before="40" w:after="40"/>
      </w:pPr>
      <w:r w:rsidRPr="00097442">
        <w:t xml:space="preserve">Apart from attachment points, grabrails should not be closer than 50 millimetres to an adjacent surface or obstruction. </w:t>
      </w:r>
    </w:p>
    <w:p w14:paraId="2029C309" w14:textId="77777777" w:rsidR="00094004" w:rsidRPr="00097442" w:rsidRDefault="00094004" w:rsidP="006F65FB">
      <w:pPr>
        <w:pStyle w:val="ListParagraph"/>
        <w:numPr>
          <w:ilvl w:val="0"/>
          <w:numId w:val="49"/>
        </w:numPr>
        <w:autoSpaceDE w:val="0"/>
        <w:autoSpaceDN w:val="0"/>
        <w:spacing w:before="40" w:after="40"/>
      </w:pPr>
      <w:r w:rsidRPr="00097442">
        <w:t xml:space="preserve">For the benefit of passengers who have a vision or cognitive impairment, grabrails should have a luminance contrast with the adjacent surface, attachment point or against other fixed surfaces that are within 2 meters of the grabrail by at least 30 per cent. Where luminance contrast must be achieved against a background or surface of variable colour, the dominant colour of the background should be the contrasting surface tested. </w:t>
      </w:r>
    </w:p>
    <w:p w14:paraId="7D2BF8B9" w14:textId="77777777" w:rsidR="00094004" w:rsidRPr="00097442" w:rsidRDefault="00094004" w:rsidP="006F65FB">
      <w:pPr>
        <w:pStyle w:val="ListParagraph"/>
        <w:numPr>
          <w:ilvl w:val="0"/>
          <w:numId w:val="49"/>
        </w:numPr>
        <w:autoSpaceDE w:val="0"/>
        <w:autoSpaceDN w:val="0"/>
        <w:spacing w:before="40" w:after="40"/>
      </w:pPr>
      <w:r w:rsidRPr="00097442">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AF1C3DA" w14:textId="77777777" w:rsidR="00094004" w:rsidRPr="00097442" w:rsidRDefault="00094004" w:rsidP="00094004">
      <w:pPr>
        <w:pStyle w:val="Heading4"/>
      </w:pPr>
      <w:r w:rsidRPr="00097442">
        <w:t>Regulatory option</w:t>
      </w:r>
    </w:p>
    <w:p w14:paraId="47F33260" w14:textId="77777777" w:rsidR="00094004" w:rsidRPr="00097442" w:rsidRDefault="00094004" w:rsidP="00094004">
      <w:r w:rsidRPr="00097442">
        <w:t xml:space="preserve">The </w:t>
      </w:r>
      <w:r>
        <w:t>Transport Standards</w:t>
      </w:r>
      <w:r w:rsidRPr="00097442">
        <w:t xml:space="preserve"> would be amended to include </w:t>
      </w:r>
      <w:r>
        <w:t xml:space="preserve">new </w:t>
      </w:r>
      <w:r w:rsidRPr="00097442">
        <w:t>technical specifications for grabrails beside access paths on conveyances with accessibility requirement to ensure they meet the needs of people with disability.</w:t>
      </w:r>
    </w:p>
    <w:p w14:paraId="57E05ED8" w14:textId="77777777" w:rsidR="00094004" w:rsidRPr="00097442" w:rsidRDefault="00094004" w:rsidP="00094004">
      <w:r w:rsidRPr="00097442">
        <w:t xml:space="preserve">The </w:t>
      </w:r>
      <w:r>
        <w:t>Transport Standards</w:t>
      </w:r>
      <w:r w:rsidRPr="00097442">
        <w:t xml:space="preserve"> would include the following new requirements:</w:t>
      </w:r>
    </w:p>
    <w:p w14:paraId="55A379BB" w14:textId="77777777" w:rsidR="00094004" w:rsidRPr="00097442" w:rsidRDefault="00094004" w:rsidP="006F65FB">
      <w:pPr>
        <w:pStyle w:val="ListParagraph"/>
        <w:numPr>
          <w:ilvl w:val="0"/>
          <w:numId w:val="48"/>
        </w:numPr>
        <w:autoSpaceDE w:val="0"/>
        <w:autoSpaceDN w:val="0"/>
        <w:spacing w:before="40" w:after="40"/>
      </w:pPr>
      <w:r w:rsidRPr="00097442">
        <w:t xml:space="preserve">Grabrails that conform to the requirements of AS1428.1 (2009), </w:t>
      </w:r>
      <w:r w:rsidRPr="00102DA1">
        <w:rPr>
          <w:i/>
        </w:rPr>
        <w:t xml:space="preserve">Clause 17 (a), (b) </w:t>
      </w:r>
      <w:r w:rsidRPr="00260350">
        <w:t>and</w:t>
      </w:r>
      <w:r w:rsidRPr="00102DA1">
        <w:rPr>
          <w:i/>
        </w:rPr>
        <w:t xml:space="preserve"> (c)</w:t>
      </w:r>
      <w:r w:rsidRPr="00097442">
        <w:t xml:space="preserve"> must be provided at all locations where passengers require support or stability during boarding, alighting or transit.</w:t>
      </w:r>
    </w:p>
    <w:p w14:paraId="7B81DF09" w14:textId="77777777" w:rsidR="00094004" w:rsidRPr="00097442" w:rsidRDefault="00094004" w:rsidP="006F65FB">
      <w:pPr>
        <w:pStyle w:val="ListParagraph"/>
        <w:numPr>
          <w:ilvl w:val="0"/>
          <w:numId w:val="48"/>
        </w:numPr>
        <w:autoSpaceDE w:val="0"/>
        <w:autoSpaceDN w:val="0"/>
        <w:spacing w:before="40" w:after="40"/>
      </w:pPr>
      <w:r w:rsidRPr="00097442">
        <w:t>Grabrails may have a combination of horizontal, vertical or angled alignment as the use of the space dictates, but apart from attachment points may not be closer than 50 millimetres to an adjacent surface or obstruction.</w:t>
      </w:r>
    </w:p>
    <w:p w14:paraId="40564FE2" w14:textId="77777777" w:rsidR="00094004" w:rsidRPr="00097442" w:rsidRDefault="00094004" w:rsidP="006F65FB">
      <w:pPr>
        <w:pStyle w:val="ListParagraph"/>
        <w:numPr>
          <w:ilvl w:val="0"/>
          <w:numId w:val="48"/>
        </w:numPr>
        <w:autoSpaceDE w:val="0"/>
        <w:autoSpaceDN w:val="0"/>
        <w:spacing w:before="40" w:after="40"/>
      </w:pPr>
      <w:r w:rsidRPr="00097442">
        <w:t xml:space="preserve">Grabrails must have a luminance contrast with the adjacent surface, attachment point or against other fixed surfaces that are within 2 meters of the grabrail by at least 30 per cent. </w:t>
      </w:r>
    </w:p>
    <w:p w14:paraId="4A43756E" w14:textId="77777777" w:rsidR="00094004" w:rsidRPr="00097442" w:rsidRDefault="00094004" w:rsidP="006F65FB">
      <w:pPr>
        <w:pStyle w:val="ListParagraph"/>
        <w:numPr>
          <w:ilvl w:val="0"/>
          <w:numId w:val="48"/>
        </w:numPr>
        <w:autoSpaceDE w:val="0"/>
        <w:autoSpaceDN w:val="0"/>
        <w:spacing w:before="40" w:after="40"/>
      </w:pPr>
      <w:r w:rsidRPr="00097442">
        <w:t xml:space="preserve">Luminance contrast testing of surfaces, objects and fixtures other than tactile ground surface indicators must be determined as per Appendix B of AS1428.1 (2009) </w:t>
      </w:r>
      <w:r w:rsidRPr="00102DA1">
        <w:rPr>
          <w:i/>
        </w:rPr>
        <w:t>Design for access and mobility – General requirement for access – New building work</w:t>
      </w:r>
      <w:r w:rsidRPr="00097442">
        <w:t xml:space="preserve">. </w:t>
      </w:r>
    </w:p>
    <w:p w14:paraId="18FCDF1F" w14:textId="77777777" w:rsidR="00094004" w:rsidRPr="00097442" w:rsidRDefault="00094004" w:rsidP="00094004">
      <w:r w:rsidRPr="00097442">
        <w:t>These requirements would apply to buses, coaches, ferries, trains, trams and light rail.</w:t>
      </w:r>
    </w:p>
    <w:p w14:paraId="380859CA" w14:textId="77777777" w:rsidR="00094004" w:rsidRPr="00097442" w:rsidRDefault="00094004" w:rsidP="00094004">
      <w:r w:rsidRPr="00097442">
        <w:t xml:space="preserve">The </w:t>
      </w:r>
      <w:r>
        <w:t>Transport Standards</w:t>
      </w:r>
      <w:r w:rsidRPr="00097442">
        <w:t xml:space="preserve"> Guidelines and /</w:t>
      </w:r>
      <w:r>
        <w:t xml:space="preserve"> </w:t>
      </w:r>
      <w:r w:rsidRPr="00097442">
        <w:t>or The Whole Journey Guide would be updated to reflect new requirements and include specific guidance for buses, trams and light rail and ferries.</w:t>
      </w:r>
    </w:p>
    <w:p w14:paraId="336976B2" w14:textId="77777777" w:rsidR="00094004" w:rsidRPr="00097442" w:rsidRDefault="00094004" w:rsidP="00094004">
      <w:r w:rsidRPr="00097442">
        <w:t>Specific guidance may include the following:</w:t>
      </w:r>
    </w:p>
    <w:p w14:paraId="6FFB5C1C" w14:textId="77777777" w:rsidR="00094004" w:rsidRPr="00097442" w:rsidRDefault="00094004" w:rsidP="006F65FB">
      <w:pPr>
        <w:pStyle w:val="ListParagraph"/>
        <w:numPr>
          <w:ilvl w:val="0"/>
          <w:numId w:val="48"/>
        </w:numPr>
        <w:autoSpaceDE w:val="0"/>
        <w:autoSpaceDN w:val="0"/>
        <w:spacing w:before="40" w:after="40"/>
      </w:pPr>
      <w:r>
        <w:t>People with disability</w:t>
      </w:r>
      <w:r w:rsidRPr="00097442">
        <w:t xml:space="preserve"> who are ambulant (able to walk) benefit from grabrail support while travelling between the conveyance door and the priority seating. They also benefit from door mounted grabrails when boarding or alighting and in some circumstances, when the conveyance is moving. This is particularly the case where passengers must negotiate a step up or down such as at entrance doors or beside steps in aisles. If practicable, grabrails might also be located adjacent to priority seats as an aid to sitting and standing. These grabrails will also benefit other passengers entering or exiting a conveyance or who stand while the conveyance is in transit. </w:t>
      </w:r>
    </w:p>
    <w:p w14:paraId="19098906" w14:textId="77777777" w:rsidR="00094004" w:rsidRPr="00097442" w:rsidRDefault="00094004" w:rsidP="006F65FB">
      <w:pPr>
        <w:pStyle w:val="ListParagraph"/>
        <w:numPr>
          <w:ilvl w:val="0"/>
          <w:numId w:val="48"/>
        </w:numPr>
        <w:autoSpaceDE w:val="0"/>
        <w:autoSpaceDN w:val="0"/>
        <w:spacing w:before="40" w:after="40"/>
      </w:pPr>
      <w:r w:rsidRPr="00097442">
        <w:lastRenderedPageBreak/>
        <w:t>Buses and Coaches are required to comply with various national and state requirements for grabrails. 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1DDA5F8F" w14:textId="77777777" w:rsidR="00094004" w:rsidRPr="00097442" w:rsidRDefault="00094004" w:rsidP="006F65FB">
      <w:pPr>
        <w:pStyle w:val="ListParagraph"/>
        <w:numPr>
          <w:ilvl w:val="0"/>
          <w:numId w:val="48"/>
        </w:numPr>
        <w:autoSpaceDE w:val="0"/>
        <w:autoSpaceDN w:val="0"/>
        <w:spacing w:before="40" w:after="40"/>
      </w:pPr>
      <w:r w:rsidRPr="00097442">
        <w:t xml:space="preserve">Many school buses do not have allocated spaces. While grabrails on access paths should comply with this guidance, the guidance does not trigger a requirement to install allocated spaces with associated grabrails in school buses. </w:t>
      </w:r>
    </w:p>
    <w:p w14:paraId="5D90A326" w14:textId="77777777" w:rsidR="00094004" w:rsidRDefault="00094004" w:rsidP="006F65FB">
      <w:pPr>
        <w:pStyle w:val="ListParagraph"/>
        <w:numPr>
          <w:ilvl w:val="0"/>
          <w:numId w:val="48"/>
        </w:numPr>
        <w:autoSpaceDE w:val="0"/>
        <w:autoSpaceDN w:val="0"/>
        <w:spacing w:before="40" w:after="40"/>
      </w:pPr>
      <w:r w:rsidRPr="00097442">
        <w:t>For the benefit of passengers who have a vision or cognitive impairment, grabrails should have a luminance contrast with a background by at least 30 per cent. Where luminance contrast must be achieved against a background or surface of variable colour, the dominant colour of the background should be the contrasting surface tested.</w:t>
      </w:r>
    </w:p>
    <w:p w14:paraId="10CFDD79" w14:textId="26FEE578" w:rsidR="00094004" w:rsidRDefault="00094004" w:rsidP="006F65FB">
      <w:pPr>
        <w:pStyle w:val="Heading3"/>
        <w:numPr>
          <w:ilvl w:val="0"/>
          <w:numId w:val="47"/>
        </w:numPr>
        <w:ind w:left="567" w:hanging="567"/>
      </w:pPr>
      <w:bookmarkStart w:id="999" w:name="_Toc127351874"/>
      <w:bookmarkStart w:id="1000" w:name="_Toc130914552"/>
      <w:bookmarkStart w:id="1001" w:name="_Toc140239843"/>
      <w:r w:rsidRPr="00130222">
        <w:t>Grabrails in allocated spaces</w:t>
      </w:r>
      <w:bookmarkEnd w:id="999"/>
      <w:bookmarkEnd w:id="1000"/>
      <w:bookmarkEnd w:id="1001"/>
    </w:p>
    <w:p w14:paraId="11701751" w14:textId="77777777" w:rsidR="00094004" w:rsidRPr="00097442" w:rsidRDefault="00094004" w:rsidP="00094004">
      <w:pPr>
        <w:pStyle w:val="Heading4"/>
      </w:pPr>
      <w:r w:rsidRPr="00097442">
        <w:t>Status quo</w:t>
      </w:r>
    </w:p>
    <w:p w14:paraId="143B4649" w14:textId="77777777" w:rsidR="00094004" w:rsidRPr="00097442" w:rsidRDefault="00094004" w:rsidP="00094004">
      <w:r>
        <w:t>Transport Standards s</w:t>
      </w:r>
      <w:r w:rsidRPr="00097442">
        <w:t>ection 11.7 Grabrails in allocated spaces</w:t>
      </w:r>
      <w:r>
        <w:t>,</w:t>
      </w:r>
      <w:r w:rsidRPr="00097442">
        <w:t xml:space="preserve"> </w:t>
      </w:r>
      <w:r>
        <w:t>would remain unchanged and n</w:t>
      </w:r>
      <w:r w:rsidRPr="00097442">
        <w:t xml:space="preserve">o changes to guidance would be made. </w:t>
      </w:r>
    </w:p>
    <w:p w14:paraId="4104196A" w14:textId="77777777" w:rsidR="00094004" w:rsidRPr="00097442" w:rsidRDefault="00094004" w:rsidP="00094004">
      <w:pPr>
        <w:ind w:left="1134" w:hanging="567"/>
        <w:rPr>
          <w:b/>
        </w:rPr>
      </w:pPr>
      <w:r w:rsidRPr="00097442">
        <w:rPr>
          <w:b/>
        </w:rPr>
        <w:t>11.7</w:t>
      </w:r>
      <w:r w:rsidRPr="00097442">
        <w:rPr>
          <w:b/>
        </w:rPr>
        <w:tab/>
        <w:t>Grabrails to be provided in allocated spaces</w:t>
      </w:r>
    </w:p>
    <w:p w14:paraId="554FC881" w14:textId="77777777" w:rsidR="00094004" w:rsidRPr="00097442" w:rsidRDefault="00094004" w:rsidP="00094004">
      <w:pPr>
        <w:ind w:left="567" w:firstLine="11"/>
      </w:pPr>
      <w:r w:rsidRPr="00097442">
        <w:t xml:space="preserve">Grabrails that comply with AS1428.2 (1992) </w:t>
      </w:r>
      <w:r w:rsidRPr="00102DA1">
        <w:rPr>
          <w:i/>
        </w:rPr>
        <w:t>Clause 10.2, Grabrails</w:t>
      </w:r>
      <w:r w:rsidRPr="00097442">
        <w:t>, must be provided in all allocated spaces.</w:t>
      </w:r>
    </w:p>
    <w:p w14:paraId="70CBE443" w14:textId="77777777" w:rsidR="00094004" w:rsidRPr="00097442" w:rsidRDefault="00094004" w:rsidP="00094004">
      <w:pPr>
        <w:ind w:left="567"/>
      </w:pPr>
      <w:r>
        <w:t>This s</w:t>
      </w:r>
      <w:r w:rsidRPr="00097442">
        <w:t xml:space="preserve">ection </w:t>
      </w:r>
      <w:r>
        <w:t>pertains</w:t>
      </w:r>
      <w:r w:rsidRPr="00097442">
        <w:t xml:space="preserve"> to buses, except dedicated school buses, coaches, ferries, trains, trams and light rail.</w:t>
      </w:r>
    </w:p>
    <w:p w14:paraId="5900D1A7" w14:textId="77777777" w:rsidR="00094004" w:rsidRPr="00097442" w:rsidRDefault="00094004" w:rsidP="00094004">
      <w:pPr>
        <w:pStyle w:val="Heading4"/>
      </w:pPr>
      <w:r>
        <w:t>Non-regulatory</w:t>
      </w:r>
      <w:r w:rsidRPr="00097442">
        <w:t xml:space="preserve"> option</w:t>
      </w:r>
    </w:p>
    <w:p w14:paraId="0F77E27D" w14:textId="77777777" w:rsidR="00094004" w:rsidRPr="00097442" w:rsidRDefault="00094004" w:rsidP="00094004">
      <w:r w:rsidRPr="00097442">
        <w:t xml:space="preserve">The </w:t>
      </w:r>
      <w:r>
        <w:t>Transport Standards</w:t>
      </w:r>
      <w:r w:rsidRPr="00097442">
        <w:t xml:space="preserve"> Guidelines and /</w:t>
      </w:r>
      <w:r>
        <w:t xml:space="preserve"> </w:t>
      </w:r>
      <w:r w:rsidRPr="00097442">
        <w:t xml:space="preserve">or The Whole Journey Guide would be updated </w:t>
      </w:r>
      <w:r>
        <w:t xml:space="preserve">to encourage operators and provides to include </w:t>
      </w:r>
      <w:r w:rsidRPr="00097442">
        <w:t>a variety of grabrails with various orientations are permitted in allocated spaces and that they should be luminance contrasted.</w:t>
      </w:r>
    </w:p>
    <w:p w14:paraId="0538A1B1" w14:textId="77777777" w:rsidR="00094004" w:rsidRPr="00097442" w:rsidRDefault="00094004" w:rsidP="00094004">
      <w:r>
        <w:t>Specific guidance may include:</w:t>
      </w:r>
    </w:p>
    <w:p w14:paraId="689FB354" w14:textId="77777777" w:rsidR="00094004" w:rsidRPr="00097442" w:rsidRDefault="00094004" w:rsidP="006F65FB">
      <w:pPr>
        <w:pStyle w:val="ListParagraph"/>
        <w:numPr>
          <w:ilvl w:val="0"/>
          <w:numId w:val="50"/>
        </w:numPr>
        <w:autoSpaceDE w:val="0"/>
        <w:autoSpaceDN w:val="0"/>
        <w:spacing w:before="40" w:after="40"/>
      </w:pPr>
      <w:r w:rsidRPr="00097442">
        <w:t xml:space="preserve">Grabrails should be fitted in such a way that they are functional for passengers </w:t>
      </w:r>
      <w:r>
        <w:t>with</w:t>
      </w:r>
      <w:r w:rsidRPr="00097442">
        <w:t xml:space="preserve"> mobility aids using the allocated space. Grabrails may have a combination of horizontal, vertical or angled alignment as the use of the space dictates. The most functional outcome can be achieved through a proces</w:t>
      </w:r>
      <w:r>
        <w:t>s of consultation and co-design with the disability community.</w:t>
      </w:r>
    </w:p>
    <w:p w14:paraId="51AF87EA" w14:textId="77777777" w:rsidR="00094004" w:rsidRPr="00097442" w:rsidRDefault="00094004" w:rsidP="006F65FB">
      <w:pPr>
        <w:pStyle w:val="ListParagraph"/>
        <w:numPr>
          <w:ilvl w:val="0"/>
          <w:numId w:val="50"/>
        </w:numPr>
        <w:autoSpaceDE w:val="0"/>
        <w:autoSpaceDN w:val="0"/>
        <w:spacing w:before="40" w:after="40"/>
      </w:pPr>
      <w:r w:rsidRPr="00097442">
        <w:t>Apart from attachment points</w:t>
      </w:r>
      <w:r>
        <w:t>,</w:t>
      </w:r>
      <w:r w:rsidRPr="00097442">
        <w:t xml:space="preserve"> grabrails should not be closer than 50 </w:t>
      </w:r>
      <w:r>
        <w:t>millimetres</w:t>
      </w:r>
      <w:r w:rsidRPr="00097442">
        <w:t xml:space="preserve"> to an adjacent surface or obstruction.</w:t>
      </w:r>
    </w:p>
    <w:p w14:paraId="55FDF326" w14:textId="77777777" w:rsidR="00094004" w:rsidRPr="00097442" w:rsidRDefault="00094004" w:rsidP="006F65FB">
      <w:pPr>
        <w:pStyle w:val="ListParagraph"/>
        <w:numPr>
          <w:ilvl w:val="0"/>
          <w:numId w:val="50"/>
        </w:numPr>
        <w:autoSpaceDE w:val="0"/>
        <w:autoSpaceDN w:val="0"/>
        <w:spacing w:before="40" w:after="40"/>
      </w:pPr>
      <w:r w:rsidRPr="00097442">
        <w:t xml:space="preserve">For the benefit of passengers who have a vision or cognitive impairment </w:t>
      </w:r>
      <w:r w:rsidRPr="00097442">
        <w:rPr>
          <w:rFonts w:cstheme="minorHAnsi"/>
        </w:rPr>
        <w:t>grabrails</w:t>
      </w:r>
      <w:r w:rsidRPr="00097442">
        <w:t xml:space="preserve"> should have a luminance contr</w:t>
      </w:r>
      <w:r>
        <w:t xml:space="preserve">ast with the adjacent surface, </w:t>
      </w:r>
      <w:r w:rsidRPr="00097442">
        <w:t xml:space="preserve">the grabrails attachment point or against other fixed surfaces that are within 2 </w:t>
      </w:r>
      <w:r>
        <w:t>meters</w:t>
      </w:r>
      <w:r w:rsidRPr="00097442">
        <w:t xml:space="preserve"> of the grabrail. </w:t>
      </w:r>
      <w:r w:rsidRPr="00097442">
        <w:rPr>
          <w:rFonts w:cstheme="minorHAnsi"/>
        </w:rPr>
        <w:t xml:space="preserve">Where luminance contrast must be achieved against a background or surface of variable colour, the dominant colour of the background should be the contrasting surface tested. </w:t>
      </w:r>
    </w:p>
    <w:p w14:paraId="0A65DC2A" w14:textId="77777777" w:rsidR="00094004" w:rsidRPr="00097442" w:rsidRDefault="00094004" w:rsidP="00094004">
      <w:r>
        <w:t xml:space="preserve">These requirements would pertain to buses (except dedicated school buses), coaches, ferries, </w:t>
      </w:r>
      <w:r w:rsidRPr="00097442">
        <w:t xml:space="preserve">trains, trams and light rail. </w:t>
      </w:r>
    </w:p>
    <w:p w14:paraId="00BBE531" w14:textId="77777777" w:rsidR="00094004" w:rsidRPr="0068085D" w:rsidRDefault="00094004" w:rsidP="00094004">
      <w:pPr>
        <w:pStyle w:val="Heading4"/>
      </w:pPr>
      <w:r w:rsidRPr="0068085D">
        <w:lastRenderedPageBreak/>
        <w:t>Regulatory option</w:t>
      </w:r>
    </w:p>
    <w:p w14:paraId="4354498A" w14:textId="77777777" w:rsidR="00094004" w:rsidRPr="00097442" w:rsidRDefault="00094004" w:rsidP="00094004">
      <w:r>
        <w:t xml:space="preserve">Transport Standards section 11.7 would be amended to include the following (including any requirements retained or amended from the status quo): </w:t>
      </w:r>
    </w:p>
    <w:p w14:paraId="13960A94" w14:textId="77777777" w:rsidR="00094004" w:rsidRPr="00102DA1" w:rsidRDefault="00094004" w:rsidP="006F65FB">
      <w:pPr>
        <w:pStyle w:val="ListParagraph"/>
        <w:numPr>
          <w:ilvl w:val="0"/>
          <w:numId w:val="51"/>
        </w:numPr>
        <w:autoSpaceDE w:val="0"/>
        <w:autoSpaceDN w:val="0"/>
        <w:spacing w:before="40" w:after="40"/>
      </w:pPr>
      <w:r w:rsidRPr="00097442">
        <w:t xml:space="preserve">Grabrails in allocated spaces must comply with </w:t>
      </w:r>
      <w:r>
        <w:t>AS</w:t>
      </w:r>
      <w:r w:rsidRPr="00097442">
        <w:t>1428.1 (2009)</w:t>
      </w:r>
      <w:r>
        <w:t xml:space="preserve">, </w:t>
      </w:r>
      <w:r w:rsidRPr="00102DA1">
        <w:t xml:space="preserve">Design for access and mobility, Part 1: General requirements for access - New building work, clause 17(a), (b) </w:t>
      </w:r>
      <w:r w:rsidRPr="00187652">
        <w:t>and</w:t>
      </w:r>
      <w:r w:rsidRPr="00102DA1">
        <w:t xml:space="preserve"> (c).</w:t>
      </w:r>
    </w:p>
    <w:p w14:paraId="7E208DBA" w14:textId="77777777" w:rsidR="00094004" w:rsidRPr="00097442" w:rsidRDefault="00094004" w:rsidP="006F65FB">
      <w:pPr>
        <w:pStyle w:val="ListParagraph"/>
        <w:numPr>
          <w:ilvl w:val="0"/>
          <w:numId w:val="51"/>
        </w:numPr>
        <w:autoSpaceDE w:val="0"/>
        <w:autoSpaceDN w:val="0"/>
        <w:spacing w:before="40" w:after="40"/>
      </w:pPr>
      <w:r w:rsidRPr="00097442">
        <w:t xml:space="preserve">Grabrails may have a combination of horizontal, vertical or angled alignment as the use of the space dictates but apart from attachment points may not be closer than 50 </w:t>
      </w:r>
      <w:r>
        <w:t>millimetres</w:t>
      </w:r>
      <w:r w:rsidRPr="00097442">
        <w:t xml:space="preserve"> to an adjacent surface or obstruction.</w:t>
      </w:r>
    </w:p>
    <w:p w14:paraId="41EA2117" w14:textId="77777777" w:rsidR="00094004" w:rsidRPr="00097442" w:rsidRDefault="00094004" w:rsidP="006F65FB">
      <w:pPr>
        <w:pStyle w:val="ListParagraph"/>
        <w:numPr>
          <w:ilvl w:val="0"/>
          <w:numId w:val="51"/>
        </w:numPr>
        <w:autoSpaceDE w:val="0"/>
        <w:autoSpaceDN w:val="0"/>
        <w:spacing w:before="40" w:after="40"/>
      </w:pPr>
      <w:r w:rsidRPr="00097442">
        <w:t>Grabrails must have a luminance contrast of at least 30</w:t>
      </w:r>
      <w:r>
        <w:t xml:space="preserve"> per cent</w:t>
      </w:r>
      <w:r w:rsidRPr="00097442">
        <w:t xml:space="preserve"> with the adjacent surface or attachment point or against other fixed surfaces that are within 2 </w:t>
      </w:r>
      <w:r>
        <w:t>meters</w:t>
      </w:r>
      <w:r w:rsidRPr="00097442">
        <w:t xml:space="preserve"> of the grabrail. </w:t>
      </w:r>
      <w:r w:rsidRPr="002122AA">
        <w:t xml:space="preserve">Luminance contrast testing of grabrails must be determined as per </w:t>
      </w:r>
      <w:r w:rsidRPr="002122AA">
        <w:rPr>
          <w:bCs/>
        </w:rPr>
        <w:t>AS1428.1 (2021)</w:t>
      </w:r>
      <w:r>
        <w:rPr>
          <w:bCs/>
        </w:rPr>
        <w:t xml:space="preserve">, </w:t>
      </w:r>
      <w:r w:rsidRPr="00102DA1">
        <w:rPr>
          <w:bCs/>
          <w:i/>
        </w:rPr>
        <w:t>Design for access and mobility, Part 1: General requirements for access - New building work</w:t>
      </w:r>
      <w:r>
        <w:rPr>
          <w:bCs/>
          <w:i/>
        </w:rPr>
        <w:t xml:space="preserve"> Appendix B</w:t>
      </w:r>
      <w:r w:rsidRPr="002122AA">
        <w:t>.</w:t>
      </w:r>
      <w:r w:rsidRPr="00097442">
        <w:t xml:space="preserve"> </w:t>
      </w:r>
    </w:p>
    <w:p w14:paraId="4E044765" w14:textId="77777777" w:rsidR="00094004" w:rsidRPr="00097442" w:rsidRDefault="00094004" w:rsidP="00094004">
      <w:r>
        <w:t>These requirements</w:t>
      </w:r>
      <w:r w:rsidRPr="00097442">
        <w:t xml:space="preserve"> would </w:t>
      </w:r>
      <w:r>
        <w:t>pertain</w:t>
      </w:r>
      <w:r w:rsidRPr="00097442">
        <w:t xml:space="preserve"> to buses, coaches, ferries, trains, trams and light rail.</w:t>
      </w:r>
    </w:p>
    <w:p w14:paraId="1533D7F1"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new requirements and provide the following additional guidance:</w:t>
      </w:r>
    </w:p>
    <w:p w14:paraId="00F001C3" w14:textId="77777777" w:rsidR="00094004" w:rsidRPr="00097442" w:rsidRDefault="00094004" w:rsidP="006F65FB">
      <w:pPr>
        <w:pStyle w:val="ListParagraph"/>
        <w:numPr>
          <w:ilvl w:val="0"/>
          <w:numId w:val="50"/>
        </w:numPr>
        <w:autoSpaceDE w:val="0"/>
        <w:autoSpaceDN w:val="0"/>
        <w:spacing w:before="40" w:after="40"/>
      </w:pPr>
      <w:r w:rsidRPr="00097442">
        <w:t>Grabrails should be fitted in such a way that they are functional for passengers in mobility aids using the allocated space. Grabrails may have a combination of horizontal, vertical or angled alignment as the use of the space dictates. The most functional outcome can be achieved through a process of consultation and co-design.</w:t>
      </w:r>
    </w:p>
    <w:p w14:paraId="128034B7" w14:textId="77777777" w:rsidR="00094004" w:rsidRPr="00097442" w:rsidRDefault="00094004" w:rsidP="006F65FB">
      <w:pPr>
        <w:pStyle w:val="ListParagraph"/>
        <w:numPr>
          <w:ilvl w:val="0"/>
          <w:numId w:val="50"/>
        </w:numPr>
        <w:autoSpaceDE w:val="0"/>
        <w:autoSpaceDN w:val="0"/>
        <w:spacing w:before="40" w:after="40"/>
      </w:pPr>
      <w:r w:rsidRPr="00097442">
        <w:t xml:space="preserve">Buses and coaches are required to comply with various national and state requirements for grabrails. </w:t>
      </w:r>
    </w:p>
    <w:p w14:paraId="5B72FDA9" w14:textId="77777777" w:rsidR="00094004" w:rsidRPr="00097442" w:rsidRDefault="00094004" w:rsidP="006F65FB">
      <w:pPr>
        <w:pStyle w:val="ListParagraph"/>
        <w:numPr>
          <w:ilvl w:val="0"/>
          <w:numId w:val="50"/>
        </w:numPr>
        <w:autoSpaceDE w:val="0"/>
        <w:autoSpaceDN w:val="0"/>
        <w:spacing w:before="40" w:after="40"/>
      </w:pPr>
      <w:r w:rsidRPr="00097442">
        <w:t>For example, in coaches or seat belted buses any grabrails fitted in the accessible area or the access path must not encroach the head impact zone as determined by Australian Design Rules. Grabrails that may be struck by the head of a seated occupant if the bus is involved in a collision must be padded as per the relevant state technical requirements.</w:t>
      </w:r>
    </w:p>
    <w:p w14:paraId="657A360A" w14:textId="77777777" w:rsidR="00094004" w:rsidRPr="002335CC" w:rsidRDefault="00094004" w:rsidP="006F65FB">
      <w:pPr>
        <w:pStyle w:val="ListParagraph"/>
        <w:numPr>
          <w:ilvl w:val="0"/>
          <w:numId w:val="50"/>
        </w:numPr>
        <w:autoSpaceDE w:val="0"/>
        <w:autoSpaceDN w:val="0"/>
        <w:spacing w:before="40" w:after="40"/>
      </w:pPr>
      <w:r w:rsidRPr="00097442">
        <w:t>For the benefit of passengers who have a vision or cognitive impairment grabrails should have a luminance contrast with a background by at least 30</w:t>
      </w:r>
      <w:r>
        <w:t xml:space="preserve"> per cent.</w:t>
      </w:r>
      <w:r w:rsidRPr="00097442">
        <w:t xml:space="preserve"> Where luminance contrast must be achieved against a background or surface of variable colour, the dominant colour of the background should be the contrasting surface tested. </w:t>
      </w:r>
    </w:p>
    <w:p w14:paraId="1C780689" w14:textId="353FFAB0" w:rsidR="00094004" w:rsidRDefault="00094004" w:rsidP="006F65FB">
      <w:pPr>
        <w:pStyle w:val="Heading3"/>
        <w:numPr>
          <w:ilvl w:val="0"/>
          <w:numId w:val="47"/>
        </w:numPr>
        <w:ind w:left="567" w:hanging="567"/>
      </w:pPr>
      <w:bookmarkStart w:id="1002" w:name="_Toc127351875"/>
      <w:bookmarkStart w:id="1003" w:name="_Toc130914553"/>
      <w:bookmarkStart w:id="1004" w:name="_Toc140239844"/>
      <w:r w:rsidRPr="00130222">
        <w:t>Mobility aid movement in allocated spaces – passive restraints</w:t>
      </w:r>
      <w:bookmarkEnd w:id="1002"/>
      <w:bookmarkEnd w:id="1003"/>
      <w:bookmarkEnd w:id="1004"/>
    </w:p>
    <w:p w14:paraId="439F74A2" w14:textId="77777777" w:rsidR="00094004" w:rsidRPr="00097442" w:rsidRDefault="00094004" w:rsidP="00094004">
      <w:pPr>
        <w:pStyle w:val="Heading4"/>
      </w:pPr>
      <w:r w:rsidRPr="00097442">
        <w:t>Status quo</w:t>
      </w:r>
    </w:p>
    <w:p w14:paraId="574A53E6" w14:textId="77777777" w:rsidR="00094004" w:rsidRPr="00097442" w:rsidRDefault="00094004" w:rsidP="00094004">
      <w:pPr>
        <w:rPr>
          <w:b/>
        </w:rPr>
      </w:pPr>
      <w:r>
        <w:t>Transport Standards s</w:t>
      </w:r>
      <w:r w:rsidRPr="00097442">
        <w:t>ection 9.1</w:t>
      </w:r>
      <w:r>
        <w:t>1</w:t>
      </w:r>
      <w:r w:rsidRPr="00097442">
        <w:t xml:space="preserve"> Movement of mobility aid in allocated space</w:t>
      </w:r>
      <w:r>
        <w:t>,</w:t>
      </w:r>
      <w:r w:rsidRPr="00097442">
        <w:rPr>
          <w:b/>
        </w:rPr>
        <w:t xml:space="preserve"> </w:t>
      </w:r>
      <w:r w:rsidRPr="00097442">
        <w:t xml:space="preserve">would remain unchanged and no additional guidance would be issued. </w:t>
      </w:r>
    </w:p>
    <w:p w14:paraId="598191B8" w14:textId="77777777" w:rsidR="00094004" w:rsidRPr="00097442" w:rsidRDefault="00094004" w:rsidP="00094004">
      <w:pPr>
        <w:ind w:left="1134" w:hanging="567"/>
        <w:rPr>
          <w:b/>
        </w:rPr>
      </w:pPr>
      <w:r>
        <w:rPr>
          <w:b/>
        </w:rPr>
        <w:t>9.11</w:t>
      </w:r>
      <w:r>
        <w:rPr>
          <w:b/>
        </w:rPr>
        <w:tab/>
      </w:r>
      <w:r w:rsidRPr="00097442">
        <w:rPr>
          <w:b/>
        </w:rPr>
        <w:t>Movement of mobility aid in allocated space</w:t>
      </w:r>
    </w:p>
    <w:p w14:paraId="5AC020A6" w14:textId="77777777" w:rsidR="00094004" w:rsidRPr="00097442" w:rsidRDefault="00094004" w:rsidP="00094004">
      <w:pPr>
        <w:ind w:left="567"/>
      </w:pPr>
      <w:r w:rsidRPr="00097442">
        <w:t>An allocated space must contain movement of a mobility aid towards the front and sides of a conveyance.</w:t>
      </w:r>
    </w:p>
    <w:p w14:paraId="17B17439" w14:textId="77777777" w:rsidR="00094004" w:rsidRDefault="00094004" w:rsidP="00094004">
      <w:pPr>
        <w:tabs>
          <w:tab w:val="right" w:pos="8906"/>
        </w:tabs>
        <w:ind w:left="567"/>
      </w:pPr>
      <w:r>
        <w:t>This s</w:t>
      </w:r>
      <w:r w:rsidRPr="00097442">
        <w:t>ection applies to buses (except dedicated school buses), trams and light rail.</w:t>
      </w:r>
    </w:p>
    <w:p w14:paraId="0DC4621C" w14:textId="77777777" w:rsidR="00094004" w:rsidRPr="00097442" w:rsidRDefault="00094004" w:rsidP="00094004">
      <w:pPr>
        <w:pStyle w:val="Heading4"/>
      </w:pPr>
      <w:r>
        <w:lastRenderedPageBreak/>
        <w:t>Non-regulatory</w:t>
      </w:r>
      <w:r w:rsidRPr="00097442">
        <w:t xml:space="preserve"> option</w:t>
      </w:r>
    </w:p>
    <w:p w14:paraId="41F496E0" w14:textId="77777777" w:rsidR="00094004"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include more refined advice for containment of mobility aids in allocated spaces and provide a definition for passive restraint systems. </w:t>
      </w:r>
      <w:r>
        <w:t>Guidance may</w:t>
      </w:r>
      <w:r w:rsidRPr="00097442">
        <w:t xml:space="preserve"> also recognise the different lateral forces that are experienced in different conveyances and provide specific advice for buses, trams and light rail, and ferries.</w:t>
      </w:r>
    </w:p>
    <w:p w14:paraId="5F4CECE2" w14:textId="77777777" w:rsidR="00094004" w:rsidRPr="00097442" w:rsidRDefault="00094004" w:rsidP="00094004">
      <w:r w:rsidRPr="00097442">
        <w:t xml:space="preserve">A definition </w:t>
      </w:r>
      <w:r>
        <w:t>of a passive restraining system</w:t>
      </w:r>
      <w:r w:rsidRPr="00097442">
        <w:t xml:space="preserve"> may include</w:t>
      </w:r>
      <w:r>
        <w:t>:</w:t>
      </w:r>
    </w:p>
    <w:p w14:paraId="25288E51" w14:textId="77777777" w:rsidR="00094004" w:rsidRPr="00DF73A9" w:rsidRDefault="00094004" w:rsidP="00124C72">
      <w:pPr>
        <w:pStyle w:val="Listparagraphbullets"/>
        <w:ind w:left="709"/>
      </w:pPr>
      <w:r w:rsidRPr="00DF73A9">
        <w:t>Passive restraining system</w:t>
      </w:r>
    </w:p>
    <w:p w14:paraId="1FE888B4" w14:textId="77777777" w:rsidR="00094004" w:rsidRPr="00DF73A9" w:rsidRDefault="00094004" w:rsidP="006F65FB">
      <w:pPr>
        <w:pStyle w:val="ListParagraph"/>
        <w:numPr>
          <w:ilvl w:val="0"/>
          <w:numId w:val="57"/>
        </w:numPr>
        <w:autoSpaceDE w:val="0"/>
        <w:autoSpaceDN w:val="0"/>
        <w:spacing w:before="40" w:after="40"/>
      </w:pPr>
      <w:r w:rsidRPr="00097442">
        <w:t>A</w:t>
      </w:r>
      <w:r w:rsidRPr="00DF73A9">
        <w:t xml:space="preserve"> passive restraining system contains movement of a wheelchair within an allocated space. </w:t>
      </w:r>
    </w:p>
    <w:p w14:paraId="36D11B9C" w14:textId="77777777" w:rsidR="00094004" w:rsidRPr="00097442" w:rsidRDefault="00094004" w:rsidP="006F65FB">
      <w:pPr>
        <w:pStyle w:val="ListParagraph"/>
        <w:numPr>
          <w:ilvl w:val="0"/>
          <w:numId w:val="57"/>
        </w:numPr>
        <w:autoSpaceDE w:val="0"/>
        <w:autoSpaceDN w:val="0"/>
        <w:spacing w:before="40" w:after="40"/>
      </w:pPr>
      <w:r w:rsidRPr="00097442">
        <w:t>Passive restraints include the sides of a conveyance or excursion barriers such as rails and vertical padded boards that act as passive restraints against the tipping or sliding of a mobility aid towards the aisle, front or rear of the conveyance.</w:t>
      </w:r>
      <w:r w:rsidRPr="00DF73A9">
        <w:t xml:space="preserve"> </w:t>
      </w:r>
    </w:p>
    <w:p w14:paraId="0F1D0EAF" w14:textId="77777777" w:rsidR="00094004" w:rsidRPr="00E62EAC" w:rsidRDefault="00094004" w:rsidP="006F65FB">
      <w:pPr>
        <w:pStyle w:val="ListParagraph"/>
        <w:numPr>
          <w:ilvl w:val="0"/>
          <w:numId w:val="57"/>
        </w:numPr>
        <w:autoSpaceDE w:val="0"/>
        <w:autoSpaceDN w:val="0"/>
        <w:spacing w:before="40" w:after="40"/>
      </w:pPr>
      <w:r w:rsidRPr="00DF73A9">
        <w:t>Other innovative technical solutions that perform equal to or better than the requirements above may also be appropriate.</w:t>
      </w:r>
    </w:p>
    <w:p w14:paraId="68C90F56" w14:textId="77777777" w:rsidR="00094004" w:rsidRPr="00097442" w:rsidRDefault="00094004" w:rsidP="00094004">
      <w:r w:rsidRPr="00097442">
        <w:t xml:space="preserve">Specific guidance for </w:t>
      </w:r>
      <w:r w:rsidRPr="00790351">
        <w:rPr>
          <w:b/>
        </w:rPr>
        <w:t>buses</w:t>
      </w:r>
      <w:r w:rsidRPr="00097442">
        <w:t xml:space="preserve"> may </w:t>
      </w:r>
      <w:r>
        <w:t>include:</w:t>
      </w:r>
    </w:p>
    <w:p w14:paraId="045E4630" w14:textId="77777777" w:rsidR="00094004" w:rsidRPr="00097442" w:rsidRDefault="00094004" w:rsidP="006F65FB">
      <w:pPr>
        <w:pStyle w:val="ListParagraph"/>
        <w:numPr>
          <w:ilvl w:val="0"/>
          <w:numId w:val="54"/>
        </w:numPr>
        <w:autoSpaceDE w:val="0"/>
        <w:autoSpaceDN w:val="0"/>
        <w:spacing w:before="40" w:after="40"/>
      </w:pPr>
      <w:r w:rsidRPr="00097442">
        <w:t xml:space="preserve">Forces experienced in buses resulting from certain turns (for example, cornering, sharp turns and roundabouts),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 </w:t>
      </w:r>
    </w:p>
    <w:p w14:paraId="2FB76127" w14:textId="77777777" w:rsidR="00094004" w:rsidRPr="00097442" w:rsidRDefault="00094004" w:rsidP="006F65FB">
      <w:pPr>
        <w:pStyle w:val="ListParagraph"/>
        <w:numPr>
          <w:ilvl w:val="0"/>
          <w:numId w:val="54"/>
        </w:numPr>
        <w:autoSpaceDE w:val="0"/>
        <w:autoSpaceDN w:val="0"/>
        <w:spacing w:before="40" w:after="40"/>
      </w:pPr>
      <w:r w:rsidRPr="00097442">
        <w:t>Passive containment should be in p</w:t>
      </w:r>
      <w:r>
        <w:t>lace to prevent tipping or sliding</w:t>
      </w:r>
      <w:r w:rsidRPr="00097442">
        <w:t xml:space="preserve"> out of the allocated space.</w:t>
      </w:r>
    </w:p>
    <w:p w14:paraId="2916D41C" w14:textId="77777777" w:rsidR="00094004" w:rsidRPr="00BC5BA0" w:rsidRDefault="00094004" w:rsidP="006F65FB">
      <w:pPr>
        <w:pStyle w:val="ListParagraph"/>
        <w:numPr>
          <w:ilvl w:val="0"/>
          <w:numId w:val="54"/>
        </w:numPr>
        <w:autoSpaceDE w:val="0"/>
        <w:autoSpaceDN w:val="0"/>
        <w:spacing w:before="40" w:after="40"/>
      </w:pPr>
      <w:r w:rsidRPr="00097442">
        <w:t>Passengers who choose to travel without containment should be permitted to do so</w:t>
      </w:r>
      <w:r>
        <w:t xml:space="preserve">. </w:t>
      </w:r>
      <w:r w:rsidRPr="00097442">
        <w:t xml:space="preserve">Passengers may choose to orient themselves facing forward, to the rear or side of the vehicle. </w:t>
      </w:r>
    </w:p>
    <w:p w14:paraId="6BD3FFD3" w14:textId="77777777" w:rsidR="00094004" w:rsidRPr="00097442" w:rsidRDefault="00094004" w:rsidP="00094004">
      <w:r w:rsidRPr="00097442">
        <w:t xml:space="preserve">Specific guidance for </w:t>
      </w:r>
      <w:r w:rsidRPr="00DF73A9">
        <w:rPr>
          <w:b/>
        </w:rPr>
        <w:t>trams and light rail</w:t>
      </w:r>
      <w:r w:rsidRPr="00097442">
        <w:t xml:space="preserve"> may </w:t>
      </w:r>
      <w:r>
        <w:t>include:</w:t>
      </w:r>
    </w:p>
    <w:p w14:paraId="3F0A30B2" w14:textId="77777777" w:rsidR="00094004" w:rsidRPr="00097442" w:rsidRDefault="00094004" w:rsidP="006F65FB">
      <w:pPr>
        <w:pStyle w:val="ListParagraph"/>
        <w:numPr>
          <w:ilvl w:val="0"/>
          <w:numId w:val="55"/>
        </w:numPr>
        <w:autoSpaceDE w:val="0"/>
        <w:autoSpaceDN w:val="0"/>
        <w:spacing w:before="40" w:after="40"/>
      </w:pPr>
      <w:r w:rsidRPr="00097442">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04FAFE00" w14:textId="77777777" w:rsidR="00094004" w:rsidRPr="00097442" w:rsidRDefault="00094004" w:rsidP="006F65FB">
      <w:pPr>
        <w:pStyle w:val="ListParagraph"/>
        <w:numPr>
          <w:ilvl w:val="0"/>
          <w:numId w:val="55"/>
        </w:numPr>
        <w:autoSpaceDE w:val="0"/>
        <w:autoSpaceDN w:val="0"/>
        <w:spacing w:before="40" w:after="40"/>
      </w:pPr>
      <w:r w:rsidRPr="00097442">
        <w:t>Passive containments should be in place to restrict these movements to within the allocated space.</w:t>
      </w:r>
    </w:p>
    <w:p w14:paraId="2BEEF79B" w14:textId="77777777" w:rsidR="00094004" w:rsidRPr="00097442" w:rsidRDefault="00094004" w:rsidP="006F65FB">
      <w:pPr>
        <w:pStyle w:val="ListParagraph"/>
        <w:numPr>
          <w:ilvl w:val="0"/>
          <w:numId w:val="55"/>
        </w:numPr>
        <w:autoSpaceDE w:val="0"/>
        <w:autoSpaceDN w:val="0"/>
        <w:spacing w:before="40" w:after="40"/>
      </w:pPr>
      <w:r w:rsidRPr="00097442">
        <w:t xml:space="preserve">Some tram services are bidirectional and have consolidated allocated spaces one behind the other. Due to the limited space inside conveyances, some mobility aid </w:t>
      </w:r>
      <w:r>
        <w:t>passengers</w:t>
      </w:r>
      <w:r w:rsidRPr="00097442">
        <w:t xml:space="preserve"> use one allocated space as an access path or manoeuvring area to access the adjacent allocated space. A passive containment system installed between consolidated allocated spaces should maintain this.</w:t>
      </w:r>
    </w:p>
    <w:p w14:paraId="099DB23B" w14:textId="77777777" w:rsidR="00094004" w:rsidRPr="00097442" w:rsidRDefault="00094004" w:rsidP="006F65FB">
      <w:pPr>
        <w:pStyle w:val="ListParagraph"/>
        <w:numPr>
          <w:ilvl w:val="0"/>
          <w:numId w:val="55"/>
        </w:numPr>
        <w:autoSpaceDE w:val="0"/>
        <w:autoSpaceDN w:val="0"/>
        <w:spacing w:before="40" w:after="40"/>
      </w:pPr>
      <w:r w:rsidRPr="00097442">
        <w:t xml:space="preserve">Passengers who choose to travel without containments should be permitted to do so. Passengers may choose to orient themselves facing forward, to the rear or side of the vehicle. </w:t>
      </w:r>
    </w:p>
    <w:p w14:paraId="01CB2867" w14:textId="77777777" w:rsidR="00094004" w:rsidRPr="00097442" w:rsidRDefault="00094004" w:rsidP="00094004">
      <w:r w:rsidRPr="00097442">
        <w:t xml:space="preserve">Specific guidance for </w:t>
      </w:r>
      <w:r w:rsidRPr="00DF73A9">
        <w:rPr>
          <w:b/>
        </w:rPr>
        <w:t>ferries</w:t>
      </w:r>
      <w:r w:rsidRPr="00097442">
        <w:t xml:space="preserve"> may include</w:t>
      </w:r>
      <w:r>
        <w:t>:</w:t>
      </w:r>
    </w:p>
    <w:p w14:paraId="69D995E9" w14:textId="77777777" w:rsidR="00094004" w:rsidRPr="00097442" w:rsidRDefault="00094004" w:rsidP="006F65FB">
      <w:pPr>
        <w:pStyle w:val="ListParagraph"/>
        <w:numPr>
          <w:ilvl w:val="0"/>
          <w:numId w:val="56"/>
        </w:numPr>
        <w:autoSpaceDE w:val="0"/>
        <w:autoSpaceDN w:val="0"/>
        <w:spacing w:before="40" w:after="40"/>
      </w:pPr>
      <w:r w:rsidRPr="00097442">
        <w:t xml:space="preserve">Ferries operating in waters that on occasion experience high wind and wave energy would benefit from passive restraints in allocated spaces. Open seas and open harbours exposed to strong winds are the environments likely to experience high seas. Riverine ferry operators are very unlikely to have any significant wave action with which they must deal. </w:t>
      </w:r>
    </w:p>
    <w:p w14:paraId="5B590913" w14:textId="77777777" w:rsidR="00094004" w:rsidRPr="00097442" w:rsidRDefault="00094004" w:rsidP="006F65FB">
      <w:pPr>
        <w:pStyle w:val="ListParagraph"/>
        <w:numPr>
          <w:ilvl w:val="0"/>
          <w:numId w:val="56"/>
        </w:numPr>
        <w:autoSpaceDE w:val="0"/>
        <w:autoSpaceDN w:val="0"/>
        <w:spacing w:before="40" w:after="40"/>
      </w:pPr>
      <w:r w:rsidRPr="00097442">
        <w:lastRenderedPageBreak/>
        <w:t xml:space="preserve">Ferries operating in Operational areas A to C as defined in the </w:t>
      </w:r>
      <w:r w:rsidRPr="00102DA1">
        <w:rPr>
          <w:i/>
          <w:iCs/>
        </w:rPr>
        <w:t>National Standard for Commercial Vessels Part B General requirements (2018)</w:t>
      </w:r>
      <w:r w:rsidRPr="00097442">
        <w:rPr>
          <w:iCs/>
        </w:rPr>
        <w:t xml:space="preserve"> </w:t>
      </w:r>
      <w:r w:rsidRPr="00097442">
        <w:t xml:space="preserve">should have passive restraints at allocated spaces. Operational areas D to E would not impose movements on a vessel that would require passive restraints at allocated spaces. </w:t>
      </w:r>
    </w:p>
    <w:p w14:paraId="01BE114C" w14:textId="77777777" w:rsidR="00094004" w:rsidRPr="00097442" w:rsidRDefault="00094004" w:rsidP="006F65FB">
      <w:pPr>
        <w:pStyle w:val="ListParagraph"/>
        <w:numPr>
          <w:ilvl w:val="0"/>
          <w:numId w:val="56"/>
        </w:numPr>
        <w:autoSpaceDE w:val="0"/>
        <w:autoSpaceDN w:val="0"/>
        <w:spacing w:before="40" w:after="40"/>
      </w:pPr>
      <w:r w:rsidRPr="00097442">
        <w:t xml:space="preserve">Passengers may choose to orient themselves facing forward, to the rear or side of the vehicle. </w:t>
      </w:r>
    </w:p>
    <w:p w14:paraId="73AA3998" w14:textId="77777777" w:rsidR="00094004" w:rsidRPr="00097442" w:rsidRDefault="00094004" w:rsidP="00094004">
      <w:pPr>
        <w:rPr>
          <w:rFonts w:ascii="Calibri" w:eastAsia="Calibri" w:hAnsi="Calibri" w:cs="Calibri"/>
          <w:b/>
          <w:color w:val="595959"/>
          <w:kern w:val="12"/>
          <w:sz w:val="32"/>
          <w:szCs w:val="32"/>
        </w:rPr>
      </w:pPr>
      <w:r w:rsidRPr="00097442">
        <w:rPr>
          <w:rFonts w:ascii="Calibri" w:eastAsia="Calibri" w:hAnsi="Calibri" w:cs="Calibri"/>
          <w:b/>
          <w:color w:val="595959"/>
          <w:kern w:val="12"/>
          <w:sz w:val="32"/>
          <w:szCs w:val="32"/>
        </w:rPr>
        <w:t>Regulatory option</w:t>
      </w:r>
    </w:p>
    <w:p w14:paraId="647063C5" w14:textId="77777777" w:rsidR="00094004" w:rsidRPr="00097442" w:rsidRDefault="00094004" w:rsidP="00094004">
      <w:r w:rsidRPr="00097442">
        <w:t xml:space="preserve">The </w:t>
      </w:r>
      <w:r>
        <w:t>Transport Standards</w:t>
      </w:r>
      <w:r w:rsidRPr="00097442">
        <w:t xml:space="preserve"> would be amended to include more defined requirements for containment of mobility aids in allocated spaces and define passive restraint systems. The </w:t>
      </w:r>
      <w:r>
        <w:t>Transport Standards</w:t>
      </w:r>
      <w:r w:rsidRPr="00097442">
        <w:t xml:space="preserve"> would also include new requirements for buses, trams and light rail </w:t>
      </w:r>
      <w:r>
        <w:t>for mobility aids in allocated spaces.</w:t>
      </w:r>
    </w:p>
    <w:p w14:paraId="46B06E88" w14:textId="77777777" w:rsidR="00094004" w:rsidRPr="00097442" w:rsidRDefault="00094004" w:rsidP="00094004">
      <w:r>
        <w:t>Transport Standards s</w:t>
      </w:r>
      <w:r w:rsidRPr="00097442">
        <w:t>ection 9.11 Movement of a mobility aid in an allocated space</w:t>
      </w:r>
      <w:r w:rsidRPr="00097442">
        <w:rPr>
          <w:b/>
        </w:rPr>
        <w:t>,</w:t>
      </w:r>
      <w:r w:rsidRPr="00097442">
        <w:t xml:space="preserve"> would b</w:t>
      </w:r>
      <w:r>
        <w:t>e amended to include the following (including any requirements retained or amended from the status quo):</w:t>
      </w:r>
    </w:p>
    <w:p w14:paraId="798D3BCF" w14:textId="77777777" w:rsidR="00094004" w:rsidRPr="00097442" w:rsidRDefault="00094004" w:rsidP="006F65FB">
      <w:pPr>
        <w:pStyle w:val="ListParagraph"/>
        <w:numPr>
          <w:ilvl w:val="0"/>
          <w:numId w:val="48"/>
        </w:numPr>
        <w:autoSpaceDE w:val="0"/>
        <w:autoSpaceDN w:val="0"/>
        <w:spacing w:before="40" w:after="40"/>
      </w:pPr>
      <w:r w:rsidRPr="00097442">
        <w:t>Each allocated space must contain movement of a mobility aid towards the front, rear and sides of a bus.</w:t>
      </w:r>
    </w:p>
    <w:p w14:paraId="3A3C5D53" w14:textId="77777777" w:rsidR="00094004" w:rsidRPr="00097442" w:rsidRDefault="00094004" w:rsidP="00094004">
      <w:pPr>
        <w:ind w:firstLine="567"/>
      </w:pPr>
      <w:r>
        <w:t>These requirements</w:t>
      </w:r>
      <w:r w:rsidRPr="00097442">
        <w:t xml:space="preserve"> would </w:t>
      </w:r>
      <w:r>
        <w:t>pertain</w:t>
      </w:r>
      <w:r w:rsidRPr="00097442">
        <w:t xml:space="preserve"> to buses (except dedicated school buses).</w:t>
      </w:r>
    </w:p>
    <w:p w14:paraId="38D50CFF" w14:textId="77777777" w:rsidR="00094004" w:rsidRPr="00097442" w:rsidRDefault="00094004" w:rsidP="00094004">
      <w:r w:rsidRPr="00097442">
        <w:t xml:space="preserve">The </w:t>
      </w:r>
      <w:r>
        <w:t>Transport Standards</w:t>
      </w:r>
      <w:r w:rsidRPr="00097442">
        <w:t xml:space="preserve"> would include the </w:t>
      </w:r>
      <w:r>
        <w:t>following new requirements</w:t>
      </w:r>
      <w:r w:rsidRPr="00097442">
        <w:t>:</w:t>
      </w:r>
    </w:p>
    <w:p w14:paraId="6060764A" w14:textId="77777777" w:rsidR="00094004" w:rsidRPr="00097442" w:rsidRDefault="00094004" w:rsidP="006F65FB">
      <w:pPr>
        <w:pStyle w:val="ListParagraph"/>
        <w:numPr>
          <w:ilvl w:val="0"/>
          <w:numId w:val="48"/>
        </w:numPr>
        <w:autoSpaceDE w:val="0"/>
        <w:autoSpaceDN w:val="0"/>
        <w:spacing w:before="40" w:after="40"/>
      </w:pPr>
      <w:r w:rsidRPr="00097442">
        <w:t>Each allocated space must contain movement of a mobility aid towards the front, rear and wall side of a tram or light rail car.</w:t>
      </w:r>
    </w:p>
    <w:p w14:paraId="6FA6E50C" w14:textId="77777777" w:rsidR="00094004" w:rsidRPr="00097442" w:rsidRDefault="00094004" w:rsidP="00094004">
      <w:pPr>
        <w:ind w:firstLine="567"/>
      </w:pPr>
      <w:r>
        <w:t>These requirements</w:t>
      </w:r>
      <w:r w:rsidRPr="00097442">
        <w:t xml:space="preserve"> would </w:t>
      </w:r>
      <w:r>
        <w:t>pertain</w:t>
      </w:r>
      <w:r w:rsidRPr="00097442">
        <w:t xml:space="preserve"> to trams and light rail.</w:t>
      </w:r>
    </w:p>
    <w:p w14:paraId="70ADFA56" w14:textId="77777777" w:rsidR="00094004" w:rsidRDefault="00094004" w:rsidP="00094004">
      <w:r w:rsidRPr="00097442">
        <w:t xml:space="preserve">The </w:t>
      </w:r>
      <w:r>
        <w:t>Transport Standards</w:t>
      </w:r>
      <w:r w:rsidRPr="00097442">
        <w:t xml:space="preserve"> would </w:t>
      </w:r>
      <w:r>
        <w:t xml:space="preserve">be amended to </w:t>
      </w:r>
      <w:r w:rsidRPr="00097442">
        <w:t xml:space="preserve">include </w:t>
      </w:r>
      <w:r>
        <w:t>a definition for</w:t>
      </w:r>
      <w:r w:rsidRPr="00097442">
        <w:t xml:space="preserve"> passive restraining systems:</w:t>
      </w:r>
    </w:p>
    <w:p w14:paraId="5D69B48B" w14:textId="77777777" w:rsidR="00094004" w:rsidRPr="0068085D" w:rsidRDefault="00094004" w:rsidP="00094004">
      <w:pPr>
        <w:rPr>
          <w:b/>
        </w:rPr>
      </w:pPr>
      <w:r w:rsidRPr="0068085D">
        <w:rPr>
          <w:b/>
        </w:rPr>
        <w:t>Passive restraining system</w:t>
      </w:r>
    </w:p>
    <w:p w14:paraId="3B4029B7" w14:textId="77777777" w:rsidR="00094004" w:rsidRPr="00DF73A9" w:rsidRDefault="00094004" w:rsidP="006F65FB">
      <w:pPr>
        <w:pStyle w:val="ListParagraph"/>
        <w:numPr>
          <w:ilvl w:val="0"/>
          <w:numId w:val="57"/>
        </w:numPr>
        <w:autoSpaceDE w:val="0"/>
        <w:autoSpaceDN w:val="0"/>
        <w:spacing w:before="40" w:after="40"/>
      </w:pPr>
      <w:r w:rsidRPr="00097442">
        <w:t>A</w:t>
      </w:r>
      <w:r w:rsidRPr="00DF73A9">
        <w:t xml:space="preserve"> passive restraining system contains movement of a wheelchair within an allocated space. </w:t>
      </w:r>
    </w:p>
    <w:p w14:paraId="278D1691" w14:textId="77777777" w:rsidR="00094004" w:rsidRPr="00097442" w:rsidRDefault="00094004" w:rsidP="006F65FB">
      <w:pPr>
        <w:pStyle w:val="ListParagraph"/>
        <w:numPr>
          <w:ilvl w:val="0"/>
          <w:numId w:val="57"/>
        </w:numPr>
        <w:autoSpaceDE w:val="0"/>
        <w:autoSpaceDN w:val="0"/>
        <w:spacing w:before="40" w:after="40"/>
      </w:pPr>
      <w:r w:rsidRPr="00097442">
        <w:t>Passive restraints include the sides of a conveyance or excursion barriers such as rails and vertical padded boards that act as passive restraints against the tipping or sliding of a mobility aid towards the aisle, front or rear of the conveyance.</w:t>
      </w:r>
      <w:r w:rsidRPr="00DF73A9">
        <w:t xml:space="preserve"> </w:t>
      </w:r>
    </w:p>
    <w:p w14:paraId="6AA77E48" w14:textId="77777777" w:rsidR="00094004" w:rsidRPr="00097442" w:rsidRDefault="00094004" w:rsidP="006F65FB">
      <w:pPr>
        <w:pStyle w:val="ListParagraph"/>
        <w:numPr>
          <w:ilvl w:val="0"/>
          <w:numId w:val="57"/>
        </w:numPr>
        <w:autoSpaceDE w:val="0"/>
        <w:autoSpaceDN w:val="0"/>
        <w:spacing w:before="40" w:after="40"/>
      </w:pPr>
      <w:r w:rsidRPr="00DF73A9">
        <w:t>Other innovative technical solutions that perform equal to or better than the requirements above may also be appropriate.</w:t>
      </w:r>
    </w:p>
    <w:p w14:paraId="36A4868B"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w:t>
      </w:r>
      <w:r>
        <w:t xml:space="preserve">the </w:t>
      </w:r>
      <w:r w:rsidRPr="00097442">
        <w:t>new requirements and include specific guidance for buses, trams and light rail and ferries.</w:t>
      </w:r>
    </w:p>
    <w:p w14:paraId="60CA5C09" w14:textId="77777777" w:rsidR="00094004" w:rsidRPr="00097442" w:rsidRDefault="00094004" w:rsidP="00094004">
      <w:r w:rsidRPr="00097442">
        <w:t xml:space="preserve">Specific guidance for </w:t>
      </w:r>
      <w:r w:rsidRPr="00A47F7D">
        <w:rPr>
          <w:b/>
        </w:rPr>
        <w:t>buses</w:t>
      </w:r>
      <w:r w:rsidRPr="00097442">
        <w:t xml:space="preserve"> may entail the following:</w:t>
      </w:r>
    </w:p>
    <w:p w14:paraId="4E39A16E" w14:textId="77777777" w:rsidR="00094004" w:rsidRPr="00097442" w:rsidRDefault="00094004" w:rsidP="006F65FB">
      <w:pPr>
        <w:pStyle w:val="ListParagraph"/>
        <w:numPr>
          <w:ilvl w:val="0"/>
          <w:numId w:val="52"/>
        </w:numPr>
        <w:autoSpaceDE w:val="0"/>
        <w:autoSpaceDN w:val="0"/>
        <w:spacing w:before="40" w:after="40"/>
      </w:pPr>
      <w:r w:rsidRPr="00097442">
        <w:t>Forces experienced in buses resulting from fast turns, lateral displacement due to kerb strike or sudden acceleration or deceleration may cause the mobility aids of passengers riding in an allocated space to tip or slide. These tipping or sliding movements may be in any of four directions; towards the front, rear, wall side of the bus or towards the aisle.</w:t>
      </w:r>
    </w:p>
    <w:p w14:paraId="13F2E2D6" w14:textId="77777777" w:rsidR="00094004" w:rsidRPr="00097442" w:rsidRDefault="00094004" w:rsidP="006F65FB">
      <w:pPr>
        <w:pStyle w:val="ListParagraph"/>
        <w:numPr>
          <w:ilvl w:val="0"/>
          <w:numId w:val="52"/>
        </w:numPr>
        <w:autoSpaceDE w:val="0"/>
        <w:autoSpaceDN w:val="0"/>
        <w:spacing w:before="40" w:after="40"/>
      </w:pPr>
      <w:r w:rsidRPr="00097442">
        <w:t xml:space="preserve">Passive containment </w:t>
      </w:r>
      <w:r>
        <w:t>must</w:t>
      </w:r>
      <w:r w:rsidRPr="00097442">
        <w:t xml:space="preserve"> be in place to prevent tipping or </w:t>
      </w:r>
      <w:r>
        <w:t>sliding</w:t>
      </w:r>
      <w:r w:rsidRPr="00097442">
        <w:t xml:space="preserve"> out of the allocated space.</w:t>
      </w:r>
    </w:p>
    <w:p w14:paraId="67F4F877" w14:textId="77777777" w:rsidR="00094004" w:rsidRPr="00097442" w:rsidRDefault="00094004" w:rsidP="006F65FB">
      <w:pPr>
        <w:pStyle w:val="ListParagraph"/>
        <w:numPr>
          <w:ilvl w:val="0"/>
          <w:numId w:val="52"/>
        </w:numPr>
        <w:autoSpaceDE w:val="0"/>
        <w:autoSpaceDN w:val="0"/>
        <w:spacing w:before="40" w:after="40"/>
      </w:pPr>
      <w:r w:rsidRPr="00097442">
        <w:t xml:space="preserve">Passengers who choose to travel without containment </w:t>
      </w:r>
      <w:r>
        <w:t>must</w:t>
      </w:r>
      <w:r w:rsidRPr="00097442">
        <w:t xml:space="preserve"> be permitted to do so. Passengers may choose to orient themselves facing forward, to the rear or side of the vehicle. </w:t>
      </w:r>
    </w:p>
    <w:p w14:paraId="3BECED6F" w14:textId="77777777" w:rsidR="00094004" w:rsidRPr="00097442" w:rsidRDefault="00094004" w:rsidP="00094004">
      <w:r w:rsidRPr="00097442">
        <w:t xml:space="preserve">Specific guidance for </w:t>
      </w:r>
      <w:r w:rsidRPr="00A47F7D">
        <w:rPr>
          <w:b/>
        </w:rPr>
        <w:t>trams and light rail</w:t>
      </w:r>
      <w:r w:rsidRPr="00097442">
        <w:t xml:space="preserve"> may entail the following:</w:t>
      </w:r>
    </w:p>
    <w:p w14:paraId="0B5D8D00" w14:textId="77777777" w:rsidR="00094004" w:rsidRPr="00097442" w:rsidRDefault="00094004" w:rsidP="006F65FB">
      <w:pPr>
        <w:pStyle w:val="ListParagraph"/>
        <w:numPr>
          <w:ilvl w:val="0"/>
          <w:numId w:val="53"/>
        </w:numPr>
        <w:autoSpaceDE w:val="0"/>
        <w:autoSpaceDN w:val="0"/>
        <w:spacing w:before="40" w:after="40"/>
      </w:pPr>
      <w:r w:rsidRPr="00097442">
        <w:lastRenderedPageBreak/>
        <w:t xml:space="preserve">Forces experienced in trams and light rail resulting from sudden acceleration or deceleration may cause the mobility aids of passengers riding in an allocated space to tip or slide. These tipping or sliding movements may be towards the front or rear of the allocated space. </w:t>
      </w:r>
    </w:p>
    <w:p w14:paraId="1EF6EC07" w14:textId="77777777" w:rsidR="00094004" w:rsidRPr="00097442" w:rsidRDefault="00094004" w:rsidP="006F65FB">
      <w:pPr>
        <w:pStyle w:val="ListParagraph"/>
        <w:numPr>
          <w:ilvl w:val="0"/>
          <w:numId w:val="53"/>
        </w:numPr>
        <w:autoSpaceDE w:val="0"/>
        <w:autoSpaceDN w:val="0"/>
        <w:spacing w:before="40" w:after="40"/>
      </w:pPr>
      <w:r w:rsidRPr="00097442">
        <w:t xml:space="preserve">Passive containments </w:t>
      </w:r>
      <w:r>
        <w:t>must</w:t>
      </w:r>
      <w:r w:rsidRPr="00097442">
        <w:t xml:space="preserve"> be in place to restrict these movements to within the allocated space.</w:t>
      </w:r>
    </w:p>
    <w:p w14:paraId="01C996C6" w14:textId="77777777" w:rsidR="00094004" w:rsidRPr="00097442" w:rsidRDefault="00094004" w:rsidP="006F65FB">
      <w:pPr>
        <w:pStyle w:val="ListParagraph"/>
        <w:numPr>
          <w:ilvl w:val="0"/>
          <w:numId w:val="53"/>
        </w:numPr>
        <w:autoSpaceDE w:val="0"/>
        <w:autoSpaceDN w:val="0"/>
        <w:spacing w:before="40" w:after="40"/>
      </w:pPr>
      <w:r w:rsidRPr="00097442">
        <w:t xml:space="preserve">Some tram services are bidirectional and have consolidated allocated spaces one behind the other. Due to the limited space inside conveyances, some mobility aid </w:t>
      </w:r>
      <w:r>
        <w:t>passengers</w:t>
      </w:r>
      <w:r w:rsidRPr="00097442">
        <w:t xml:space="preserve"> use one allocated space as an access path or manoeuvring area to access the adjacent allocated space. A passive containment system installed between consolidated allocated spaces should maintain this.</w:t>
      </w:r>
    </w:p>
    <w:p w14:paraId="2DA9CF52" w14:textId="77777777" w:rsidR="00094004" w:rsidRPr="00097442" w:rsidRDefault="00094004" w:rsidP="006F65FB">
      <w:pPr>
        <w:pStyle w:val="ListParagraph"/>
        <w:numPr>
          <w:ilvl w:val="0"/>
          <w:numId w:val="53"/>
        </w:numPr>
        <w:autoSpaceDE w:val="0"/>
        <w:autoSpaceDN w:val="0"/>
        <w:spacing w:before="40" w:after="40"/>
      </w:pPr>
      <w:r w:rsidRPr="00097442">
        <w:t xml:space="preserve">Passengers who choose to travel without containments should be permitted to do so. Passengers may choose to orient themselves facing forward, to the rear or side of the vehicle. </w:t>
      </w:r>
    </w:p>
    <w:p w14:paraId="668348C4" w14:textId="77777777" w:rsidR="00094004" w:rsidRPr="00097442" w:rsidRDefault="00094004" w:rsidP="00094004">
      <w:r w:rsidRPr="00097442">
        <w:t xml:space="preserve">Specific guidance for </w:t>
      </w:r>
      <w:r w:rsidRPr="00A47F7D">
        <w:rPr>
          <w:b/>
        </w:rPr>
        <w:t>ferries</w:t>
      </w:r>
      <w:r w:rsidRPr="00097442">
        <w:t xml:space="preserve"> may entail the following:</w:t>
      </w:r>
    </w:p>
    <w:p w14:paraId="558B7F16" w14:textId="77777777" w:rsidR="00094004" w:rsidRPr="00097442" w:rsidRDefault="00094004" w:rsidP="006F65FB">
      <w:pPr>
        <w:pStyle w:val="ListParagraph"/>
        <w:numPr>
          <w:ilvl w:val="0"/>
          <w:numId w:val="58"/>
        </w:numPr>
        <w:autoSpaceDE w:val="0"/>
        <w:autoSpaceDN w:val="0"/>
        <w:spacing w:before="40" w:after="40"/>
      </w:pPr>
      <w:r w:rsidRPr="00097442">
        <w:t xml:space="preserve">Ferries operating in waters that on occasion experience high wind and wave energy would benefit from passive restraints in allocated spaces. Open seas and open harbours exposed to strong winds are the environments likely to experience high seas. </w:t>
      </w:r>
    </w:p>
    <w:p w14:paraId="639760CE" w14:textId="77777777" w:rsidR="00094004" w:rsidRPr="00097442" w:rsidRDefault="00094004" w:rsidP="006F65FB">
      <w:pPr>
        <w:pStyle w:val="ListParagraph"/>
        <w:numPr>
          <w:ilvl w:val="0"/>
          <w:numId w:val="58"/>
        </w:numPr>
        <w:autoSpaceDE w:val="0"/>
        <w:autoSpaceDN w:val="0"/>
        <w:spacing w:before="40" w:after="40"/>
      </w:pPr>
      <w:r w:rsidRPr="00097442">
        <w:t xml:space="preserve">Ferries operating in Operational areas A to C as defined in the </w:t>
      </w:r>
      <w:r w:rsidRPr="00102DA1">
        <w:rPr>
          <w:i/>
          <w:iCs/>
        </w:rPr>
        <w:t>National Standard for Commercial Vessels Part B General requirements (2018)</w:t>
      </w:r>
      <w:r w:rsidRPr="00097442">
        <w:rPr>
          <w:i/>
          <w:iCs/>
        </w:rPr>
        <w:t xml:space="preserve"> </w:t>
      </w:r>
      <w:r w:rsidRPr="00097442">
        <w:t xml:space="preserve">should have passive restraints at allocated spaces. Operational areas D to E would not impose movements on a vessel that would require passive restraints at allocated spaces. </w:t>
      </w:r>
    </w:p>
    <w:p w14:paraId="4169BBAB" w14:textId="77777777" w:rsidR="00094004" w:rsidRDefault="00094004" w:rsidP="006F65FB">
      <w:pPr>
        <w:pStyle w:val="ListParagraph"/>
        <w:numPr>
          <w:ilvl w:val="0"/>
          <w:numId w:val="58"/>
        </w:numPr>
        <w:autoSpaceDE w:val="0"/>
        <w:autoSpaceDN w:val="0"/>
        <w:spacing w:before="40" w:after="40"/>
      </w:pPr>
      <w:r w:rsidRPr="00097442">
        <w:t xml:space="preserve">Passengers may choose to orient themselves facing forward, to the rear or side of the vehicle. </w:t>
      </w:r>
    </w:p>
    <w:p w14:paraId="10515A21" w14:textId="1971E252" w:rsidR="00094004" w:rsidRDefault="00094004" w:rsidP="006F65FB">
      <w:pPr>
        <w:pStyle w:val="Heading3"/>
        <w:numPr>
          <w:ilvl w:val="0"/>
          <w:numId w:val="47"/>
        </w:numPr>
        <w:ind w:left="567" w:hanging="567"/>
      </w:pPr>
      <w:bookmarkStart w:id="1005" w:name="_Toc127351876"/>
      <w:bookmarkStart w:id="1006" w:name="_Toc130914554"/>
      <w:bookmarkStart w:id="1007" w:name="_Toc140239845"/>
      <w:r w:rsidRPr="00130222">
        <w:t>Mobility aid movement in allocated spaces – active restraints</w:t>
      </w:r>
      <w:bookmarkEnd w:id="1005"/>
      <w:bookmarkEnd w:id="1006"/>
      <w:bookmarkEnd w:id="1007"/>
    </w:p>
    <w:p w14:paraId="1BFB50A6" w14:textId="77777777" w:rsidR="00094004" w:rsidRPr="00097442" w:rsidRDefault="00094004" w:rsidP="00094004">
      <w:pPr>
        <w:pStyle w:val="Heading4"/>
      </w:pPr>
      <w:r w:rsidRPr="00097442">
        <w:t>Status quo</w:t>
      </w:r>
    </w:p>
    <w:p w14:paraId="1351ADAD" w14:textId="77777777" w:rsidR="00094004" w:rsidRPr="00097442" w:rsidRDefault="00094004" w:rsidP="00094004">
      <w:r w:rsidRPr="00097442">
        <w:t xml:space="preserve">The </w:t>
      </w:r>
      <w:r>
        <w:t>Transport Standards</w:t>
      </w:r>
      <w:r w:rsidRPr="00097442">
        <w:t xml:space="preserve"> would remain unchanged and no additional guidance would be issued</w:t>
      </w:r>
      <w:r>
        <w:t>.</w:t>
      </w:r>
    </w:p>
    <w:p w14:paraId="3F807042" w14:textId="77777777" w:rsidR="00094004" w:rsidRPr="00097442" w:rsidRDefault="00094004" w:rsidP="00094004">
      <w:r w:rsidRPr="00097442">
        <w:t xml:space="preserve">The </w:t>
      </w:r>
      <w:r>
        <w:t>Transport Standards</w:t>
      </w:r>
      <w:r w:rsidRPr="00097442">
        <w:t xml:space="preserve"> would continue to have no requirements for </w:t>
      </w:r>
      <w:r w:rsidRPr="00FA3346">
        <w:t>mobility aids in allocated spaces in conveyance where safety belts are mandatory</w:t>
      </w:r>
      <w:r w:rsidRPr="00097442">
        <w:t>.</w:t>
      </w:r>
    </w:p>
    <w:p w14:paraId="3D5F6679" w14:textId="77777777" w:rsidR="00094004" w:rsidRPr="00097442" w:rsidRDefault="00094004" w:rsidP="00094004">
      <w:pPr>
        <w:pStyle w:val="Heading4"/>
      </w:pPr>
      <w:r>
        <w:t>Non-regulatory</w:t>
      </w:r>
      <w:r w:rsidRPr="00097442">
        <w:t xml:space="preserve"> option</w:t>
      </w:r>
    </w:p>
    <w:p w14:paraId="0FEB0946" w14:textId="77777777" w:rsidR="00094004" w:rsidRPr="00097442" w:rsidRDefault="00094004" w:rsidP="00094004">
      <w:r w:rsidRPr="00097442">
        <w:t>The Whole Journey Guide and</w:t>
      </w:r>
      <w:r>
        <w:t xml:space="preserve"> / or</w:t>
      </w:r>
      <w:r w:rsidRPr="00097442">
        <w:t xml:space="preserve"> the </w:t>
      </w:r>
      <w:r>
        <w:t>Transport Standards</w:t>
      </w:r>
      <w:r w:rsidRPr="00097442">
        <w:t xml:space="preserve"> Guidelines would be updated to include advice on</w:t>
      </w:r>
      <w:r w:rsidRPr="00097442" w:rsidDel="00F35290">
        <w:t xml:space="preserve"> </w:t>
      </w:r>
      <w:r w:rsidRPr="00097442">
        <w:t xml:space="preserve">active restraints on public transport conveyances. </w:t>
      </w:r>
    </w:p>
    <w:p w14:paraId="46CF89B0" w14:textId="77777777" w:rsidR="00094004" w:rsidRPr="00097442" w:rsidRDefault="00094004" w:rsidP="00094004">
      <w:r w:rsidRPr="00097442">
        <w:t>Specific guidance may include</w:t>
      </w:r>
      <w:r>
        <w:t>:</w:t>
      </w:r>
    </w:p>
    <w:p w14:paraId="22E1F4D0" w14:textId="77777777" w:rsidR="00094004" w:rsidRPr="009737B6" w:rsidRDefault="00094004" w:rsidP="006F65FB">
      <w:pPr>
        <w:pStyle w:val="ListParagraph"/>
        <w:numPr>
          <w:ilvl w:val="0"/>
          <w:numId w:val="59"/>
        </w:numPr>
        <w:autoSpaceDE w:val="0"/>
        <w:autoSpaceDN w:val="0"/>
        <w:spacing w:before="40" w:after="40"/>
      </w:pPr>
      <w:r w:rsidRPr="00097442">
        <w:t xml:space="preserve">An active restraint anchors a wheelchair or similar mobility aid into an allocated space. Anchorage belts are an example of active restraints. Active restraint systems are described in </w:t>
      </w:r>
      <w:r>
        <w:t>AS</w:t>
      </w:r>
      <w:r w:rsidRPr="009737B6">
        <w:t xml:space="preserve">NZS10542.1 (2015) Technical systems and aids for people with disability - Wheelchair tiedown and occupant-restraint </w:t>
      </w:r>
      <w:r>
        <w:t xml:space="preserve">systems - </w:t>
      </w:r>
      <w:r w:rsidRPr="009737B6">
        <w:t>Requirements and test methods for all systems for use by people with disabilities who travel while seated in their mobility aids.</w:t>
      </w:r>
    </w:p>
    <w:p w14:paraId="51799B2A" w14:textId="77777777" w:rsidR="00094004" w:rsidRPr="009737B6" w:rsidRDefault="00094004" w:rsidP="006F65FB">
      <w:pPr>
        <w:pStyle w:val="ListParagraph"/>
        <w:numPr>
          <w:ilvl w:val="0"/>
          <w:numId w:val="59"/>
        </w:numPr>
        <w:autoSpaceDE w:val="0"/>
        <w:autoSpaceDN w:val="0"/>
        <w:spacing w:before="40" w:after="40"/>
      </w:pPr>
      <w:r w:rsidRPr="009737B6">
        <w:t xml:space="preserve">Passengers and operators should be aware that use of active restraints </w:t>
      </w:r>
      <w:r>
        <w:t>should be used where</w:t>
      </w:r>
      <w:r w:rsidRPr="009737B6">
        <w:t xml:space="preserve"> safety belts are compulsory, unless the passengers have a dispensation through normal channels. Passengers may choose to travel facing towards the front or rear of the conveyance.</w:t>
      </w:r>
    </w:p>
    <w:p w14:paraId="41427EA9" w14:textId="77777777" w:rsidR="00094004" w:rsidRPr="009737B6" w:rsidRDefault="00094004" w:rsidP="006F65FB">
      <w:pPr>
        <w:pStyle w:val="ListParagraph"/>
        <w:numPr>
          <w:ilvl w:val="0"/>
          <w:numId w:val="59"/>
        </w:numPr>
        <w:autoSpaceDE w:val="0"/>
        <w:autoSpaceDN w:val="0"/>
        <w:spacing w:before="40" w:after="40"/>
      </w:pPr>
      <w:r w:rsidRPr="009737B6">
        <w:lastRenderedPageBreak/>
        <w:t xml:space="preserve">As a safety measure, active restraint systems complying with ASNZS10542.1 (2015) should be operator deployable as default, rather than passenger deployable. </w:t>
      </w:r>
      <w:bookmarkStart w:id="1008" w:name="_Hlk77947842"/>
      <w:r w:rsidRPr="009737B6">
        <w:t xml:space="preserve">Should a passenger travelling in a mobility aid request that a carer or travelling </w:t>
      </w:r>
      <w:bookmarkEnd w:id="1008"/>
      <w:r w:rsidRPr="009737B6">
        <w:t xml:space="preserve">companion attach the active restraints to their mobility aid, this </w:t>
      </w:r>
      <w:r>
        <w:t>should</w:t>
      </w:r>
      <w:r w:rsidRPr="009737B6">
        <w:t xml:space="preserve"> only be done under the supervision of staff properly trained in the use of active restraint system</w:t>
      </w:r>
      <w:r>
        <w:t>s and would be at the operators and providers</w:t>
      </w:r>
      <w:r w:rsidRPr="009737B6">
        <w:t xml:space="preserve"> discretion. </w:t>
      </w:r>
    </w:p>
    <w:p w14:paraId="2F020285" w14:textId="77777777" w:rsidR="00094004" w:rsidRPr="009737B6" w:rsidRDefault="00094004" w:rsidP="006F65FB">
      <w:pPr>
        <w:pStyle w:val="ListParagraph"/>
        <w:numPr>
          <w:ilvl w:val="0"/>
          <w:numId w:val="59"/>
        </w:numPr>
        <w:autoSpaceDE w:val="0"/>
        <w:autoSpaceDN w:val="0"/>
        <w:spacing w:before="40" w:after="40"/>
      </w:pPr>
      <w:r w:rsidRPr="009737B6">
        <w:t xml:space="preserve">Staff who apply active restraint systems should be properly trained in their use. Verification of staff competency that would satisfy the jurisdiction in which the service operates should be available on request. </w:t>
      </w:r>
    </w:p>
    <w:p w14:paraId="7B277C15" w14:textId="77777777" w:rsidR="00094004" w:rsidRPr="009737B6" w:rsidRDefault="00094004" w:rsidP="006F65FB">
      <w:pPr>
        <w:pStyle w:val="ListParagraph"/>
        <w:numPr>
          <w:ilvl w:val="0"/>
          <w:numId w:val="59"/>
        </w:numPr>
        <w:autoSpaceDE w:val="0"/>
        <w:autoSpaceDN w:val="0"/>
        <w:spacing w:before="40" w:after="40"/>
      </w:pPr>
      <w:r w:rsidRPr="009737B6">
        <w:t xml:space="preserve">Emerging technologies may make equivalent access solutions in which a passenger could deploy the active restraints </w:t>
      </w:r>
      <w:r>
        <w:t>possible</w:t>
      </w:r>
      <w:r w:rsidRPr="009737B6">
        <w:t xml:space="preserve">. Innovation of this type </w:t>
      </w:r>
      <w:r>
        <w:t>is</w:t>
      </w:r>
      <w:r w:rsidRPr="009737B6">
        <w:t xml:space="preserve"> encouraged</w:t>
      </w:r>
      <w:r>
        <w:t xml:space="preserve">, however should </w:t>
      </w:r>
      <w:r w:rsidRPr="009737B6">
        <w:t xml:space="preserve">comply with the safety and other requirements of the jurisdiction in which the service operates. </w:t>
      </w:r>
    </w:p>
    <w:p w14:paraId="34D034AE" w14:textId="77777777" w:rsidR="00094004" w:rsidRPr="009737B6" w:rsidRDefault="00094004" w:rsidP="006F65FB">
      <w:pPr>
        <w:pStyle w:val="ListParagraph"/>
        <w:numPr>
          <w:ilvl w:val="0"/>
          <w:numId w:val="59"/>
        </w:numPr>
        <w:autoSpaceDE w:val="0"/>
        <w:autoSpaceDN w:val="0"/>
        <w:spacing w:before="40" w:after="40"/>
      </w:pPr>
      <w:bookmarkStart w:id="1009" w:name="_Hlk77948049"/>
      <w:r w:rsidRPr="009737B6">
        <w:t>Passengers should ensure that their wheelchairs and similar mobility aids comply with relevant safety requirements such as criteria for belt anchorage points. Compatibil</w:t>
      </w:r>
      <w:r>
        <w:t>ity with the requirements of AS</w:t>
      </w:r>
      <w:r w:rsidRPr="009737B6">
        <w:t>NZS10542.1 (2015) is recommended and passengers are encouraged to contact the operator or provider for more information on wheelchair restraints.</w:t>
      </w:r>
      <w:bookmarkEnd w:id="1009"/>
      <w:r w:rsidRPr="009737B6">
        <w:t xml:space="preserve"> </w:t>
      </w:r>
    </w:p>
    <w:p w14:paraId="3281C536" w14:textId="77777777" w:rsidR="00094004" w:rsidRPr="009737B6" w:rsidRDefault="00094004" w:rsidP="006F65FB">
      <w:pPr>
        <w:pStyle w:val="ListParagraph"/>
        <w:numPr>
          <w:ilvl w:val="0"/>
          <w:numId w:val="59"/>
        </w:numPr>
        <w:autoSpaceDE w:val="0"/>
        <w:autoSpaceDN w:val="0"/>
        <w:spacing w:before="40" w:after="40"/>
      </w:pPr>
      <w:r w:rsidRPr="009737B6">
        <w:t xml:space="preserve">This is particularly important for mobility scooters as most of these lack the necessary attachment points for belts. Most wheelchairs will have the necessary attachment points but </w:t>
      </w:r>
      <w:r>
        <w:t>passengers</w:t>
      </w:r>
      <w:r w:rsidRPr="009737B6">
        <w:t xml:space="preserve"> should confirm this prior to purchase or travel.</w:t>
      </w:r>
    </w:p>
    <w:p w14:paraId="377785D4" w14:textId="77777777" w:rsidR="00094004" w:rsidRPr="00333C14" w:rsidRDefault="00094004" w:rsidP="006F65FB">
      <w:pPr>
        <w:pStyle w:val="ListParagraph"/>
        <w:numPr>
          <w:ilvl w:val="0"/>
          <w:numId w:val="59"/>
        </w:numPr>
        <w:autoSpaceDE w:val="0"/>
        <w:autoSpaceDN w:val="0"/>
        <w:spacing w:before="40" w:after="40"/>
      </w:pPr>
      <w:bookmarkStart w:id="1010" w:name="_Hlk77948071"/>
      <w:r w:rsidRPr="009737B6">
        <w:t>Conveyances on which seatbelts are not normally offered may also be fitted with active restraints, to be used at the discretion of the passenger travelling with a wheelchair.</w:t>
      </w:r>
      <w:bookmarkEnd w:id="1010"/>
    </w:p>
    <w:p w14:paraId="7F55EE5A" w14:textId="77777777" w:rsidR="00094004" w:rsidRPr="00097442" w:rsidRDefault="00094004" w:rsidP="00094004">
      <w:pPr>
        <w:pStyle w:val="Heading4"/>
      </w:pPr>
      <w:r w:rsidRPr="00097442">
        <w:t>Regulatory option</w:t>
      </w:r>
    </w:p>
    <w:p w14:paraId="1EA5F8D2" w14:textId="77777777" w:rsidR="00094004" w:rsidRPr="00097442" w:rsidRDefault="00094004" w:rsidP="00094004">
      <w:r w:rsidRPr="00097442">
        <w:t xml:space="preserve">The </w:t>
      </w:r>
      <w:r>
        <w:t>Transport Standards</w:t>
      </w:r>
      <w:r w:rsidRPr="00097442">
        <w:t xml:space="preserve"> would be amended to include</w:t>
      </w:r>
      <w:r>
        <w:t xml:space="preserve"> new </w:t>
      </w:r>
      <w:r w:rsidRPr="00097442">
        <w:t xml:space="preserve">technical </w:t>
      </w:r>
      <w:r>
        <w:t xml:space="preserve">requirements for active restraints, define active restraining systems, and specifies </w:t>
      </w:r>
      <w:r w:rsidRPr="00097442">
        <w:t xml:space="preserve">where </w:t>
      </w:r>
      <w:r>
        <w:t>active restraining systems</w:t>
      </w:r>
      <w:r w:rsidRPr="00097442">
        <w:t xml:space="preserve"> are mandatory. </w:t>
      </w:r>
    </w:p>
    <w:p w14:paraId="60474928" w14:textId="77777777" w:rsidR="00094004" w:rsidRPr="00097442" w:rsidRDefault="00094004" w:rsidP="00094004">
      <w:r w:rsidRPr="00097442">
        <w:t xml:space="preserve">The </w:t>
      </w:r>
      <w:r>
        <w:t>Transport Standards</w:t>
      </w:r>
      <w:r w:rsidRPr="00097442">
        <w:t xml:space="preserve"> would include the following new </w:t>
      </w:r>
      <w:r>
        <w:t>requirements</w:t>
      </w:r>
      <w:r w:rsidRPr="00097442">
        <w:t xml:space="preserve"> for movement of mobility aid in allocated spaces – active restraints:</w:t>
      </w:r>
    </w:p>
    <w:p w14:paraId="29CE7E91" w14:textId="77777777" w:rsidR="00094004" w:rsidRPr="00097442" w:rsidRDefault="00094004" w:rsidP="006F65FB">
      <w:pPr>
        <w:pStyle w:val="ListParagraph"/>
        <w:numPr>
          <w:ilvl w:val="0"/>
          <w:numId w:val="52"/>
        </w:numPr>
        <w:autoSpaceDE w:val="0"/>
        <w:autoSpaceDN w:val="0"/>
        <w:spacing w:before="40" w:after="40"/>
      </w:pPr>
      <w:bookmarkStart w:id="1011" w:name="_Hlk77948098"/>
      <w:r w:rsidRPr="00097442">
        <w:t xml:space="preserve">If safety belts are compulsory under legislation in a conveyance, </w:t>
      </w:r>
      <w:r>
        <w:t>active restraint must be fitted and conform to ASNZS10542.1 (2015) at a minimum.</w:t>
      </w:r>
      <w:bookmarkEnd w:id="1011"/>
    </w:p>
    <w:p w14:paraId="71DA3DE4" w14:textId="77777777" w:rsidR="00094004" w:rsidRPr="00097442" w:rsidRDefault="00094004" w:rsidP="006F65FB">
      <w:pPr>
        <w:pStyle w:val="ListParagraph"/>
        <w:numPr>
          <w:ilvl w:val="0"/>
          <w:numId w:val="52"/>
        </w:numPr>
        <w:autoSpaceDE w:val="0"/>
        <w:autoSpaceDN w:val="0"/>
        <w:spacing w:before="40" w:after="40"/>
      </w:pPr>
      <w:r w:rsidRPr="00097442">
        <w:t>Passengers must use active restraints</w:t>
      </w:r>
      <w:r w:rsidRPr="007C714A">
        <w:t xml:space="preserve"> </w:t>
      </w:r>
      <w:r w:rsidRPr="00097442">
        <w:t>systems if safety belts are compulsory, unless the passengers have a dispensation through normal channels. Passengers may choose to travel facing towards the front of the conveyance.</w:t>
      </w:r>
    </w:p>
    <w:p w14:paraId="5C853D07" w14:textId="77777777" w:rsidR="00094004" w:rsidRPr="00097442" w:rsidRDefault="00094004" w:rsidP="006F65FB">
      <w:pPr>
        <w:pStyle w:val="ListParagraph"/>
        <w:numPr>
          <w:ilvl w:val="0"/>
          <w:numId w:val="53"/>
        </w:numPr>
        <w:autoSpaceDE w:val="0"/>
        <w:autoSpaceDN w:val="0"/>
        <w:spacing w:before="40" w:after="40"/>
      </w:pPr>
      <w:r w:rsidRPr="00097442">
        <w:t>Active restraint systems must be operator deployable as default, rather than passenger deployable.</w:t>
      </w:r>
    </w:p>
    <w:p w14:paraId="7E831047" w14:textId="77777777" w:rsidR="00094004" w:rsidRPr="00097442" w:rsidRDefault="00094004" w:rsidP="00094004">
      <w:r>
        <w:t>These requirements pertain</w:t>
      </w:r>
      <w:r w:rsidRPr="00097442">
        <w:t xml:space="preserve"> to all conveyances.</w:t>
      </w:r>
    </w:p>
    <w:p w14:paraId="051472BA" w14:textId="77777777" w:rsidR="00094004" w:rsidRPr="00097442" w:rsidRDefault="00094004" w:rsidP="00094004">
      <w:r w:rsidRPr="00097442">
        <w:t xml:space="preserve">The </w:t>
      </w:r>
      <w:r>
        <w:t>Transport Standards</w:t>
      </w:r>
      <w:r w:rsidRPr="00097442">
        <w:t xml:space="preserve"> would </w:t>
      </w:r>
      <w:r>
        <w:t xml:space="preserve">be amended to </w:t>
      </w:r>
      <w:r w:rsidRPr="00097442">
        <w:t xml:space="preserve">include </w:t>
      </w:r>
      <w:r>
        <w:t>a</w:t>
      </w:r>
      <w:r w:rsidRPr="00097442">
        <w:t xml:space="preserve"> definition for active restraining systems:</w:t>
      </w:r>
    </w:p>
    <w:p w14:paraId="7C81F1A7" w14:textId="77777777" w:rsidR="00094004" w:rsidRPr="004A65C9" w:rsidRDefault="00094004" w:rsidP="00094004">
      <w:pPr>
        <w:rPr>
          <w:b/>
        </w:rPr>
      </w:pPr>
      <w:r w:rsidRPr="004A65C9">
        <w:rPr>
          <w:b/>
        </w:rPr>
        <w:t>Active restraining systems</w:t>
      </w:r>
    </w:p>
    <w:p w14:paraId="20209AB1" w14:textId="77777777" w:rsidR="00094004" w:rsidRPr="00097442" w:rsidRDefault="00094004" w:rsidP="006F65FB">
      <w:pPr>
        <w:pStyle w:val="ListParagraph"/>
        <w:numPr>
          <w:ilvl w:val="0"/>
          <w:numId w:val="53"/>
        </w:numPr>
        <w:autoSpaceDE w:val="0"/>
        <w:autoSpaceDN w:val="0"/>
        <w:spacing w:before="40" w:after="40"/>
      </w:pPr>
      <w:r w:rsidRPr="00097442">
        <w:t>An active restraint anchors a compatible wheelchair or similar mobility aid into an allocated space. Anchorage belts are an example of active restraints.</w:t>
      </w:r>
    </w:p>
    <w:p w14:paraId="1DDB3811" w14:textId="77777777" w:rsidR="00094004" w:rsidRPr="00097442" w:rsidRDefault="00094004" w:rsidP="006F65FB">
      <w:pPr>
        <w:pStyle w:val="ListParagraph"/>
        <w:numPr>
          <w:ilvl w:val="0"/>
          <w:numId w:val="53"/>
        </w:numPr>
        <w:autoSpaceDE w:val="0"/>
        <w:autoSpaceDN w:val="0"/>
        <w:spacing w:before="40" w:after="40"/>
      </w:pPr>
      <w:r w:rsidRPr="00097442">
        <w:t xml:space="preserve">Operators of services on which the use of safety belts are mandatory must provide active restraints for use by people travelling in wheelchairs. </w:t>
      </w:r>
    </w:p>
    <w:p w14:paraId="7E02ADC0" w14:textId="77777777" w:rsidR="00094004" w:rsidRPr="00097442" w:rsidRDefault="00094004" w:rsidP="006F65FB">
      <w:pPr>
        <w:pStyle w:val="ListParagraph"/>
        <w:numPr>
          <w:ilvl w:val="0"/>
          <w:numId w:val="53"/>
        </w:numPr>
        <w:autoSpaceDE w:val="0"/>
        <w:autoSpaceDN w:val="0"/>
        <w:spacing w:before="40" w:after="40"/>
      </w:pPr>
      <w:r w:rsidRPr="00097442">
        <w:t>Passengers must use active restraints if they are compulsory, unless the passengers have a dispensation through normal channels.</w:t>
      </w:r>
    </w:p>
    <w:p w14:paraId="47D0AD30" w14:textId="77777777" w:rsidR="00094004" w:rsidRPr="00097442" w:rsidRDefault="00094004" w:rsidP="00094004">
      <w:r w:rsidRPr="00097442">
        <w:lastRenderedPageBreak/>
        <w:t xml:space="preserve">The </w:t>
      </w:r>
      <w:r>
        <w:t>Transport Standards</w:t>
      </w:r>
      <w:r w:rsidRPr="00097442">
        <w:t xml:space="preserve"> Guidelines and </w:t>
      </w:r>
      <w:r>
        <w:t xml:space="preserve">/ or </w:t>
      </w:r>
      <w:r w:rsidRPr="00097442">
        <w:t xml:space="preserve">The Whole Journey Guide would be updated to reflect </w:t>
      </w:r>
      <w:r>
        <w:t xml:space="preserve">the </w:t>
      </w:r>
      <w:r w:rsidRPr="00097442">
        <w:t>new requirements.</w:t>
      </w:r>
    </w:p>
    <w:p w14:paraId="2B90EFD1" w14:textId="77777777" w:rsidR="00094004" w:rsidRPr="00097442" w:rsidRDefault="00094004" w:rsidP="00094004">
      <w:r>
        <w:t>Specific guidance may include:</w:t>
      </w:r>
    </w:p>
    <w:p w14:paraId="724CF58C" w14:textId="77777777" w:rsidR="00094004" w:rsidRPr="00097442" w:rsidRDefault="00094004" w:rsidP="006F65FB">
      <w:pPr>
        <w:pStyle w:val="ListParagraph"/>
        <w:numPr>
          <w:ilvl w:val="0"/>
          <w:numId w:val="53"/>
        </w:numPr>
        <w:autoSpaceDE w:val="0"/>
        <w:autoSpaceDN w:val="0"/>
        <w:spacing w:before="40" w:after="40"/>
      </w:pPr>
      <w:r w:rsidRPr="00097442">
        <w:t>Emerging technologies may make equivalent access solutions in which a passenger could deploy the active restraints a possibility. Innovation of this type is encouraged</w:t>
      </w:r>
      <w:r>
        <w:t>, however</w:t>
      </w:r>
      <w:r w:rsidRPr="00097442">
        <w:t xml:space="preserve"> must comply with requirements of the </w:t>
      </w:r>
      <w:r>
        <w:t xml:space="preserve">relevant </w:t>
      </w:r>
      <w:r w:rsidRPr="00097442">
        <w:t xml:space="preserve">jurisdiction in which the service operates. </w:t>
      </w:r>
    </w:p>
    <w:p w14:paraId="0D74E6C9" w14:textId="77777777" w:rsidR="00094004" w:rsidRPr="00097442" w:rsidRDefault="00094004" w:rsidP="006F65FB">
      <w:pPr>
        <w:pStyle w:val="ListParagraph"/>
        <w:numPr>
          <w:ilvl w:val="0"/>
          <w:numId w:val="53"/>
        </w:numPr>
        <w:autoSpaceDE w:val="0"/>
        <w:autoSpaceDN w:val="0"/>
        <w:spacing w:before="40" w:after="40"/>
      </w:pPr>
      <w:r w:rsidRPr="00097442">
        <w:t xml:space="preserve">Should a passenger request that a carer or travelling companion attach the active restraints to their mobility aid this could only be done under the supervision of staff properly trained in the use of active restraint systems and would be at the operator’s discretion. </w:t>
      </w:r>
    </w:p>
    <w:p w14:paraId="58C66849" w14:textId="77777777" w:rsidR="00094004" w:rsidRPr="00097442" w:rsidRDefault="00094004" w:rsidP="006F65FB">
      <w:pPr>
        <w:pStyle w:val="ListParagraph"/>
        <w:numPr>
          <w:ilvl w:val="0"/>
          <w:numId w:val="53"/>
        </w:numPr>
        <w:autoSpaceDE w:val="0"/>
        <w:autoSpaceDN w:val="0"/>
        <w:spacing w:before="40" w:after="40"/>
      </w:pPr>
      <w:r w:rsidRPr="00097442">
        <w:t xml:space="preserve">Staff who apply active restraint systems must be properly trained in their use. Verification of staff competency that would satisfy the jurisdiction in which the service operates must be available on request. </w:t>
      </w:r>
    </w:p>
    <w:p w14:paraId="4E9BAC5C" w14:textId="77777777" w:rsidR="00094004" w:rsidRPr="00097442" w:rsidRDefault="00094004" w:rsidP="006F65FB">
      <w:pPr>
        <w:pStyle w:val="ListParagraph"/>
        <w:numPr>
          <w:ilvl w:val="0"/>
          <w:numId w:val="53"/>
        </w:numPr>
        <w:autoSpaceDE w:val="0"/>
        <w:autoSpaceDN w:val="0"/>
        <w:spacing w:before="40" w:after="40"/>
      </w:pPr>
      <w:r w:rsidRPr="00097442">
        <w:t>Passengers should ensure that their wheelchairs and similar mobility aids comply with relevant safety requirements such as criteria for belt anchorage points. Compatibil</w:t>
      </w:r>
      <w:r>
        <w:t>ity with the requirements of AS</w:t>
      </w:r>
      <w:r w:rsidRPr="00097442">
        <w:t xml:space="preserve">NZS10542.1 (2015) is recommended and passengers are encouraged to contact the operator or provider for more information on wheelchair restraints. </w:t>
      </w:r>
    </w:p>
    <w:p w14:paraId="45301838" w14:textId="77777777" w:rsidR="00094004" w:rsidRPr="00097442" w:rsidRDefault="00094004" w:rsidP="006F65FB">
      <w:pPr>
        <w:pStyle w:val="ListParagraph"/>
        <w:numPr>
          <w:ilvl w:val="0"/>
          <w:numId w:val="53"/>
        </w:numPr>
        <w:autoSpaceDE w:val="0"/>
        <w:autoSpaceDN w:val="0"/>
        <w:spacing w:before="40" w:after="40"/>
      </w:pPr>
      <w:r w:rsidRPr="00097442">
        <w:t xml:space="preserve">This is particularly important for mobility scooters as most of these lack the necessary attachment points for belts. Most wheelchairs will have the necessary attachment points but </w:t>
      </w:r>
      <w:r>
        <w:t>passengers</w:t>
      </w:r>
      <w:r w:rsidRPr="00097442">
        <w:t xml:space="preserve"> should confirm this prior to purchase or travel.</w:t>
      </w:r>
    </w:p>
    <w:p w14:paraId="611DEB2B" w14:textId="77777777" w:rsidR="00094004" w:rsidRDefault="00094004" w:rsidP="006F65FB">
      <w:pPr>
        <w:pStyle w:val="ListParagraph"/>
        <w:numPr>
          <w:ilvl w:val="0"/>
          <w:numId w:val="53"/>
        </w:numPr>
        <w:autoSpaceDE w:val="0"/>
        <w:autoSpaceDN w:val="0"/>
        <w:spacing w:before="40" w:after="40"/>
      </w:pPr>
      <w:r w:rsidRPr="00097442">
        <w:t>Conveyances on which seatbelts are not normally offered may also be fitted with active restraints, to be used at the discretion of the passenger travelling with a wheelchair.</w:t>
      </w:r>
    </w:p>
    <w:p w14:paraId="53D3ADC2" w14:textId="0E9FE480" w:rsidR="00094004" w:rsidRDefault="00094004" w:rsidP="006F65FB">
      <w:pPr>
        <w:pStyle w:val="Heading3"/>
        <w:numPr>
          <w:ilvl w:val="0"/>
          <w:numId w:val="47"/>
        </w:numPr>
        <w:ind w:left="567" w:hanging="567"/>
      </w:pPr>
      <w:bookmarkStart w:id="1012" w:name="_Toc127351877"/>
      <w:bookmarkStart w:id="1013" w:name="_Toc130914555"/>
      <w:bookmarkStart w:id="1014" w:name="_Toc140239846"/>
      <w:r w:rsidRPr="00130222">
        <w:t>Appropriate seats on booked services</w:t>
      </w:r>
      <w:bookmarkEnd w:id="1012"/>
      <w:bookmarkEnd w:id="1013"/>
      <w:bookmarkEnd w:id="1014"/>
    </w:p>
    <w:p w14:paraId="7ABDBCD8" w14:textId="77777777" w:rsidR="00094004" w:rsidRPr="00097442" w:rsidRDefault="00094004" w:rsidP="00094004">
      <w:pPr>
        <w:pStyle w:val="Heading4"/>
      </w:pPr>
      <w:r w:rsidRPr="00097442">
        <w:t>Status quo</w:t>
      </w:r>
    </w:p>
    <w:p w14:paraId="5C02B4B6" w14:textId="77777777" w:rsidR="00094004" w:rsidRPr="00097442" w:rsidRDefault="00094004" w:rsidP="00094004">
      <w:r>
        <w:t>Transport Standards</w:t>
      </w:r>
      <w:r w:rsidRPr="00097442">
        <w:t xml:space="preserve"> </w:t>
      </w:r>
      <w:r>
        <w:t xml:space="preserve">section 28.4 </w:t>
      </w:r>
      <w:r w:rsidRPr="00F83DF3">
        <w:t>Accessible seats to be available for passengers with disabilities</w:t>
      </w:r>
      <w:r>
        <w:t xml:space="preserve">, </w:t>
      </w:r>
      <w:r w:rsidRPr="00097442">
        <w:t xml:space="preserve">would remain unchanged and no additional guidance would be issued. </w:t>
      </w:r>
    </w:p>
    <w:p w14:paraId="6EDB88E6" w14:textId="77777777" w:rsidR="00094004" w:rsidRPr="00097442" w:rsidRDefault="00094004" w:rsidP="00094004">
      <w:pPr>
        <w:ind w:left="1134" w:hanging="567"/>
        <w:rPr>
          <w:b/>
        </w:rPr>
      </w:pPr>
      <w:r w:rsidRPr="00097442">
        <w:rPr>
          <w:b/>
        </w:rPr>
        <w:t>28.4</w:t>
      </w:r>
      <w:r w:rsidRPr="00097442">
        <w:rPr>
          <w:b/>
        </w:rPr>
        <w:tab/>
        <w:t>Accessible seats to be available for passengers with disabilities</w:t>
      </w:r>
    </w:p>
    <w:p w14:paraId="771FD723" w14:textId="77777777" w:rsidR="00094004" w:rsidRPr="00097442" w:rsidRDefault="00094004" w:rsidP="00094004">
      <w:pPr>
        <w:ind w:left="1134" w:hanging="567"/>
      </w:pPr>
      <w:r>
        <w:t xml:space="preserve">(1) </w:t>
      </w:r>
      <w:r>
        <w:tab/>
      </w:r>
      <w:r w:rsidRPr="00097442">
        <w:t>Accessible seats must be kept for passengers with disabilities.</w:t>
      </w:r>
    </w:p>
    <w:p w14:paraId="1B8D5606" w14:textId="77777777" w:rsidR="00094004" w:rsidRPr="00097442" w:rsidRDefault="00094004" w:rsidP="00094004">
      <w:pPr>
        <w:ind w:left="1134" w:hanging="567"/>
      </w:pPr>
      <w:r>
        <w:t>(2)</w:t>
      </w:r>
      <w:r>
        <w:tab/>
      </w:r>
      <w:r w:rsidRPr="00097442">
        <w:t>Operators must allocate unbooked accessible seats to other passengers only after all other standard seats are filled.</w:t>
      </w:r>
    </w:p>
    <w:p w14:paraId="1829E4D8" w14:textId="77777777" w:rsidR="00094004" w:rsidRPr="00097442" w:rsidRDefault="00094004" w:rsidP="00094004">
      <w:pPr>
        <w:ind w:firstLine="567"/>
      </w:pPr>
      <w:r>
        <w:t>This s</w:t>
      </w:r>
      <w:r w:rsidRPr="00097442">
        <w:t xml:space="preserve">ection </w:t>
      </w:r>
      <w:r>
        <w:t>pertains</w:t>
      </w:r>
      <w:r w:rsidRPr="00097442">
        <w:t xml:space="preserve"> to aircraft, coaches, ferries, dial-a-ride services and trains.</w:t>
      </w:r>
    </w:p>
    <w:p w14:paraId="1A3D02F2" w14:textId="77777777" w:rsidR="00094004" w:rsidRPr="00097442" w:rsidRDefault="00094004" w:rsidP="00094004">
      <w:pPr>
        <w:pStyle w:val="Heading4"/>
      </w:pPr>
      <w:r>
        <w:t>Non-regulatory</w:t>
      </w:r>
      <w:r w:rsidRPr="00097442">
        <w:t xml:space="preserve"> option</w:t>
      </w:r>
    </w:p>
    <w:p w14:paraId="31A6B48A" w14:textId="77777777" w:rsidR="00094004" w:rsidRPr="00097442"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 to include advice on</w:t>
      </w:r>
      <w:r w:rsidRPr="00097442" w:rsidDel="00D57E29">
        <w:t xml:space="preserve"> </w:t>
      </w:r>
      <w:r w:rsidRPr="00097442">
        <w:t>booking seats appropriate to a passenger’s needs and to specify the nature of appr</w:t>
      </w:r>
      <w:r>
        <w:t xml:space="preserve">opriate versus accessible seats and is pertinent to </w:t>
      </w:r>
      <w:r w:rsidRPr="001D6D93">
        <w:t>booked services on aircraft, coaches, ferries, dial-a-ride services and trains.</w:t>
      </w:r>
    </w:p>
    <w:p w14:paraId="6368D591" w14:textId="77777777" w:rsidR="00094004" w:rsidRPr="00097442" w:rsidRDefault="00094004" w:rsidP="00094004">
      <w:r>
        <w:t>Specific guidance may include:</w:t>
      </w:r>
    </w:p>
    <w:p w14:paraId="47D607CC" w14:textId="77777777" w:rsidR="00094004" w:rsidRPr="001D6D93" w:rsidRDefault="00094004" w:rsidP="006F65FB">
      <w:pPr>
        <w:pStyle w:val="ListParagraph"/>
        <w:numPr>
          <w:ilvl w:val="0"/>
          <w:numId w:val="60"/>
        </w:numPr>
        <w:autoSpaceDE w:val="0"/>
        <w:autoSpaceDN w:val="0"/>
        <w:spacing w:before="40" w:after="40"/>
      </w:pPr>
      <w:r>
        <w:t>People with disability</w:t>
      </w:r>
      <w:r w:rsidRPr="001D6D93">
        <w:t xml:space="preserve"> </w:t>
      </w:r>
      <w:r>
        <w:t xml:space="preserve">should </w:t>
      </w:r>
      <w:r w:rsidRPr="001D6D93">
        <w:t>be able to book seats that are located in parts of a conveyance that are appropriate for their travelling needs.</w:t>
      </w:r>
    </w:p>
    <w:p w14:paraId="78F5FB11" w14:textId="77777777" w:rsidR="00094004" w:rsidRDefault="00094004" w:rsidP="006F65FB">
      <w:pPr>
        <w:pStyle w:val="ListParagraph"/>
        <w:numPr>
          <w:ilvl w:val="0"/>
          <w:numId w:val="60"/>
        </w:numPr>
        <w:autoSpaceDE w:val="0"/>
        <w:autoSpaceDN w:val="0"/>
        <w:spacing w:before="40" w:after="40"/>
      </w:pPr>
      <w:r w:rsidRPr="00097442">
        <w:t xml:space="preserve">Operators </w:t>
      </w:r>
      <w:r>
        <w:t>and providers should</w:t>
      </w:r>
      <w:r w:rsidRPr="00097442">
        <w:t xml:space="preserve"> have booking policies that are able to accommodate the </w:t>
      </w:r>
      <w:r>
        <w:t>varying seating</w:t>
      </w:r>
      <w:r w:rsidRPr="00097442">
        <w:t xml:space="preserve"> needs of </w:t>
      </w:r>
      <w:r>
        <w:t>people with disability in an appropriate manner, by offering appropriate seats.</w:t>
      </w:r>
      <w:r w:rsidRPr="00F260C7">
        <w:t xml:space="preserve"> </w:t>
      </w:r>
    </w:p>
    <w:p w14:paraId="0FADB2D7" w14:textId="77777777" w:rsidR="00094004" w:rsidRPr="00F260C7" w:rsidRDefault="00094004" w:rsidP="006F65FB">
      <w:pPr>
        <w:pStyle w:val="ListParagraph"/>
        <w:numPr>
          <w:ilvl w:val="0"/>
          <w:numId w:val="60"/>
        </w:numPr>
        <w:autoSpaceDE w:val="0"/>
        <w:autoSpaceDN w:val="0"/>
        <w:spacing w:before="40" w:after="40"/>
      </w:pPr>
      <w:r w:rsidRPr="00097442">
        <w:lastRenderedPageBreak/>
        <w:t>Appropriate seats do not require signs or other means of differentiation from other seats and are of the same design and configuration as other seats. Appropriate seats are identified during the booking process and accommodation made for passengers with disabilities unless all seats on the service were already booked.</w:t>
      </w:r>
      <w:r>
        <w:t xml:space="preserve"> For example, an appropriate seat may be closest to the toilet to suit a particular person’s needs. </w:t>
      </w:r>
    </w:p>
    <w:p w14:paraId="15B298BB" w14:textId="77777777" w:rsidR="00094004" w:rsidRPr="00097442" w:rsidRDefault="00094004" w:rsidP="006F65FB">
      <w:pPr>
        <w:pStyle w:val="ListParagraph"/>
        <w:numPr>
          <w:ilvl w:val="0"/>
          <w:numId w:val="60"/>
        </w:numPr>
        <w:autoSpaceDE w:val="0"/>
        <w:autoSpaceDN w:val="0"/>
        <w:spacing w:before="40" w:after="40"/>
      </w:pPr>
      <w:r w:rsidRPr="00097442">
        <w:t xml:space="preserve">Passengers should identify their particular seating needs at the time of booking. While operators </w:t>
      </w:r>
      <w:r>
        <w:t>will</w:t>
      </w:r>
      <w:r w:rsidRPr="00097442">
        <w:t xml:space="preserve"> accommodate passengers to the extent possible it may not always be possible to fully accommodate the need. For example, if a person with similar requirements had already booked the seat, that person would have priority.</w:t>
      </w:r>
    </w:p>
    <w:p w14:paraId="7F9A015E" w14:textId="77777777" w:rsidR="00094004" w:rsidRPr="00097442" w:rsidRDefault="00094004" w:rsidP="006F65FB">
      <w:pPr>
        <w:pStyle w:val="ListParagraph"/>
        <w:numPr>
          <w:ilvl w:val="0"/>
          <w:numId w:val="60"/>
        </w:numPr>
        <w:autoSpaceDE w:val="0"/>
        <w:autoSpaceDN w:val="0"/>
        <w:spacing w:before="40" w:after="40"/>
      </w:pPr>
      <w:r>
        <w:t>P</w:t>
      </w:r>
      <w:r w:rsidRPr="00097442">
        <w:t xml:space="preserve">assengers should be </w:t>
      </w:r>
      <w:r>
        <w:t xml:space="preserve">advised </w:t>
      </w:r>
      <w:r w:rsidRPr="00097442">
        <w:t xml:space="preserve">during the booking process the seats identified to be most appropriate for </w:t>
      </w:r>
      <w:r>
        <w:t>people with disability</w:t>
      </w:r>
      <w:r w:rsidRPr="00097442">
        <w:t xml:space="preserve"> are to be reserved until other seats are taken. This is particularly important when passengers can select their own seats during the booking process.</w:t>
      </w:r>
    </w:p>
    <w:p w14:paraId="52335F45" w14:textId="77777777" w:rsidR="00094004" w:rsidRDefault="00094004" w:rsidP="006F65FB">
      <w:pPr>
        <w:pStyle w:val="ListParagraph"/>
        <w:numPr>
          <w:ilvl w:val="0"/>
          <w:numId w:val="60"/>
        </w:numPr>
        <w:autoSpaceDE w:val="0"/>
        <w:autoSpaceDN w:val="0"/>
        <w:spacing w:before="40" w:after="40"/>
      </w:pPr>
      <w:r w:rsidRPr="00097442">
        <w:t>Passengers should be able to request appropriate seating in any class of service offered by the operator.</w:t>
      </w:r>
    </w:p>
    <w:p w14:paraId="17DAB81B" w14:textId="77777777" w:rsidR="00094004" w:rsidRPr="00097442" w:rsidRDefault="00094004" w:rsidP="00094004">
      <w:pPr>
        <w:pStyle w:val="Heading4"/>
      </w:pPr>
      <w:r w:rsidRPr="00097442">
        <w:t>Regulatory option</w:t>
      </w:r>
    </w:p>
    <w:p w14:paraId="3CD595B6" w14:textId="77777777" w:rsidR="00094004" w:rsidRPr="00097442" w:rsidRDefault="00094004" w:rsidP="00094004">
      <w:r w:rsidRPr="00097442">
        <w:t xml:space="preserve">The </w:t>
      </w:r>
      <w:r>
        <w:t>Transport Standards</w:t>
      </w:r>
      <w:r w:rsidRPr="00097442">
        <w:t xml:space="preserve"> would be amended </w:t>
      </w:r>
      <w:r>
        <w:t>to include requirement</w:t>
      </w:r>
      <w:r w:rsidRPr="00097442">
        <w:t xml:space="preserve"> for booking seats appropriate to a passenger’s needs and specify the nature of appropriate </w:t>
      </w:r>
      <w:r>
        <w:t>versus accessible seating for people with disability</w:t>
      </w:r>
      <w:r w:rsidRPr="00097442">
        <w:t>.</w:t>
      </w:r>
    </w:p>
    <w:p w14:paraId="68DD3FE8" w14:textId="77777777" w:rsidR="00094004" w:rsidRPr="00097442" w:rsidRDefault="00094004" w:rsidP="00094004">
      <w:r>
        <w:t>Transport Standards s</w:t>
      </w:r>
      <w:r w:rsidRPr="00097442">
        <w:t xml:space="preserve">ection 28.4 Accessible seats to be available for passengers with disabilities, </w:t>
      </w:r>
      <w:r>
        <w:t>would be amended to include the following requirements (including any requirements retained or amended from the status quo):</w:t>
      </w:r>
    </w:p>
    <w:p w14:paraId="0AE98A7D" w14:textId="77777777" w:rsidR="00094004" w:rsidRPr="00097442" w:rsidRDefault="00094004" w:rsidP="006F65FB">
      <w:pPr>
        <w:pStyle w:val="ListParagraph"/>
        <w:numPr>
          <w:ilvl w:val="0"/>
          <w:numId w:val="61"/>
        </w:numPr>
        <w:autoSpaceDE w:val="0"/>
        <w:autoSpaceDN w:val="0"/>
        <w:spacing w:before="40" w:after="40"/>
      </w:pPr>
      <w:r w:rsidRPr="00097442">
        <w:t>Passengers with disabilities must be able to book seats that are located in parts of the conveyance that are appropriate for their travelling needs.</w:t>
      </w:r>
    </w:p>
    <w:p w14:paraId="3C72A3C5" w14:textId="77777777" w:rsidR="00094004" w:rsidRPr="00097442" w:rsidRDefault="00094004" w:rsidP="006F65FB">
      <w:pPr>
        <w:pStyle w:val="ListParagraph"/>
        <w:numPr>
          <w:ilvl w:val="0"/>
          <w:numId w:val="61"/>
        </w:numPr>
        <w:autoSpaceDE w:val="0"/>
        <w:autoSpaceDN w:val="0"/>
        <w:spacing w:before="40" w:after="40"/>
      </w:pPr>
      <w:r w:rsidRPr="00097442">
        <w:t xml:space="preserve">Operators </w:t>
      </w:r>
      <w:r>
        <w:t xml:space="preserve">and providers </w:t>
      </w:r>
      <w:r w:rsidRPr="00097442">
        <w:t>must appropriately accommodate passengers based on their needs unless all seats on the service are already booked.</w:t>
      </w:r>
    </w:p>
    <w:p w14:paraId="1501858D" w14:textId="77777777" w:rsidR="00094004" w:rsidRPr="00097442" w:rsidRDefault="00094004" w:rsidP="006F65FB">
      <w:pPr>
        <w:pStyle w:val="ListParagraph"/>
        <w:numPr>
          <w:ilvl w:val="0"/>
          <w:numId w:val="61"/>
        </w:numPr>
        <w:autoSpaceDE w:val="0"/>
        <w:autoSpaceDN w:val="0"/>
        <w:spacing w:before="40" w:after="40"/>
      </w:pPr>
      <w:r w:rsidRPr="00097442">
        <w:t xml:space="preserve">If different classes of travel are provided by a service, seats appropriate to the travelling needs of </w:t>
      </w:r>
      <w:r>
        <w:t>people with disability</w:t>
      </w:r>
      <w:r w:rsidRPr="00097442">
        <w:t xml:space="preserve"> must be available in each class.</w:t>
      </w:r>
    </w:p>
    <w:p w14:paraId="766D228C" w14:textId="77777777" w:rsidR="00094004" w:rsidRPr="00097442" w:rsidRDefault="00094004" w:rsidP="00094004">
      <w:r>
        <w:t>These requirements</w:t>
      </w:r>
      <w:r w:rsidRPr="00097442">
        <w:t xml:space="preserve"> would apply to aircraft, coaches, ferries, dial-a-ride services and trains.</w:t>
      </w:r>
    </w:p>
    <w:p w14:paraId="53D35B21" w14:textId="77777777" w:rsidR="00094004"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w:t>
      </w:r>
      <w:r>
        <w:t xml:space="preserve"> to reflect the changes to the Transport Standards.</w:t>
      </w:r>
    </w:p>
    <w:p w14:paraId="6E5BEE02" w14:textId="77777777" w:rsidR="00094004" w:rsidRPr="00097442" w:rsidRDefault="00094004" w:rsidP="00094004">
      <w:r>
        <w:t>Specific guidance will include</w:t>
      </w:r>
      <w:r w:rsidRPr="00097442">
        <w:t>:</w:t>
      </w:r>
    </w:p>
    <w:p w14:paraId="57C6A794" w14:textId="77777777" w:rsidR="00094004" w:rsidRDefault="00094004" w:rsidP="006F65FB">
      <w:pPr>
        <w:pStyle w:val="ListParagraph"/>
        <w:numPr>
          <w:ilvl w:val="0"/>
          <w:numId w:val="61"/>
        </w:numPr>
        <w:autoSpaceDE w:val="0"/>
        <w:autoSpaceDN w:val="0"/>
        <w:spacing w:before="40" w:after="40"/>
      </w:pPr>
      <w:r w:rsidRPr="00097442">
        <w:t>Passengers should identify their particular seating needs at the time of booking</w:t>
      </w:r>
      <w:r>
        <w:t xml:space="preserve"> so they can book an appropriate seat for their needs</w:t>
      </w:r>
      <w:r w:rsidRPr="00097442">
        <w:t xml:space="preserve">. </w:t>
      </w:r>
      <w:r>
        <w:t>For example, an appropriate seat may be closest to the toilet to suit a particular person’s needs.</w:t>
      </w:r>
    </w:p>
    <w:p w14:paraId="7B17C57C" w14:textId="77777777" w:rsidR="00094004" w:rsidRPr="00097442" w:rsidRDefault="00094004" w:rsidP="006F65FB">
      <w:pPr>
        <w:pStyle w:val="ListParagraph"/>
        <w:numPr>
          <w:ilvl w:val="0"/>
          <w:numId w:val="61"/>
        </w:numPr>
        <w:autoSpaceDE w:val="0"/>
        <w:autoSpaceDN w:val="0"/>
        <w:spacing w:before="40" w:after="40"/>
      </w:pPr>
      <w:r w:rsidRPr="00097442">
        <w:t>While operators will accommodate passengers to the extent possible it may not always be possible to fully accommodate the need. For example, if a person with similar requirements had already booked the seat, that person would have priority.</w:t>
      </w:r>
    </w:p>
    <w:p w14:paraId="5A001564" w14:textId="77777777" w:rsidR="00094004" w:rsidRPr="00097442" w:rsidRDefault="00094004" w:rsidP="006F65FB">
      <w:pPr>
        <w:pStyle w:val="ListParagraph"/>
        <w:numPr>
          <w:ilvl w:val="0"/>
          <w:numId w:val="61"/>
        </w:numPr>
        <w:autoSpaceDE w:val="0"/>
        <w:autoSpaceDN w:val="0"/>
        <w:spacing w:before="40" w:after="40"/>
      </w:pPr>
      <w:r w:rsidRPr="00097442">
        <w:t xml:space="preserve">Appropriate seats do not require signs or other means of differentiation from other seats and are of the same design and configuration as other seats. Appropriate seats are identified during the booking process and accommodation made for </w:t>
      </w:r>
      <w:r>
        <w:t>people with disability</w:t>
      </w:r>
      <w:r w:rsidRPr="00097442">
        <w:t xml:space="preserve"> unless all seats on the service were already booked.</w:t>
      </w:r>
    </w:p>
    <w:p w14:paraId="5041742B" w14:textId="77777777" w:rsidR="00094004" w:rsidRPr="00097442" w:rsidRDefault="00094004" w:rsidP="006F65FB">
      <w:pPr>
        <w:pStyle w:val="ListParagraph"/>
        <w:numPr>
          <w:ilvl w:val="0"/>
          <w:numId w:val="61"/>
        </w:numPr>
        <w:autoSpaceDE w:val="0"/>
        <w:autoSpaceDN w:val="0"/>
        <w:spacing w:before="40" w:after="40"/>
      </w:pPr>
      <w:r>
        <w:t>P</w:t>
      </w:r>
      <w:r w:rsidRPr="00097442">
        <w:t xml:space="preserve">assengers should be </w:t>
      </w:r>
      <w:r>
        <w:t xml:space="preserve">advised </w:t>
      </w:r>
      <w:r w:rsidRPr="00097442">
        <w:t xml:space="preserve">during the booking process the seats identified to be most appropriate for </w:t>
      </w:r>
      <w:r>
        <w:t>people with disability</w:t>
      </w:r>
      <w:r w:rsidRPr="00097442">
        <w:t xml:space="preserve"> are to be reserved until other seats are taken. This is particularly important when passengers can select their own seats during the booking process.</w:t>
      </w:r>
    </w:p>
    <w:p w14:paraId="7A128376" w14:textId="77777777" w:rsidR="00094004" w:rsidRDefault="00094004" w:rsidP="006F65FB">
      <w:pPr>
        <w:pStyle w:val="ListParagraph"/>
        <w:numPr>
          <w:ilvl w:val="0"/>
          <w:numId w:val="61"/>
        </w:numPr>
        <w:autoSpaceDE w:val="0"/>
        <w:autoSpaceDN w:val="0"/>
        <w:spacing w:before="40" w:after="40"/>
      </w:pPr>
      <w:r w:rsidRPr="00097442">
        <w:lastRenderedPageBreak/>
        <w:t xml:space="preserve">Passengers </w:t>
      </w:r>
      <w:r>
        <w:t>must</w:t>
      </w:r>
      <w:r w:rsidRPr="00097442">
        <w:t xml:space="preserve"> be able to request appropriate seating in any class of service offered by the operator.</w:t>
      </w:r>
    </w:p>
    <w:p w14:paraId="334A5103" w14:textId="158ED128" w:rsidR="00094004" w:rsidRDefault="00094004" w:rsidP="006F65FB">
      <w:pPr>
        <w:pStyle w:val="Heading3"/>
        <w:numPr>
          <w:ilvl w:val="0"/>
          <w:numId w:val="47"/>
        </w:numPr>
        <w:ind w:left="567" w:hanging="567"/>
      </w:pPr>
      <w:bookmarkStart w:id="1015" w:name="_Toc127351878"/>
      <w:bookmarkStart w:id="1016" w:name="_Toc130914556"/>
      <w:bookmarkStart w:id="1017" w:name="_Toc140239847"/>
      <w:r w:rsidRPr="00130222">
        <w:t>Conveyance dwell times at stops</w:t>
      </w:r>
      <w:bookmarkEnd w:id="1015"/>
      <w:bookmarkEnd w:id="1016"/>
      <w:bookmarkEnd w:id="1017"/>
    </w:p>
    <w:p w14:paraId="45129F67" w14:textId="77777777" w:rsidR="00094004" w:rsidRPr="00097442" w:rsidRDefault="00094004" w:rsidP="00094004">
      <w:pPr>
        <w:pStyle w:val="Heading4"/>
      </w:pPr>
      <w:r w:rsidRPr="00097442">
        <w:t>Status quo</w:t>
      </w:r>
    </w:p>
    <w:p w14:paraId="767A1EE9" w14:textId="77777777" w:rsidR="00094004"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4600D172" w14:textId="77777777" w:rsidR="00094004" w:rsidRPr="00097442" w:rsidRDefault="00094004" w:rsidP="00094004">
      <w:r w:rsidRPr="00097442">
        <w:t xml:space="preserve">The </w:t>
      </w:r>
      <w:r>
        <w:t>Transport Standards</w:t>
      </w:r>
      <w:r w:rsidRPr="00097442">
        <w:t xml:space="preserve"> would continue to be silent on dwell times. </w:t>
      </w:r>
    </w:p>
    <w:p w14:paraId="286FE58C" w14:textId="77777777" w:rsidR="00094004" w:rsidRPr="00097442" w:rsidRDefault="00094004" w:rsidP="00094004">
      <w:pPr>
        <w:pStyle w:val="Heading4"/>
      </w:pPr>
      <w:r>
        <w:t>Non-regulatory</w:t>
      </w:r>
      <w:r w:rsidRPr="00097442">
        <w:t xml:space="preserve"> option</w:t>
      </w:r>
    </w:p>
    <w:p w14:paraId="67C5EB3F" w14:textId="77777777" w:rsidR="00094004" w:rsidRPr="00097442" w:rsidRDefault="00094004" w:rsidP="00094004">
      <w:r w:rsidRPr="00097442">
        <w:t xml:space="preserve">The Whole Journey Guide and </w:t>
      </w:r>
      <w:r>
        <w:t xml:space="preserve">/ or </w:t>
      </w:r>
      <w:r w:rsidRPr="00097442">
        <w:t xml:space="preserve">the </w:t>
      </w:r>
      <w:r>
        <w:t>Transport Standards</w:t>
      </w:r>
      <w:r w:rsidRPr="00097442">
        <w:t xml:space="preserve"> Guidelines would be updated to include advice that conveyances should not depart from stops until passengers including those with disabilities are safely seated, securely located or securely positioned in allocated spaces or have safely alighted. </w:t>
      </w:r>
    </w:p>
    <w:p w14:paraId="2EDEC35A" w14:textId="77777777" w:rsidR="00094004" w:rsidRPr="00097442" w:rsidRDefault="00094004" w:rsidP="00094004">
      <w:r w:rsidRPr="00097442">
        <w:t>Specific guidance pertaining to conveyances where the driver / master had a clean line of sight to the access path, allocated spaces and priority seats would include:</w:t>
      </w:r>
    </w:p>
    <w:p w14:paraId="32F92A04"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must permit passengers, including those with disabilities to safely alight and to board and be safely seated or securely positioned in allocated spaces before the conveyance resumes movement. All passengers should to be safely seated, have a firm grip on a grabrail or other support if standing, or be securely positioned in allocated spaces prior to a conveyance leaving a stop. </w:t>
      </w:r>
    </w:p>
    <w:p w14:paraId="1BCD9886"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should therefore balance the often-slower gait of </w:t>
      </w:r>
      <w:r>
        <w:t>people with disability</w:t>
      </w:r>
      <w:r w:rsidRPr="00097442">
        <w:t xml:space="preserve"> with the imperative to maintain the timetable. Disability awareness training will better equip drivers to understand passenger needs and behaviour.</w:t>
      </w:r>
    </w:p>
    <w:p w14:paraId="39610194"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such as buses and coaches it is possible for drivers to observe if </w:t>
      </w:r>
      <w:r>
        <w:t>people with disability</w:t>
      </w:r>
      <w:r w:rsidRPr="00097442">
        <w:t xml:space="preserve"> are safely seated in a priority seat or securely positioned in an allocated space prior to departing a stop. </w:t>
      </w:r>
    </w:p>
    <w:p w14:paraId="59866DBF"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where this is difficult or not possible, solutions should be implemented, such as sensors or signals that alert drivers that a longer dwell time is required at a particular stop. These might be passenger initiated or rely on other technical mechanisms. </w:t>
      </w:r>
    </w:p>
    <w:p w14:paraId="152D1035" w14:textId="77777777" w:rsidR="00094004" w:rsidRDefault="00094004" w:rsidP="006F65FB">
      <w:pPr>
        <w:pStyle w:val="ListParagraph"/>
        <w:numPr>
          <w:ilvl w:val="0"/>
          <w:numId w:val="62"/>
        </w:numPr>
        <w:autoSpaceDE w:val="0"/>
        <w:autoSpaceDN w:val="0"/>
        <w:spacing w:before="40" w:after="40"/>
      </w:pPr>
      <w:r w:rsidRPr="00097442">
        <w:t xml:space="preserve">Locating the priority seats and allocated spaces so that they are convenient to entrances and ensuring that scheduled dwell times are of sufficient duration to allow passengers to reach priority seats and allocated spaces and be safely seated or securely positioned will enhance the amenity of boarding and alighting for </w:t>
      </w:r>
      <w:r>
        <w:t>people with disability</w:t>
      </w:r>
      <w:r w:rsidRPr="00097442">
        <w:t>.</w:t>
      </w:r>
    </w:p>
    <w:p w14:paraId="7CD3703B" w14:textId="77777777" w:rsidR="00094004" w:rsidRPr="00B931D3" w:rsidRDefault="00094004" w:rsidP="006F65FB">
      <w:pPr>
        <w:pStyle w:val="ListParagraph"/>
        <w:numPr>
          <w:ilvl w:val="0"/>
          <w:numId w:val="62"/>
        </w:numPr>
        <w:autoSpaceDE w:val="0"/>
        <w:autoSpaceDN w:val="0"/>
        <w:spacing w:before="40" w:after="40"/>
      </w:pPr>
      <w:r w:rsidRPr="00BF4D81">
        <w:t xml:space="preserve">Autonomous vehicles are currently in service and likely to become more common in the short to medium term. Systems that allow for passengers to be </w:t>
      </w:r>
      <w:r w:rsidRPr="00097442">
        <w:t xml:space="preserve">safely seated, have a firm grip on a grabrail or other support if standing, or securely positioned in allocated spaces prior to a conveyance leaving a stop </w:t>
      </w:r>
      <w:r>
        <w:t>may</w:t>
      </w:r>
      <w:r w:rsidRPr="00097442">
        <w:t xml:space="preserve"> be installed</w:t>
      </w:r>
      <w:r>
        <w:t xml:space="preserve"> to meet this guidance</w:t>
      </w:r>
      <w:r w:rsidRPr="00097442">
        <w:t>. These might be passenger initiated or rely on sensors that are integrated with artificial intelligence systems.</w:t>
      </w:r>
    </w:p>
    <w:p w14:paraId="5685835D" w14:textId="77777777" w:rsidR="00094004" w:rsidRPr="0068085D" w:rsidRDefault="00094004" w:rsidP="00094004">
      <w:pPr>
        <w:pStyle w:val="Heading4"/>
      </w:pPr>
      <w:r w:rsidRPr="0068085D">
        <w:t>Regulatory option</w:t>
      </w:r>
    </w:p>
    <w:p w14:paraId="5B0D7168" w14:textId="77777777" w:rsidR="00094004" w:rsidRPr="00097442" w:rsidRDefault="00094004" w:rsidP="00094004">
      <w:r w:rsidRPr="00097442">
        <w:t xml:space="preserve">The </w:t>
      </w:r>
      <w:r>
        <w:t>Transport Standards</w:t>
      </w:r>
      <w:r w:rsidRPr="00097442">
        <w:t xml:space="preserve"> would be amended to include</w:t>
      </w:r>
      <w:r w:rsidRPr="00097442" w:rsidDel="004C7E44">
        <w:t xml:space="preserve"> </w:t>
      </w:r>
      <w:r>
        <w:t>new requirements for conveyance dwell time at stops.</w:t>
      </w:r>
    </w:p>
    <w:p w14:paraId="2DC48ED4" w14:textId="77777777" w:rsidR="00094004" w:rsidRPr="00097442" w:rsidRDefault="00094004" w:rsidP="00094004">
      <w:r w:rsidRPr="00097442">
        <w:t xml:space="preserve">The </w:t>
      </w:r>
      <w:r>
        <w:t>Transport Standards</w:t>
      </w:r>
      <w:r w:rsidRPr="00097442">
        <w:t xml:space="preserve"> would include the following new requirements:</w:t>
      </w:r>
    </w:p>
    <w:p w14:paraId="68A83201" w14:textId="77777777" w:rsidR="00094004" w:rsidRPr="00097442" w:rsidRDefault="00094004" w:rsidP="006F65FB">
      <w:pPr>
        <w:pStyle w:val="ListParagraph"/>
        <w:numPr>
          <w:ilvl w:val="0"/>
          <w:numId w:val="62"/>
        </w:numPr>
        <w:autoSpaceDE w:val="0"/>
        <w:autoSpaceDN w:val="0"/>
        <w:spacing w:before="40" w:after="40"/>
      </w:pPr>
      <w:r w:rsidRPr="00097442">
        <w:lastRenderedPageBreak/>
        <w:t>Dwell times at stops must permit passengers, including those with disabilities, to safely alight and to board and be safely seated, be securely located, or be securely positioned in allocated spaces before the conveyance resumes movement.</w:t>
      </w:r>
    </w:p>
    <w:p w14:paraId="17934C26" w14:textId="77777777" w:rsidR="00094004" w:rsidRPr="00097442" w:rsidRDefault="00094004" w:rsidP="00094004">
      <w:r w:rsidRPr="00097442">
        <w:t xml:space="preserve">These requirements would apply to all conveyances where the driver or master has a clear view of the priority seats and allocates spaces. </w:t>
      </w:r>
    </w:p>
    <w:p w14:paraId="08DD03FB" w14:textId="77777777" w:rsidR="00094004" w:rsidRPr="00097442" w:rsidRDefault="00094004" w:rsidP="00094004">
      <w:r w:rsidRPr="00097442">
        <w:t xml:space="preserve">The </w:t>
      </w:r>
      <w:r>
        <w:t>Transport Standards</w:t>
      </w:r>
      <w:r w:rsidRPr="00097442">
        <w:t xml:space="preserve"> Guidelines and</w:t>
      </w:r>
      <w:r>
        <w:t xml:space="preserve"> / or</w:t>
      </w:r>
      <w:r w:rsidRPr="00097442">
        <w:t xml:space="preserve"> The Whole Journey Guide would be updated to reflect new requirements and to encourage automated vehicles with the ability to adjust dwell times based on sensors or passenger feedback to comply with these requirements. </w:t>
      </w:r>
    </w:p>
    <w:p w14:paraId="21EE742D" w14:textId="77777777" w:rsidR="00094004" w:rsidRPr="00097442" w:rsidRDefault="00094004" w:rsidP="00094004">
      <w:r w:rsidRPr="00097442">
        <w:t>Specific guidance may include the following:</w:t>
      </w:r>
    </w:p>
    <w:p w14:paraId="53EB9A78" w14:textId="77777777" w:rsidR="00094004" w:rsidRPr="00097442" w:rsidRDefault="00094004" w:rsidP="006F65FB">
      <w:pPr>
        <w:pStyle w:val="ListParagraph"/>
        <w:numPr>
          <w:ilvl w:val="0"/>
          <w:numId w:val="62"/>
        </w:numPr>
        <w:autoSpaceDE w:val="0"/>
        <w:autoSpaceDN w:val="0"/>
        <w:spacing w:before="40" w:after="40"/>
      </w:pPr>
      <w:r w:rsidRPr="00097442">
        <w:t xml:space="preserve">All passengers should to be safely seated, have a firm grip on a grabrail or other support if standing, or be securely positioned in allocated spaces prior to a conveyance leaving a stop. </w:t>
      </w:r>
    </w:p>
    <w:p w14:paraId="1091C94F" w14:textId="77777777" w:rsidR="00094004" w:rsidRPr="00097442" w:rsidRDefault="00094004" w:rsidP="006F65FB">
      <w:pPr>
        <w:pStyle w:val="ListParagraph"/>
        <w:numPr>
          <w:ilvl w:val="0"/>
          <w:numId w:val="62"/>
        </w:numPr>
        <w:autoSpaceDE w:val="0"/>
        <w:autoSpaceDN w:val="0"/>
        <w:spacing w:before="40" w:after="40"/>
      </w:pPr>
      <w:r w:rsidRPr="00097442">
        <w:t xml:space="preserve">Dwell times at stops should balance the often-slower gait of </w:t>
      </w:r>
      <w:r>
        <w:t>people with disability</w:t>
      </w:r>
      <w:r w:rsidRPr="00097442">
        <w:t xml:space="preserve"> with the imperative to maintain the timetable. Disability awareness training will better equip drivers to understand passenger needs and behaviour.</w:t>
      </w:r>
    </w:p>
    <w:p w14:paraId="43E49BC3"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such as buses and coaches it is possible for drivers to observe if </w:t>
      </w:r>
      <w:r>
        <w:t>people with disability</w:t>
      </w:r>
      <w:r w:rsidRPr="00097442">
        <w:t xml:space="preserve"> are safely seated in a priority seat or securely positioned in an allocated space prior to departing a stop. </w:t>
      </w:r>
    </w:p>
    <w:p w14:paraId="34386D4B" w14:textId="77777777" w:rsidR="00094004" w:rsidRPr="00097442" w:rsidRDefault="00094004" w:rsidP="006F65FB">
      <w:pPr>
        <w:pStyle w:val="ListParagraph"/>
        <w:numPr>
          <w:ilvl w:val="0"/>
          <w:numId w:val="62"/>
        </w:numPr>
        <w:autoSpaceDE w:val="0"/>
        <w:autoSpaceDN w:val="0"/>
        <w:spacing w:before="40" w:after="40"/>
      </w:pPr>
      <w:r w:rsidRPr="00097442">
        <w:t xml:space="preserve">In conveyances where this is difficult, solutions should be implemented, such as sensors or signals that alert drivers that a longer dwell time is required at a particular stop. These might be passenger initiated or rely on other technical mechanisms. </w:t>
      </w:r>
    </w:p>
    <w:p w14:paraId="73C5ADD6" w14:textId="77777777" w:rsidR="00094004" w:rsidRDefault="00094004" w:rsidP="006F65FB">
      <w:pPr>
        <w:pStyle w:val="ListParagraph"/>
        <w:numPr>
          <w:ilvl w:val="0"/>
          <w:numId w:val="62"/>
        </w:numPr>
        <w:autoSpaceDE w:val="0"/>
        <w:autoSpaceDN w:val="0"/>
        <w:spacing w:before="40" w:after="40"/>
      </w:pPr>
      <w:r w:rsidRPr="00BF4D81">
        <w:t xml:space="preserve">Autonomous vehicles are currently in service and likely to become more common in the short to medium term. Systems that allow for passengers to be </w:t>
      </w:r>
      <w:r w:rsidRPr="00097442">
        <w:t>safely seated, have a firm grip on a grabrail or other support if standing, or securely positioned in allocated spaces prior to a conveyance leaving a stop will need to be installed. These might be passenger initiated or rely on sensors that are integrated with artificial intelligence systems.</w:t>
      </w:r>
    </w:p>
    <w:p w14:paraId="01AAD18C" w14:textId="597CE454" w:rsidR="00094004" w:rsidRDefault="00094004" w:rsidP="006F65FB">
      <w:pPr>
        <w:pStyle w:val="Heading3"/>
        <w:numPr>
          <w:ilvl w:val="0"/>
          <w:numId w:val="47"/>
        </w:numPr>
        <w:ind w:left="567" w:hanging="567"/>
      </w:pPr>
      <w:bookmarkStart w:id="1018" w:name="_Toc127351879"/>
      <w:bookmarkStart w:id="1019" w:name="_Toc130914557"/>
      <w:bookmarkStart w:id="1020" w:name="_Toc140239848"/>
      <w:r w:rsidRPr="00130222">
        <w:t>Stairs on trains</w:t>
      </w:r>
      <w:bookmarkEnd w:id="1018"/>
      <w:bookmarkEnd w:id="1019"/>
      <w:bookmarkEnd w:id="1020"/>
    </w:p>
    <w:p w14:paraId="1135A36E" w14:textId="77777777" w:rsidR="00094004" w:rsidRPr="00097442" w:rsidRDefault="00094004" w:rsidP="00094004">
      <w:pPr>
        <w:pStyle w:val="Heading4"/>
      </w:pPr>
      <w:r w:rsidRPr="00097442">
        <w:t>Status quo</w:t>
      </w:r>
    </w:p>
    <w:p w14:paraId="51CB75F3" w14:textId="77777777" w:rsidR="00094004" w:rsidRPr="00097442" w:rsidRDefault="00094004" w:rsidP="00094004">
      <w:r>
        <w:t>Transport Standards s</w:t>
      </w:r>
      <w:r w:rsidRPr="00097442">
        <w:t>ection 14.3 Compliance with Australi</w:t>
      </w:r>
      <w:r>
        <w:t>an Standards – conveyances and s</w:t>
      </w:r>
      <w:r w:rsidRPr="00097442">
        <w:t>ection 11.3 Handrails on steps</w:t>
      </w:r>
      <w:r>
        <w:t>,</w:t>
      </w:r>
      <w:r w:rsidRPr="00097442">
        <w:t xml:space="preserve"> would remain unchanged and no additional guidance for stairs on trains would be issued. </w:t>
      </w:r>
    </w:p>
    <w:p w14:paraId="0578C499" w14:textId="77777777" w:rsidR="00094004" w:rsidRPr="00097442" w:rsidRDefault="00094004" w:rsidP="00094004">
      <w:pPr>
        <w:ind w:left="1134" w:hanging="567"/>
        <w:rPr>
          <w:b/>
        </w:rPr>
      </w:pPr>
      <w:r w:rsidRPr="00097442">
        <w:rPr>
          <w:b/>
        </w:rPr>
        <w:t>14.3</w:t>
      </w:r>
      <w:r w:rsidRPr="00097442">
        <w:rPr>
          <w:b/>
        </w:rPr>
        <w:tab/>
        <w:t>Compliance with Australian Standards — conveyances</w:t>
      </w:r>
    </w:p>
    <w:p w14:paraId="051AC27B" w14:textId="77777777" w:rsidR="00094004" w:rsidRPr="00097442" w:rsidRDefault="00094004" w:rsidP="00094004">
      <w:pPr>
        <w:ind w:left="1134" w:hanging="567"/>
      </w:pPr>
      <w:r w:rsidRPr="00097442">
        <w:t>(1)</w:t>
      </w:r>
      <w:r w:rsidRPr="00097442">
        <w:tab/>
        <w:t>If stairs are provided on a conveyance mentioned below, they must comply with:</w:t>
      </w:r>
    </w:p>
    <w:p w14:paraId="6EA39231" w14:textId="77777777" w:rsidR="00094004" w:rsidRPr="00097442" w:rsidRDefault="00094004" w:rsidP="00094004">
      <w:pPr>
        <w:ind w:left="1701" w:hanging="567"/>
      </w:pPr>
      <w:r w:rsidRPr="00097442">
        <w:t>(a)</w:t>
      </w:r>
      <w:r w:rsidRPr="00097442">
        <w:tab/>
        <w:t xml:space="preserve">AS1428.1 (2001) </w:t>
      </w:r>
      <w:r w:rsidRPr="00102DA1">
        <w:rPr>
          <w:i/>
        </w:rPr>
        <w:t xml:space="preserve">Clause 9.1 </w:t>
      </w:r>
      <w:r w:rsidRPr="00097442">
        <w:t>(including the notes), Stair construction; and</w:t>
      </w:r>
    </w:p>
    <w:p w14:paraId="142C53C5" w14:textId="77777777" w:rsidR="00094004" w:rsidRPr="00097442" w:rsidRDefault="00094004" w:rsidP="00094004">
      <w:pPr>
        <w:ind w:left="1701" w:hanging="567"/>
      </w:pPr>
      <w:r w:rsidRPr="00097442">
        <w:t>(b)</w:t>
      </w:r>
      <w:r w:rsidRPr="00097442">
        <w:tab/>
        <w:t xml:space="preserve">AS1428.2 (1992) </w:t>
      </w:r>
      <w:r w:rsidRPr="00102DA1">
        <w:rPr>
          <w:i/>
        </w:rPr>
        <w:t xml:space="preserve">Clause 13.2, Configuration of steps, Clause 13.3, Warning strip at nosing of steps </w:t>
      </w:r>
      <w:r w:rsidRPr="00660A49">
        <w:t>and</w:t>
      </w:r>
      <w:r w:rsidRPr="00102DA1">
        <w:rPr>
          <w:i/>
        </w:rPr>
        <w:t xml:space="preserve"> Figures 8 and 9</w:t>
      </w:r>
      <w:r w:rsidRPr="00097442">
        <w:t>.</w:t>
      </w:r>
    </w:p>
    <w:p w14:paraId="03966AB0" w14:textId="5713554B" w:rsidR="00094004" w:rsidRPr="00097442" w:rsidRDefault="00094004" w:rsidP="00094004">
      <w:pPr>
        <w:ind w:left="1134" w:hanging="567"/>
      </w:pPr>
      <w:r w:rsidRPr="00097442">
        <w:t>(2)</w:t>
      </w:r>
      <w:r w:rsidRPr="00097442">
        <w:tab/>
        <w:t>However, the minimum access path width on stairs in the conveyance must be 850 </w:t>
      </w:r>
      <w:r w:rsidR="009134C0" w:rsidRPr="002A7AC6">
        <w:t>millimetres</w:t>
      </w:r>
      <w:r w:rsidRPr="00097442">
        <w:t>.</w:t>
      </w:r>
    </w:p>
    <w:p w14:paraId="3611D0FC" w14:textId="69493EDB" w:rsidR="00094004" w:rsidRPr="00A24DF7" w:rsidRDefault="00094004" w:rsidP="00A24DF7">
      <w:pPr>
        <w:ind w:left="1134" w:hanging="567"/>
      </w:pPr>
      <w:r>
        <w:t>This s</w:t>
      </w:r>
      <w:r w:rsidRPr="00097442">
        <w:t xml:space="preserve">ection </w:t>
      </w:r>
      <w:r>
        <w:t>pertains</w:t>
      </w:r>
      <w:r w:rsidRPr="00097442">
        <w:t xml:space="preserve"> to ferries, trains, trams, and light rail. </w:t>
      </w:r>
    </w:p>
    <w:p w14:paraId="648B309B" w14:textId="77777777" w:rsidR="00094004" w:rsidRPr="00097442" w:rsidRDefault="00094004" w:rsidP="00094004">
      <w:pPr>
        <w:ind w:left="1134" w:hanging="567"/>
        <w:rPr>
          <w:b/>
        </w:rPr>
      </w:pPr>
      <w:r w:rsidRPr="00097442">
        <w:rPr>
          <w:b/>
        </w:rPr>
        <w:t>11.3</w:t>
      </w:r>
      <w:r w:rsidRPr="00097442">
        <w:rPr>
          <w:b/>
        </w:rPr>
        <w:tab/>
        <w:t>Handrails on steps</w:t>
      </w:r>
    </w:p>
    <w:p w14:paraId="4AD49B13" w14:textId="77777777" w:rsidR="00094004" w:rsidRPr="00097442" w:rsidRDefault="00094004" w:rsidP="00094004">
      <w:pPr>
        <w:ind w:left="1134" w:hanging="567"/>
      </w:pPr>
      <w:r w:rsidRPr="00097442">
        <w:t>(1)</w:t>
      </w:r>
      <w:r w:rsidRPr="00097442">
        <w:tab/>
        <w:t>A handrail on steps need not extend beyond the top or bottom of the steps.</w:t>
      </w:r>
    </w:p>
    <w:p w14:paraId="594E0FE7" w14:textId="0F26E46D" w:rsidR="00094004" w:rsidRPr="00097442" w:rsidRDefault="00094004" w:rsidP="00094004">
      <w:pPr>
        <w:ind w:left="1134" w:hanging="567"/>
      </w:pPr>
      <w:r w:rsidRPr="00097442">
        <w:lastRenderedPageBreak/>
        <w:t>(2)</w:t>
      </w:r>
      <w:r w:rsidRPr="00097442">
        <w:tab/>
        <w:t xml:space="preserve">A domed button may be placed 150 </w:t>
      </w:r>
      <w:r w:rsidR="009134C0" w:rsidRPr="007D162C">
        <w:t>millimetres</w:t>
      </w:r>
      <w:r w:rsidRPr="00097442">
        <w:t xml:space="preserve"> from any break or end of a handrail instead of an extension at a rail end (AS1428.2 (1992) Figure 5).</w:t>
      </w:r>
    </w:p>
    <w:p w14:paraId="22C4EF41" w14:textId="77777777" w:rsidR="00094004" w:rsidRPr="00097442" w:rsidRDefault="00094004" w:rsidP="00094004">
      <w:pPr>
        <w:ind w:left="1134" w:hanging="567"/>
      </w:pPr>
      <w:r>
        <w:t>This s</w:t>
      </w:r>
      <w:r w:rsidRPr="00097442">
        <w:t xml:space="preserve">ection </w:t>
      </w:r>
      <w:r>
        <w:t>pertains</w:t>
      </w:r>
      <w:r w:rsidRPr="00097442">
        <w:t xml:space="preserve"> to conveyances except dedicated school buses and small aircraft.</w:t>
      </w:r>
    </w:p>
    <w:p w14:paraId="781B5E63" w14:textId="77777777" w:rsidR="00094004" w:rsidRPr="00097442" w:rsidRDefault="00094004" w:rsidP="00094004">
      <w:pPr>
        <w:pStyle w:val="Heading4"/>
      </w:pPr>
      <w:r>
        <w:t>Non-regulatory</w:t>
      </w:r>
      <w:r w:rsidRPr="00097442">
        <w:t xml:space="preserve"> option</w:t>
      </w:r>
    </w:p>
    <w:p w14:paraId="4D00EAA2" w14:textId="77777777" w:rsidR="00094004" w:rsidRPr="00097442" w:rsidRDefault="00094004" w:rsidP="00094004">
      <w:r w:rsidRPr="00097442">
        <w:t xml:space="preserve">The Whole Journey Guide and / or The </w:t>
      </w:r>
      <w:r>
        <w:t>Transport Standards</w:t>
      </w:r>
      <w:r w:rsidRPr="00097442">
        <w:t xml:space="preserve"> Guidelines would be updated to include advice on internal stairs on board trains, including accessibility features and handrail geometry.</w:t>
      </w:r>
    </w:p>
    <w:p w14:paraId="37362DA2" w14:textId="77777777" w:rsidR="00094004" w:rsidRPr="00097442" w:rsidRDefault="00094004" w:rsidP="00094004">
      <w:r w:rsidRPr="00097442">
        <w:t>Specific guidance may include the following:</w:t>
      </w:r>
    </w:p>
    <w:p w14:paraId="34815F18" w14:textId="77777777" w:rsidR="00094004" w:rsidRPr="00097442" w:rsidRDefault="00094004" w:rsidP="006F65FB">
      <w:pPr>
        <w:pStyle w:val="ListParagraph"/>
        <w:numPr>
          <w:ilvl w:val="0"/>
          <w:numId w:val="49"/>
        </w:numPr>
        <w:autoSpaceDE w:val="0"/>
        <w:autoSpaceDN w:val="0"/>
        <w:spacing w:before="40" w:after="40"/>
      </w:pPr>
      <w:r w:rsidRPr="00097442">
        <w:t xml:space="preserve">Where internal stairs are provided, they should have opaque risers, nosing’s that do not project beyond the riser and luminance contrasting strips at the front of the nosing, as per AS1428.1 (2009) – </w:t>
      </w:r>
      <w:r w:rsidRPr="00102DA1">
        <w:rPr>
          <w:i/>
        </w:rPr>
        <w:t xml:space="preserve">Design for access and mobility – General requirements for access – New building work Clause 11.1 (c), (d), (e), (f) </w:t>
      </w:r>
      <w:r w:rsidRPr="00524E04">
        <w:t>and</w:t>
      </w:r>
      <w:r w:rsidRPr="00102DA1">
        <w:rPr>
          <w:i/>
        </w:rPr>
        <w:t xml:space="preserve"> (g).</w:t>
      </w:r>
    </w:p>
    <w:p w14:paraId="6229DAE2" w14:textId="77777777" w:rsidR="00094004" w:rsidRPr="00097442" w:rsidRDefault="00094004" w:rsidP="006F65FB">
      <w:pPr>
        <w:pStyle w:val="ListParagraph"/>
        <w:numPr>
          <w:ilvl w:val="0"/>
          <w:numId w:val="49"/>
        </w:numPr>
        <w:autoSpaceDE w:val="0"/>
        <w:autoSpaceDN w:val="0"/>
        <w:spacing w:before="40" w:after="40"/>
      </w:pPr>
      <w:r w:rsidRPr="00097442">
        <w:t>Stair and steps riser and going geometry should:</w:t>
      </w:r>
    </w:p>
    <w:p w14:paraId="7ABEEEA8" w14:textId="77777777" w:rsidR="00094004" w:rsidRPr="00097442" w:rsidRDefault="00094004" w:rsidP="00094004">
      <w:pPr>
        <w:pStyle w:val="Heading6"/>
        <w:ind w:left="1134"/>
      </w:pPr>
      <w:r>
        <w:t>Sub-o</w:t>
      </w:r>
      <w:r w:rsidRPr="00097442">
        <w:t>ption 1</w:t>
      </w:r>
    </w:p>
    <w:p w14:paraId="09D6AC14" w14:textId="77777777" w:rsidR="00094004" w:rsidRPr="00097442" w:rsidRDefault="00094004" w:rsidP="00094004">
      <w:pPr>
        <w:ind w:left="1134"/>
      </w:pPr>
      <w:r w:rsidRPr="00097442">
        <w:t xml:space="preserve">Be safe and fit for purpose. </w:t>
      </w:r>
    </w:p>
    <w:p w14:paraId="0B943749" w14:textId="77777777" w:rsidR="00094004" w:rsidRPr="00097442" w:rsidRDefault="00094004" w:rsidP="00094004">
      <w:pPr>
        <w:pStyle w:val="Heading6"/>
        <w:ind w:left="1134"/>
      </w:pPr>
      <w:r>
        <w:t>Sub-o</w:t>
      </w:r>
      <w:r w:rsidRPr="00097442">
        <w:t>ption 2</w:t>
      </w:r>
    </w:p>
    <w:p w14:paraId="5019B1F4" w14:textId="77777777" w:rsidR="00094004" w:rsidRPr="00097442" w:rsidRDefault="00094004" w:rsidP="00094004">
      <w:pPr>
        <w:ind w:left="1134"/>
      </w:pPr>
      <w:r w:rsidRPr="00097442">
        <w:t xml:space="preserve">Conform to the riser and going specifications of </w:t>
      </w:r>
      <w:r>
        <w:t xml:space="preserve">the </w:t>
      </w:r>
      <w:r w:rsidRPr="00097442">
        <w:t>National Construction Code</w:t>
      </w:r>
      <w:r>
        <w:t>,</w:t>
      </w:r>
      <w:r w:rsidRPr="00097442">
        <w:t xml:space="preserve"> </w:t>
      </w:r>
      <w:r>
        <w:t>Table D2.13</w:t>
      </w:r>
      <w:r w:rsidRPr="00097442">
        <w:rPr>
          <w:rStyle w:val="FootnoteReference"/>
        </w:rPr>
        <w:footnoteReference w:id="20"/>
      </w:r>
      <w:r w:rsidRPr="00097442">
        <w:t>.</w:t>
      </w:r>
    </w:p>
    <w:p w14:paraId="04CCAD98" w14:textId="77777777" w:rsidR="00094004" w:rsidRPr="00097442" w:rsidRDefault="00094004" w:rsidP="006F65FB">
      <w:pPr>
        <w:pStyle w:val="ListParagraph"/>
        <w:numPr>
          <w:ilvl w:val="0"/>
          <w:numId w:val="49"/>
        </w:numPr>
        <w:autoSpaceDE w:val="0"/>
        <w:autoSpaceDN w:val="0"/>
        <w:spacing w:before="40" w:after="40"/>
      </w:pPr>
      <w:r w:rsidRPr="00097442">
        <w:t>The minimum access path width on stairs and steps should be 850 millimetres.</w:t>
      </w:r>
    </w:p>
    <w:p w14:paraId="3B2C4C6D" w14:textId="77777777" w:rsidR="00094004" w:rsidRPr="00097442" w:rsidRDefault="00094004" w:rsidP="006F65FB">
      <w:pPr>
        <w:pStyle w:val="ListParagraph"/>
        <w:numPr>
          <w:ilvl w:val="0"/>
          <w:numId w:val="49"/>
        </w:numPr>
        <w:autoSpaceDE w:val="0"/>
        <w:autoSpaceDN w:val="0"/>
        <w:spacing w:before="40" w:after="40"/>
      </w:pPr>
      <w:r w:rsidRPr="00097442">
        <w:t>Stairs and steps should not intrude into access paths as this may present a tripping hazard or compromise the access path width.</w:t>
      </w:r>
    </w:p>
    <w:p w14:paraId="2D7CD1E2" w14:textId="77777777" w:rsidR="00094004" w:rsidRPr="00097442" w:rsidRDefault="00094004" w:rsidP="006F65FB">
      <w:pPr>
        <w:pStyle w:val="ListParagraph"/>
        <w:numPr>
          <w:ilvl w:val="0"/>
          <w:numId w:val="49"/>
        </w:numPr>
        <w:autoSpaceDE w:val="0"/>
        <w:autoSpaceDN w:val="0"/>
        <w:spacing w:before="40" w:after="40"/>
      </w:pPr>
      <w:r w:rsidRPr="00097442">
        <w:t>A handrail on steps or stairs need not extend beyond the top or bottom of the steps or stairs. This is to avoid compromising the access paths at the head or foot of the stairs.</w:t>
      </w:r>
    </w:p>
    <w:p w14:paraId="288C8E3D" w14:textId="77777777" w:rsidR="00094004" w:rsidRPr="00097442" w:rsidRDefault="00094004" w:rsidP="006F65FB">
      <w:pPr>
        <w:pStyle w:val="ListParagraph"/>
        <w:numPr>
          <w:ilvl w:val="0"/>
          <w:numId w:val="49"/>
        </w:numPr>
        <w:autoSpaceDE w:val="0"/>
        <w:autoSpaceDN w:val="0"/>
        <w:spacing w:before="40" w:after="40"/>
      </w:pPr>
      <w:r w:rsidRPr="00097442">
        <w:t>If the handrail is interrupted or terminates abruptly a domed warning indic</w:t>
      </w:r>
      <w:r>
        <w:t>ator with a height of between 4 to 5 millimetres</w:t>
      </w:r>
      <w:r w:rsidRPr="00097442">
        <w:t xml:space="preserve"> and a diameter of between 10</w:t>
      </w:r>
      <w:r>
        <w:t xml:space="preserve"> to 12 millimetres</w:t>
      </w:r>
      <w:r w:rsidRPr="00097442">
        <w:t xml:space="preserve"> should be provided o</w:t>
      </w:r>
      <w:r>
        <w:t>n the top of the handrail 150 millimetres</w:t>
      </w:r>
      <w:r w:rsidRPr="00097442">
        <w:t xml:space="preserve"> from the end of the handrail.</w:t>
      </w:r>
    </w:p>
    <w:p w14:paraId="33398A69" w14:textId="77777777" w:rsidR="00094004" w:rsidRPr="00097442" w:rsidRDefault="00094004" w:rsidP="006F65FB">
      <w:pPr>
        <w:pStyle w:val="ListParagraph"/>
        <w:numPr>
          <w:ilvl w:val="0"/>
          <w:numId w:val="49"/>
        </w:numPr>
        <w:autoSpaceDE w:val="0"/>
        <w:autoSpaceDN w:val="0"/>
        <w:spacing w:before="40" w:after="40"/>
      </w:pPr>
      <w:r w:rsidRPr="00097442">
        <w:t>Handrails should have at least 30</w:t>
      </w:r>
      <w:r>
        <w:t> per cent</w:t>
      </w:r>
      <w:r w:rsidRPr="00097442">
        <w:t xml:space="preserve"> luminance contrast with any background wall or surface adjacent to the handrail, within a distance of 2000 m</w:t>
      </w:r>
      <w:r>
        <w:t>illimetres</w:t>
      </w:r>
      <w:r w:rsidRPr="00097442">
        <w:t xml:space="preserve"> from the handrail.</w:t>
      </w:r>
    </w:p>
    <w:p w14:paraId="417FA63A" w14:textId="77777777" w:rsidR="00094004" w:rsidRPr="00097442" w:rsidRDefault="00094004" w:rsidP="006F65FB">
      <w:pPr>
        <w:pStyle w:val="ListParagraph"/>
        <w:numPr>
          <w:ilvl w:val="0"/>
          <w:numId w:val="49"/>
        </w:numPr>
        <w:autoSpaceDE w:val="0"/>
        <w:autoSpaceDN w:val="0"/>
        <w:spacing w:before="40" w:after="40"/>
      </w:pPr>
      <w:r w:rsidRPr="00097442">
        <w:t>Tactile ground surface indicators are not required at train, tram and light rail stairs and steps.</w:t>
      </w:r>
    </w:p>
    <w:p w14:paraId="5918CEDE"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p>
    <w:p w14:paraId="27C505A6" w14:textId="77777777" w:rsidR="00094004" w:rsidRPr="00097442" w:rsidRDefault="00094004" w:rsidP="00094004">
      <w:pPr>
        <w:pStyle w:val="Heading4"/>
      </w:pPr>
      <w:r w:rsidRPr="00097442">
        <w:t>Regulatory option</w:t>
      </w:r>
    </w:p>
    <w:p w14:paraId="4C767377" w14:textId="77777777" w:rsidR="00094004" w:rsidRDefault="00094004" w:rsidP="00094004">
      <w:r w:rsidRPr="00097442">
        <w:t xml:space="preserve">The </w:t>
      </w:r>
      <w:r>
        <w:t>Transport Standards</w:t>
      </w:r>
      <w:r w:rsidRPr="00097442">
        <w:t xml:space="preserve"> would be amended to include</w:t>
      </w:r>
      <w:r w:rsidRPr="00097442">
        <w:rPr>
          <w:i/>
        </w:rPr>
        <w:t xml:space="preserve"> </w:t>
      </w:r>
      <w:r w:rsidRPr="00097442">
        <w:t>modality specific re</w:t>
      </w:r>
      <w:r>
        <w:t>quirements for stairs on trains. The regulatory option also includes</w:t>
      </w:r>
      <w:r w:rsidRPr="00097442">
        <w:t xml:space="preserve"> updated Australian Standard refere</w:t>
      </w:r>
      <w:r>
        <w:t>nces and handrail requirements for all conveyances (except dedicated school buses and small aircraft.).</w:t>
      </w:r>
    </w:p>
    <w:p w14:paraId="773884FA" w14:textId="77777777" w:rsidR="00094004" w:rsidRPr="00097442" w:rsidRDefault="00094004" w:rsidP="00094004">
      <w:r>
        <w:t>Section 11.3 H</w:t>
      </w:r>
      <w:r w:rsidRPr="00097442">
        <w:t>andrails on steps, would be amended to include the following</w:t>
      </w:r>
      <w:r>
        <w:t xml:space="preserve"> (including any requirements retained or amended from the status quo)</w:t>
      </w:r>
      <w:r w:rsidRPr="00097442">
        <w:t>:</w:t>
      </w:r>
    </w:p>
    <w:p w14:paraId="4E526879" w14:textId="77777777" w:rsidR="00094004" w:rsidRPr="00097442" w:rsidRDefault="00094004" w:rsidP="006F65FB">
      <w:pPr>
        <w:pStyle w:val="ListParagraph"/>
        <w:numPr>
          <w:ilvl w:val="0"/>
          <w:numId w:val="49"/>
        </w:numPr>
        <w:autoSpaceDE w:val="0"/>
        <w:autoSpaceDN w:val="0"/>
        <w:spacing w:before="40" w:after="40"/>
      </w:pPr>
      <w:r w:rsidRPr="00097442">
        <w:lastRenderedPageBreak/>
        <w:t>A handrail on stairs or steps need not extend beyond the top or bottom of the steps and stairs.</w:t>
      </w:r>
    </w:p>
    <w:p w14:paraId="4A7EDB53" w14:textId="77777777" w:rsidR="00094004" w:rsidRPr="002B6D4A" w:rsidRDefault="00094004" w:rsidP="006F65FB">
      <w:pPr>
        <w:pStyle w:val="ListParagraph"/>
        <w:numPr>
          <w:ilvl w:val="0"/>
          <w:numId w:val="49"/>
        </w:numPr>
        <w:autoSpaceDE w:val="0"/>
        <w:autoSpaceDN w:val="0"/>
        <w:spacing w:before="40" w:after="40"/>
      </w:pPr>
      <w:r w:rsidRPr="002B6D4A">
        <w:t>If the handrail is interrupted or terminates abruptly at the top or bottom step a domed warning indicator with a height of between 4 to 5 millimetres and a diameter of between 10</w:t>
      </w:r>
      <w:r>
        <w:t xml:space="preserve"> </w:t>
      </w:r>
      <w:r w:rsidRPr="002B6D4A">
        <w:t xml:space="preserve">to 12 millimetres must be provided on the top of the handrail 150 millimetres from the end of the handrail. </w:t>
      </w:r>
    </w:p>
    <w:p w14:paraId="7FB0D22B" w14:textId="77777777" w:rsidR="00094004" w:rsidRPr="00097442" w:rsidRDefault="00094004" w:rsidP="006F65FB">
      <w:pPr>
        <w:pStyle w:val="ListParagraph"/>
        <w:numPr>
          <w:ilvl w:val="0"/>
          <w:numId w:val="49"/>
        </w:numPr>
        <w:autoSpaceDE w:val="0"/>
        <w:autoSpaceDN w:val="0"/>
        <w:spacing w:before="40" w:after="40"/>
      </w:pPr>
      <w:r w:rsidRPr="00097442">
        <w:t>Handrails must have at least 30</w:t>
      </w:r>
      <w:r>
        <w:t xml:space="preserve"> per cent</w:t>
      </w:r>
      <w:r w:rsidRPr="00097442">
        <w:t xml:space="preserve"> luminance contrast with any background wall or surface adjacent to the handrail, within a distance of 2000 m</w:t>
      </w:r>
      <w:r>
        <w:t>illimetres</w:t>
      </w:r>
      <w:r w:rsidRPr="00097442">
        <w:t xml:space="preserve"> from the handrail. </w:t>
      </w:r>
    </w:p>
    <w:p w14:paraId="3D7BC5B7" w14:textId="77777777" w:rsidR="00094004" w:rsidRDefault="00094004" w:rsidP="006F65FB">
      <w:pPr>
        <w:pStyle w:val="ListParagraph"/>
        <w:numPr>
          <w:ilvl w:val="0"/>
          <w:numId w:val="49"/>
        </w:numPr>
        <w:autoSpaceDE w:val="0"/>
        <w:autoSpaceDN w:val="0"/>
        <w:spacing w:before="40" w:after="40"/>
        <w:rPr>
          <w:rFonts w:ascii="Calibri" w:hAnsi="Calibri"/>
          <w:lang w:val="en-AU"/>
        </w:rPr>
      </w:pPr>
      <w:r w:rsidRPr="00102DA1">
        <w:rPr>
          <w:lang w:val="en-AU"/>
        </w:rPr>
        <w:t>Handrails</w:t>
      </w:r>
      <w:r>
        <w:t xml:space="preserve"> must comply with AS1428.1 (2009) </w:t>
      </w:r>
      <w:r>
        <w:rPr>
          <w:i/>
          <w:iCs/>
        </w:rPr>
        <w:t>Clause 12 Handrails</w:t>
      </w:r>
      <w:r>
        <w:t>.</w:t>
      </w:r>
    </w:p>
    <w:p w14:paraId="505CCE54" w14:textId="77777777" w:rsidR="00094004" w:rsidRPr="00097442" w:rsidRDefault="00094004" w:rsidP="00094004">
      <w:r>
        <w:t>These requirements</w:t>
      </w:r>
      <w:r w:rsidRPr="00097442">
        <w:t xml:space="preserve"> would apply to conveyances (except dedicated school buses and small aircraft).</w:t>
      </w:r>
    </w:p>
    <w:p w14:paraId="136445FC" w14:textId="77777777" w:rsidR="00094004" w:rsidRPr="00097442" w:rsidRDefault="00094004" w:rsidP="00094004">
      <w:r w:rsidRPr="00097442">
        <w:t xml:space="preserve">The </w:t>
      </w:r>
      <w:r>
        <w:t>Transport Standards</w:t>
      </w:r>
      <w:r w:rsidRPr="00097442">
        <w:t xml:space="preserve"> would include the following new requirements:</w:t>
      </w:r>
    </w:p>
    <w:p w14:paraId="08DD8361" w14:textId="77777777" w:rsidR="00094004" w:rsidRPr="00097442" w:rsidRDefault="00094004" w:rsidP="006F65FB">
      <w:pPr>
        <w:pStyle w:val="ListParagraph"/>
        <w:numPr>
          <w:ilvl w:val="0"/>
          <w:numId w:val="49"/>
        </w:numPr>
        <w:autoSpaceDE w:val="0"/>
        <w:autoSpaceDN w:val="0"/>
        <w:spacing w:before="40" w:after="40"/>
      </w:pPr>
      <w:r w:rsidRPr="00097442">
        <w:t xml:space="preserve">Where internal stairs and steps are provided, they must have opaque risers and comply with AS1428.1 (2009) </w:t>
      </w:r>
      <w:r w:rsidRPr="00102DA1">
        <w:rPr>
          <w:i/>
        </w:rPr>
        <w:t>Clause 11.1 (c), (d), (e), (f) and (g)</w:t>
      </w:r>
      <w:r w:rsidRPr="00097442">
        <w:t>.</w:t>
      </w:r>
    </w:p>
    <w:p w14:paraId="3505E7DF" w14:textId="77777777" w:rsidR="00094004" w:rsidRPr="00097442" w:rsidRDefault="00094004" w:rsidP="006F65FB">
      <w:pPr>
        <w:pStyle w:val="ListParagraph"/>
        <w:numPr>
          <w:ilvl w:val="0"/>
          <w:numId w:val="49"/>
        </w:numPr>
        <w:autoSpaceDE w:val="0"/>
        <w:autoSpaceDN w:val="0"/>
        <w:spacing w:before="40" w:after="40"/>
      </w:pPr>
      <w:r w:rsidRPr="00097442">
        <w:t>Stair and step geometry must comply with:</w:t>
      </w:r>
    </w:p>
    <w:p w14:paraId="3E9D225D" w14:textId="77777777" w:rsidR="00094004" w:rsidRDefault="00094004" w:rsidP="00094004">
      <w:pPr>
        <w:pStyle w:val="Heading6"/>
        <w:ind w:left="1134"/>
      </w:pPr>
      <w:r>
        <w:t>Sub-option 1</w:t>
      </w:r>
    </w:p>
    <w:p w14:paraId="2D3C2726" w14:textId="77777777" w:rsidR="00094004" w:rsidRPr="00BF085A" w:rsidRDefault="00094004" w:rsidP="00094004">
      <w:pPr>
        <w:ind w:left="1134"/>
      </w:pPr>
      <w:r w:rsidRPr="00BF085A">
        <w:t>The riser and going specifications of the National Construction Code</w:t>
      </w:r>
      <w:r>
        <w:t>, Table D2.13</w:t>
      </w:r>
      <w:r>
        <w:rPr>
          <w:rStyle w:val="FootnoteReference"/>
        </w:rPr>
        <w:footnoteReference w:id="21"/>
      </w:r>
      <w:r w:rsidRPr="00BF085A">
        <w:t>.</w:t>
      </w:r>
    </w:p>
    <w:p w14:paraId="77B69CB7" w14:textId="77777777" w:rsidR="00094004" w:rsidRDefault="00094004" w:rsidP="00094004">
      <w:pPr>
        <w:pStyle w:val="Heading6"/>
        <w:ind w:left="1134"/>
      </w:pPr>
      <w:r>
        <w:t>Sub-o</w:t>
      </w:r>
      <w:r w:rsidRPr="00BF085A">
        <w:t>ption 2</w:t>
      </w:r>
    </w:p>
    <w:p w14:paraId="33A7165C" w14:textId="77777777" w:rsidR="00094004" w:rsidRPr="00BF085A" w:rsidRDefault="00094004" w:rsidP="00094004">
      <w:pPr>
        <w:ind w:left="1134"/>
      </w:pPr>
      <w:r w:rsidRPr="00BF085A">
        <w:t>Riser and going dimensions tha</w:t>
      </w:r>
      <w:r>
        <w:t>t are safe and fit for purpose.</w:t>
      </w:r>
    </w:p>
    <w:p w14:paraId="2C11A742" w14:textId="77777777" w:rsidR="00094004" w:rsidRPr="00097442" w:rsidRDefault="00094004" w:rsidP="006F65FB">
      <w:pPr>
        <w:pStyle w:val="ListParagraph"/>
        <w:numPr>
          <w:ilvl w:val="0"/>
          <w:numId w:val="49"/>
        </w:numPr>
        <w:autoSpaceDE w:val="0"/>
        <w:autoSpaceDN w:val="0"/>
        <w:spacing w:before="40" w:after="40"/>
      </w:pPr>
      <w:r w:rsidRPr="00097442">
        <w:t>The minimum access path width on stairs and steps must be 850 m</w:t>
      </w:r>
      <w:r>
        <w:t>illimetres</w:t>
      </w:r>
      <w:r w:rsidRPr="00097442">
        <w:t>.</w:t>
      </w:r>
    </w:p>
    <w:p w14:paraId="3C4A4EAB" w14:textId="77777777" w:rsidR="00094004" w:rsidRPr="00097442" w:rsidRDefault="00094004" w:rsidP="006F65FB">
      <w:pPr>
        <w:pStyle w:val="ListParagraph"/>
        <w:numPr>
          <w:ilvl w:val="0"/>
          <w:numId w:val="49"/>
        </w:numPr>
        <w:autoSpaceDE w:val="0"/>
        <w:autoSpaceDN w:val="0"/>
        <w:spacing w:before="40" w:after="40"/>
      </w:pPr>
      <w:r w:rsidRPr="00097442">
        <w:t>Stairs and steps must not intrude into access paths.</w:t>
      </w:r>
    </w:p>
    <w:p w14:paraId="09B8B8BC" w14:textId="77777777" w:rsidR="00094004" w:rsidRPr="00097442" w:rsidRDefault="00094004" w:rsidP="006F65FB">
      <w:pPr>
        <w:pStyle w:val="ListParagraph"/>
        <w:numPr>
          <w:ilvl w:val="0"/>
          <w:numId w:val="49"/>
        </w:numPr>
        <w:autoSpaceDE w:val="0"/>
        <w:autoSpaceDN w:val="0"/>
        <w:spacing w:before="40" w:after="40"/>
      </w:pPr>
      <w:r w:rsidRPr="00097442">
        <w:t>TGSIs are not required at train, tram and light rail stairs and steps.</w:t>
      </w:r>
    </w:p>
    <w:p w14:paraId="0E93CA22" w14:textId="77777777" w:rsidR="00094004" w:rsidRPr="00097442" w:rsidRDefault="00094004" w:rsidP="00094004">
      <w:r>
        <w:t>These requirements</w:t>
      </w:r>
      <w:r w:rsidRPr="00097442">
        <w:t xml:space="preserve"> would apply to trains, trams and light rail.</w:t>
      </w:r>
    </w:p>
    <w:p w14:paraId="56BE38EA" w14:textId="77777777" w:rsidR="00094004" w:rsidRPr="00097442" w:rsidRDefault="00094004" w:rsidP="00094004">
      <w:r w:rsidRPr="00097442">
        <w:t xml:space="preserve">The </w:t>
      </w:r>
      <w:r>
        <w:t>Transport Standards</w:t>
      </w:r>
      <w:r w:rsidRPr="00097442">
        <w:t xml:space="preserve"> Guidelines </w:t>
      </w:r>
      <w:r>
        <w:t xml:space="preserve">and / or The Whole Journey Guide </w:t>
      </w:r>
      <w:r w:rsidRPr="00097442">
        <w:t>would be updated to reflect new requirements.</w:t>
      </w:r>
    </w:p>
    <w:p w14:paraId="5A9A5C8C" w14:textId="77777777" w:rsidR="00094004" w:rsidRPr="00097442" w:rsidRDefault="00094004" w:rsidP="00094004">
      <w:r w:rsidRPr="00097442">
        <w:t>Specific guidance may include the following:</w:t>
      </w:r>
    </w:p>
    <w:p w14:paraId="6EDD4424" w14:textId="77777777" w:rsidR="00094004" w:rsidRDefault="00094004" w:rsidP="006F65FB">
      <w:pPr>
        <w:pStyle w:val="ListParagraph"/>
        <w:numPr>
          <w:ilvl w:val="0"/>
          <w:numId w:val="49"/>
        </w:numPr>
        <w:autoSpaceDE w:val="0"/>
        <w:autoSpaceDN w:val="0"/>
        <w:spacing w:before="40" w:after="40"/>
      </w:pPr>
      <w:r w:rsidRPr="00097442">
        <w:t>People who have disabilities that do not affect their capacity to walk or climb stairs will benefit from stairs that are safe and fit for purpose. Stair and handrail geometry are constrained by the availability of space in carriages. Other features such as luminance contrast of tread nosing’s and handrails are unaffected by space though and are important safety features for people who have low vision.</w:t>
      </w:r>
    </w:p>
    <w:p w14:paraId="398C1EC0" w14:textId="2DC90FDA" w:rsidR="00094004" w:rsidRDefault="00094004" w:rsidP="006F65FB">
      <w:pPr>
        <w:pStyle w:val="Heading3"/>
        <w:numPr>
          <w:ilvl w:val="0"/>
          <w:numId w:val="47"/>
        </w:numPr>
        <w:ind w:left="567" w:hanging="567"/>
      </w:pPr>
      <w:bookmarkStart w:id="1021" w:name="_Toc127351880"/>
      <w:bookmarkStart w:id="1022" w:name="_Toc130914558"/>
      <w:bookmarkStart w:id="1023" w:name="_Toc140239849"/>
      <w:r w:rsidRPr="00130222">
        <w:t>Stairs on ferries</w:t>
      </w:r>
      <w:bookmarkEnd w:id="1021"/>
      <w:bookmarkEnd w:id="1022"/>
      <w:bookmarkEnd w:id="1023"/>
    </w:p>
    <w:p w14:paraId="4F848763" w14:textId="77777777" w:rsidR="00094004" w:rsidRPr="00097442" w:rsidRDefault="00094004" w:rsidP="00094004">
      <w:pPr>
        <w:pStyle w:val="Heading4"/>
      </w:pPr>
      <w:r w:rsidRPr="00097442">
        <w:t>Status quo</w:t>
      </w:r>
    </w:p>
    <w:p w14:paraId="2A4AC06D" w14:textId="77777777" w:rsidR="00094004" w:rsidRDefault="00094004" w:rsidP="00094004">
      <w:r w:rsidRPr="00097442">
        <w:t xml:space="preserve">The </w:t>
      </w:r>
      <w:r>
        <w:t>Transport Standards</w:t>
      </w:r>
      <w:r w:rsidRPr="00097442">
        <w:t xml:space="preserve"> would remain unchanged and no </w:t>
      </w:r>
      <w:r>
        <w:t>Guidance</w:t>
      </w:r>
      <w:r w:rsidRPr="00097442">
        <w:t xml:space="preserve"> would be issued. </w:t>
      </w:r>
    </w:p>
    <w:p w14:paraId="10C4D8D0" w14:textId="77777777" w:rsidR="00094004" w:rsidRPr="00097442" w:rsidRDefault="00094004" w:rsidP="00094004">
      <w:r w:rsidRPr="00097442">
        <w:t xml:space="preserve">The </w:t>
      </w:r>
      <w:r>
        <w:t>Transport Standards</w:t>
      </w:r>
      <w:r w:rsidRPr="00097442">
        <w:t xml:space="preserve"> would continue to </w:t>
      </w:r>
      <w:r>
        <w:t>lack modality specific requirements for ferry stairs</w:t>
      </w:r>
      <w:r w:rsidRPr="00097442">
        <w:t xml:space="preserve">. </w:t>
      </w:r>
    </w:p>
    <w:p w14:paraId="6ABE546A" w14:textId="77777777" w:rsidR="00094004" w:rsidRPr="00097442" w:rsidRDefault="00094004" w:rsidP="00094004">
      <w:pPr>
        <w:pStyle w:val="Heading4"/>
      </w:pPr>
      <w:r>
        <w:lastRenderedPageBreak/>
        <w:t>Non-regulatory</w:t>
      </w:r>
      <w:r w:rsidRPr="00097442">
        <w:t xml:space="preserve"> option</w:t>
      </w:r>
    </w:p>
    <w:p w14:paraId="22B950D5" w14:textId="77777777" w:rsidR="00094004" w:rsidRPr="00097442" w:rsidRDefault="00094004" w:rsidP="00094004">
      <w:r w:rsidRPr="00097442">
        <w:t xml:space="preserve">The Whole Journey Guide </w:t>
      </w:r>
      <w:r>
        <w:t xml:space="preserve">and / or the Transport Standards Guidelines </w:t>
      </w:r>
      <w:r w:rsidRPr="00097442">
        <w:t>would be updated to include advice for stairs and handrails on ferries.</w:t>
      </w:r>
    </w:p>
    <w:p w14:paraId="3A5ECB8E" w14:textId="77777777" w:rsidR="00094004" w:rsidRPr="00097442" w:rsidRDefault="00094004" w:rsidP="00094004">
      <w:r w:rsidRPr="00097442">
        <w:t>Specific guidance may include the following:</w:t>
      </w:r>
    </w:p>
    <w:p w14:paraId="61B3C7B2" w14:textId="77777777" w:rsidR="00094004" w:rsidRPr="00097442" w:rsidRDefault="00094004" w:rsidP="006F65FB">
      <w:pPr>
        <w:pStyle w:val="ListParagraph"/>
        <w:numPr>
          <w:ilvl w:val="0"/>
          <w:numId w:val="49"/>
        </w:numPr>
        <w:autoSpaceDE w:val="0"/>
        <w:autoSpaceDN w:val="0"/>
        <w:spacing w:before="40" w:after="40"/>
      </w:pPr>
      <w:r w:rsidRPr="00097442">
        <w:t>Where stairs and steps are provided, they should have opaque risers, nosing’s that do not project beyond the riser and luminance contrasting strips at the front of the nosing, as per AS1428.1 (2009</w:t>
      </w:r>
      <w:r w:rsidRPr="00102DA1">
        <w:rPr>
          <w:i/>
        </w:rPr>
        <w:t xml:space="preserve">) Clause 11.1 (c), (d), (e), (f) </w:t>
      </w:r>
      <w:r w:rsidRPr="008B78A6">
        <w:t>and</w:t>
      </w:r>
      <w:r w:rsidRPr="00102DA1">
        <w:rPr>
          <w:i/>
        </w:rPr>
        <w:t xml:space="preserve"> (g).</w:t>
      </w:r>
    </w:p>
    <w:p w14:paraId="4900F1F2" w14:textId="77777777" w:rsidR="00094004" w:rsidRPr="00097442" w:rsidRDefault="00094004" w:rsidP="006F65FB">
      <w:pPr>
        <w:pStyle w:val="ListParagraph"/>
        <w:numPr>
          <w:ilvl w:val="0"/>
          <w:numId w:val="49"/>
        </w:numPr>
        <w:autoSpaceDE w:val="0"/>
        <w:autoSpaceDN w:val="0"/>
        <w:spacing w:before="40" w:after="40"/>
      </w:pPr>
      <w:r w:rsidRPr="00097442">
        <w:t>Stair riser and going geometry should conform to:</w:t>
      </w:r>
    </w:p>
    <w:p w14:paraId="444EBB89" w14:textId="77777777" w:rsidR="00094004" w:rsidRPr="008E6884" w:rsidRDefault="00094004" w:rsidP="00094004">
      <w:pPr>
        <w:pStyle w:val="Heading6"/>
        <w:ind w:left="1134"/>
      </w:pPr>
      <w:r w:rsidRPr="008E6884">
        <w:t>Sub-option 1</w:t>
      </w:r>
    </w:p>
    <w:p w14:paraId="1B7D62D2" w14:textId="77777777" w:rsidR="00094004" w:rsidRPr="008E6884" w:rsidRDefault="00094004" w:rsidP="00094004">
      <w:pPr>
        <w:ind w:left="1134"/>
      </w:pPr>
      <w:r>
        <w:t>NSCV,</w:t>
      </w:r>
      <w:r w:rsidRPr="008E6884">
        <w:t xml:space="preserve"> </w:t>
      </w:r>
      <w:r w:rsidRPr="00102DA1">
        <w:rPr>
          <w:i/>
        </w:rPr>
        <w:t xml:space="preserve">Part C Design and construction </w:t>
      </w:r>
      <w:r>
        <w:rPr>
          <w:i/>
        </w:rPr>
        <w:t>s</w:t>
      </w:r>
      <w:r w:rsidRPr="00102DA1">
        <w:rPr>
          <w:i/>
        </w:rPr>
        <w:t>ection 1 Arrangement, accommodat</w:t>
      </w:r>
      <w:r>
        <w:rPr>
          <w:i/>
        </w:rPr>
        <w:t>ion and personal safety (2018) s</w:t>
      </w:r>
      <w:r w:rsidRPr="00102DA1">
        <w:rPr>
          <w:i/>
        </w:rPr>
        <w:t>ection 5.13.3.4.</w:t>
      </w:r>
    </w:p>
    <w:p w14:paraId="3444C2EB" w14:textId="77777777" w:rsidR="00094004" w:rsidRPr="008E6884" w:rsidRDefault="00094004" w:rsidP="00094004">
      <w:pPr>
        <w:pStyle w:val="Heading6"/>
        <w:ind w:left="1134"/>
      </w:pPr>
      <w:r w:rsidRPr="008E6884">
        <w:t>Sub-option 2</w:t>
      </w:r>
    </w:p>
    <w:p w14:paraId="4CF686CA" w14:textId="77777777" w:rsidR="00094004" w:rsidRPr="008E6884" w:rsidRDefault="00094004" w:rsidP="00094004">
      <w:pPr>
        <w:ind w:left="1134"/>
      </w:pPr>
      <w:r w:rsidRPr="008E6884">
        <w:t>The riser and going specifications of the National Construction Code</w:t>
      </w:r>
      <w:r>
        <w:t>,</w:t>
      </w:r>
      <w:r w:rsidRPr="008E6884">
        <w:t xml:space="preserve"> </w:t>
      </w:r>
      <w:r>
        <w:t>Table D2.13</w:t>
      </w:r>
      <w:r w:rsidRPr="008E6884">
        <w:t>.</w:t>
      </w:r>
    </w:p>
    <w:p w14:paraId="289DCFEC" w14:textId="77777777" w:rsidR="00094004" w:rsidRPr="008E6884" w:rsidRDefault="00094004" w:rsidP="00094004">
      <w:pPr>
        <w:pStyle w:val="Heading6"/>
        <w:ind w:left="1134"/>
      </w:pPr>
      <w:r w:rsidRPr="008E6884">
        <w:t>Sub-option 3</w:t>
      </w:r>
    </w:p>
    <w:p w14:paraId="493E50B9" w14:textId="77777777" w:rsidR="00094004" w:rsidRPr="008E6884" w:rsidRDefault="00094004" w:rsidP="00094004">
      <w:pPr>
        <w:ind w:left="1134"/>
      </w:pPr>
      <w:r w:rsidRPr="008E6884">
        <w:t xml:space="preserve">Riser and going dimensions that are safe and fit for purpose. </w:t>
      </w:r>
    </w:p>
    <w:p w14:paraId="76ABA7B0" w14:textId="7A1FC6F8" w:rsidR="00094004" w:rsidRPr="00102DA1" w:rsidRDefault="00094004" w:rsidP="006F65FB">
      <w:pPr>
        <w:pStyle w:val="ListParagraph"/>
        <w:numPr>
          <w:ilvl w:val="0"/>
          <w:numId w:val="49"/>
        </w:numPr>
        <w:autoSpaceDE w:val="0"/>
        <w:autoSpaceDN w:val="0"/>
        <w:spacing w:before="40" w:after="40"/>
      </w:pPr>
      <w:r w:rsidRPr="00097442">
        <w:t xml:space="preserve">The minimum access path width on ferry stairs should be 900 </w:t>
      </w:r>
      <w:r w:rsidR="009134C0">
        <w:t>v</w:t>
      </w:r>
      <w:r w:rsidRPr="00097442">
        <w:t xml:space="preserve"> as per </w:t>
      </w:r>
      <w:r>
        <w:t>NSCV,</w:t>
      </w:r>
      <w:r w:rsidRPr="00097442">
        <w:t xml:space="preserve"> </w:t>
      </w:r>
      <w:r>
        <w:t>Part C Design and construction s</w:t>
      </w:r>
      <w:r w:rsidRPr="00102DA1">
        <w:t>ection 1 Arrangement, accommodation and personal safety (2018), Table 19</w:t>
      </w:r>
    </w:p>
    <w:p w14:paraId="324D0D04" w14:textId="77777777" w:rsidR="00094004" w:rsidRPr="00097442" w:rsidRDefault="00094004" w:rsidP="006F65FB">
      <w:pPr>
        <w:pStyle w:val="ListParagraph"/>
        <w:numPr>
          <w:ilvl w:val="0"/>
          <w:numId w:val="49"/>
        </w:numPr>
        <w:autoSpaceDE w:val="0"/>
        <w:autoSpaceDN w:val="0"/>
        <w:spacing w:before="40" w:after="40"/>
      </w:pPr>
      <w:r w:rsidRPr="00097442">
        <w:t>Stairs should not intrude into access paths as this may present a tripping hazard or compromise the access path width.</w:t>
      </w:r>
    </w:p>
    <w:p w14:paraId="50F91284" w14:textId="77777777" w:rsidR="00094004" w:rsidRPr="00097442" w:rsidRDefault="00094004" w:rsidP="006F65FB">
      <w:pPr>
        <w:pStyle w:val="ListParagraph"/>
        <w:numPr>
          <w:ilvl w:val="0"/>
          <w:numId w:val="49"/>
        </w:numPr>
        <w:autoSpaceDE w:val="0"/>
        <w:autoSpaceDN w:val="0"/>
        <w:spacing w:before="40" w:after="40"/>
      </w:pPr>
      <w:r w:rsidRPr="00097442">
        <w:t>TGSIs are not required at ferry stairs and steps.</w:t>
      </w:r>
    </w:p>
    <w:p w14:paraId="7E483767" w14:textId="77777777" w:rsidR="00094004" w:rsidRPr="00097442" w:rsidRDefault="00094004" w:rsidP="006F65FB">
      <w:pPr>
        <w:pStyle w:val="ListParagraph"/>
        <w:numPr>
          <w:ilvl w:val="0"/>
          <w:numId w:val="49"/>
        </w:numPr>
        <w:autoSpaceDE w:val="0"/>
        <w:autoSpaceDN w:val="0"/>
        <w:spacing w:before="40" w:after="40"/>
      </w:pPr>
      <w:r w:rsidRPr="00097442">
        <w:t>A handrail on stairs or steps need not extend beyond the top or bottom of the stairs or steps. This is to avoid compromising the access paths at the head or foot of the stairs.</w:t>
      </w:r>
    </w:p>
    <w:p w14:paraId="33826860" w14:textId="2A6059A2" w:rsidR="00094004" w:rsidRPr="00097442" w:rsidRDefault="00094004" w:rsidP="006F65FB">
      <w:pPr>
        <w:pStyle w:val="ListParagraph"/>
        <w:numPr>
          <w:ilvl w:val="0"/>
          <w:numId w:val="49"/>
        </w:numPr>
        <w:autoSpaceDE w:val="0"/>
        <w:autoSpaceDN w:val="0"/>
        <w:spacing w:before="40" w:after="40"/>
      </w:pPr>
      <w:r w:rsidRPr="00097442">
        <w:t xml:space="preserve">If the handrail is interrupted or terminates abruptly a domed warning indicator with a height of between 4–5 </w:t>
      </w:r>
      <w:r w:rsidR="009134C0" w:rsidRPr="007D162C">
        <w:t>millimetres</w:t>
      </w:r>
      <w:r w:rsidRPr="00097442">
        <w:t xml:space="preserve"> and a diameter of between 10–12 </w:t>
      </w:r>
      <w:r w:rsidR="009134C0" w:rsidRPr="007D162C">
        <w:t>millimetres</w:t>
      </w:r>
      <w:r w:rsidRPr="00097442">
        <w:t xml:space="preserve"> should be provided on the top of the handrail 150 </w:t>
      </w:r>
      <w:r w:rsidR="009134C0" w:rsidRPr="007D162C">
        <w:t>millimetres</w:t>
      </w:r>
      <w:r w:rsidRPr="00097442">
        <w:t xml:space="preserve"> from the end of the handrail.</w:t>
      </w:r>
    </w:p>
    <w:p w14:paraId="2CEAEB64" w14:textId="464F1509" w:rsidR="00094004" w:rsidRPr="00097442" w:rsidRDefault="00094004" w:rsidP="006F65FB">
      <w:pPr>
        <w:pStyle w:val="ListParagraph"/>
        <w:numPr>
          <w:ilvl w:val="0"/>
          <w:numId w:val="49"/>
        </w:numPr>
        <w:autoSpaceDE w:val="0"/>
        <w:autoSpaceDN w:val="0"/>
        <w:spacing w:before="40" w:after="40"/>
      </w:pPr>
      <w:r w:rsidRPr="00097442">
        <w:t>Handrails should have at least 30</w:t>
      </w:r>
      <w:r>
        <w:t xml:space="preserve"> per cent</w:t>
      </w:r>
      <w:r w:rsidRPr="00097442">
        <w:t xml:space="preserve"> luminance contrast with any background wall or surface adjacent to the handrail, within a distance of 2000 </w:t>
      </w:r>
      <w:r w:rsidR="009134C0" w:rsidRPr="007D162C">
        <w:t>millimetres</w:t>
      </w:r>
      <w:r w:rsidRPr="00097442">
        <w:t xml:space="preserve"> from the handrail. </w:t>
      </w:r>
    </w:p>
    <w:p w14:paraId="4B551DDD"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r w:rsidRPr="00097442">
        <w:t>).</w:t>
      </w:r>
    </w:p>
    <w:p w14:paraId="1B678C84" w14:textId="77777777" w:rsidR="00094004" w:rsidRPr="00097442" w:rsidRDefault="00094004" w:rsidP="00094004">
      <w:pPr>
        <w:pStyle w:val="Heading4"/>
      </w:pPr>
      <w:r w:rsidRPr="00097442">
        <w:t>Regulatory option</w:t>
      </w:r>
    </w:p>
    <w:p w14:paraId="6E8666A3" w14:textId="77777777" w:rsidR="00094004" w:rsidRPr="00097442" w:rsidRDefault="00094004" w:rsidP="00094004">
      <w:r w:rsidRPr="00097442">
        <w:t xml:space="preserve">The </w:t>
      </w:r>
      <w:r>
        <w:t>Transport Standards</w:t>
      </w:r>
      <w:r w:rsidRPr="00097442">
        <w:t xml:space="preserve"> would be amended to include </w:t>
      </w:r>
      <w:r>
        <w:t xml:space="preserve">new </w:t>
      </w:r>
      <w:r w:rsidRPr="00097442">
        <w:t>requirements for ferr</w:t>
      </w:r>
      <w:r>
        <w:t>y</w:t>
      </w:r>
      <w:r w:rsidRPr="00097442">
        <w:t xml:space="preserve"> stairs and handrails along ferry stairs. </w:t>
      </w:r>
    </w:p>
    <w:p w14:paraId="351C6E61" w14:textId="77777777" w:rsidR="00094004" w:rsidRPr="00097442" w:rsidRDefault="00094004" w:rsidP="00094004">
      <w:r w:rsidRPr="00097442">
        <w:t xml:space="preserve">The </w:t>
      </w:r>
      <w:r>
        <w:t>Transport Standards</w:t>
      </w:r>
      <w:r w:rsidRPr="00097442">
        <w:t xml:space="preserve"> would include the following new requirements for ferry stairs:</w:t>
      </w:r>
    </w:p>
    <w:p w14:paraId="1EC3601F" w14:textId="77777777" w:rsidR="00094004" w:rsidRPr="00097442" w:rsidRDefault="00094004" w:rsidP="006F65FB">
      <w:pPr>
        <w:pStyle w:val="ListParagraph"/>
        <w:numPr>
          <w:ilvl w:val="0"/>
          <w:numId w:val="49"/>
        </w:numPr>
        <w:autoSpaceDE w:val="0"/>
        <w:autoSpaceDN w:val="0"/>
        <w:spacing w:before="40" w:after="40"/>
      </w:pPr>
      <w:r w:rsidRPr="00097442">
        <w:t xml:space="preserve">Where stairs and steps are provided, they must have opaque risers and comply with AS1428.1 (2009) </w:t>
      </w:r>
      <w:r w:rsidRPr="00102DA1">
        <w:rPr>
          <w:i/>
        </w:rPr>
        <w:t xml:space="preserve">Clause 11.1 (c), (d), (e), (f) </w:t>
      </w:r>
      <w:r w:rsidRPr="008B78A6">
        <w:t>and</w:t>
      </w:r>
      <w:r w:rsidRPr="00102DA1">
        <w:rPr>
          <w:i/>
        </w:rPr>
        <w:t xml:space="preserve"> (g).</w:t>
      </w:r>
    </w:p>
    <w:p w14:paraId="484B59C8" w14:textId="77777777" w:rsidR="00094004" w:rsidRPr="00097442" w:rsidRDefault="00094004" w:rsidP="006F65FB">
      <w:pPr>
        <w:pStyle w:val="ListParagraph"/>
        <w:numPr>
          <w:ilvl w:val="0"/>
          <w:numId w:val="49"/>
        </w:numPr>
        <w:autoSpaceDE w:val="0"/>
        <w:autoSpaceDN w:val="0"/>
        <w:spacing w:before="40" w:after="40"/>
      </w:pPr>
      <w:r w:rsidRPr="00097442">
        <w:t xml:space="preserve">Stair and steps risers and goings dimensions must comply with: </w:t>
      </w:r>
    </w:p>
    <w:p w14:paraId="0DC0234D" w14:textId="77777777" w:rsidR="00094004" w:rsidRPr="005927C7" w:rsidRDefault="00094004" w:rsidP="00094004">
      <w:pPr>
        <w:pStyle w:val="Heading6"/>
        <w:ind w:left="1134"/>
      </w:pPr>
      <w:r w:rsidRPr="005927C7">
        <w:t>Sub-option 1</w:t>
      </w:r>
    </w:p>
    <w:p w14:paraId="1F170C0E" w14:textId="77777777" w:rsidR="00094004" w:rsidRPr="005927C7" w:rsidRDefault="00094004" w:rsidP="00094004">
      <w:pPr>
        <w:ind w:left="1134"/>
      </w:pPr>
      <w:r>
        <w:t>NSCV, Part C Design and construction s</w:t>
      </w:r>
      <w:r w:rsidRPr="005927C7">
        <w:t>ection 1 Arrangement, accommodation and personal safety (2018)</w:t>
      </w:r>
      <w:r>
        <w:t>, s</w:t>
      </w:r>
      <w:r w:rsidRPr="005927C7">
        <w:t>ection 5.13.3.4.</w:t>
      </w:r>
    </w:p>
    <w:p w14:paraId="523628B6" w14:textId="77777777" w:rsidR="00094004" w:rsidRPr="005927C7" w:rsidRDefault="00094004" w:rsidP="00094004">
      <w:pPr>
        <w:pStyle w:val="Heading6"/>
        <w:ind w:left="1134"/>
      </w:pPr>
      <w:r w:rsidRPr="005927C7">
        <w:t>S</w:t>
      </w:r>
      <w:r>
        <w:t>ub-option 2</w:t>
      </w:r>
    </w:p>
    <w:p w14:paraId="02C4ADBB" w14:textId="77777777" w:rsidR="00094004" w:rsidRPr="005927C7" w:rsidRDefault="00094004" w:rsidP="00094004">
      <w:pPr>
        <w:ind w:left="1134"/>
      </w:pPr>
      <w:r w:rsidRPr="005927C7">
        <w:t>National Construction Code</w:t>
      </w:r>
      <w:r>
        <w:t>, Table D2.13</w:t>
      </w:r>
      <w:r w:rsidRPr="005927C7">
        <w:t>.</w:t>
      </w:r>
    </w:p>
    <w:p w14:paraId="4E4989B8" w14:textId="77777777" w:rsidR="00094004" w:rsidRPr="005927C7" w:rsidRDefault="00094004" w:rsidP="00094004">
      <w:pPr>
        <w:pStyle w:val="Heading6"/>
        <w:ind w:left="1134"/>
      </w:pPr>
      <w:r w:rsidRPr="005927C7">
        <w:lastRenderedPageBreak/>
        <w:t>S</w:t>
      </w:r>
      <w:r>
        <w:t>ub-option 3</w:t>
      </w:r>
    </w:p>
    <w:p w14:paraId="763526D1" w14:textId="77777777" w:rsidR="00094004" w:rsidRPr="005927C7" w:rsidRDefault="00094004" w:rsidP="00094004">
      <w:pPr>
        <w:ind w:left="1134"/>
      </w:pPr>
      <w:r w:rsidRPr="005927C7">
        <w:t xml:space="preserve">Riser and going dimensions that are safe and fit for purpose. </w:t>
      </w:r>
    </w:p>
    <w:p w14:paraId="701F2200" w14:textId="007DB92E" w:rsidR="00094004" w:rsidRPr="00097442" w:rsidRDefault="00094004" w:rsidP="006F65FB">
      <w:pPr>
        <w:pStyle w:val="ListParagraph"/>
        <w:numPr>
          <w:ilvl w:val="0"/>
          <w:numId w:val="49"/>
        </w:numPr>
        <w:autoSpaceDE w:val="0"/>
        <w:autoSpaceDN w:val="0"/>
        <w:spacing w:before="40" w:after="40"/>
      </w:pPr>
      <w:r w:rsidRPr="00097442">
        <w:t xml:space="preserve">The minimum access path width on stairs and steps in the conveyance must be 900 </w:t>
      </w:r>
      <w:r w:rsidR="009134C0" w:rsidRPr="002A7AC6">
        <w:t>millimetres</w:t>
      </w:r>
      <w:r w:rsidRPr="00097442">
        <w:t xml:space="preserve"> as per </w:t>
      </w:r>
      <w:r>
        <w:t>NSCV,</w:t>
      </w:r>
      <w:r w:rsidRPr="00097442">
        <w:t xml:space="preserve"> </w:t>
      </w:r>
      <w:r w:rsidRPr="00102DA1">
        <w:t xml:space="preserve">Part C Design and construction </w:t>
      </w:r>
      <w:r>
        <w:t>s</w:t>
      </w:r>
      <w:r w:rsidRPr="00102DA1">
        <w:t>ection 1 Arrangement, accommodation and personal safety (2018), Table 19.</w:t>
      </w:r>
    </w:p>
    <w:p w14:paraId="7568406D" w14:textId="77777777" w:rsidR="00094004" w:rsidRPr="00097442" w:rsidRDefault="00094004" w:rsidP="006F65FB">
      <w:pPr>
        <w:pStyle w:val="ListParagraph"/>
        <w:numPr>
          <w:ilvl w:val="0"/>
          <w:numId w:val="49"/>
        </w:numPr>
        <w:autoSpaceDE w:val="0"/>
        <w:autoSpaceDN w:val="0"/>
        <w:spacing w:before="40" w:after="40"/>
      </w:pPr>
      <w:r w:rsidRPr="00097442">
        <w:t>Stairs and steps must not intrude into access paths.</w:t>
      </w:r>
    </w:p>
    <w:p w14:paraId="3B7C7B20" w14:textId="77777777" w:rsidR="00094004" w:rsidRPr="00097442" w:rsidRDefault="00094004" w:rsidP="006F65FB">
      <w:pPr>
        <w:pStyle w:val="ListParagraph"/>
        <w:numPr>
          <w:ilvl w:val="0"/>
          <w:numId w:val="49"/>
        </w:numPr>
        <w:autoSpaceDE w:val="0"/>
        <w:autoSpaceDN w:val="0"/>
        <w:spacing w:before="40" w:after="40"/>
      </w:pPr>
      <w:r w:rsidRPr="00097442">
        <w:t>TGSIs are not required at ferry stairs and steps.</w:t>
      </w:r>
    </w:p>
    <w:p w14:paraId="318C5943" w14:textId="77777777" w:rsidR="00094004" w:rsidRPr="00097442" w:rsidRDefault="00094004" w:rsidP="00094004">
      <w:r>
        <w:t>This s</w:t>
      </w:r>
      <w:r w:rsidRPr="00097442">
        <w:t>ection would apply to ferries.</w:t>
      </w:r>
    </w:p>
    <w:p w14:paraId="7049229F" w14:textId="77777777" w:rsidR="00094004" w:rsidRPr="00097442" w:rsidRDefault="00094004" w:rsidP="00094004">
      <w:r w:rsidRPr="00097442">
        <w:t xml:space="preserve">The </w:t>
      </w:r>
      <w:r>
        <w:t>Transport Standards</w:t>
      </w:r>
      <w:r w:rsidRPr="00097442">
        <w:t xml:space="preserve"> would include the following new requirements</w:t>
      </w:r>
      <w:r>
        <w:t xml:space="preserve"> for handrails</w:t>
      </w:r>
      <w:r w:rsidRPr="00097442">
        <w:t>:</w:t>
      </w:r>
    </w:p>
    <w:p w14:paraId="40C2324F" w14:textId="77777777" w:rsidR="00094004" w:rsidRPr="00097442" w:rsidRDefault="00094004" w:rsidP="006F65FB">
      <w:pPr>
        <w:pStyle w:val="ListParagraph"/>
        <w:numPr>
          <w:ilvl w:val="0"/>
          <w:numId w:val="49"/>
        </w:numPr>
        <w:autoSpaceDE w:val="0"/>
        <w:autoSpaceDN w:val="0"/>
        <w:spacing w:before="40" w:after="40"/>
      </w:pPr>
      <w:r w:rsidRPr="00097442">
        <w:t xml:space="preserve">Handrails must comply with the </w:t>
      </w:r>
      <w:r w:rsidRPr="001726E8">
        <w:t xml:space="preserve">National Standard for Commercial Vessels </w:t>
      </w:r>
      <w:r>
        <w:t>Part C Design and construction s</w:t>
      </w:r>
      <w:r w:rsidRPr="00102DA1">
        <w:t>ection 1 Arrangement, accommodation and personal safety (2018) Clause 5.12.</w:t>
      </w:r>
    </w:p>
    <w:p w14:paraId="7510E6F9" w14:textId="77777777" w:rsidR="00094004" w:rsidRPr="00097442" w:rsidRDefault="00094004" w:rsidP="006F65FB">
      <w:pPr>
        <w:pStyle w:val="ListParagraph"/>
        <w:numPr>
          <w:ilvl w:val="0"/>
          <w:numId w:val="49"/>
        </w:numPr>
        <w:autoSpaceDE w:val="0"/>
        <w:autoSpaceDN w:val="0"/>
        <w:spacing w:before="40" w:after="40"/>
      </w:pPr>
      <w:r w:rsidRPr="00097442">
        <w:t>A handrail on steps and stairs need not extend beyond the top or bottom of the stairs or steps.</w:t>
      </w:r>
    </w:p>
    <w:p w14:paraId="2479DC57" w14:textId="53528927" w:rsidR="00094004" w:rsidRPr="00097442" w:rsidRDefault="00094004" w:rsidP="006F65FB">
      <w:pPr>
        <w:pStyle w:val="ListParagraph"/>
        <w:numPr>
          <w:ilvl w:val="0"/>
          <w:numId w:val="49"/>
        </w:numPr>
        <w:autoSpaceDE w:val="0"/>
        <w:autoSpaceDN w:val="0"/>
        <w:spacing w:before="40" w:after="40"/>
      </w:pPr>
      <w:r w:rsidRPr="00097442">
        <w:t xml:space="preserve">If the handrail is interrupted or abruptly terminated, a domed warning indicator with a height of between 4–5 </w:t>
      </w:r>
      <w:r w:rsidR="009134C0" w:rsidRPr="002A7AC6">
        <w:t>millimetres</w:t>
      </w:r>
      <w:r w:rsidRPr="00097442">
        <w:t xml:space="preserve"> and a diameter of between 10–12 </w:t>
      </w:r>
      <w:r w:rsidR="009134C0" w:rsidRPr="002A7AC6">
        <w:t>millimetres</w:t>
      </w:r>
      <w:r w:rsidRPr="00097442">
        <w:t xml:space="preserve"> must be provided on the top of the handrail 150 </w:t>
      </w:r>
      <w:r w:rsidR="009134C0" w:rsidRPr="002A7AC6">
        <w:t>millimetres</w:t>
      </w:r>
      <w:r w:rsidRPr="00097442">
        <w:t xml:space="preserve"> from the end of the handrail.</w:t>
      </w:r>
    </w:p>
    <w:p w14:paraId="7206AF13" w14:textId="020CAB2B" w:rsidR="00094004" w:rsidRPr="00097442" w:rsidRDefault="00094004" w:rsidP="006F65FB">
      <w:pPr>
        <w:pStyle w:val="ListParagraph"/>
        <w:numPr>
          <w:ilvl w:val="0"/>
          <w:numId w:val="49"/>
        </w:numPr>
        <w:autoSpaceDE w:val="0"/>
        <w:autoSpaceDN w:val="0"/>
        <w:spacing w:before="40" w:after="40"/>
      </w:pPr>
      <w:r w:rsidRPr="00097442">
        <w:t xml:space="preserve">Handrails must have at least 30% luminance contrast with any background wall or surface adjacent to the handrail, within a distance of 2000 </w:t>
      </w:r>
      <w:r w:rsidR="009134C0" w:rsidRPr="002A7AC6">
        <w:t>millimetres</w:t>
      </w:r>
      <w:r w:rsidRPr="00097442">
        <w:t xml:space="preserve"> from the handrail. </w:t>
      </w:r>
    </w:p>
    <w:p w14:paraId="057751F5" w14:textId="77777777" w:rsidR="00094004" w:rsidRDefault="00094004" w:rsidP="006F65FB">
      <w:pPr>
        <w:pStyle w:val="ListParagraph"/>
        <w:numPr>
          <w:ilvl w:val="0"/>
          <w:numId w:val="49"/>
        </w:numPr>
        <w:autoSpaceDE w:val="0"/>
        <w:autoSpaceDN w:val="0"/>
        <w:spacing w:before="40" w:after="40"/>
      </w:pPr>
      <w:r w:rsidRPr="00097442">
        <w:t xml:space="preserve">Handrail profile must be as per </w:t>
      </w:r>
      <w:r w:rsidRPr="001726E8">
        <w:t>AS1428.1 (2009) Clause 12 (b).</w:t>
      </w:r>
    </w:p>
    <w:p w14:paraId="4D8FE6C4" w14:textId="77777777" w:rsidR="00094004" w:rsidRPr="001726E8" w:rsidRDefault="00094004" w:rsidP="00094004">
      <w:r>
        <w:rPr>
          <w:bCs/>
        </w:rPr>
        <w:t xml:space="preserve">These requirements </w:t>
      </w:r>
      <w:r w:rsidRPr="001726E8">
        <w:rPr>
          <w:bCs/>
        </w:rPr>
        <w:t>would apply to ferries.</w:t>
      </w:r>
    </w:p>
    <w:p w14:paraId="2494C0FA" w14:textId="77777777" w:rsidR="00094004" w:rsidRPr="00097442" w:rsidRDefault="00094004" w:rsidP="00094004">
      <w:r w:rsidRPr="00097442">
        <w:t xml:space="preserve">The </w:t>
      </w:r>
      <w:r>
        <w:t>Transport Standards</w:t>
      </w:r>
      <w:r w:rsidRPr="00097442">
        <w:t xml:space="preserve"> Guidelines would be updated to reflect new requirements and include specific guidance for ferries.</w:t>
      </w:r>
    </w:p>
    <w:p w14:paraId="79BBED24" w14:textId="77777777" w:rsidR="00094004" w:rsidRPr="00097442" w:rsidRDefault="00094004" w:rsidP="00094004">
      <w:r w:rsidRPr="00097442">
        <w:t>Specific guidance may include the following:</w:t>
      </w:r>
    </w:p>
    <w:p w14:paraId="3985725E" w14:textId="396DA795" w:rsidR="00094004" w:rsidRPr="00097442" w:rsidRDefault="00094004" w:rsidP="006F65FB">
      <w:pPr>
        <w:pStyle w:val="ListParagraph"/>
        <w:numPr>
          <w:ilvl w:val="0"/>
          <w:numId w:val="48"/>
        </w:numPr>
        <w:autoSpaceDE w:val="0"/>
        <w:autoSpaceDN w:val="0"/>
        <w:spacing w:before="40" w:after="40"/>
      </w:pPr>
      <w:r w:rsidRPr="00097442">
        <w:t xml:space="preserve">The preferred riser height for ferry stairs is 190 </w:t>
      </w:r>
      <w:r w:rsidR="009134C0" w:rsidRPr="002A7AC6">
        <w:t>millimetres</w:t>
      </w:r>
      <w:r w:rsidRPr="00097442">
        <w:t xml:space="preserve"> with a preferred going depth of 275 </w:t>
      </w:r>
      <w:r w:rsidR="009134C0" w:rsidRPr="002A7AC6">
        <w:t>millimetres</w:t>
      </w:r>
      <w:r w:rsidRPr="00097442">
        <w:t xml:space="preserve">. </w:t>
      </w:r>
    </w:p>
    <w:p w14:paraId="4F815664" w14:textId="77777777" w:rsidR="00094004" w:rsidRDefault="00094004" w:rsidP="006F65FB">
      <w:pPr>
        <w:pStyle w:val="ListParagraph"/>
        <w:numPr>
          <w:ilvl w:val="0"/>
          <w:numId w:val="48"/>
        </w:numPr>
        <w:autoSpaceDE w:val="0"/>
        <w:autoSpaceDN w:val="0"/>
        <w:spacing w:before="40" w:after="40"/>
      </w:pPr>
      <w:r w:rsidRPr="00097442">
        <w:t>Handrails should not compromise access paths by intruding into them. Any intrusion may introduce striking hazards for passengers or block the use of the access path by some passengers.</w:t>
      </w:r>
    </w:p>
    <w:p w14:paraId="2FDC16CA" w14:textId="65434C3A" w:rsidR="00094004" w:rsidRDefault="00094004" w:rsidP="006F65FB">
      <w:pPr>
        <w:pStyle w:val="Heading3"/>
        <w:numPr>
          <w:ilvl w:val="0"/>
          <w:numId w:val="47"/>
        </w:numPr>
        <w:ind w:left="567" w:hanging="567"/>
      </w:pPr>
      <w:bookmarkStart w:id="1024" w:name="_Toc127351881"/>
      <w:bookmarkStart w:id="1025" w:name="_Toc130914559"/>
      <w:bookmarkStart w:id="1026" w:name="_Toc140239850"/>
      <w:r w:rsidRPr="00130222">
        <w:t>Stairs on buses</w:t>
      </w:r>
      <w:bookmarkEnd w:id="1024"/>
      <w:bookmarkEnd w:id="1025"/>
      <w:bookmarkEnd w:id="1026"/>
    </w:p>
    <w:p w14:paraId="296322C5" w14:textId="77777777" w:rsidR="00094004" w:rsidRPr="00097442" w:rsidRDefault="00094004" w:rsidP="00094004">
      <w:pPr>
        <w:pStyle w:val="Heading4"/>
      </w:pPr>
      <w:r w:rsidRPr="00097442">
        <w:t>Status quo</w:t>
      </w:r>
    </w:p>
    <w:p w14:paraId="5B399BCF" w14:textId="77777777" w:rsidR="00094004" w:rsidRPr="00097442" w:rsidRDefault="00094004" w:rsidP="00094004">
      <w:r>
        <w:t>Transport Standards</w:t>
      </w:r>
      <w:r w:rsidRPr="00097442">
        <w:t xml:space="preserve"> </w:t>
      </w:r>
      <w:r>
        <w:t>s</w:t>
      </w:r>
      <w:r w:rsidRPr="00097442">
        <w:t xml:space="preserve">ection 14.4, Compliance with Australian Design Rule 58 </w:t>
      </w:r>
      <w:r>
        <w:t>– conveyances and section 14.3 C</w:t>
      </w:r>
      <w:r w:rsidRPr="00097442">
        <w:t>ompliance with Australian Standards – conveyances</w:t>
      </w:r>
      <w:r>
        <w:t>,</w:t>
      </w:r>
      <w:r w:rsidRPr="00097442">
        <w:t xml:space="preserve"> would remain unchanged and no additional guidance would be issued. </w:t>
      </w:r>
    </w:p>
    <w:p w14:paraId="4C1B2F89" w14:textId="77777777" w:rsidR="00094004" w:rsidRPr="001726E8" w:rsidRDefault="00094004" w:rsidP="00094004">
      <w:pPr>
        <w:ind w:left="1134" w:hanging="567"/>
        <w:rPr>
          <w:b/>
        </w:rPr>
      </w:pPr>
      <w:r w:rsidRPr="001726E8">
        <w:rPr>
          <w:b/>
        </w:rPr>
        <w:t xml:space="preserve">14.3 </w:t>
      </w:r>
      <w:r w:rsidRPr="001726E8">
        <w:rPr>
          <w:b/>
        </w:rPr>
        <w:tab/>
        <w:t>Compliance with Australian Standards — conveyances</w:t>
      </w:r>
    </w:p>
    <w:p w14:paraId="49FB84B8" w14:textId="77777777" w:rsidR="00094004" w:rsidRPr="00097442" w:rsidRDefault="00094004" w:rsidP="00094004">
      <w:pPr>
        <w:ind w:left="1134" w:hanging="567"/>
      </w:pPr>
      <w:r w:rsidRPr="00097442">
        <w:t xml:space="preserve">(1) </w:t>
      </w:r>
      <w:r>
        <w:tab/>
      </w:r>
      <w:r w:rsidRPr="00097442">
        <w:t>If stairs are provided on a conveyance mentioned below, they must comply with:</w:t>
      </w:r>
    </w:p>
    <w:p w14:paraId="511F5A8A" w14:textId="77777777" w:rsidR="00094004" w:rsidRPr="00097442" w:rsidRDefault="00094004" w:rsidP="00094004">
      <w:pPr>
        <w:ind w:left="1701" w:hanging="567"/>
      </w:pPr>
      <w:r w:rsidRPr="00097442">
        <w:t xml:space="preserve">(a) </w:t>
      </w:r>
      <w:r>
        <w:tab/>
      </w:r>
      <w:r w:rsidRPr="001726E8">
        <w:t xml:space="preserve">AS1428.1 (2001) </w:t>
      </w:r>
      <w:r w:rsidRPr="00102DA1">
        <w:rPr>
          <w:i/>
        </w:rPr>
        <w:t>Clause 9.1 (including the notes), Stair construction</w:t>
      </w:r>
      <w:r w:rsidRPr="00097442">
        <w:t>; and</w:t>
      </w:r>
    </w:p>
    <w:p w14:paraId="3AE135DA" w14:textId="77777777" w:rsidR="00094004" w:rsidRPr="00097442" w:rsidRDefault="00094004" w:rsidP="00094004">
      <w:pPr>
        <w:ind w:left="1701" w:hanging="567"/>
      </w:pPr>
      <w:r w:rsidRPr="00097442">
        <w:t xml:space="preserve">(b) </w:t>
      </w:r>
      <w:r>
        <w:tab/>
      </w:r>
      <w:r w:rsidRPr="001726E8">
        <w:t xml:space="preserve">AS1428.2 (1992) </w:t>
      </w:r>
      <w:r w:rsidRPr="00102DA1">
        <w:rPr>
          <w:i/>
        </w:rPr>
        <w:t xml:space="preserve">Clause 13.2, Configuration of steps, Clause 13.3, Warning strip at nosing of steps and Figures 8 </w:t>
      </w:r>
      <w:r w:rsidRPr="003D1B06">
        <w:t>and</w:t>
      </w:r>
      <w:r w:rsidRPr="00102DA1">
        <w:rPr>
          <w:i/>
        </w:rPr>
        <w:t xml:space="preserve"> 9</w:t>
      </w:r>
      <w:r w:rsidRPr="00097442">
        <w:t>.</w:t>
      </w:r>
    </w:p>
    <w:p w14:paraId="6CDBBE3D" w14:textId="5041BF59" w:rsidR="00094004" w:rsidRPr="00097442" w:rsidRDefault="00094004" w:rsidP="00094004">
      <w:pPr>
        <w:ind w:left="1134" w:hanging="567"/>
      </w:pPr>
      <w:r w:rsidRPr="00097442">
        <w:t xml:space="preserve">(2) </w:t>
      </w:r>
      <w:r>
        <w:tab/>
      </w:r>
      <w:r w:rsidRPr="00097442">
        <w:t xml:space="preserve">However, the minimum access path width on stairs in the conveyance must be 850 </w:t>
      </w:r>
      <w:r w:rsidR="009134C0" w:rsidRPr="002A7AC6">
        <w:t>millimetres</w:t>
      </w:r>
      <w:r w:rsidRPr="00097442">
        <w:t>.</w:t>
      </w:r>
    </w:p>
    <w:p w14:paraId="451E2664" w14:textId="77777777" w:rsidR="00094004" w:rsidRPr="00097442" w:rsidRDefault="00094004" w:rsidP="00094004">
      <w:pPr>
        <w:ind w:left="1134" w:hanging="567"/>
      </w:pPr>
      <w:r w:rsidRPr="00097442">
        <w:lastRenderedPageBreak/>
        <w:t>This section applies to ferries, trains, trams and light rail.</w:t>
      </w:r>
    </w:p>
    <w:p w14:paraId="30B3AA76" w14:textId="77777777" w:rsidR="00094004" w:rsidRPr="001726E8" w:rsidRDefault="00094004" w:rsidP="00094004">
      <w:pPr>
        <w:ind w:left="1134" w:hanging="567"/>
        <w:rPr>
          <w:b/>
        </w:rPr>
      </w:pPr>
      <w:r w:rsidRPr="001726E8">
        <w:rPr>
          <w:b/>
        </w:rPr>
        <w:t xml:space="preserve">14.4 </w:t>
      </w:r>
      <w:r w:rsidRPr="001726E8">
        <w:rPr>
          <w:b/>
        </w:rPr>
        <w:tab/>
        <w:t>Compliance with Australian Design Rule 58 — conveyances</w:t>
      </w:r>
    </w:p>
    <w:p w14:paraId="779F4C6D" w14:textId="77777777" w:rsidR="00094004" w:rsidRPr="00097442" w:rsidRDefault="00094004" w:rsidP="00094004">
      <w:pPr>
        <w:ind w:left="1134" w:hanging="567"/>
      </w:pPr>
      <w:r w:rsidRPr="00097442">
        <w:t xml:space="preserve">(1) </w:t>
      </w:r>
      <w:r>
        <w:tab/>
      </w:r>
      <w:r w:rsidRPr="00097442">
        <w:t xml:space="preserve">Stairs must comply with </w:t>
      </w:r>
      <w:r w:rsidRPr="001726E8">
        <w:t xml:space="preserve">Australian Design Rule 58 </w:t>
      </w:r>
      <w:r w:rsidRPr="00097442">
        <w:t>to the extent that that rule sets requirements that conflict with these Standards.</w:t>
      </w:r>
    </w:p>
    <w:p w14:paraId="3543F074" w14:textId="77777777" w:rsidR="00094004" w:rsidRPr="00097442" w:rsidRDefault="00094004" w:rsidP="00094004">
      <w:pPr>
        <w:ind w:left="1134" w:hanging="567"/>
      </w:pPr>
      <w:r w:rsidRPr="00097442">
        <w:t xml:space="preserve">(2) </w:t>
      </w:r>
      <w:r>
        <w:tab/>
      </w:r>
      <w:r w:rsidRPr="00097442">
        <w:t>In any other case, section 14.3 applies.</w:t>
      </w:r>
    </w:p>
    <w:p w14:paraId="0A6C598D" w14:textId="77777777" w:rsidR="00094004" w:rsidRPr="00097442" w:rsidRDefault="00094004" w:rsidP="00094004">
      <w:pPr>
        <w:ind w:left="1134" w:hanging="567"/>
      </w:pPr>
      <w:r w:rsidRPr="00097442">
        <w:t>This section applies to buses except dedicated school buses.</w:t>
      </w:r>
    </w:p>
    <w:p w14:paraId="79B42DAB" w14:textId="77777777" w:rsidR="00094004" w:rsidRPr="00097442" w:rsidRDefault="00094004" w:rsidP="00094004">
      <w:pPr>
        <w:pStyle w:val="Heading4"/>
      </w:pPr>
      <w:r>
        <w:t>Non-regulatory</w:t>
      </w:r>
      <w:r w:rsidRPr="00097442">
        <w:t xml:space="preserve"> option</w:t>
      </w:r>
    </w:p>
    <w:p w14:paraId="1048E2D9" w14:textId="77777777" w:rsidR="00094004" w:rsidRPr="00097442" w:rsidRDefault="00094004" w:rsidP="00094004">
      <w:r w:rsidRPr="00097442">
        <w:t xml:space="preserve">The Whole Journey Guide </w:t>
      </w:r>
      <w:r>
        <w:t xml:space="preserve">and / or the Transport Standards Guidelines </w:t>
      </w:r>
      <w:r w:rsidRPr="00097442">
        <w:t xml:space="preserve">would be updated to include advice on the accessibility of stairs on buses. </w:t>
      </w:r>
    </w:p>
    <w:p w14:paraId="57335DB2" w14:textId="77777777" w:rsidR="00094004" w:rsidRPr="00097442" w:rsidRDefault="00094004" w:rsidP="00094004">
      <w:r w:rsidRPr="00097442">
        <w:t>Specific guidance may include the following:</w:t>
      </w:r>
    </w:p>
    <w:p w14:paraId="689E5EB6" w14:textId="77777777" w:rsidR="00094004" w:rsidRPr="00097442" w:rsidRDefault="00094004" w:rsidP="006F65FB">
      <w:pPr>
        <w:pStyle w:val="ListParagraph"/>
        <w:numPr>
          <w:ilvl w:val="0"/>
          <w:numId w:val="49"/>
        </w:numPr>
        <w:autoSpaceDE w:val="0"/>
        <w:autoSpaceDN w:val="0"/>
        <w:spacing w:before="40" w:after="40"/>
      </w:pPr>
      <w:r w:rsidRPr="00097442">
        <w:t>Steps and stairs should comply with Australian Design Rule 58 to the extent that that rule sets requirements that conflict with the Disability Standards for Accessible Public Transport.</w:t>
      </w:r>
    </w:p>
    <w:p w14:paraId="1EA45F49" w14:textId="77777777" w:rsidR="00094004" w:rsidRPr="00097442" w:rsidRDefault="00094004" w:rsidP="006F65FB">
      <w:pPr>
        <w:pStyle w:val="ListParagraph"/>
        <w:numPr>
          <w:ilvl w:val="0"/>
          <w:numId w:val="49"/>
        </w:numPr>
        <w:autoSpaceDE w:val="0"/>
        <w:autoSpaceDN w:val="0"/>
        <w:spacing w:before="40" w:after="40"/>
      </w:pPr>
      <w:r w:rsidRPr="00097442">
        <w:t>Step edges and stair tread nosing’s should have opaque risers, nosing’s that do not project beyond the riser and luminance contrasting strips at the front of the nosing, as per AS1428.1</w:t>
      </w:r>
      <w:r>
        <w:t> </w:t>
      </w:r>
      <w:r w:rsidRPr="00097442">
        <w:t xml:space="preserve">(2009) </w:t>
      </w:r>
      <w:r w:rsidRPr="00102DA1">
        <w:rPr>
          <w:i/>
        </w:rPr>
        <w:t xml:space="preserve">Clause 11.1 (c), (d), (e), (f) </w:t>
      </w:r>
      <w:r w:rsidRPr="003D1B06">
        <w:t>and</w:t>
      </w:r>
      <w:r w:rsidRPr="00102DA1">
        <w:rPr>
          <w:i/>
        </w:rPr>
        <w:t xml:space="preserve"> (g).</w:t>
      </w:r>
    </w:p>
    <w:p w14:paraId="22E82DF7" w14:textId="77777777" w:rsidR="00094004" w:rsidRPr="00097442" w:rsidRDefault="00094004" w:rsidP="006F65FB">
      <w:pPr>
        <w:pStyle w:val="ListParagraph"/>
        <w:numPr>
          <w:ilvl w:val="0"/>
          <w:numId w:val="49"/>
        </w:numPr>
        <w:autoSpaceDE w:val="0"/>
        <w:autoSpaceDN w:val="0"/>
        <w:spacing w:before="40" w:after="40"/>
      </w:pPr>
      <w:r w:rsidRPr="00097442">
        <w:t xml:space="preserve">Passenger doors should be fitted with handrails that are accessible when the doors are open and the minimum distance between the handrails of the door that provides the access path should be 850 </w:t>
      </w:r>
      <w:r>
        <w:t>millimetres</w:t>
      </w:r>
      <w:r w:rsidRPr="00097442">
        <w:t>. For outward opening doors, handrails should be permanently fixed to the body.</w:t>
      </w:r>
    </w:p>
    <w:p w14:paraId="40382A48" w14:textId="77777777" w:rsidR="00094004" w:rsidRPr="00097442" w:rsidRDefault="00094004" w:rsidP="006F65FB">
      <w:pPr>
        <w:pStyle w:val="ListParagraph"/>
        <w:numPr>
          <w:ilvl w:val="0"/>
          <w:numId w:val="49"/>
        </w:numPr>
        <w:autoSpaceDE w:val="0"/>
        <w:autoSpaceDN w:val="0"/>
        <w:spacing w:before="40" w:after="40"/>
      </w:pPr>
      <w:r w:rsidRPr="00097442">
        <w:t>Stairs and steps should not intrude into access paths as this may present a tripping hazard or compromise the access path width.</w:t>
      </w:r>
    </w:p>
    <w:p w14:paraId="45BAE5EC" w14:textId="77777777" w:rsidR="00094004" w:rsidRPr="00097442" w:rsidRDefault="00094004" w:rsidP="006F65FB">
      <w:pPr>
        <w:pStyle w:val="ListParagraph"/>
        <w:numPr>
          <w:ilvl w:val="0"/>
          <w:numId w:val="49"/>
        </w:numPr>
        <w:autoSpaceDE w:val="0"/>
        <w:autoSpaceDN w:val="0"/>
        <w:spacing w:before="40" w:after="40"/>
      </w:pPr>
      <w:r w:rsidRPr="00097442">
        <w:t>TGSIs are not required at bus steps or stairs.</w:t>
      </w:r>
    </w:p>
    <w:p w14:paraId="2E135970" w14:textId="77777777" w:rsidR="00094004" w:rsidRPr="00097442" w:rsidRDefault="00094004" w:rsidP="006F65FB">
      <w:pPr>
        <w:pStyle w:val="ListParagraph"/>
        <w:numPr>
          <w:ilvl w:val="0"/>
          <w:numId w:val="49"/>
        </w:numPr>
        <w:autoSpaceDE w:val="0"/>
        <w:autoSpaceDN w:val="0"/>
        <w:spacing w:before="40" w:after="40"/>
      </w:pPr>
      <w:r w:rsidRPr="00097442">
        <w:t>Double deck buses employ stairs as the means of accessing or exiting the top deck. These stairs should have handrails for safety and support</w:t>
      </w:r>
      <w:r>
        <w:t xml:space="preserve"> for people with disability</w:t>
      </w:r>
      <w:r w:rsidRPr="00097442">
        <w:t xml:space="preserve">. </w:t>
      </w:r>
    </w:p>
    <w:p w14:paraId="375AFB33" w14:textId="77777777" w:rsidR="00094004" w:rsidRPr="00097442" w:rsidRDefault="00094004" w:rsidP="006F65FB">
      <w:pPr>
        <w:pStyle w:val="ListParagraph"/>
        <w:numPr>
          <w:ilvl w:val="0"/>
          <w:numId w:val="49"/>
        </w:numPr>
        <w:autoSpaceDE w:val="0"/>
        <w:autoSpaceDN w:val="0"/>
        <w:spacing w:before="40" w:after="40"/>
      </w:pPr>
      <w:r w:rsidRPr="00097442">
        <w:t xml:space="preserve">Steps address level changes within decks and at doors. While handrails are not required at steps other than those at doors, suitable grabrails should be considered. These grabrails will assist </w:t>
      </w:r>
      <w:r>
        <w:t>people with disability to</w:t>
      </w:r>
      <w:r w:rsidRPr="00097442">
        <w:t xml:space="preserve"> negotiate the step and offer support while the bus is in transit.</w:t>
      </w:r>
    </w:p>
    <w:p w14:paraId="3863A161" w14:textId="77777777" w:rsidR="00094004" w:rsidRPr="00097442" w:rsidRDefault="00094004" w:rsidP="006F65FB">
      <w:pPr>
        <w:pStyle w:val="ListParagraph"/>
        <w:numPr>
          <w:ilvl w:val="0"/>
          <w:numId w:val="49"/>
        </w:numPr>
        <w:autoSpaceDE w:val="0"/>
        <w:autoSpaceDN w:val="0"/>
        <w:spacing w:before="40" w:after="40"/>
      </w:pPr>
      <w:r w:rsidRPr="00097442">
        <w:t>A handrail on steps or stairs need not extend beyond the top or bottom of the steps or stairs. This is to avoid compromising the access paths at the head or foot of the stairs.</w:t>
      </w:r>
    </w:p>
    <w:p w14:paraId="6132D583" w14:textId="77777777" w:rsidR="00094004" w:rsidRPr="00097442" w:rsidRDefault="00094004" w:rsidP="006F65FB">
      <w:pPr>
        <w:pStyle w:val="ListParagraph"/>
        <w:numPr>
          <w:ilvl w:val="0"/>
          <w:numId w:val="49"/>
        </w:numPr>
        <w:autoSpaceDE w:val="0"/>
        <w:autoSpaceDN w:val="0"/>
        <w:spacing w:before="40" w:after="40"/>
      </w:pPr>
      <w:r w:rsidRPr="00097442">
        <w:t>If the handrail is interrupted or abruptly terminated a domed warning indic</w:t>
      </w:r>
      <w:r>
        <w:t xml:space="preserve">ator with a height of between 4 to </w:t>
      </w:r>
      <w:r w:rsidRPr="00097442">
        <w:t xml:space="preserve">5 </w:t>
      </w:r>
      <w:r>
        <w:t>millimetres and a diameter of between 10 to 12 millimetres</w:t>
      </w:r>
      <w:r w:rsidRPr="00097442">
        <w:t xml:space="preserve"> should be provided on the top of the handrail 150 </w:t>
      </w:r>
      <w:r>
        <w:t>millimetres</w:t>
      </w:r>
      <w:r w:rsidRPr="00097442">
        <w:t xml:space="preserve"> from the end of the handrail.</w:t>
      </w:r>
    </w:p>
    <w:p w14:paraId="7635E32B" w14:textId="77777777" w:rsidR="00094004" w:rsidRPr="00097442" w:rsidRDefault="00094004" w:rsidP="006F65FB">
      <w:pPr>
        <w:pStyle w:val="ListParagraph"/>
        <w:numPr>
          <w:ilvl w:val="0"/>
          <w:numId w:val="49"/>
        </w:numPr>
        <w:autoSpaceDE w:val="0"/>
        <w:autoSpaceDN w:val="0"/>
        <w:spacing w:before="40" w:after="40"/>
      </w:pPr>
      <w:r w:rsidRPr="00097442">
        <w:t>Handrails should have at least 30</w:t>
      </w:r>
      <w:r>
        <w:t xml:space="preserve"> per cent</w:t>
      </w:r>
      <w:r w:rsidRPr="00097442">
        <w:t xml:space="preserve"> luminance contrast with any background wall or surface adjacent to the handrail, within a distance of 2000 </w:t>
      </w:r>
      <w:r>
        <w:t>millimetres</w:t>
      </w:r>
      <w:r w:rsidRPr="00097442">
        <w:t xml:space="preserve"> from the handrail. </w:t>
      </w:r>
    </w:p>
    <w:p w14:paraId="0C58EDFF" w14:textId="77777777" w:rsidR="00094004" w:rsidRPr="00097442" w:rsidRDefault="00094004" w:rsidP="006F65FB">
      <w:pPr>
        <w:pStyle w:val="ListParagraph"/>
        <w:numPr>
          <w:ilvl w:val="0"/>
          <w:numId w:val="49"/>
        </w:numPr>
        <w:autoSpaceDE w:val="0"/>
        <w:autoSpaceDN w:val="0"/>
        <w:spacing w:before="40" w:after="40"/>
      </w:pPr>
      <w:r w:rsidRPr="00097442">
        <w:t xml:space="preserve">Handrail profile should be either circular or oval as per AS1428.1 (2009) </w:t>
      </w:r>
      <w:r w:rsidRPr="00102DA1">
        <w:rPr>
          <w:i/>
        </w:rPr>
        <w:t>Clause 12 (b).</w:t>
      </w:r>
    </w:p>
    <w:p w14:paraId="4AAF0F66" w14:textId="77777777" w:rsidR="00094004" w:rsidRPr="00097442" w:rsidRDefault="00094004" w:rsidP="00094004">
      <w:pPr>
        <w:pStyle w:val="Heading4"/>
      </w:pPr>
      <w:r w:rsidRPr="00097442">
        <w:t>Regulatory option</w:t>
      </w:r>
    </w:p>
    <w:p w14:paraId="38EEAC00" w14:textId="77777777" w:rsidR="00094004" w:rsidRPr="00097442" w:rsidRDefault="00094004" w:rsidP="00094004">
      <w:pPr>
        <w:rPr>
          <w:i/>
        </w:rPr>
      </w:pPr>
      <w:r w:rsidRPr="00097442">
        <w:t xml:space="preserve">The </w:t>
      </w:r>
      <w:r>
        <w:t>Transport Standards</w:t>
      </w:r>
      <w:r w:rsidRPr="00097442">
        <w:t xml:space="preserve"> would be amended to include updated requirements for stairs on buses, including accessibility features.</w:t>
      </w:r>
    </w:p>
    <w:p w14:paraId="37493DB7" w14:textId="77777777" w:rsidR="00094004" w:rsidRPr="00097442" w:rsidRDefault="00094004" w:rsidP="00094004">
      <w:r>
        <w:t>Transport Standards s</w:t>
      </w:r>
      <w:r w:rsidRPr="00097442">
        <w:t>ection 14.4 Compliance with Australian Design Rule 58 – conveyances</w:t>
      </w:r>
      <w:r>
        <w:t>,</w:t>
      </w:r>
      <w:r w:rsidRPr="00097442">
        <w:t xml:space="preserve"> would be amended to include the following</w:t>
      </w:r>
      <w:r>
        <w:t xml:space="preserve"> (including any requirements retained or amended from the status quo)</w:t>
      </w:r>
      <w:r w:rsidRPr="00097442">
        <w:t>:</w:t>
      </w:r>
    </w:p>
    <w:p w14:paraId="0FD1546C" w14:textId="77777777" w:rsidR="00094004" w:rsidRPr="00097442" w:rsidRDefault="00094004" w:rsidP="006F65FB">
      <w:pPr>
        <w:pStyle w:val="ListParagraph"/>
        <w:numPr>
          <w:ilvl w:val="0"/>
          <w:numId w:val="48"/>
        </w:numPr>
        <w:autoSpaceDE w:val="0"/>
        <w:autoSpaceDN w:val="0"/>
        <w:spacing w:before="40" w:after="40"/>
      </w:pPr>
      <w:r w:rsidRPr="00097442">
        <w:lastRenderedPageBreak/>
        <w:t>Steps and stairs must comply with Australian Design Rule 58 to the extent that that rule sets requirements that conflict with these Standards.</w:t>
      </w:r>
    </w:p>
    <w:p w14:paraId="6CA07CE3" w14:textId="77777777" w:rsidR="00094004" w:rsidRPr="00097442" w:rsidRDefault="00094004" w:rsidP="006F65FB">
      <w:pPr>
        <w:pStyle w:val="ListParagraph"/>
        <w:numPr>
          <w:ilvl w:val="0"/>
          <w:numId w:val="48"/>
        </w:numPr>
        <w:autoSpaceDE w:val="0"/>
        <w:autoSpaceDN w:val="0"/>
        <w:spacing w:before="40" w:after="40"/>
      </w:pPr>
      <w:r w:rsidRPr="00097442">
        <w:t>Step edges and stair tread nosing’s must comply with AS1428.1 (2009)</w:t>
      </w:r>
      <w:r w:rsidRPr="00102DA1">
        <w:rPr>
          <w:i/>
        </w:rPr>
        <w:t xml:space="preserve"> Clauses 11.1 (c), (d), (e), (f), </w:t>
      </w:r>
      <w:r w:rsidRPr="003D1B06">
        <w:t>and</w:t>
      </w:r>
      <w:r w:rsidRPr="00102DA1">
        <w:rPr>
          <w:i/>
        </w:rPr>
        <w:t xml:space="preserve"> (g).</w:t>
      </w:r>
    </w:p>
    <w:p w14:paraId="63E3FF82" w14:textId="77777777" w:rsidR="00094004" w:rsidRPr="00097442" w:rsidRDefault="00094004" w:rsidP="006F65FB">
      <w:pPr>
        <w:pStyle w:val="ListParagraph"/>
        <w:numPr>
          <w:ilvl w:val="0"/>
          <w:numId w:val="48"/>
        </w:numPr>
        <w:autoSpaceDE w:val="0"/>
        <w:autoSpaceDN w:val="0"/>
        <w:spacing w:before="40" w:after="40"/>
      </w:pPr>
      <w:r w:rsidRPr="00097442">
        <w:t xml:space="preserve">Passenger doors must be fitted with handrails accessible when the doors are open and the minimum distance between the handrails of the door that provides the access path must be a minimum of 850 </w:t>
      </w:r>
      <w:r>
        <w:t>millimetres</w:t>
      </w:r>
      <w:r w:rsidRPr="00097442">
        <w:t>. For outward opening doors, handrails must be permanently fixed to the body.</w:t>
      </w:r>
    </w:p>
    <w:p w14:paraId="3CCDFF8F" w14:textId="77777777" w:rsidR="00094004" w:rsidRPr="00097442" w:rsidRDefault="00094004" w:rsidP="006F65FB">
      <w:pPr>
        <w:pStyle w:val="ListParagraph"/>
        <w:numPr>
          <w:ilvl w:val="0"/>
          <w:numId w:val="48"/>
        </w:numPr>
        <w:autoSpaceDE w:val="0"/>
        <w:autoSpaceDN w:val="0"/>
        <w:spacing w:before="40" w:after="40"/>
      </w:pPr>
      <w:r w:rsidRPr="00097442">
        <w:t>Steps and stairs must not intrude into access paths.</w:t>
      </w:r>
    </w:p>
    <w:p w14:paraId="45D1E8EA" w14:textId="77777777" w:rsidR="00094004" w:rsidRPr="00097442" w:rsidRDefault="00094004" w:rsidP="006F65FB">
      <w:pPr>
        <w:pStyle w:val="ListParagraph"/>
        <w:numPr>
          <w:ilvl w:val="0"/>
          <w:numId w:val="48"/>
        </w:numPr>
        <w:autoSpaceDE w:val="0"/>
        <w:autoSpaceDN w:val="0"/>
        <w:spacing w:before="40" w:after="40"/>
      </w:pPr>
      <w:r w:rsidRPr="00097442">
        <w:t>TGSIs are not required at bus steps or stairs.</w:t>
      </w:r>
    </w:p>
    <w:p w14:paraId="20E13C4A" w14:textId="77777777" w:rsidR="00094004" w:rsidRPr="00097442" w:rsidRDefault="00094004" w:rsidP="00094004">
      <w:r>
        <w:t>This s</w:t>
      </w:r>
      <w:r w:rsidRPr="00097442">
        <w:t>ection would apply to buses (except dedicated school buses).</w:t>
      </w:r>
    </w:p>
    <w:p w14:paraId="7BD2B035" w14:textId="77777777" w:rsidR="00094004" w:rsidRPr="00097442" w:rsidRDefault="00094004" w:rsidP="00094004">
      <w:r>
        <w:t>Transport Standards s</w:t>
      </w:r>
      <w:r w:rsidRPr="00097442">
        <w:t>ection 11.3, handrails on stairs – conveyances, would be amended to include the following:</w:t>
      </w:r>
    </w:p>
    <w:p w14:paraId="5CBECC7A" w14:textId="77777777" w:rsidR="00094004" w:rsidRPr="00097442" w:rsidRDefault="00094004" w:rsidP="006F65FB">
      <w:pPr>
        <w:pStyle w:val="ListParagraph"/>
        <w:numPr>
          <w:ilvl w:val="0"/>
          <w:numId w:val="49"/>
        </w:numPr>
        <w:autoSpaceDE w:val="0"/>
        <w:autoSpaceDN w:val="0"/>
        <w:spacing w:before="40" w:after="40"/>
      </w:pPr>
      <w:r w:rsidRPr="00097442">
        <w:t>A handrail on stairs or steps need not extend beyond the top or bottom of the steps and stairs.</w:t>
      </w:r>
    </w:p>
    <w:p w14:paraId="1EB73B77" w14:textId="77777777" w:rsidR="00094004" w:rsidRPr="00097442" w:rsidRDefault="00094004" w:rsidP="006F65FB">
      <w:pPr>
        <w:pStyle w:val="ListParagraph"/>
        <w:numPr>
          <w:ilvl w:val="0"/>
          <w:numId w:val="48"/>
        </w:numPr>
        <w:autoSpaceDE w:val="0"/>
        <w:autoSpaceDN w:val="0"/>
        <w:spacing w:before="40" w:after="40"/>
      </w:pPr>
      <w:r w:rsidRPr="00097442">
        <w:t>If the handrail is interrupted</w:t>
      </w:r>
      <w:r w:rsidRPr="00135B8F">
        <w:t xml:space="preserve"> </w:t>
      </w:r>
      <w:r w:rsidRPr="00097442">
        <w:t>or terminates abruptly at the top or bottom step a domed warning indic</w:t>
      </w:r>
      <w:r>
        <w:t xml:space="preserve">ator with a height of between 4 to </w:t>
      </w:r>
      <w:r w:rsidRPr="00097442">
        <w:t xml:space="preserve">5 </w:t>
      </w:r>
      <w:r>
        <w:t>millimetres</w:t>
      </w:r>
      <w:r w:rsidRPr="00097442">
        <w:t xml:space="preserve"> and a diameter of between </w:t>
      </w:r>
      <w:r>
        <w:t xml:space="preserve">10 to </w:t>
      </w:r>
      <w:r w:rsidRPr="00097442">
        <w:t xml:space="preserve">12 </w:t>
      </w:r>
      <w:r>
        <w:t>millimetres</w:t>
      </w:r>
      <w:r w:rsidRPr="00097442">
        <w:t xml:space="preserve"> must be provided on the top of the handrail 150 </w:t>
      </w:r>
      <w:r>
        <w:t>millimetres</w:t>
      </w:r>
      <w:r w:rsidRPr="00097442">
        <w:t xml:space="preserve"> from the end of the handrail. </w:t>
      </w:r>
    </w:p>
    <w:p w14:paraId="76710138" w14:textId="77777777" w:rsidR="00094004" w:rsidRDefault="00094004" w:rsidP="006F65FB">
      <w:pPr>
        <w:pStyle w:val="ListParagraph"/>
        <w:numPr>
          <w:ilvl w:val="0"/>
          <w:numId w:val="48"/>
        </w:numPr>
        <w:autoSpaceDE w:val="0"/>
        <w:autoSpaceDN w:val="0"/>
        <w:spacing w:before="40" w:after="40"/>
      </w:pPr>
      <w:r w:rsidRPr="00097442">
        <w:t>Handrails must have at least 30</w:t>
      </w:r>
      <w:r>
        <w:t xml:space="preserve"> per cent</w:t>
      </w:r>
      <w:r w:rsidRPr="00097442">
        <w:t xml:space="preserve"> luminance contrast with any background wall or surface adjacent to the handrail, within a distance of 2000 </w:t>
      </w:r>
      <w:r>
        <w:t>millimetres</w:t>
      </w:r>
      <w:r w:rsidRPr="00097442">
        <w:t xml:space="preserve"> from the handrail.</w:t>
      </w:r>
    </w:p>
    <w:p w14:paraId="6848BC00" w14:textId="77777777" w:rsidR="00094004" w:rsidRPr="00102DA1" w:rsidRDefault="00094004" w:rsidP="006F65FB">
      <w:pPr>
        <w:pStyle w:val="ListParagraph"/>
        <w:numPr>
          <w:ilvl w:val="0"/>
          <w:numId w:val="48"/>
        </w:numPr>
        <w:autoSpaceDE w:val="0"/>
        <w:autoSpaceDN w:val="0"/>
        <w:spacing w:before="40" w:after="40"/>
      </w:pPr>
      <w:r>
        <w:t xml:space="preserve">Handrails must </w:t>
      </w:r>
      <w:r w:rsidRPr="00102DA1">
        <w:rPr>
          <w:lang w:val="en-AU"/>
        </w:rPr>
        <w:t>comply</w:t>
      </w:r>
      <w:r>
        <w:t xml:space="preserve"> with AS1428.1 (2009) </w:t>
      </w:r>
      <w:r>
        <w:rPr>
          <w:i/>
          <w:iCs/>
        </w:rPr>
        <w:t>Clause 12 Handrails</w:t>
      </w:r>
      <w:r>
        <w:t>.</w:t>
      </w:r>
    </w:p>
    <w:p w14:paraId="4961332D" w14:textId="77777777" w:rsidR="00094004" w:rsidRPr="00097442" w:rsidRDefault="00094004" w:rsidP="00094004">
      <w:r>
        <w:t>This s</w:t>
      </w:r>
      <w:r w:rsidRPr="00097442">
        <w:t xml:space="preserve">ection would apply to conveyances, </w:t>
      </w:r>
      <w:r>
        <w:t>(</w:t>
      </w:r>
      <w:r w:rsidRPr="00097442">
        <w:t>except dedicated school buses</w:t>
      </w:r>
      <w:r>
        <w:t>)</w:t>
      </w:r>
      <w:r w:rsidRPr="00097442">
        <w:t xml:space="preserve"> and small aircraft.</w:t>
      </w:r>
    </w:p>
    <w:p w14:paraId="30F523C2" w14:textId="77777777" w:rsidR="00094004" w:rsidRPr="00097442" w:rsidRDefault="00094004" w:rsidP="00094004">
      <w:r w:rsidRPr="00097442">
        <w:t xml:space="preserve">The </w:t>
      </w:r>
      <w:r>
        <w:t>Transport Standards</w:t>
      </w:r>
      <w:r w:rsidRPr="00097442">
        <w:t xml:space="preserve"> Guidelines </w:t>
      </w:r>
      <w:r>
        <w:t xml:space="preserve">and / or The Whole Journey </w:t>
      </w:r>
      <w:r w:rsidRPr="00097442">
        <w:t>would be updated to reflect new requirements and include specific guidance for buses.</w:t>
      </w:r>
    </w:p>
    <w:p w14:paraId="47699E38" w14:textId="77777777" w:rsidR="00094004" w:rsidRPr="00097442" w:rsidRDefault="00094004" w:rsidP="00094004">
      <w:r w:rsidRPr="00097442">
        <w:t>Specific guidance may include the following:</w:t>
      </w:r>
    </w:p>
    <w:p w14:paraId="39E7B4E4" w14:textId="77777777" w:rsidR="00094004" w:rsidRPr="00097442" w:rsidRDefault="00094004" w:rsidP="006F65FB">
      <w:pPr>
        <w:pStyle w:val="ListParagraph"/>
        <w:numPr>
          <w:ilvl w:val="0"/>
          <w:numId w:val="48"/>
        </w:numPr>
        <w:autoSpaceDE w:val="0"/>
        <w:autoSpaceDN w:val="0"/>
        <w:spacing w:before="40" w:after="40"/>
      </w:pPr>
      <w:r w:rsidRPr="00097442">
        <w:t>Double deck buses employ stairs as the means of accessing or exiting the top deck. These stairs require handrails for passenger safety and support.</w:t>
      </w:r>
    </w:p>
    <w:p w14:paraId="091373E9" w14:textId="77777777" w:rsidR="00094004" w:rsidRDefault="00094004" w:rsidP="006F65FB">
      <w:pPr>
        <w:pStyle w:val="ListParagraph"/>
        <w:numPr>
          <w:ilvl w:val="0"/>
          <w:numId w:val="48"/>
        </w:numPr>
        <w:autoSpaceDE w:val="0"/>
        <w:autoSpaceDN w:val="0"/>
        <w:spacing w:before="40" w:after="40"/>
      </w:pPr>
      <w:r w:rsidRPr="00097442">
        <w:t>Steps address level changes within decks and at doors. While handrails are not required at steps other than those at doors, suitable grabrails should be considered. These grabrails will assist passengers negotiate the step and offer support while the bus is in transit.</w:t>
      </w:r>
    </w:p>
    <w:p w14:paraId="4A526665" w14:textId="4650B9AA" w:rsidR="00094004" w:rsidRDefault="00094004" w:rsidP="006F65FB">
      <w:pPr>
        <w:pStyle w:val="Heading3"/>
        <w:numPr>
          <w:ilvl w:val="0"/>
          <w:numId w:val="47"/>
        </w:numPr>
        <w:ind w:left="567" w:hanging="567"/>
      </w:pPr>
      <w:bookmarkStart w:id="1027" w:name="_Toc127351882"/>
      <w:bookmarkStart w:id="1028" w:name="_Toc130914560"/>
      <w:bookmarkStart w:id="1029" w:name="_Toc140239851"/>
      <w:r w:rsidRPr="00130222">
        <w:t>Doorway contrast and height</w:t>
      </w:r>
      <w:bookmarkEnd w:id="1027"/>
      <w:bookmarkEnd w:id="1028"/>
      <w:bookmarkEnd w:id="1029"/>
    </w:p>
    <w:p w14:paraId="562F05BC" w14:textId="77777777" w:rsidR="00094004" w:rsidRPr="00097442" w:rsidRDefault="00094004" w:rsidP="00094004">
      <w:pPr>
        <w:pStyle w:val="Heading4"/>
      </w:pPr>
      <w:r w:rsidRPr="00097442">
        <w:t>Status quo</w:t>
      </w:r>
    </w:p>
    <w:p w14:paraId="64FBDD5A" w14:textId="77777777" w:rsidR="00094004" w:rsidRPr="00834338" w:rsidRDefault="00094004" w:rsidP="00094004">
      <w:r>
        <w:t>Transport Standards</w:t>
      </w:r>
      <w:r w:rsidRPr="00097442">
        <w:rPr>
          <w:b/>
        </w:rPr>
        <w:t xml:space="preserve"> </w:t>
      </w:r>
      <w:r>
        <w:t>s</w:t>
      </w:r>
      <w:r w:rsidRPr="00097442">
        <w:t>ection 12.4 Clear opening of doorways</w:t>
      </w:r>
      <w:r>
        <w:t>,</w:t>
      </w:r>
      <w:r w:rsidRPr="00097442">
        <w:rPr>
          <w:b/>
        </w:rPr>
        <w:t xml:space="preserve"> </w:t>
      </w:r>
      <w:r w:rsidRPr="00097442">
        <w:t xml:space="preserve">would remain unchanged and no additional guidance would be issued. </w:t>
      </w:r>
      <w:r>
        <w:t>Transport Standards</w:t>
      </w:r>
      <w:r w:rsidRPr="00097442">
        <w:t xml:space="preserve"> requirements for luminance contrast and height clearance of con</w:t>
      </w:r>
      <w:r>
        <w:t>veyance doors remain unchanged.</w:t>
      </w:r>
    </w:p>
    <w:p w14:paraId="2D67C0A7" w14:textId="77777777" w:rsidR="00094004" w:rsidRPr="00123EAE" w:rsidRDefault="00094004" w:rsidP="00094004">
      <w:pPr>
        <w:ind w:left="1134" w:hanging="567"/>
        <w:rPr>
          <w:b/>
        </w:rPr>
      </w:pPr>
      <w:r w:rsidRPr="00123EAE">
        <w:rPr>
          <w:b/>
        </w:rPr>
        <w:t xml:space="preserve">12.4 </w:t>
      </w:r>
      <w:r w:rsidRPr="00123EAE">
        <w:rPr>
          <w:b/>
        </w:rPr>
        <w:tab/>
        <w:t>Clear opening of doorways</w:t>
      </w:r>
    </w:p>
    <w:p w14:paraId="0056A349" w14:textId="77777777" w:rsidR="00094004" w:rsidRPr="00097442" w:rsidRDefault="00094004" w:rsidP="00094004">
      <w:pPr>
        <w:ind w:left="1134" w:hanging="567"/>
      </w:pPr>
      <w:r w:rsidRPr="00097442">
        <w:t xml:space="preserve">Doorways must comply with </w:t>
      </w:r>
      <w:r w:rsidRPr="00123EAE">
        <w:t xml:space="preserve">AS1428.2 (1992) </w:t>
      </w:r>
      <w:r w:rsidRPr="00102DA1">
        <w:rPr>
          <w:i/>
        </w:rPr>
        <w:t>Clause 11.5.1, Clear opening of doorways</w:t>
      </w:r>
      <w:r w:rsidRPr="00097442">
        <w:t>.</w:t>
      </w:r>
    </w:p>
    <w:p w14:paraId="16C2C81E" w14:textId="77777777" w:rsidR="00094004" w:rsidRDefault="00094004" w:rsidP="00094004">
      <w:pPr>
        <w:ind w:left="567"/>
      </w:pPr>
      <w:r>
        <w:t>This s</w:t>
      </w:r>
      <w:r w:rsidRPr="00097442">
        <w:t xml:space="preserve">ection </w:t>
      </w:r>
      <w:r>
        <w:t>pertains</w:t>
      </w:r>
      <w:r w:rsidRPr="00097442">
        <w:t xml:space="preserve"> to buses </w:t>
      </w:r>
      <w:r>
        <w:t>(</w:t>
      </w:r>
      <w:r w:rsidRPr="00097442">
        <w:t>except dedicated school buses</w:t>
      </w:r>
      <w:r>
        <w:t>)</w:t>
      </w:r>
      <w:r w:rsidRPr="00097442">
        <w:t>, coaches, ferries, trains, trams and light rail.</w:t>
      </w:r>
    </w:p>
    <w:p w14:paraId="4983DAE6" w14:textId="77777777" w:rsidR="00094004" w:rsidRPr="00097442" w:rsidRDefault="00094004" w:rsidP="00094004">
      <w:pPr>
        <w:pStyle w:val="Heading4"/>
      </w:pPr>
      <w:r>
        <w:lastRenderedPageBreak/>
        <w:t>Non-regulatory</w:t>
      </w:r>
      <w:r w:rsidRPr="00097442">
        <w:t xml:space="preserve"> option</w:t>
      </w:r>
    </w:p>
    <w:p w14:paraId="62719402" w14:textId="77777777" w:rsidR="00094004" w:rsidRPr="00097442" w:rsidRDefault="00094004" w:rsidP="00094004">
      <w:r w:rsidRPr="00097442">
        <w:t xml:space="preserve">The Whole Journey Guide </w:t>
      </w:r>
      <w:r>
        <w:t xml:space="preserve">and / or the Transport Standards Guidelines </w:t>
      </w:r>
      <w:r w:rsidRPr="00097442">
        <w:t>would be updated to include advice for good practice for luminance contrast and height clearance of conveyance doors.</w:t>
      </w:r>
    </w:p>
    <w:p w14:paraId="3A47F6B4" w14:textId="77777777" w:rsidR="00094004" w:rsidRPr="00097442" w:rsidRDefault="00094004" w:rsidP="00094004">
      <w:r w:rsidRPr="00097442">
        <w:t xml:space="preserve">Specific guidance would pertain to buses </w:t>
      </w:r>
      <w:r>
        <w:t>(</w:t>
      </w:r>
      <w:r w:rsidRPr="00097442">
        <w:t>except dedicated school buses</w:t>
      </w:r>
      <w:r>
        <w:t>)</w:t>
      </w:r>
      <w:r w:rsidRPr="00097442">
        <w:t>, coaches, ferries, trains, trams and light rail and may include the following:</w:t>
      </w:r>
    </w:p>
    <w:p w14:paraId="75D03965" w14:textId="77777777" w:rsidR="00094004" w:rsidRPr="00097442" w:rsidRDefault="00094004" w:rsidP="006F65FB">
      <w:pPr>
        <w:pStyle w:val="ListParagraph"/>
        <w:numPr>
          <w:ilvl w:val="0"/>
          <w:numId w:val="63"/>
        </w:numPr>
        <w:autoSpaceDE w:val="0"/>
        <w:autoSpaceDN w:val="0"/>
        <w:spacing w:before="40" w:after="40"/>
      </w:pPr>
      <w:r w:rsidRPr="00097442">
        <w:t xml:space="preserve">Doors located on an access path in conveyances other than buses and coaches must be not less than 850 </w:t>
      </w:r>
      <w:r>
        <w:t>millimetres</w:t>
      </w:r>
      <w:r w:rsidRPr="00097442">
        <w:t xml:space="preserve"> clear open width from the floor or deck and this should continue to a height of at least 1980 </w:t>
      </w:r>
      <w:r>
        <w:t>millimetres</w:t>
      </w:r>
      <w:r w:rsidRPr="00097442">
        <w:t xml:space="preserve">. The 850 </w:t>
      </w:r>
      <w:r>
        <w:t>millimetres</w:t>
      </w:r>
      <w:r w:rsidRPr="00097442">
        <w:t xml:space="preserve"> clear open width is an existing </w:t>
      </w:r>
      <w:r>
        <w:t>Transport Standards</w:t>
      </w:r>
      <w:r w:rsidRPr="00097442">
        <w:t xml:space="preserve"> requirement derived from AS1428.2 </w:t>
      </w:r>
      <w:r>
        <w:t>(</w:t>
      </w:r>
      <w:r w:rsidRPr="00097442">
        <w:t>1992</w:t>
      </w:r>
      <w:r>
        <w:t>)</w:t>
      </w:r>
      <w:r w:rsidRPr="00097442">
        <w:t>.</w:t>
      </w:r>
    </w:p>
    <w:p w14:paraId="5036C802" w14:textId="77777777" w:rsidR="00094004" w:rsidRPr="00097442" w:rsidRDefault="00094004" w:rsidP="006F65FB">
      <w:pPr>
        <w:pStyle w:val="ListParagraph"/>
        <w:numPr>
          <w:ilvl w:val="0"/>
          <w:numId w:val="63"/>
        </w:numPr>
        <w:autoSpaceDE w:val="0"/>
        <w:autoSpaceDN w:val="0"/>
        <w:spacing w:before="40" w:after="40"/>
      </w:pPr>
      <w:r w:rsidRPr="00097442">
        <w:t xml:space="preserve">Curved sections on the upper and lower vertical door frames should have a radius of not more than 225 </w:t>
      </w:r>
      <w:r>
        <w:t>millimetres</w:t>
      </w:r>
      <w:r w:rsidRPr="00097442">
        <w:t xml:space="preserve"> where the vertical frame meets the upper horizontal frame and 50 </w:t>
      </w:r>
      <w:r>
        <w:t>millimetres</w:t>
      </w:r>
      <w:r w:rsidRPr="00097442">
        <w:t xml:space="preserve"> where the vertical door frame meets the floor. </w:t>
      </w:r>
    </w:p>
    <w:p w14:paraId="60A3D95B" w14:textId="77777777" w:rsidR="00094004" w:rsidRPr="00097442" w:rsidRDefault="00094004" w:rsidP="006F65FB">
      <w:pPr>
        <w:pStyle w:val="ListParagraph"/>
        <w:numPr>
          <w:ilvl w:val="0"/>
          <w:numId w:val="63"/>
        </w:numPr>
        <w:autoSpaceDE w:val="0"/>
        <w:autoSpaceDN w:val="0"/>
        <w:spacing w:before="40" w:after="40"/>
      </w:pPr>
      <w:r w:rsidRPr="00097442">
        <w:t xml:space="preserve">Door vertical clearance in buses and coaches must comply with </w:t>
      </w:r>
      <w:r w:rsidRPr="00097442">
        <w:rPr>
          <w:bCs/>
        </w:rPr>
        <w:t>Australian Design Rule 58</w:t>
      </w:r>
      <w:r w:rsidRPr="00097442">
        <w:t>.</w:t>
      </w:r>
    </w:p>
    <w:p w14:paraId="08D64FBA" w14:textId="77777777" w:rsidR="00094004" w:rsidRPr="00097442" w:rsidRDefault="00094004" w:rsidP="006F65FB">
      <w:pPr>
        <w:pStyle w:val="ListParagraph"/>
        <w:numPr>
          <w:ilvl w:val="0"/>
          <w:numId w:val="63"/>
        </w:numPr>
        <w:autoSpaceDE w:val="0"/>
        <w:autoSpaceDN w:val="0"/>
        <w:spacing w:before="40" w:after="40"/>
      </w:pPr>
      <w:r w:rsidRPr="00097442">
        <w:t>For the benefit of passengers who have a vision or cognitive impairment doors or elements on or around access path doors should have a luminance contrast with a background by at least 30</w:t>
      </w:r>
      <w:r>
        <w:t xml:space="preserve"> per cent.</w:t>
      </w:r>
      <w:r w:rsidRPr="00097442">
        <w:t xml:space="preserve"> Where luminance contrast is to be achieved against a background or surface of variable colour, the dominant colour of the background should be the contrasting surface tested.</w:t>
      </w:r>
    </w:p>
    <w:p w14:paraId="20BD59FB" w14:textId="77777777" w:rsidR="00094004" w:rsidRPr="00097442" w:rsidRDefault="00094004" w:rsidP="006F65FB">
      <w:pPr>
        <w:pStyle w:val="ListParagraph"/>
        <w:numPr>
          <w:ilvl w:val="0"/>
          <w:numId w:val="63"/>
        </w:numPr>
        <w:autoSpaceDE w:val="0"/>
        <w:autoSpaceDN w:val="0"/>
        <w:spacing w:before="40" w:after="40"/>
      </w:pPr>
      <w:r w:rsidRPr="00097442">
        <w:t>Any luminance contrast treatment of doors must not compromise a driver’s vision but must meet the relevant State technical requirement for visibility.</w:t>
      </w:r>
    </w:p>
    <w:p w14:paraId="1B31A9A2" w14:textId="77777777" w:rsidR="00094004" w:rsidRPr="00097442" w:rsidRDefault="00094004" w:rsidP="00094004">
      <w:pPr>
        <w:pStyle w:val="Heading4"/>
      </w:pPr>
      <w:r w:rsidRPr="00097442">
        <w:t>Regulatory option</w:t>
      </w:r>
    </w:p>
    <w:p w14:paraId="5B456F36" w14:textId="77777777" w:rsidR="00094004" w:rsidRPr="00097442" w:rsidRDefault="00094004" w:rsidP="00094004">
      <w:r w:rsidRPr="00097442">
        <w:t xml:space="preserve">The </w:t>
      </w:r>
      <w:r>
        <w:t>Transport Standards</w:t>
      </w:r>
      <w:r w:rsidRPr="00097442">
        <w:t xml:space="preserve"> would be amended to include updated requirements for luminance contrast and height clearance of conveyance doors</w:t>
      </w:r>
      <w:r w:rsidRPr="00097442">
        <w:rPr>
          <w:i/>
        </w:rPr>
        <w:t>.</w:t>
      </w:r>
    </w:p>
    <w:p w14:paraId="11C84FC6" w14:textId="77777777" w:rsidR="00094004" w:rsidRPr="00097442" w:rsidRDefault="00094004" w:rsidP="00094004">
      <w:r>
        <w:t>Transport Standards</w:t>
      </w:r>
      <w:r w:rsidRPr="00097442">
        <w:t xml:space="preserve"> </w:t>
      </w:r>
      <w:r>
        <w:t xml:space="preserve">section 12.4 </w:t>
      </w:r>
      <w:r w:rsidRPr="00097442">
        <w:t>would be amended to include the following</w:t>
      </w:r>
      <w:r>
        <w:t xml:space="preserve"> requirements (including any requirements retained or amended from the status quo)</w:t>
      </w:r>
      <w:r w:rsidRPr="00097442">
        <w:t>:</w:t>
      </w:r>
    </w:p>
    <w:p w14:paraId="4CA91AA6" w14:textId="77777777" w:rsidR="00094004" w:rsidRPr="00097442" w:rsidRDefault="00094004" w:rsidP="006F65FB">
      <w:pPr>
        <w:pStyle w:val="ListParagraph"/>
        <w:numPr>
          <w:ilvl w:val="0"/>
          <w:numId w:val="48"/>
        </w:numPr>
        <w:autoSpaceDE w:val="0"/>
        <w:autoSpaceDN w:val="0"/>
        <w:spacing w:before="40" w:after="40"/>
      </w:pPr>
      <w:r w:rsidRPr="00097442">
        <w:t>Doors located on an access path</w:t>
      </w:r>
      <w:r w:rsidRPr="00C43D65">
        <w:t xml:space="preserve"> </w:t>
      </w:r>
      <w:r w:rsidRPr="00097442">
        <w:t xml:space="preserve">in conveyances other than buses and coaches must be not less than 850 </w:t>
      </w:r>
      <w:r>
        <w:t>millimetres</w:t>
      </w:r>
      <w:r w:rsidRPr="00097442">
        <w:t xml:space="preserve"> clear open width from the floor or deck to a height of at least 1980 </w:t>
      </w:r>
      <w:r>
        <w:t>millimetres</w:t>
      </w:r>
      <w:r w:rsidRPr="00097442">
        <w:t xml:space="preserve"> (AS1428.1 (2009) </w:t>
      </w:r>
      <w:r w:rsidRPr="00102DA1">
        <w:rPr>
          <w:i/>
        </w:rPr>
        <w:t xml:space="preserve">Clause 13.2 </w:t>
      </w:r>
      <w:r w:rsidRPr="00701269">
        <w:t>and</w:t>
      </w:r>
      <w:r w:rsidRPr="00102DA1">
        <w:rPr>
          <w:i/>
        </w:rPr>
        <w:t xml:space="preserve"> Clause 6.2</w:t>
      </w:r>
      <w:r w:rsidRPr="00097442">
        <w:t xml:space="preserve">). Curved sections on the upper and lower vertical door frames must have a radius of not more than 225 </w:t>
      </w:r>
      <w:r>
        <w:t>millimetres</w:t>
      </w:r>
      <w:r w:rsidRPr="00097442">
        <w:t xml:space="preserve"> where the vertical frame meets the upper horizontal frame and 50 </w:t>
      </w:r>
      <w:r>
        <w:t>millimetres</w:t>
      </w:r>
      <w:r w:rsidRPr="00097442">
        <w:t xml:space="preserve"> where the vertical door frame meets the floor. </w:t>
      </w:r>
    </w:p>
    <w:p w14:paraId="0E70233B" w14:textId="77777777" w:rsidR="00094004" w:rsidRPr="00097442" w:rsidRDefault="00094004" w:rsidP="006F65FB">
      <w:pPr>
        <w:pStyle w:val="ListParagraph"/>
        <w:numPr>
          <w:ilvl w:val="0"/>
          <w:numId w:val="48"/>
        </w:numPr>
        <w:autoSpaceDE w:val="0"/>
        <w:autoSpaceDN w:val="0"/>
        <w:spacing w:before="40" w:after="40"/>
      </w:pPr>
      <w:r w:rsidRPr="00097442">
        <w:t>Door vertical clearance in buses and coaches must comply with Australian Design Rule 58.</w:t>
      </w:r>
    </w:p>
    <w:p w14:paraId="7F044880" w14:textId="77777777" w:rsidR="00094004" w:rsidRPr="00097442" w:rsidRDefault="00094004" w:rsidP="006F65FB">
      <w:pPr>
        <w:pStyle w:val="ListParagraph"/>
        <w:numPr>
          <w:ilvl w:val="0"/>
          <w:numId w:val="48"/>
        </w:numPr>
        <w:autoSpaceDE w:val="0"/>
        <w:autoSpaceDN w:val="0"/>
        <w:spacing w:before="40" w:after="40"/>
      </w:pPr>
      <w:r w:rsidRPr="00097442">
        <w:t xml:space="preserve">Doors and gates on an accessway must luminance contrast with their surroundings as per AS1428.1-2009 </w:t>
      </w:r>
      <w:r w:rsidRPr="00102DA1">
        <w:rPr>
          <w:i/>
        </w:rPr>
        <w:t>Clause 13.1</w:t>
      </w:r>
      <w:r w:rsidRPr="00097442">
        <w:t xml:space="preserve">. Fully glazed doors must have a luminance contrasting strip as per AS1428.1-2009 </w:t>
      </w:r>
      <w:r w:rsidRPr="00102DA1">
        <w:rPr>
          <w:i/>
        </w:rPr>
        <w:t>Clause 6.6.</w:t>
      </w:r>
    </w:p>
    <w:p w14:paraId="625E4DEF" w14:textId="77777777" w:rsidR="00094004" w:rsidRPr="00097442" w:rsidRDefault="00094004" w:rsidP="006F65FB">
      <w:pPr>
        <w:pStyle w:val="ListParagraph"/>
        <w:numPr>
          <w:ilvl w:val="0"/>
          <w:numId w:val="48"/>
        </w:numPr>
        <w:autoSpaceDE w:val="0"/>
        <w:autoSpaceDN w:val="0"/>
        <w:spacing w:before="40" w:after="40"/>
      </w:pPr>
      <w:r w:rsidRPr="00097442">
        <w:t>Any luminance contrast treatment of doors must not compromise a driver’s vision but must meet the relevant State technical requirement for visibility.</w:t>
      </w:r>
    </w:p>
    <w:p w14:paraId="56E0B858" w14:textId="77777777" w:rsidR="00094004" w:rsidRPr="00097442" w:rsidRDefault="00094004" w:rsidP="00094004">
      <w:r>
        <w:t xml:space="preserve">These requirements </w:t>
      </w:r>
      <w:r w:rsidRPr="00097442">
        <w:t xml:space="preserve">would </w:t>
      </w:r>
      <w:r>
        <w:t>pertain</w:t>
      </w:r>
      <w:r w:rsidRPr="00097442">
        <w:t xml:space="preserve"> to buses (except dedicated school buses), coaches, ferries, trains, trams and light rail. </w:t>
      </w:r>
    </w:p>
    <w:p w14:paraId="060CDEBD" w14:textId="77777777" w:rsidR="00094004" w:rsidRPr="00097442" w:rsidRDefault="00094004" w:rsidP="00094004">
      <w:r w:rsidRPr="00097442">
        <w:t xml:space="preserve">The </w:t>
      </w:r>
      <w:r>
        <w:t>Transport Standards</w:t>
      </w:r>
      <w:r w:rsidRPr="00097442">
        <w:t xml:space="preserve"> Guidelines </w:t>
      </w:r>
      <w:r>
        <w:t xml:space="preserve">and / or The Whole Journey Guide </w:t>
      </w:r>
      <w:r w:rsidRPr="00097442">
        <w:t>would be updated to reflect new requirements and include specific guidance for buses, coaches, trains, trams, light rail and ferries.</w:t>
      </w:r>
    </w:p>
    <w:p w14:paraId="36C9B92D" w14:textId="77777777" w:rsidR="00094004" w:rsidRPr="00097442" w:rsidRDefault="00094004" w:rsidP="00094004">
      <w:r w:rsidRPr="00097442">
        <w:t>Specific guidance may include the following:</w:t>
      </w:r>
    </w:p>
    <w:p w14:paraId="73D1B5E2" w14:textId="77777777" w:rsidR="00094004" w:rsidRDefault="00094004" w:rsidP="006F65FB">
      <w:pPr>
        <w:pStyle w:val="ListParagraph"/>
        <w:numPr>
          <w:ilvl w:val="0"/>
          <w:numId w:val="48"/>
        </w:numPr>
        <w:autoSpaceDE w:val="0"/>
        <w:autoSpaceDN w:val="0"/>
        <w:spacing w:before="40" w:after="40"/>
      </w:pPr>
      <w:r w:rsidRPr="00097442">
        <w:lastRenderedPageBreak/>
        <w:t>For the benefit of passengers who have a vision or cognitive impairment doors or elements on or around doors should have a luminance contrast with a background by at least 30</w:t>
      </w:r>
      <w:r>
        <w:t> per cent.</w:t>
      </w:r>
      <w:r w:rsidRPr="00097442">
        <w:t xml:space="preserve"> Where luminance contrast must be achieved against a background or surface of variable colour, the dominant colour of the background should be the contrasting surface tested.</w:t>
      </w:r>
    </w:p>
    <w:p w14:paraId="395073A4" w14:textId="77777777" w:rsidR="00094004" w:rsidRDefault="00094004" w:rsidP="006F65FB">
      <w:pPr>
        <w:pStyle w:val="Heading3"/>
        <w:numPr>
          <w:ilvl w:val="0"/>
          <w:numId w:val="47"/>
        </w:numPr>
        <w:ind w:left="567" w:hanging="567"/>
      </w:pPr>
      <w:bookmarkStart w:id="1030" w:name="_Toc127351884"/>
      <w:bookmarkStart w:id="1031" w:name="_Toc130914562"/>
      <w:bookmarkStart w:id="1032" w:name="_Toc140239852"/>
      <w:r w:rsidRPr="00130222">
        <w:t>Implementation approach</w:t>
      </w:r>
      <w:bookmarkEnd w:id="1030"/>
      <w:bookmarkEnd w:id="1031"/>
      <w:bookmarkEnd w:id="1032"/>
    </w:p>
    <w:p w14:paraId="5E712E59" w14:textId="77777777" w:rsidR="00094004" w:rsidRPr="00097442" w:rsidRDefault="00094004" w:rsidP="00094004">
      <w:pPr>
        <w:pStyle w:val="Heading4"/>
      </w:pPr>
      <w:r>
        <w:t>Implementation</w:t>
      </w:r>
      <w:r w:rsidRPr="00097442">
        <w:t xml:space="preserve"> options</w:t>
      </w:r>
    </w:p>
    <w:p w14:paraId="370BE905" w14:textId="77777777" w:rsidR="00094004" w:rsidRDefault="00094004" w:rsidP="00094004">
      <w:r>
        <w:t xml:space="preserve">These implementation options are applicable if legislative amendments are required as a result of Transport Ministers agreeing any regulatory options as part of this reform process. </w:t>
      </w:r>
    </w:p>
    <w:p w14:paraId="5EF732BE" w14:textId="77777777" w:rsidR="00094004" w:rsidRDefault="00094004" w:rsidP="00094004">
      <w:pPr>
        <w:spacing w:before="120" w:after="120"/>
      </w:pPr>
      <w:r w:rsidRPr="00DF74BE">
        <w:t>There are three i</w:t>
      </w:r>
      <w:r>
        <w:t>mplementation options proposed.</w:t>
      </w:r>
    </w:p>
    <w:p w14:paraId="4C627944" w14:textId="77777777" w:rsidR="00094004" w:rsidRPr="00121EB0" w:rsidRDefault="00094004" w:rsidP="00124C72">
      <w:pPr>
        <w:pStyle w:val="Listparagraphbullets"/>
      </w:pPr>
      <w:r w:rsidRPr="00A304B2">
        <w:t xml:space="preserve">Existing assets would need to comply with new regulatory requirements based on a new compliance schedule. Compliance target dates </w:t>
      </w:r>
      <w:r w:rsidRPr="00121EB0">
        <w:t>for individual sections of the Transport Standards would be developed with stakeholders.</w:t>
      </w:r>
    </w:p>
    <w:p w14:paraId="78D30229" w14:textId="77777777" w:rsidR="00094004" w:rsidRPr="00121EB0" w:rsidRDefault="00094004" w:rsidP="00124C72">
      <w:pPr>
        <w:pStyle w:val="Listparagraphbullets"/>
      </w:pPr>
      <w:r w:rsidRPr="002929E2">
        <w:t>Existing assets would need to comply with new regulatory requirements based on a new compliance schedule. Compliance target dates for transport assets</w:t>
      </w:r>
      <w:r w:rsidRPr="00121EB0">
        <w:t xml:space="preserve"> </w:t>
      </w:r>
      <w:r w:rsidRPr="00A304B2">
        <w:t>(</w:t>
      </w:r>
      <w:r>
        <w:t xml:space="preserve">e.g. </w:t>
      </w:r>
      <w:r w:rsidRPr="00A304B2">
        <w:t>trams, bus stops, taxi ranks, websites and digital information etc.) be developed with stakeholders.</w:t>
      </w:r>
    </w:p>
    <w:p w14:paraId="5206E4A4" w14:textId="77777777" w:rsidR="00094004" w:rsidRPr="00A304B2" w:rsidRDefault="00094004" w:rsidP="00124C72">
      <w:pPr>
        <w:pStyle w:val="Listparagraphbullets"/>
      </w:pPr>
      <w:r w:rsidRPr="002929E2">
        <w:t>Existing assets would only need to comply with new regulatory requirements when certain circumstances are met, triggering compliance obligations with the new requirements.</w:t>
      </w:r>
    </w:p>
    <w:p w14:paraId="6D7E4A42" w14:textId="77777777" w:rsidR="00094004" w:rsidRPr="00097442" w:rsidRDefault="00094004" w:rsidP="00094004">
      <w:pPr>
        <w:pStyle w:val="Heading5"/>
        <w:ind w:left="1134" w:hanging="1134"/>
      </w:pPr>
      <w:r w:rsidRPr="00097442">
        <w:t xml:space="preserve">Option 1 </w:t>
      </w:r>
      <w:r w:rsidRPr="00097442">
        <w:tab/>
        <w:t>New compliance schedule</w:t>
      </w:r>
      <w:r>
        <w:t xml:space="preserve">: Compliance target dates for individual sections </w:t>
      </w:r>
      <w:r w:rsidRPr="00097442">
        <w:t xml:space="preserve">of the </w:t>
      </w:r>
      <w:r>
        <w:t>Transport Standards</w:t>
      </w:r>
    </w:p>
    <w:p w14:paraId="20F3A849" w14:textId="77777777" w:rsidR="00094004" w:rsidRDefault="00094004" w:rsidP="00094004">
      <w:r>
        <w:t xml:space="preserve">Regulatory amendments would apply retrospectively and existing assets would need to comply with these requirements based on a new compliance schedule. </w:t>
      </w:r>
    </w:p>
    <w:p w14:paraId="3E8BB7FC" w14:textId="77777777" w:rsidR="00094004" w:rsidRPr="00097442" w:rsidRDefault="00094004" w:rsidP="00094004">
      <w:r w:rsidRPr="00097442">
        <w:t xml:space="preserve">A </w:t>
      </w:r>
      <w:r>
        <w:t xml:space="preserve">new </w:t>
      </w:r>
      <w:r w:rsidRPr="00097442">
        <w:t xml:space="preserve">compliance schedule would </w:t>
      </w:r>
      <w:r>
        <w:t xml:space="preserve">be inserted </w:t>
      </w:r>
      <w:r w:rsidRPr="00097442">
        <w:t xml:space="preserve">in the </w:t>
      </w:r>
      <w:r>
        <w:t>Transport Standards</w:t>
      </w:r>
      <w:r w:rsidRPr="00097442">
        <w:t xml:space="preserve"> that outlines compliance target dates for </w:t>
      </w:r>
      <w:r w:rsidRPr="00097442">
        <w:rPr>
          <w:b/>
        </w:rPr>
        <w:t xml:space="preserve">individual </w:t>
      </w:r>
      <w:r>
        <w:rPr>
          <w:b/>
        </w:rPr>
        <w:t>sections</w:t>
      </w:r>
      <w:r>
        <w:t xml:space="preserve"> of</w:t>
      </w:r>
      <w:r w:rsidRPr="00097442">
        <w:t xml:space="preserve"> the </w:t>
      </w:r>
      <w:r>
        <w:t>Transport Standards</w:t>
      </w:r>
      <w:r w:rsidRPr="00097442">
        <w:t>.</w:t>
      </w:r>
      <w:r>
        <w:t xml:space="preserve"> Compliance target dates would be developed </w:t>
      </w:r>
      <w:r w:rsidRPr="00097442">
        <w:t>through consultation with state and territory government</w:t>
      </w:r>
      <w:r>
        <w:t>s</w:t>
      </w:r>
      <w:r w:rsidRPr="00097442">
        <w:t>, public transport operators and providers and the disability community</w:t>
      </w:r>
      <w:r>
        <w:t>, for any new or amended sections of the Transport Standards that have been agreed through this reform process.</w:t>
      </w:r>
    </w:p>
    <w:p w14:paraId="111E129F" w14:textId="77777777" w:rsidR="00094004" w:rsidRDefault="00094004" w:rsidP="00094004">
      <w:r w:rsidRPr="00097442">
        <w:t>This option would ensure that</w:t>
      </w:r>
      <w:r>
        <w:t xml:space="preserve"> bespoke target compliance dates for each individual amendment to the Transport Standards are fit-for-purpose.</w:t>
      </w:r>
    </w:p>
    <w:p w14:paraId="49BD0998" w14:textId="77777777" w:rsidR="00094004" w:rsidRDefault="00094004" w:rsidP="00094004">
      <w:r w:rsidRPr="00097442">
        <w:t xml:space="preserve">A bespoke compliance schedule may introduce different compliance target dates for different </w:t>
      </w:r>
      <w:r>
        <w:t xml:space="preserve">individual </w:t>
      </w:r>
      <w:r w:rsidRPr="00097442">
        <w:t>amendments, taking into consideration the impact of retrospective ap</w:t>
      </w:r>
      <w:r>
        <w:t>plication of each amendment. A s</w:t>
      </w:r>
      <w:r w:rsidRPr="00097442">
        <w:t>chedule may also introduce staggered compliance dates (as per</w:t>
      </w:r>
      <w:r>
        <w:t xml:space="preserve"> Schedule 1</w:t>
      </w:r>
      <w:r w:rsidRPr="00097442">
        <w:t xml:space="preserve">) for different </w:t>
      </w:r>
      <w:r>
        <w:t>sections</w:t>
      </w:r>
      <w:r w:rsidRPr="00097442">
        <w:t xml:space="preserve"> of the </w:t>
      </w:r>
      <w:r>
        <w:t>Transport Standards</w:t>
      </w:r>
      <w:r w:rsidRPr="00097442">
        <w:t>.</w:t>
      </w:r>
    </w:p>
    <w:p w14:paraId="7425F005" w14:textId="77777777" w:rsidR="00094004" w:rsidRDefault="00094004" w:rsidP="00094004">
      <w:r>
        <w:t>For example:</w:t>
      </w:r>
    </w:p>
    <w:p w14:paraId="6E75EDEB" w14:textId="77777777" w:rsidR="00094004" w:rsidRDefault="00094004" w:rsidP="006F65FB">
      <w:pPr>
        <w:pStyle w:val="ListParagraph"/>
        <w:numPr>
          <w:ilvl w:val="0"/>
          <w:numId w:val="49"/>
        </w:numPr>
        <w:autoSpaceDE w:val="0"/>
        <w:autoSpaceDN w:val="0"/>
        <w:spacing w:before="40" w:after="40"/>
      </w:pPr>
      <w:r>
        <w:t>[New or amended requirements] must be 25 per cent compliant within five years, 55 per cent compliant within 10 years, 80 per cent compliant within 15 years and 100 per cent compliant within 20 years.</w:t>
      </w:r>
    </w:p>
    <w:p w14:paraId="3D35452F" w14:textId="77777777" w:rsidR="00094004" w:rsidRPr="00097442" w:rsidRDefault="00094004" w:rsidP="00094004">
      <w:r>
        <w:t>Transport Standards, section</w:t>
      </w:r>
      <w:r w:rsidRPr="00097442">
        <w:t xml:space="preserve"> 32</w:t>
      </w:r>
      <w:r>
        <w:t>.1</w:t>
      </w:r>
      <w:r w:rsidRPr="00097442">
        <w:t xml:space="preserve"> </w:t>
      </w:r>
      <w:r>
        <w:t xml:space="preserve">Effect and application of these Standards, </w:t>
      </w:r>
      <w:r w:rsidRPr="00097442">
        <w:t>would remain unchanged. Th</w:t>
      </w:r>
      <w:r>
        <w:t>at is,</w:t>
      </w:r>
      <w:r w:rsidRPr="00097442">
        <w:t xml:space="preserve"> </w:t>
      </w:r>
      <w:r>
        <w:t xml:space="preserve">if an existing asset has undergone substantial refurbishment or alteration, or meets any other trigger outlined in section 32.1, prior to the compliance target date, the asset must be made 100 per cent compliant during this activity. </w:t>
      </w:r>
    </w:p>
    <w:p w14:paraId="3FABFCCF" w14:textId="77777777" w:rsidR="00094004" w:rsidRPr="00097442" w:rsidRDefault="00094004" w:rsidP="00094004">
      <w:pPr>
        <w:pStyle w:val="Heading5"/>
        <w:ind w:left="1134" w:hanging="1134"/>
      </w:pPr>
      <w:r w:rsidRPr="00097442">
        <w:lastRenderedPageBreak/>
        <w:t xml:space="preserve">Option 2 </w:t>
      </w:r>
      <w:r w:rsidRPr="00097442">
        <w:tab/>
        <w:t>New compliance schedule</w:t>
      </w:r>
      <w:r>
        <w:t>: Compliance target dates for transport assets covered under the Transport Standards</w:t>
      </w:r>
    </w:p>
    <w:p w14:paraId="440E57C8" w14:textId="77777777" w:rsidR="00094004" w:rsidRDefault="00094004" w:rsidP="00094004">
      <w:r>
        <w:t>Regulatory amendments would apply retrospectively and existing assets would need to comply with these requirements based on a new compliance schedule.</w:t>
      </w:r>
    </w:p>
    <w:p w14:paraId="754A718A" w14:textId="77777777" w:rsidR="00094004" w:rsidRPr="00097442" w:rsidRDefault="00094004" w:rsidP="00094004">
      <w:r w:rsidRPr="00097442">
        <w:t xml:space="preserve">A </w:t>
      </w:r>
      <w:r>
        <w:t xml:space="preserve">new compliance </w:t>
      </w:r>
      <w:r w:rsidRPr="00097442">
        <w:t xml:space="preserve">schedule would </w:t>
      </w:r>
      <w:r>
        <w:t xml:space="preserve">be inserted </w:t>
      </w:r>
      <w:r w:rsidRPr="00097442">
        <w:t xml:space="preserve">in the </w:t>
      </w:r>
      <w:r>
        <w:t>Transport Standards</w:t>
      </w:r>
      <w:r w:rsidRPr="00097442">
        <w:t xml:space="preserve"> that outlines compliance target dates for </w:t>
      </w:r>
      <w:r>
        <w:rPr>
          <w:b/>
        </w:rPr>
        <w:t>transport assets</w:t>
      </w:r>
      <w:r>
        <w:t xml:space="preserve"> (for example trams, bus stops, taxi ranks, websites and digital information etc.) covered under</w:t>
      </w:r>
      <w:r w:rsidRPr="00097442">
        <w:t xml:space="preserve"> the </w:t>
      </w:r>
      <w:r>
        <w:t>Transport Standards</w:t>
      </w:r>
      <w:r w:rsidRPr="00097442">
        <w:t>.</w:t>
      </w:r>
    </w:p>
    <w:p w14:paraId="4FB69EAF" w14:textId="1A0F4E86" w:rsidR="00094004" w:rsidRPr="00097442" w:rsidRDefault="00094004" w:rsidP="00094004">
      <w:r w:rsidRPr="00097442">
        <w:t xml:space="preserve">Compliance target dates </w:t>
      </w:r>
      <w:r>
        <w:t xml:space="preserve">and a defined list of transport assets to be measured </w:t>
      </w:r>
      <w:r w:rsidRPr="00097442">
        <w:t>would be developed through consultation with state and territory government</w:t>
      </w:r>
      <w:r>
        <w:t>s</w:t>
      </w:r>
      <w:r w:rsidRPr="00097442">
        <w:t>, public transport operators and providers and the disability community. The list of</w:t>
      </w:r>
      <w:r>
        <w:t xml:space="preserve"> measurable</w:t>
      </w:r>
      <w:r w:rsidRPr="00097442">
        <w:t xml:space="preserve"> assets would need to be exhaustive to ensure all public transport infrastructure, premises and conveyances are covered.</w:t>
      </w:r>
    </w:p>
    <w:p w14:paraId="2BF28208" w14:textId="77777777" w:rsidR="00094004" w:rsidRDefault="00094004" w:rsidP="00094004">
      <w:r w:rsidRPr="00097442">
        <w:t xml:space="preserve">A bespoke compliance schedule may introduce different compliance target dates for different </w:t>
      </w:r>
      <w:r>
        <w:t>transport assets</w:t>
      </w:r>
      <w:r w:rsidRPr="00097442">
        <w:t>, taking into consideration the impact of retrospective ap</w:t>
      </w:r>
      <w:r>
        <w:t>plication for each asset. A s</w:t>
      </w:r>
      <w:r w:rsidRPr="00097442">
        <w:t>chedule may also introduce staggered compliance dates (as per</w:t>
      </w:r>
      <w:r>
        <w:t xml:space="preserve"> the current</w:t>
      </w:r>
      <w:r w:rsidRPr="00097442">
        <w:t xml:space="preserve"> </w:t>
      </w:r>
      <w:r>
        <w:t>Schedule 1</w:t>
      </w:r>
      <w:r w:rsidRPr="00097442">
        <w:t xml:space="preserve">) for different </w:t>
      </w:r>
      <w:r>
        <w:t>transport assets</w:t>
      </w:r>
      <w:r w:rsidRPr="00097442">
        <w:t xml:space="preserve"> </w:t>
      </w:r>
      <w:r>
        <w:t xml:space="preserve">under </w:t>
      </w:r>
      <w:r w:rsidRPr="00097442">
        <w:t xml:space="preserve">the </w:t>
      </w:r>
      <w:r>
        <w:t>Transport Standards</w:t>
      </w:r>
      <w:r w:rsidRPr="00097442">
        <w:t>.</w:t>
      </w:r>
    </w:p>
    <w:p w14:paraId="11733A4F" w14:textId="77777777" w:rsidR="00094004" w:rsidRPr="00097442" w:rsidRDefault="00094004" w:rsidP="00094004">
      <w:r w:rsidRPr="00097442">
        <w:t>For example:</w:t>
      </w:r>
    </w:p>
    <w:p w14:paraId="0C90B488" w14:textId="77777777" w:rsidR="00094004" w:rsidRDefault="00094004" w:rsidP="00124C72">
      <w:pPr>
        <w:pStyle w:val="Listparagraphbullets"/>
      </w:pPr>
      <w:r>
        <w:t xml:space="preserve">[Transport asset </w:t>
      </w:r>
      <w:r w:rsidRPr="00097442">
        <w:t>X</w:t>
      </w:r>
      <w:r>
        <w:t>]</w:t>
      </w:r>
      <w:r w:rsidRPr="00097442">
        <w:t xml:space="preserve"> </w:t>
      </w:r>
      <w:r>
        <w:t>must be 25 per cent compliant within five years, 55 per cent compliant within 10 years, 80 per cent compliant within 15 years and 100 per cent compliant within 20 years.</w:t>
      </w:r>
    </w:p>
    <w:p w14:paraId="266A71FE" w14:textId="77777777" w:rsidR="00094004" w:rsidRPr="00097442" w:rsidRDefault="00094004" w:rsidP="00094004">
      <w:r>
        <w:t>Transport Standards</w:t>
      </w:r>
      <w:r w:rsidRPr="00097442">
        <w:t xml:space="preserve"> </w:t>
      </w:r>
      <w:r>
        <w:t>section 32.1</w:t>
      </w:r>
      <w:r w:rsidRPr="00097442">
        <w:t xml:space="preserve"> </w:t>
      </w:r>
      <w:r>
        <w:t xml:space="preserve">Effect and application of these Standards, </w:t>
      </w:r>
      <w:r w:rsidRPr="00097442">
        <w:t>would remain unchanged. Th</w:t>
      </w:r>
      <w:r>
        <w:t>at is,</w:t>
      </w:r>
      <w:r w:rsidRPr="00097442">
        <w:t xml:space="preserve"> </w:t>
      </w:r>
      <w:r>
        <w:t xml:space="preserve">if an existing asset has undergone substantial refurbishment or alteration, or meets any other trigger outlined in section 32.1, prior to the compliance target date, the asset must be made 100 per cent compliant during this activity. </w:t>
      </w:r>
    </w:p>
    <w:p w14:paraId="5CA3D3AC" w14:textId="77777777" w:rsidR="00094004" w:rsidRPr="00097442" w:rsidRDefault="00094004" w:rsidP="00094004">
      <w:pPr>
        <w:pStyle w:val="Heading5"/>
        <w:ind w:left="1134" w:hanging="1134"/>
      </w:pPr>
      <w:r w:rsidRPr="00097442">
        <w:t>Option 3</w:t>
      </w:r>
      <w:r w:rsidRPr="00097442">
        <w:tab/>
      </w:r>
      <w:r>
        <w:t>No compliance schedule: Trigger mechanism for compliance with the Transport Standards</w:t>
      </w:r>
    </w:p>
    <w:p w14:paraId="13FC4262" w14:textId="77777777" w:rsidR="00094004" w:rsidRDefault="00094004" w:rsidP="00094004">
      <w:r w:rsidRPr="00DF74BE">
        <w:t xml:space="preserve">Regulatory amendments would apply to all new assets. </w:t>
      </w:r>
    </w:p>
    <w:p w14:paraId="4F8B555C" w14:textId="77777777" w:rsidR="00094004" w:rsidRDefault="00094004" w:rsidP="00094004">
      <w:r w:rsidRPr="00DF74BE">
        <w:t>Existing assets would only need to comply with new regulatory requirements when</w:t>
      </w:r>
      <w:r w:rsidRPr="004D4D34">
        <w:t xml:space="preserve"> </w:t>
      </w:r>
      <w:r>
        <w:t xml:space="preserve">the </w:t>
      </w:r>
      <w:r w:rsidRPr="00DF74BE">
        <w:t xml:space="preserve">circumstances </w:t>
      </w:r>
      <w:r>
        <w:t>set out in Transport Standards section 32.1 Effect and application of these Standards,</w:t>
      </w:r>
      <w:r w:rsidRPr="00DF74BE">
        <w:t xml:space="preserve"> are met</w:t>
      </w:r>
      <w:r>
        <w:t xml:space="preserve">. That is, where an existing asset meets one of the conditions in section 32.1 (such as substantial refurbishment or alteration, additional or replacement equipment, new or revised ancillary services, or the provision of new or updated information) the asset will be required to comply with the new regulatory requirements in the Transport Standards. </w:t>
      </w:r>
    </w:p>
    <w:p w14:paraId="2F568742" w14:textId="77777777" w:rsidR="00094004" w:rsidRDefault="00094004" w:rsidP="00094004">
      <w:r>
        <w:t>Meeting one of the conditions of section 32.1 will trigger compliance obligations with the new regulatory requirements</w:t>
      </w:r>
      <w:r w:rsidRPr="00DF74BE">
        <w:t>.</w:t>
      </w:r>
    </w:p>
    <w:p w14:paraId="258FCAD7" w14:textId="77777777" w:rsidR="00094004" w:rsidRDefault="00094004" w:rsidP="00094004">
      <w:r>
        <w:t xml:space="preserve">For example: </w:t>
      </w:r>
    </w:p>
    <w:p w14:paraId="1865681C" w14:textId="77777777" w:rsidR="00094004" w:rsidRDefault="00094004" w:rsidP="00124C72">
      <w:pPr>
        <w:pStyle w:val="Listparagraphbullets"/>
      </w:pPr>
      <w:r w:rsidRPr="007107BA">
        <w:t>An operator or provider substantially refurbishes a group of tram cars. As a result, conditions under Transport Standards section 32.1 have been met that trigger new regulatory requirements for existing assets.</w:t>
      </w:r>
    </w:p>
    <w:sectPr w:rsidR="00094004" w:rsidSect="00E8506F">
      <w:headerReference w:type="default" r:id="rId34"/>
      <w:pgSz w:w="11906" w:h="16838"/>
      <w:pgMar w:top="1440" w:right="1440" w:bottom="144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AA102F" w14:textId="77777777" w:rsidR="001C7A9B" w:rsidRDefault="001C7A9B" w:rsidP="004D4B0F"/>
  </w:endnote>
  <w:endnote w:type="continuationSeparator" w:id="0">
    <w:p w14:paraId="7018C762" w14:textId="77777777" w:rsidR="001C7A9B" w:rsidRDefault="001C7A9B" w:rsidP="004D4B0F">
      <w:r>
        <w:continuationSeparator/>
      </w:r>
    </w:p>
  </w:endnote>
  <w:endnote w:type="continuationNotice" w:id="1">
    <w:p w14:paraId="54E48CF4" w14:textId="77777777" w:rsidR="001C7A9B" w:rsidRDefault="001C7A9B">
      <w:pPr>
        <w:spacing w:after="0"/>
      </w:pPr>
    </w:p>
  </w:endnote>
  <w:endnote w:id="2">
    <w:p w14:paraId="5B324603" w14:textId="27D53D82" w:rsidR="0089014F" w:rsidRDefault="0089014F" w:rsidP="00013823">
      <w:pPr>
        <w:pStyle w:val="EndnoteText"/>
      </w:pPr>
      <w:r>
        <w:rPr>
          <w:rStyle w:val="EndnoteReference"/>
        </w:rPr>
        <w:endnoteRef/>
      </w:r>
      <w:r>
        <w:t xml:space="preserve"> Australian Human Rights Commission, </w:t>
      </w:r>
      <w:r w:rsidRPr="08D050C4">
        <w:rPr>
          <w:i/>
          <w:iCs/>
        </w:rPr>
        <w:t>Guidelines: Equivalent Access under the Disability Standards for Accessible Public Transport 2002 (Cth)</w:t>
      </w:r>
      <w:r>
        <w:t xml:space="preserve">, 14 November 2022, </w:t>
      </w:r>
      <w:hyperlink r:id="rId1" w:history="1">
        <w:r w:rsidRPr="009803C5">
          <w:rPr>
            <w:rStyle w:val="Hyperlink"/>
          </w:rPr>
          <w:t>https://humanrights.gov.au/our-work/disability-rights/publications/guidelines-equivalent-access-under-disability-standards</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1E8C1" w14:textId="77777777" w:rsidR="0089014F" w:rsidRDefault="00890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264929"/>
      <w:docPartObj>
        <w:docPartGallery w:val="Page Numbers (Bottom of Page)"/>
        <w:docPartUnique/>
      </w:docPartObj>
    </w:sdtPr>
    <w:sdtEndPr>
      <w:rPr>
        <w:noProof/>
      </w:rPr>
    </w:sdtEndPr>
    <w:sdtContent>
      <w:p w14:paraId="4A09DFA5" w14:textId="5A143F74" w:rsidR="0089014F" w:rsidRDefault="0089014F">
        <w:pPr>
          <w:pStyle w:val="Footer"/>
          <w:jc w:val="right"/>
        </w:pPr>
        <w:r>
          <w:fldChar w:fldCharType="begin"/>
        </w:r>
        <w:r>
          <w:instrText xml:space="preserve"> PAGE   \* MERGEFORMAT </w:instrText>
        </w:r>
        <w:r>
          <w:fldChar w:fldCharType="separate"/>
        </w:r>
        <w:r w:rsidR="00310D7A">
          <w:rPr>
            <w:noProof/>
          </w:rPr>
          <w:t>251</w:t>
        </w:r>
        <w:r>
          <w:rPr>
            <w:noProof/>
          </w:rPr>
          <w:fldChar w:fldCharType="end"/>
        </w:r>
      </w:p>
    </w:sdtContent>
  </w:sdt>
  <w:p w14:paraId="0A74E152" w14:textId="77777777" w:rsidR="0089014F" w:rsidRDefault="008901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A5A98" w14:textId="77777777" w:rsidR="0089014F" w:rsidRDefault="008901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D3102" w14:textId="77777777" w:rsidR="001C7A9B" w:rsidRDefault="001C7A9B" w:rsidP="004D4B0F">
      <w:r>
        <w:separator/>
      </w:r>
    </w:p>
  </w:footnote>
  <w:footnote w:type="continuationSeparator" w:id="0">
    <w:p w14:paraId="3BEC2446" w14:textId="77777777" w:rsidR="001C7A9B" w:rsidRDefault="001C7A9B" w:rsidP="004D4B0F">
      <w:r>
        <w:continuationSeparator/>
      </w:r>
    </w:p>
  </w:footnote>
  <w:footnote w:type="continuationNotice" w:id="1">
    <w:p w14:paraId="27D14F3E" w14:textId="77777777" w:rsidR="001C7A9B" w:rsidRDefault="001C7A9B">
      <w:pPr>
        <w:spacing w:after="0"/>
      </w:pPr>
    </w:p>
  </w:footnote>
  <w:footnote w:id="2">
    <w:p w14:paraId="2B5D8730" w14:textId="6A9B25DC" w:rsidR="0089014F" w:rsidRPr="00221C90" w:rsidRDefault="0089014F" w:rsidP="008F655A">
      <w:pPr>
        <w:pStyle w:val="FootnoteText"/>
        <w:rPr>
          <w:lang w:val="en-US"/>
        </w:rPr>
      </w:pPr>
      <w:r>
        <w:rPr>
          <w:rStyle w:val="FootnoteReference"/>
        </w:rPr>
        <w:footnoteRef/>
      </w:r>
      <w:r>
        <w:t xml:space="preserve"> Australian Government Australian Bureau of Statistics (ABS), </w:t>
      </w:r>
      <w:r w:rsidRPr="00221C90">
        <w:rPr>
          <w:i/>
        </w:rPr>
        <w:t>Disability, ageing and carers, Australia: summary of findings</w:t>
      </w:r>
      <w:r>
        <w:rPr>
          <w:i/>
        </w:rPr>
        <w:t xml:space="preserve"> </w:t>
      </w:r>
      <w:r>
        <w:t>(</w:t>
      </w:r>
      <w:r w:rsidRPr="00DD59BC">
        <w:t>2018</w:t>
      </w:r>
      <w:r>
        <w:t>),</w:t>
      </w:r>
      <w:r w:rsidRPr="00DD59BC">
        <w:t xml:space="preserve"> </w:t>
      </w:r>
      <w:hyperlink r:id="rId1" w:history="1">
        <w:r w:rsidRPr="00ED1D59">
          <w:rPr>
            <w:rStyle w:val="Hyperlink"/>
          </w:rPr>
          <w:t>https://www.abs.gov.au/statistics/health/disability/disability-ageing-and-carers-australia-summary-findings/latest-release</w:t>
        </w:r>
      </w:hyperlink>
      <w:r>
        <w:t>, 5 December 2022</w:t>
      </w:r>
    </w:p>
  </w:footnote>
  <w:footnote w:id="3">
    <w:p w14:paraId="3E17FFE0" w14:textId="5D086B85" w:rsidR="0089014F" w:rsidRPr="00221C90" w:rsidRDefault="0089014F" w:rsidP="008F655A">
      <w:pPr>
        <w:pStyle w:val="FootnoteText"/>
        <w:rPr>
          <w:lang w:val="en-US"/>
        </w:rPr>
      </w:pPr>
      <w:r>
        <w:rPr>
          <w:rStyle w:val="FootnoteReference"/>
        </w:rPr>
        <w:footnoteRef/>
      </w:r>
      <w:r>
        <w:t xml:space="preserve"> </w:t>
      </w:r>
      <w:r w:rsidRPr="00DD59BC">
        <w:t>ABS</w:t>
      </w:r>
      <w:r>
        <w:t xml:space="preserve">, </w:t>
      </w:r>
      <w:r w:rsidRPr="00221C90">
        <w:rPr>
          <w:i/>
        </w:rPr>
        <w:t xml:space="preserve">General Social Survey: summary results, </w:t>
      </w:r>
      <w:r w:rsidRPr="00960915">
        <w:t>Australia</w:t>
      </w:r>
      <w:r>
        <w:t xml:space="preserve"> (</w:t>
      </w:r>
      <w:r w:rsidRPr="00960915">
        <w:t>2019</w:t>
      </w:r>
      <w:r>
        <w:t xml:space="preserve">), </w:t>
      </w:r>
      <w:hyperlink r:id="rId2" w:history="1">
        <w:r w:rsidRPr="00ED1D59">
          <w:rPr>
            <w:rStyle w:val="Hyperlink"/>
          </w:rPr>
          <w:t>https://www.abs.gov.au/statistics/people/people-and-communities/general-social-survey-summary-results-australia/latest-release</w:t>
        </w:r>
      </w:hyperlink>
      <w:r>
        <w:t>, 5 December 2022</w:t>
      </w:r>
    </w:p>
  </w:footnote>
  <w:footnote w:id="4">
    <w:p w14:paraId="161C08E8" w14:textId="77777777" w:rsidR="0089014F" w:rsidRPr="00D53FB3" w:rsidRDefault="0089014F" w:rsidP="002545D4">
      <w:pPr>
        <w:pStyle w:val="FootnoteText"/>
        <w:rPr>
          <w:lang w:val="en-US"/>
        </w:rPr>
      </w:pPr>
      <w:r>
        <w:rPr>
          <w:rStyle w:val="FootnoteReference"/>
        </w:rPr>
        <w:footnoteRef/>
      </w:r>
      <w:r>
        <w:t xml:space="preserve"> </w:t>
      </w:r>
      <w:r w:rsidRPr="00FD16E7">
        <w:t xml:space="preserve">Australian Government Australian Institute of Health and Welfare, </w:t>
      </w:r>
      <w:r w:rsidRPr="00F03DFD">
        <w:rPr>
          <w:i/>
        </w:rPr>
        <w:t>People with Disability in Australia 2020</w:t>
      </w:r>
      <w:r w:rsidRPr="00FD16E7">
        <w:t xml:space="preserve">, </w:t>
      </w:r>
      <w:hyperlink r:id="rId3" w:history="1">
        <w:r w:rsidRPr="00FD16E7">
          <w:rPr>
            <w:rStyle w:val="Hyperlink"/>
          </w:rPr>
          <w:t>https://www.aihw.gov.au/getmedia/ee5ee3c2-152d-4b5f-9901-71d483b47f03/aihw-dis-72.pdf.aspx?inline=true</w:t>
        </w:r>
      </w:hyperlink>
      <w:r>
        <w:rPr>
          <w:rStyle w:val="Hyperlink"/>
        </w:rPr>
        <w:t xml:space="preserve">, </w:t>
      </w:r>
      <w:r w:rsidRPr="00FD16E7">
        <w:t>15 November 2021</w:t>
      </w:r>
    </w:p>
  </w:footnote>
  <w:footnote w:id="5">
    <w:p w14:paraId="14EBC851" w14:textId="6EB8F37F" w:rsidR="0089014F" w:rsidRPr="002C47E0" w:rsidRDefault="0089014F" w:rsidP="008F655A">
      <w:pPr>
        <w:pStyle w:val="FootnoteText"/>
        <w:rPr>
          <w:lang w:val="en-GB"/>
        </w:rPr>
      </w:pPr>
      <w:r w:rsidRPr="002F74F3">
        <w:rPr>
          <w:rStyle w:val="FootnoteReference"/>
        </w:rPr>
        <w:footnoteRef/>
      </w:r>
      <w:r w:rsidRPr="002F74F3">
        <w:t xml:space="preserve"> Australia’s Disability Strategy 2021-2031, 12 January 2022, </w:t>
      </w:r>
      <w:hyperlink r:id="rId4" w:history="1">
        <w:r w:rsidRPr="002F74F3">
          <w:rPr>
            <w:rStyle w:val="Hyperlink"/>
          </w:rPr>
          <w:t>https://www.disabilitygateway.gov.au/ads</w:t>
        </w:r>
      </w:hyperlink>
    </w:p>
  </w:footnote>
  <w:footnote w:id="6">
    <w:p w14:paraId="3470765C" w14:textId="48624FB7" w:rsidR="0089014F" w:rsidRDefault="0089014F" w:rsidP="008F655A">
      <w:pPr>
        <w:pStyle w:val="FootnoteText"/>
      </w:pPr>
      <w:r>
        <w:rPr>
          <w:rStyle w:val="FootnoteReference"/>
        </w:rPr>
        <w:footnoteRef/>
      </w:r>
      <w:r>
        <w:t xml:space="preserve"> </w:t>
      </w:r>
      <w:r w:rsidRPr="004522AD">
        <w:t xml:space="preserve">Australian Government Australian Institute of Health and Welfare, People with Disability in Australia 2020, </w:t>
      </w:r>
      <w:hyperlink r:id="rId5" w:history="1">
        <w:r w:rsidRPr="00A64204">
          <w:rPr>
            <w:rStyle w:val="Hyperlink"/>
          </w:rPr>
          <w:t>https://www.aihw.gov.au/getmedia/ee5ee3c2-152d-4b5f-9901-71d483b47f03/aihw-dis-72.pdf.aspx?inline=true</w:t>
        </w:r>
      </w:hyperlink>
      <w:r>
        <w:t xml:space="preserve">, </w:t>
      </w:r>
      <w:r w:rsidRPr="004522AD">
        <w:t>15 November 2021</w:t>
      </w:r>
      <w:r>
        <w:t xml:space="preserve"> </w:t>
      </w:r>
    </w:p>
  </w:footnote>
  <w:footnote w:id="7">
    <w:p w14:paraId="59798455" w14:textId="7E98EDA1" w:rsidR="0089014F" w:rsidRDefault="0089014F" w:rsidP="008F655A">
      <w:pPr>
        <w:pStyle w:val="FootnoteText"/>
      </w:pPr>
      <w:r>
        <w:rPr>
          <w:rStyle w:val="FootnoteReference"/>
        </w:rPr>
        <w:footnoteRef/>
      </w:r>
      <w:r>
        <w:t xml:space="preserve"> </w:t>
      </w:r>
      <w:r w:rsidRPr="00CB7A45">
        <w:t>ABS (2019b) </w:t>
      </w:r>
      <w:hyperlink r:id="rId6" w:tgtFrame="_blank" w:history="1">
        <w:r w:rsidRPr="08D050C4">
          <w:rPr>
            <w:rStyle w:val="Hyperlink"/>
            <w:i/>
            <w:iCs/>
          </w:rPr>
          <w:t>Microdata: disability, ageing and carers, Australia, 2018</w:t>
        </w:r>
      </w:hyperlink>
      <w:r w:rsidRPr="00CB7A45">
        <w:t>, ABS cat. no. 4430.0.30.002, ABS, AIHW analysis of TableBuilder data, accessed 14 July 2021.</w:t>
      </w:r>
    </w:p>
  </w:footnote>
  <w:footnote w:id="8">
    <w:p w14:paraId="25D693B6" w14:textId="4BE124A3" w:rsidR="0089014F" w:rsidRPr="00F46055" w:rsidRDefault="0089014F" w:rsidP="08D050C4">
      <w:pPr>
        <w:pStyle w:val="FootnoteText"/>
        <w:rPr>
          <w:rStyle w:val="Hyperlink"/>
        </w:rPr>
      </w:pPr>
      <w:r>
        <w:rPr>
          <w:rStyle w:val="FootnoteReference"/>
        </w:rPr>
        <w:footnoteRef/>
      </w:r>
      <w:r>
        <w:t xml:space="preserve"> </w:t>
      </w:r>
      <w:r w:rsidRPr="00317E86">
        <w:t>Australian Institute of Health and Welfare (AiHW),  People with disability in Australia 202</w:t>
      </w:r>
      <w:r>
        <w:t>2</w:t>
      </w:r>
      <w:r w:rsidRPr="00317E86">
        <w:t>: in</w:t>
      </w:r>
      <w:r>
        <w:rPr>
          <w:rFonts w:ascii="Segoe UI" w:hAnsi="Segoe UI" w:cs="Segoe UI"/>
          <w:color w:val="313131"/>
          <w:shd w:val="clear" w:color="auto" w:fill="FFFFFF"/>
        </w:rPr>
        <w:t xml:space="preserve"> </w:t>
      </w:r>
      <w:r w:rsidRPr="00317E86">
        <w:t>brief</w:t>
      </w:r>
      <w:r>
        <w:rPr>
          <w:rFonts w:ascii="Segoe UI" w:hAnsi="Segoe UI" w:cs="Segoe UI"/>
          <w:color w:val="313131"/>
          <w:shd w:val="clear" w:color="auto" w:fill="FFFFFF"/>
        </w:rPr>
        <w:t xml:space="preserve">, </w:t>
      </w:r>
      <w:hyperlink r:id="rId7" w:history="1">
        <w:r w:rsidRPr="00F46055">
          <w:rPr>
            <w:rStyle w:val="Hyperlink"/>
          </w:rPr>
          <w:t>People with disability in Australia, Disability discrimination - Australian Institute of Health and Welfare (aihw.gov.au)</w:t>
        </w:r>
      </w:hyperlink>
    </w:p>
  </w:footnote>
  <w:footnote w:id="9">
    <w:p w14:paraId="33ED76FF" w14:textId="17475177"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0</w:t>
      </w:r>
      <w:r w:rsidRPr="00317E86">
        <w:t>: in</w:t>
      </w:r>
      <w:r>
        <w:rPr>
          <w:rFonts w:ascii="Segoe UI" w:hAnsi="Segoe UI" w:cs="Segoe UI"/>
          <w:color w:val="313131"/>
          <w:shd w:val="clear" w:color="auto" w:fill="FFFFFF"/>
        </w:rPr>
        <w:t xml:space="preserve"> </w:t>
      </w:r>
      <w:r w:rsidRPr="00317E86">
        <w:t>brief</w:t>
      </w:r>
      <w:r>
        <w:rPr>
          <w:rFonts w:ascii="Segoe UI" w:hAnsi="Segoe UI" w:cs="Segoe UI"/>
          <w:color w:val="313131"/>
          <w:shd w:val="clear" w:color="auto" w:fill="FFFFFF"/>
        </w:rPr>
        <w:t> </w:t>
      </w:r>
      <w:hyperlink r:id="rId8" w:history="1">
        <w:r>
          <w:rPr>
            <w:rStyle w:val="Hyperlink"/>
            <w:rFonts w:ascii="Segoe UI" w:hAnsi="Segoe UI" w:cs="Segoe UI"/>
            <w:color w:val="612C95"/>
            <w:shd w:val="clear" w:color="auto" w:fill="FFFFFF"/>
          </w:rPr>
          <w:t>https://www.aihw.gov.au/reports/disability/people-with-disability-in-australia-2020-in-brief/contents/employment</w:t>
        </w:r>
        <w:r>
          <w:rPr>
            <w:rFonts w:ascii="Segoe UI" w:hAnsi="Segoe UI" w:cs="Segoe UI"/>
            <w:color w:val="612C95"/>
            <w:bdr w:val="none" w:sz="0" w:space="0" w:color="auto" w:frame="1"/>
            <w:shd w:val="clear" w:color="auto" w:fill="FFFFFF"/>
          </w:rPr>
          <w:t>- external site</w:t>
        </w:r>
      </w:hyperlink>
      <w:r>
        <w:rPr>
          <w:rFonts w:ascii="Segoe UI" w:hAnsi="Segoe UI" w:cs="Segoe UI"/>
          <w:color w:val="313131"/>
          <w:shd w:val="clear" w:color="auto" w:fill="FFFFFF"/>
        </w:rPr>
        <w:t xml:space="preserve">, </w:t>
      </w:r>
      <w:r w:rsidRPr="00317E86">
        <w:t>last updated 02 October 2020</w:t>
      </w:r>
    </w:p>
  </w:footnote>
  <w:footnote w:id="10">
    <w:p w14:paraId="37FAF239" w14:textId="260D0A50" w:rsidR="0089014F" w:rsidRDefault="0089014F" w:rsidP="008F655A">
      <w:pPr>
        <w:pStyle w:val="FootnoteText"/>
      </w:pPr>
      <w:r w:rsidRPr="00317E86">
        <w:footnoteRef/>
      </w:r>
      <w:r>
        <w:t xml:space="preserve"> </w:t>
      </w:r>
      <w:r w:rsidRPr="00317E86">
        <w:t> Australian Institute of Health and Welfare (AiHW),  People with disability in Australia 2020: in brief </w:t>
      </w:r>
      <w:hyperlink r:id="rId9" w:history="1">
        <w:r w:rsidRPr="00317E86">
          <w:rPr>
            <w:rStyle w:val="Hyperlink"/>
          </w:rPr>
          <w:t>https://www.aihw.gov.au/reports/disability/people-with-disability-in-australia-2020-in-brief/contents/employment- external site</w:t>
        </w:r>
      </w:hyperlink>
      <w:r w:rsidRPr="00317E86">
        <w:t>, last updated 02 October 2020</w:t>
      </w:r>
    </w:p>
  </w:footnote>
  <w:footnote w:id="11">
    <w:p w14:paraId="312B4987" w14:textId="5D516EDC"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 xml:space="preserve">2, </w:t>
      </w:r>
      <w:hyperlink r:id="rId10" w:history="1">
        <w:r>
          <w:rPr>
            <w:rStyle w:val="Hyperlink"/>
          </w:rPr>
          <w:t>People with disability in Australia 2022 (aihw.gov.au)</w:t>
        </w:r>
      </w:hyperlink>
      <w:r>
        <w:t>, p.343.</w:t>
      </w:r>
    </w:p>
  </w:footnote>
  <w:footnote w:id="12">
    <w:p w14:paraId="64B08B32" w14:textId="1816D8EC" w:rsidR="0089014F" w:rsidRDefault="0089014F" w:rsidP="008F655A">
      <w:pPr>
        <w:pStyle w:val="FootnoteText"/>
      </w:pPr>
      <w:r>
        <w:rPr>
          <w:rStyle w:val="FootnoteReference"/>
        </w:rPr>
        <w:footnoteRef/>
      </w:r>
      <w:r>
        <w:t xml:space="preserve"> </w:t>
      </w:r>
      <w:r w:rsidRPr="00317E86">
        <w:t>Australian Human Rights Commission, Willing to Work, National Inquiry into Employment Discrimination Against Older Australians and Australians with Disability </w:t>
      </w:r>
      <w:hyperlink r:id="rId11" w:history="1">
        <w:r w:rsidRPr="00317E86">
          <w:rPr>
            <w:rStyle w:val="Hyperlink"/>
          </w:rPr>
          <w:t>https://humanrights.gov.au/sites/default/files/document/publication/WTW_2016_Full_Report_AHRC_ac.pdf- external site</w:t>
        </w:r>
      </w:hyperlink>
      <w:r w:rsidRPr="00317E86">
        <w:t>, pg 12, 2016</w:t>
      </w:r>
    </w:p>
  </w:footnote>
  <w:footnote w:id="13">
    <w:p w14:paraId="63D8DE1F" w14:textId="77777777" w:rsidR="0089014F" w:rsidRDefault="0089014F" w:rsidP="008F655A">
      <w:pPr>
        <w:pStyle w:val="FootnoteText"/>
      </w:pPr>
      <w:r>
        <w:rPr>
          <w:rStyle w:val="FootnoteReference"/>
        </w:rPr>
        <w:footnoteRef/>
      </w:r>
      <w:r>
        <w:t xml:space="preserve"> </w:t>
      </w:r>
      <w:r w:rsidRPr="00317E86">
        <w:t>pwc, Disability expectations – Investing in a better life, a stronger Australia, November 2011, pwc, http://www.pwc.com/gx/en/industries/government-public-services/public-sector-research-centre/australia/investing-in-a-better-life-a-stronger-australia.html</w:t>
      </w:r>
    </w:p>
  </w:footnote>
  <w:footnote w:id="14">
    <w:p w14:paraId="11CE26C1" w14:textId="3F8C97E5" w:rsidR="0089014F" w:rsidRDefault="0089014F" w:rsidP="008F655A">
      <w:pPr>
        <w:pStyle w:val="FootnoteText"/>
      </w:pPr>
      <w:r>
        <w:rPr>
          <w:rStyle w:val="FootnoteReference"/>
        </w:rPr>
        <w:footnoteRef/>
      </w:r>
      <w:r>
        <w:t xml:space="preserve"> </w:t>
      </w:r>
      <w:r w:rsidRPr="00317E86">
        <w:t>Australian Institute of Health and Welfare (AiHW),  People with disability in Australia 202</w:t>
      </w:r>
      <w:r>
        <w:t>2</w:t>
      </w:r>
      <w:r w:rsidRPr="00317E86">
        <w:t>: in</w:t>
      </w:r>
      <w:r>
        <w:rPr>
          <w:rFonts w:ascii="Segoe UI" w:hAnsi="Segoe UI" w:cs="Segoe UI"/>
          <w:color w:val="313131"/>
          <w:shd w:val="clear" w:color="auto" w:fill="FFFFFF"/>
        </w:rPr>
        <w:t xml:space="preserve"> </w:t>
      </w:r>
      <w:r w:rsidRPr="00317E86">
        <w:t>brief</w:t>
      </w:r>
      <w:r>
        <w:t xml:space="preserve">, </w:t>
      </w:r>
      <w:hyperlink r:id="rId12" w:history="1">
        <w:r w:rsidRPr="0046283B">
          <w:rPr>
            <w:rStyle w:val="Hyperlink"/>
          </w:rPr>
          <w:t>People with disability in Australia, Education participation needs and challenges - Australian Institute of Health and Welfare (aihw.gov.au)</w:t>
        </w:r>
      </w:hyperlink>
    </w:p>
  </w:footnote>
  <w:footnote w:id="15">
    <w:p w14:paraId="2CB16546" w14:textId="0FAC14F2" w:rsidR="0089014F" w:rsidRDefault="0089014F" w:rsidP="008F655A">
      <w:pPr>
        <w:pStyle w:val="FootnoteText"/>
      </w:pPr>
      <w:r>
        <w:rPr>
          <w:rStyle w:val="FootnoteReference"/>
        </w:rPr>
        <w:footnoteRef/>
      </w:r>
      <w:r>
        <w:t xml:space="preserve"> </w:t>
      </w:r>
      <w:r w:rsidRPr="08D050C4">
        <w:t xml:space="preserve">Australian Institute of Health and Welfare (AiHW), People with disability in Australia 2022, </w:t>
      </w:r>
      <w:hyperlink r:id="rId13" w:history="1">
        <w:r w:rsidRPr="08D050C4">
          <w:rPr>
            <w:rStyle w:val="Hyperlink"/>
          </w:rPr>
          <w:t>People with disability in Australia 2022 (aihw.gov.au)</w:t>
        </w:r>
      </w:hyperlink>
      <w:r w:rsidRPr="08D050C4">
        <w:t>, p. 507.</w:t>
      </w:r>
    </w:p>
  </w:footnote>
  <w:footnote w:id="16">
    <w:p w14:paraId="2C86F9E2" w14:textId="77777777" w:rsidR="0089014F" w:rsidRDefault="0089014F" w:rsidP="00457629">
      <w:pPr>
        <w:pStyle w:val="FootnoteText"/>
        <w:ind w:left="142" w:hanging="142"/>
        <w:rPr>
          <w:lang w:val="en-US"/>
        </w:rPr>
      </w:pPr>
      <w:r>
        <w:rPr>
          <w:rStyle w:val="FootnoteReference"/>
        </w:rPr>
        <w:footnoteRef/>
      </w:r>
      <w:r>
        <w:t xml:space="preserve"> The existing compliance target dates, contained in Schedule 1 of the Transport Standards, will not be affected by the reform process. The current compliance target dates for all existing requirements of the Transport Standards, will continue to apply.</w:t>
      </w:r>
    </w:p>
  </w:footnote>
  <w:footnote w:id="17">
    <w:p w14:paraId="19DE426C" w14:textId="57AC38D7" w:rsidR="0089014F" w:rsidRDefault="0089014F" w:rsidP="00094004">
      <w:pPr>
        <w:pStyle w:val="FootnoteText"/>
      </w:pPr>
      <w:r>
        <w:rPr>
          <w:rStyle w:val="FootnoteReference"/>
        </w:rPr>
        <w:footnoteRef/>
      </w:r>
      <w:r>
        <w:t xml:space="preserve"> </w:t>
      </w:r>
      <w:r>
        <w:rPr>
          <w:lang w:val="en-GB"/>
        </w:rPr>
        <w:t xml:space="preserve">The National Construction Code, Part A2 Compliance with the NCC, 21 January 2022, </w:t>
      </w:r>
      <w:hyperlink r:id="rId14" w:history="1">
        <w:r w:rsidRPr="00B00AB3">
          <w:rPr>
            <w:rStyle w:val="Hyperlink"/>
            <w:lang w:val="en-GB"/>
          </w:rPr>
          <w:t>https://ncc.abcb.gov.au/editions/2019-a1/ncc-2019-volume-three-amendment-1/section-governing-requirements/part-a2</w:t>
        </w:r>
      </w:hyperlink>
    </w:p>
  </w:footnote>
  <w:footnote w:id="18">
    <w:p w14:paraId="7EA6EE2A" w14:textId="050D8167" w:rsidR="0089014F" w:rsidRDefault="0089014F" w:rsidP="00094004">
      <w:pPr>
        <w:pStyle w:val="FootnoteText"/>
      </w:pPr>
      <w:r>
        <w:rPr>
          <w:rStyle w:val="FootnoteReference"/>
        </w:rPr>
        <w:footnoteRef/>
      </w:r>
      <w:r>
        <w:t xml:space="preserve"> </w:t>
      </w:r>
      <w:r w:rsidRPr="00336241">
        <w:rPr>
          <w:rFonts w:cstheme="minorHAnsi"/>
        </w:rPr>
        <w:t xml:space="preserve">Australian Government Federal Register of Legislation, </w:t>
      </w:r>
      <w:r w:rsidRPr="00336241">
        <w:rPr>
          <w:rFonts w:cstheme="minorHAnsi"/>
          <w:i/>
        </w:rPr>
        <w:t>Vehicle Standard (Australian Design Rule 59/00</w:t>
      </w:r>
      <w:r>
        <w:rPr>
          <w:rFonts w:cstheme="minorHAnsi"/>
          <w:i/>
        </w:rPr>
        <w:t>—</w:t>
      </w:r>
      <w:r w:rsidRPr="00336241">
        <w:rPr>
          <w:rFonts w:cstheme="minorHAnsi"/>
          <w:i/>
        </w:rPr>
        <w:t>Standards For Omnibus Rollover Strength) 2007</w:t>
      </w:r>
      <w:r>
        <w:rPr>
          <w:rFonts w:cstheme="minorHAnsi"/>
        </w:rPr>
        <w:t xml:space="preserve">, (4 November 2021), </w:t>
      </w:r>
      <w:hyperlink r:id="rId15" w:history="1">
        <w:r w:rsidRPr="00990FAB">
          <w:rPr>
            <w:rStyle w:val="Hyperlink"/>
            <w:rFonts w:cstheme="minorHAnsi"/>
          </w:rPr>
          <w:t>https://www.legislation.gov.au/Details/F2012C00535</w:t>
        </w:r>
      </w:hyperlink>
    </w:p>
  </w:footnote>
  <w:footnote w:id="19">
    <w:p w14:paraId="650BC5A7" w14:textId="7229F21B" w:rsidR="0089014F" w:rsidRPr="00A91FFE" w:rsidRDefault="0089014F" w:rsidP="00094004">
      <w:pPr>
        <w:pStyle w:val="FootnoteText"/>
      </w:pPr>
      <w:r>
        <w:rPr>
          <w:rStyle w:val="FootnoteReference"/>
        </w:rPr>
        <w:footnoteRef/>
      </w:r>
      <w:r>
        <w:t xml:space="preserve"> Australian Human Rights Commission, </w:t>
      </w:r>
      <w:r>
        <w:rPr>
          <w:i/>
        </w:rPr>
        <w:t>Advisory Note on streetscape, public outdoor areas, fixtures, fittings and furniture,</w:t>
      </w:r>
      <w:r>
        <w:t xml:space="preserve"> 9 December 2021, </w:t>
      </w:r>
      <w:hyperlink r:id="rId16" w:history="1">
        <w:r>
          <w:rPr>
            <w:rStyle w:val="Hyperlink"/>
          </w:rPr>
          <w:t>https://humanrights.gov.au/our-work/disability-rights/publications/advisory-note-streetscape-public-outdoor-areas-fixtures</w:t>
        </w:r>
      </w:hyperlink>
    </w:p>
  </w:footnote>
  <w:footnote w:id="20">
    <w:p w14:paraId="0FAA9660" w14:textId="4E39DDA9" w:rsidR="0089014F" w:rsidRPr="00350965" w:rsidRDefault="0089014F" w:rsidP="00094004">
      <w:pPr>
        <w:pStyle w:val="FootnoteText"/>
      </w:pPr>
      <w:r w:rsidRPr="00350965">
        <w:rPr>
          <w:rStyle w:val="FootnoteReference"/>
        </w:rPr>
        <w:footnoteRef/>
      </w:r>
      <w:r w:rsidRPr="00350965">
        <w:t xml:space="preserve">Australian Building Codes Board, </w:t>
      </w:r>
      <w:r w:rsidRPr="00350965">
        <w:rPr>
          <w:i/>
        </w:rPr>
        <w:t>The National Construction Code</w:t>
      </w:r>
      <w:r w:rsidRPr="00350965">
        <w:t xml:space="preserve">, 24 December 2021, </w:t>
      </w:r>
      <w:hyperlink r:id="rId17" w:history="1">
        <w:r w:rsidRPr="00350965">
          <w:rPr>
            <w:rStyle w:val="Hyperlink"/>
          </w:rPr>
          <w:t>https://ncc.abcb.gov.au/ncc-online/NCC/2019-A1/NCC-2019-Volume-One-Amendment-1/Section-D-Access-and-Egress/Part-D2-Construction-Of-Exits</w:t>
        </w:r>
      </w:hyperlink>
    </w:p>
  </w:footnote>
  <w:footnote w:id="21">
    <w:p w14:paraId="1E579A46" w14:textId="1CF96CF2" w:rsidR="0089014F" w:rsidRPr="00350965" w:rsidRDefault="0089014F" w:rsidP="00094004">
      <w:pPr>
        <w:pStyle w:val="FootnoteText"/>
      </w:pPr>
      <w:r w:rsidRPr="00350965">
        <w:rPr>
          <w:rStyle w:val="FootnoteReference"/>
        </w:rPr>
        <w:footnoteRef/>
      </w:r>
      <w:r w:rsidRPr="00350965">
        <w:t xml:space="preserve"> Australian Building Codes Board, </w:t>
      </w:r>
      <w:r w:rsidRPr="00350965">
        <w:rPr>
          <w:i/>
        </w:rPr>
        <w:t>The National Construction Code</w:t>
      </w:r>
      <w:r w:rsidRPr="00350965">
        <w:t xml:space="preserve">, 24 December 2021, </w:t>
      </w:r>
      <w:hyperlink r:id="rId18" w:history="1">
        <w:r w:rsidRPr="00350965">
          <w:rPr>
            <w:rStyle w:val="Hyperlink"/>
          </w:rPr>
          <w:t>https://ncc.abcb.gov.au/ncc-online/NCC/2019-A1/NCC-2019-Volume-One-Amendment-1/Section-D-Access-and-Egress/Part-D2-Construction-Of-Exits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74DC9" w14:textId="77777777" w:rsidR="0089014F" w:rsidRDefault="00890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A92E4" w14:textId="4279101D" w:rsidR="0089014F" w:rsidRDefault="0089014F" w:rsidP="008F655A">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3C5A" w14:textId="0AC142CD" w:rsidR="0089014F" w:rsidRDefault="0089014F" w:rsidP="008F655A">
    <w:pPr>
      <w:pStyle w:val="Header"/>
      <w:spacing w:after="1320"/>
    </w:pPr>
    <w:r>
      <w:fldChar w:fldCharType="begin"/>
    </w:r>
    <w:r>
      <w:instrText xml:space="preserve"> STYLEREF  "Heading 1"  \* MERGEFORMAT </w:instrText>
    </w:r>
    <w:r>
      <w:rPr>
        <w:b/>
        <w:bCs/>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F75DB" w14:textId="6D1A6E91" w:rsidR="0089014F" w:rsidRDefault="002F0470" w:rsidP="00BA3E65">
    <w:fldSimple w:instr=" STYLEREF  &quot;Chapter heading (short)&quot;  \* MERGEFORMAT ">
      <w:r w:rsidR="00310D7A">
        <w:rPr>
          <w:noProof/>
        </w:rPr>
        <w:t>Pontoon boarding points on infrastructure</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62827" w14:textId="22FD6A1B" w:rsidR="0089014F" w:rsidRDefault="002F0470" w:rsidP="00094004">
    <w:pPr>
      <w:pStyle w:val="Header"/>
      <w:spacing w:after="1320"/>
    </w:pPr>
    <w:fldSimple w:instr=" STYLEREF  &quot;Heading 2,Chapter Heading (Short),h2 main heading,B Sub/Bold,Body Text (Reset numbering),h2,H2,Section,2m,h 2,S&amp;P Heading 2,Reset numbering,Body Text (Reset numbering)1,Body Text (Reset numbering)2,B Sub/Bold1,B Sub/Bold2,B Sub/Bold11,h2 main heading1&quot;  \* MERGEFORMAT ">
      <w:r w:rsidR="00310D7A">
        <w:rPr>
          <w:noProof/>
        </w:rPr>
        <w:t>Accessible parking spaces in infrastructure off-street carparks</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39E8D" w14:textId="24B2AB99" w:rsidR="0089014F" w:rsidRPr="00F176A8" w:rsidRDefault="0089014F" w:rsidP="00246933">
    <w:pPr>
      <w:pStyle w:val="Header"/>
      <w:rPr>
        <w:sz w:val="20"/>
        <w:szCs w:val="20"/>
      </w:rPr>
    </w:pPr>
    <w:r>
      <w:rPr>
        <w:sz w:val="20"/>
        <w:szCs w:val="20"/>
      </w:rPr>
      <w:t>Appendix A – Detailed reform options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76A9548"/>
    <w:lvl w:ilvl="0">
      <w:start w:val="1"/>
      <w:numFmt w:val="decimal"/>
      <w:pStyle w:val="Listparagraph-bullets-secondlevel"/>
      <w:lvlText w:val="%1."/>
      <w:lvlJc w:val="left"/>
      <w:pPr>
        <w:tabs>
          <w:tab w:val="num" w:pos="360"/>
        </w:tabs>
        <w:ind w:left="360" w:hanging="360"/>
      </w:pPr>
    </w:lvl>
  </w:abstractNum>
  <w:abstractNum w:abstractNumId="1" w15:restartNumberingAfterBreak="0">
    <w:nsid w:val="01C212F7"/>
    <w:multiLevelType w:val="hybridMultilevel"/>
    <w:tmpl w:val="B3CE8BC4"/>
    <w:lvl w:ilvl="0" w:tplc="6A6E5C9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0D6C8D"/>
    <w:multiLevelType w:val="hybridMultilevel"/>
    <w:tmpl w:val="092E9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516C15"/>
    <w:multiLevelType w:val="hybridMultilevel"/>
    <w:tmpl w:val="432EA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533900"/>
    <w:multiLevelType w:val="hybridMultilevel"/>
    <w:tmpl w:val="F5E276F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038A6285"/>
    <w:multiLevelType w:val="hybridMultilevel"/>
    <w:tmpl w:val="129E7E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4F552B9"/>
    <w:multiLevelType w:val="multilevel"/>
    <w:tmpl w:val="B3DA647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74A3FF7"/>
    <w:multiLevelType w:val="hybridMultilevel"/>
    <w:tmpl w:val="44803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F26F09"/>
    <w:multiLevelType w:val="multilevel"/>
    <w:tmpl w:val="74CE67BE"/>
    <w:lvl w:ilvl="0">
      <w:start w:val="1"/>
      <w:numFmt w:val="bullet"/>
      <w:lvlText w:val=""/>
      <w:lvlJc w:val="left"/>
      <w:pPr>
        <w:ind w:left="567" w:hanging="567"/>
      </w:pPr>
      <w:rPr>
        <w:rFonts w:ascii="Symbol" w:hAnsi="Symbol" w:hint="default"/>
      </w:rPr>
    </w:lvl>
    <w:lvl w:ilvl="1">
      <w:start w:val="1"/>
      <w:numFmt w:val="decimal"/>
      <w:lvlText w:val="%1.%2"/>
      <w:lvlJc w:val="left"/>
      <w:pPr>
        <w:ind w:left="851" w:hanging="851"/>
      </w:pPr>
    </w:lvl>
    <w:lvl w:ilvl="2">
      <w:start w:val="1"/>
      <w:numFmt w:val="decimal"/>
      <w:lvlText w:val="%1.%2.%3"/>
      <w:lvlJc w:val="left"/>
      <w:pPr>
        <w:ind w:left="1134" w:hanging="1134"/>
      </w:pPr>
    </w:lvl>
    <w:lvl w:ilvl="3">
      <w:start w:val="1"/>
      <w:numFmt w:val="decimal"/>
      <w:lvlText w:val="%1.%2.%3.%4"/>
      <w:lvlJc w:val="left"/>
      <w:pPr>
        <w:ind w:left="1134" w:hanging="1134"/>
      </w:pPr>
    </w:lvl>
    <w:lvl w:ilvl="4">
      <w:start w:val="1"/>
      <w:numFmt w:val="decimal"/>
      <w:lvlText w:val="%1.%2.%3.%4.%5"/>
      <w:lvlJc w:val="left"/>
      <w:pPr>
        <w:ind w:left="1134" w:hanging="1134"/>
      </w:pPr>
    </w:lvl>
    <w:lvl w:ilvl="5">
      <w:start w:val="1"/>
      <w:numFmt w:val="lowerRoman"/>
      <w:lvlText w:val="(%6)"/>
      <w:lvlJc w:val="left"/>
      <w:pPr>
        <w:ind w:left="2160" w:hanging="360"/>
      </w:p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9F952B5"/>
    <w:multiLevelType w:val="hybridMultilevel"/>
    <w:tmpl w:val="877632D6"/>
    <w:lvl w:ilvl="0" w:tplc="945C09E8">
      <w:start w:val="1"/>
      <w:numFmt w:val="bullet"/>
      <w:pStyle w:val="BulletList"/>
      <w:lvlText w:val=""/>
      <w:lvlJc w:val="left"/>
      <w:pPr>
        <w:ind w:left="170" w:hanging="170"/>
      </w:pPr>
      <w:rPr>
        <w:rFonts w:ascii="Symbol" w:hAnsi="Symbol" w:hint="default"/>
        <w:color w:val="CD09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8449A"/>
    <w:multiLevelType w:val="hybridMultilevel"/>
    <w:tmpl w:val="EF482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7A58C1"/>
    <w:multiLevelType w:val="hybridMultilevel"/>
    <w:tmpl w:val="B6E28966"/>
    <w:lvl w:ilvl="0" w:tplc="32B6E778">
      <w:start w:val="1"/>
      <w:numFmt w:val="decimal"/>
      <w:lvlText w:val="%1."/>
      <w:lvlJc w:val="left"/>
      <w:pPr>
        <w:ind w:left="720" w:hanging="360"/>
      </w:pPr>
      <w:rPr>
        <w:rFonts w:hint="default"/>
      </w:rPr>
    </w:lvl>
    <w:lvl w:ilvl="1" w:tplc="797E5A8A">
      <w:start w:val="1"/>
      <w:numFmt w:val="lowerLetter"/>
      <w:lvlText w:val="%2."/>
      <w:lvlJc w:val="left"/>
      <w:pPr>
        <w:ind w:left="1440" w:hanging="360"/>
      </w:p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12" w15:restartNumberingAfterBreak="0">
    <w:nsid w:val="0D621AED"/>
    <w:multiLevelType w:val="multilevel"/>
    <w:tmpl w:val="C2EED61A"/>
    <w:numStyleLink w:val="NumberedHeadings"/>
  </w:abstractNum>
  <w:abstractNum w:abstractNumId="13" w15:restartNumberingAfterBreak="0">
    <w:nsid w:val="10204F88"/>
    <w:multiLevelType w:val="hybridMultilevel"/>
    <w:tmpl w:val="BDE45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0540F3"/>
    <w:multiLevelType w:val="hybridMultilevel"/>
    <w:tmpl w:val="F7ECD89C"/>
    <w:lvl w:ilvl="0" w:tplc="5590F5A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9A0306"/>
    <w:multiLevelType w:val="multilevel"/>
    <w:tmpl w:val="578AC06E"/>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19A802F5"/>
    <w:multiLevelType w:val="hybridMultilevel"/>
    <w:tmpl w:val="24FA098E"/>
    <w:lvl w:ilvl="0" w:tplc="32B6E778">
      <w:start w:val="1"/>
      <w:numFmt w:val="decimal"/>
      <w:lvlText w:val="%1."/>
      <w:lvlJc w:val="left"/>
      <w:pPr>
        <w:ind w:left="720" w:hanging="360"/>
      </w:pPr>
      <w:rPr>
        <w:rFonts w:hint="default"/>
      </w:rPr>
    </w:lvl>
    <w:lvl w:ilvl="1" w:tplc="D4FC66F4">
      <w:start w:val="1"/>
      <w:numFmt w:val="bullet"/>
      <w:lvlText w:val=""/>
      <w:lvlJc w:val="left"/>
      <w:pPr>
        <w:ind w:left="1440" w:hanging="360"/>
      </w:pPr>
      <w:rPr>
        <w:rFonts w:ascii="Symbol" w:hAnsi="Symbol" w:hint="default"/>
      </w:r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17" w15:restartNumberingAfterBreak="0">
    <w:nsid w:val="1EC930A1"/>
    <w:multiLevelType w:val="hybridMultilevel"/>
    <w:tmpl w:val="9BE632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FA77D3E"/>
    <w:multiLevelType w:val="hybridMultilevel"/>
    <w:tmpl w:val="EFF8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1B30DFE"/>
    <w:multiLevelType w:val="hybridMultilevel"/>
    <w:tmpl w:val="1C3A1F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1C424A5"/>
    <w:multiLevelType w:val="hybridMultilevel"/>
    <w:tmpl w:val="F5382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976C3A"/>
    <w:multiLevelType w:val="hybridMultilevel"/>
    <w:tmpl w:val="898C6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9BC5DE9"/>
    <w:multiLevelType w:val="multilevel"/>
    <w:tmpl w:val="164CC01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4" w15:restartNumberingAfterBreak="0">
    <w:nsid w:val="2B064E7F"/>
    <w:multiLevelType w:val="hybridMultilevel"/>
    <w:tmpl w:val="45D20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D712F0"/>
    <w:multiLevelType w:val="hybridMultilevel"/>
    <w:tmpl w:val="82649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D746CEA"/>
    <w:multiLevelType w:val="hybridMultilevel"/>
    <w:tmpl w:val="A77A66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F00FAB"/>
    <w:multiLevelType w:val="hybridMultilevel"/>
    <w:tmpl w:val="88BAE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E10562A"/>
    <w:multiLevelType w:val="hybridMultilevel"/>
    <w:tmpl w:val="D2D48E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1567EB2"/>
    <w:multiLevelType w:val="hybridMultilevel"/>
    <w:tmpl w:val="129E7E2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446155F"/>
    <w:multiLevelType w:val="hybridMultilevel"/>
    <w:tmpl w:val="3F945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875744"/>
    <w:multiLevelType w:val="hybridMultilevel"/>
    <w:tmpl w:val="C0D060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8CC2E67"/>
    <w:multiLevelType w:val="hybridMultilevel"/>
    <w:tmpl w:val="D7D8F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A51938"/>
    <w:multiLevelType w:val="multilevel"/>
    <w:tmpl w:val="298C34E4"/>
    <w:numStyleLink w:val="AppendixNumbers"/>
  </w:abstractNum>
  <w:abstractNum w:abstractNumId="35" w15:restartNumberingAfterBreak="0">
    <w:nsid w:val="3E6E315B"/>
    <w:multiLevelType w:val="hybridMultilevel"/>
    <w:tmpl w:val="6E60F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173295E"/>
    <w:multiLevelType w:val="multilevel"/>
    <w:tmpl w:val="3176FB4C"/>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425A3ED4"/>
    <w:multiLevelType w:val="hybridMultilevel"/>
    <w:tmpl w:val="11C40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2684089"/>
    <w:multiLevelType w:val="hybridMultilevel"/>
    <w:tmpl w:val="3676C1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42BD0383"/>
    <w:multiLevelType w:val="hybridMultilevel"/>
    <w:tmpl w:val="201055F6"/>
    <w:lvl w:ilvl="0" w:tplc="1A2C69F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45776E4"/>
    <w:multiLevelType w:val="hybridMultilevel"/>
    <w:tmpl w:val="94145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C42ABA"/>
    <w:multiLevelType w:val="hybridMultilevel"/>
    <w:tmpl w:val="B404A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D272173"/>
    <w:multiLevelType w:val="hybridMultilevel"/>
    <w:tmpl w:val="2AA8F8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F3D1218"/>
    <w:multiLevelType w:val="hybridMultilevel"/>
    <w:tmpl w:val="E8E8B470"/>
    <w:lvl w:ilvl="0" w:tplc="790E6C5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F55328D"/>
    <w:multiLevelType w:val="hybridMultilevel"/>
    <w:tmpl w:val="1AA21B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6" w15:restartNumberingAfterBreak="0">
    <w:nsid w:val="5267076C"/>
    <w:multiLevelType w:val="hybridMultilevel"/>
    <w:tmpl w:val="B9FC7B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6B80D6F"/>
    <w:multiLevelType w:val="hybridMultilevel"/>
    <w:tmpl w:val="12D6E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76C1E2D"/>
    <w:multiLevelType w:val="hybridMultilevel"/>
    <w:tmpl w:val="E530E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83661F6"/>
    <w:multiLevelType w:val="hybridMultilevel"/>
    <w:tmpl w:val="E0C4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A45592D"/>
    <w:multiLevelType w:val="hybridMultilevel"/>
    <w:tmpl w:val="C85C0752"/>
    <w:lvl w:ilvl="0" w:tplc="95D8FC2C">
      <w:start w:val="5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5C7C5C3D"/>
    <w:multiLevelType w:val="multilevel"/>
    <w:tmpl w:val="ADC268D4"/>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CBD0949"/>
    <w:multiLevelType w:val="hybridMultilevel"/>
    <w:tmpl w:val="AB9E7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DB22E1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4" w15:restartNumberingAfterBreak="0">
    <w:nsid w:val="5EA528D2"/>
    <w:multiLevelType w:val="hybridMultilevel"/>
    <w:tmpl w:val="81BEE9D2"/>
    <w:lvl w:ilvl="0" w:tplc="27263370">
      <w:start w:val="3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3917BB9"/>
    <w:multiLevelType w:val="multilevel"/>
    <w:tmpl w:val="C63A1C26"/>
    <w:lvl w:ilvl="0">
      <w:start w:val="1"/>
      <w:numFmt w:val="decimal"/>
      <w:pStyle w:val="PwCNormal"/>
      <w:suff w:val="nothing"/>
      <w:lvlText w:val=""/>
      <w:lvlJc w:val="left"/>
      <w:pPr>
        <w:ind w:left="0" w:firstLine="0"/>
      </w:pPr>
      <w:rPr>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57" w15:restartNumberingAfterBreak="0">
    <w:nsid w:val="63F56C2D"/>
    <w:multiLevelType w:val="hybridMultilevel"/>
    <w:tmpl w:val="A0765E7E"/>
    <w:lvl w:ilvl="0" w:tplc="56EE61E4">
      <w:start w:val="3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3FD2338"/>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9" w15:restartNumberingAfterBreak="0">
    <w:nsid w:val="649D1902"/>
    <w:multiLevelType w:val="hybridMultilevel"/>
    <w:tmpl w:val="34540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8827E7D"/>
    <w:multiLevelType w:val="hybridMultilevel"/>
    <w:tmpl w:val="E3803EBA"/>
    <w:lvl w:ilvl="0" w:tplc="DF4ABC6A">
      <w:start w:val="1"/>
      <w:numFmt w:val="bullet"/>
      <w:pStyle w:val="Tabletextbullets"/>
      <w:lvlText w:val=""/>
      <w:lvlJc w:val="left"/>
      <w:pPr>
        <w:ind w:left="927" w:hanging="360"/>
      </w:pPr>
      <w:rPr>
        <w:rFonts w:ascii="Symbol" w:hAnsi="Symbol" w:hint="default"/>
        <w:caps w:val="0"/>
        <w:strike w:val="0"/>
        <w:dstrike w:val="0"/>
        <w:vanish w:val="0"/>
        <w:color w:va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98615E4"/>
    <w:multiLevelType w:val="hybridMultilevel"/>
    <w:tmpl w:val="257A1A82"/>
    <w:lvl w:ilvl="0" w:tplc="32B6E778">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EC12F624" w:tentative="1">
      <w:start w:val="1"/>
      <w:numFmt w:val="lowerRoman"/>
      <w:lvlText w:val="%3."/>
      <w:lvlJc w:val="right"/>
      <w:pPr>
        <w:ind w:left="2160" w:hanging="180"/>
      </w:pPr>
    </w:lvl>
    <w:lvl w:ilvl="3" w:tplc="641CFF5C" w:tentative="1">
      <w:start w:val="1"/>
      <w:numFmt w:val="decimal"/>
      <w:lvlText w:val="%4."/>
      <w:lvlJc w:val="left"/>
      <w:pPr>
        <w:ind w:left="2880" w:hanging="360"/>
      </w:pPr>
    </w:lvl>
    <w:lvl w:ilvl="4" w:tplc="FB34B5F0" w:tentative="1">
      <w:start w:val="1"/>
      <w:numFmt w:val="lowerLetter"/>
      <w:lvlText w:val="%5."/>
      <w:lvlJc w:val="left"/>
      <w:pPr>
        <w:ind w:left="3600" w:hanging="360"/>
      </w:pPr>
    </w:lvl>
    <w:lvl w:ilvl="5" w:tplc="70D869E4" w:tentative="1">
      <w:start w:val="1"/>
      <w:numFmt w:val="lowerRoman"/>
      <w:lvlText w:val="%6."/>
      <w:lvlJc w:val="right"/>
      <w:pPr>
        <w:ind w:left="4320" w:hanging="180"/>
      </w:pPr>
    </w:lvl>
    <w:lvl w:ilvl="6" w:tplc="DF569AB0" w:tentative="1">
      <w:start w:val="1"/>
      <w:numFmt w:val="decimal"/>
      <w:lvlText w:val="%7."/>
      <w:lvlJc w:val="left"/>
      <w:pPr>
        <w:ind w:left="5040" w:hanging="360"/>
      </w:pPr>
    </w:lvl>
    <w:lvl w:ilvl="7" w:tplc="C00E7D00" w:tentative="1">
      <w:start w:val="1"/>
      <w:numFmt w:val="lowerLetter"/>
      <w:lvlText w:val="%8."/>
      <w:lvlJc w:val="left"/>
      <w:pPr>
        <w:ind w:left="5760" w:hanging="360"/>
      </w:pPr>
    </w:lvl>
    <w:lvl w:ilvl="8" w:tplc="D91A5790" w:tentative="1">
      <w:start w:val="1"/>
      <w:numFmt w:val="lowerRoman"/>
      <w:lvlText w:val="%9."/>
      <w:lvlJc w:val="right"/>
      <w:pPr>
        <w:ind w:left="6480" w:hanging="180"/>
      </w:pPr>
    </w:lvl>
  </w:abstractNum>
  <w:abstractNum w:abstractNumId="62" w15:restartNumberingAfterBreak="0">
    <w:nsid w:val="69BE700E"/>
    <w:multiLevelType w:val="hybridMultilevel"/>
    <w:tmpl w:val="918650A8"/>
    <w:lvl w:ilvl="0" w:tplc="D21E6EC4">
      <w:start w:val="1"/>
      <w:numFmt w:val="lowerLetter"/>
      <w:lvlText w:val="(%1)"/>
      <w:lvlJc w:val="left"/>
      <w:pPr>
        <w:ind w:left="1287"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3" w15:restartNumberingAfterBreak="0">
    <w:nsid w:val="6E283A48"/>
    <w:multiLevelType w:val="hybridMultilevel"/>
    <w:tmpl w:val="43AEF384"/>
    <w:lvl w:ilvl="0" w:tplc="BD78488A">
      <w:start w:val="1"/>
      <w:numFmt w:val="decimal"/>
      <w:pStyle w:val="ListParagraph"/>
      <w:lvlText w:val="%1."/>
      <w:lvlJc w:val="left"/>
      <w:pPr>
        <w:ind w:left="720" w:hanging="360"/>
      </w:pPr>
      <w:rPr>
        <w:rFonts w:hint="default"/>
      </w:rPr>
    </w:lvl>
    <w:lvl w:ilvl="1" w:tplc="0C090019">
      <w:start w:val="1"/>
      <w:numFmt w:val="lowerLetter"/>
      <w:pStyle w:val="Talkingpoint"/>
      <w:lvlText w:val="%2."/>
      <w:lvlJc w:val="left"/>
      <w:pPr>
        <w:ind w:left="1636" w:hanging="360"/>
      </w:pPr>
    </w:lvl>
    <w:lvl w:ilvl="2" w:tplc="23862198">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6F433DA0"/>
    <w:multiLevelType w:val="hybridMultilevel"/>
    <w:tmpl w:val="A656E4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43A1CA6"/>
    <w:multiLevelType w:val="hybridMultilevel"/>
    <w:tmpl w:val="9E968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65D2081"/>
    <w:multiLevelType w:val="hybridMultilevel"/>
    <w:tmpl w:val="C85C0752"/>
    <w:lvl w:ilvl="0" w:tplc="95D8FC2C">
      <w:start w:val="5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8646D76"/>
    <w:multiLevelType w:val="hybridMultilevel"/>
    <w:tmpl w:val="E446F694"/>
    <w:lvl w:ilvl="0" w:tplc="98AA5A62">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A956DF9"/>
    <w:multiLevelType w:val="hybridMultilevel"/>
    <w:tmpl w:val="8EEE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C657EBC"/>
    <w:multiLevelType w:val="hybridMultilevel"/>
    <w:tmpl w:val="8ABA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B91ADF"/>
    <w:multiLevelType w:val="hybridMultilevel"/>
    <w:tmpl w:val="0FFA3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2" w15:restartNumberingAfterBreak="0">
    <w:nsid w:val="7E763AD3"/>
    <w:multiLevelType w:val="hybridMultilevel"/>
    <w:tmpl w:val="045A49B6"/>
    <w:lvl w:ilvl="0" w:tplc="5EE05520">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0"/>
  </w:num>
  <w:num w:numId="2">
    <w:abstractNumId w:val="63"/>
  </w:num>
  <w:num w:numId="3">
    <w:abstractNumId w:val="0"/>
  </w:num>
  <w:num w:numId="4">
    <w:abstractNumId w:val="22"/>
  </w:num>
  <w:num w:numId="5">
    <w:abstractNumId w:val="37"/>
    <w:lvlOverride w:ilvl="0">
      <w:lvl w:ilvl="0">
        <w:start w:val="1"/>
        <w:numFmt w:val="bullet"/>
        <w:pStyle w:val="Bullet1"/>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abstractNumId w:val="37"/>
    <w:lvlOverride w:ilvl="0">
      <w:lvl w:ilvl="0">
        <w:start w:val="1"/>
        <w:numFmt w:val="bullet"/>
        <w:pStyle w:val="Bullet1"/>
        <w:lvlText w:val="•"/>
        <w:lvlJc w:val="left"/>
        <w:pPr>
          <w:ind w:left="284" w:hanging="284"/>
        </w:pPr>
        <w:rPr>
          <w:rFonts w:ascii="Calibri" w:hAnsi="Calibri" w:hint="default"/>
          <w:color w:val="auto"/>
        </w:rPr>
      </w:lvl>
    </w:lvlOverride>
  </w:num>
  <w:num w:numId="7">
    <w:abstractNumId w:val="71"/>
  </w:num>
  <w:num w:numId="8">
    <w:abstractNumId w:val="6"/>
    <w:lvlOverride w:ilvl="0">
      <w:lvl w:ilvl="0">
        <w:start w:val="1"/>
        <w:numFmt w:val="decimal"/>
        <w:pStyle w:val="ListNumbered1"/>
        <w:lvlText w:val="%1."/>
        <w:lvlJc w:val="left"/>
        <w:pPr>
          <w:ind w:left="284" w:hanging="284"/>
        </w:pPr>
        <w:rPr>
          <w:rFonts w:hint="default"/>
        </w:rPr>
      </w:lvl>
    </w:lvlOverride>
    <w:lvlOverride w:ilvl="1">
      <w:lvl w:ilvl="1">
        <w:start w:val="1"/>
        <w:numFmt w:val="decimal"/>
        <w:pStyle w:val="ListNumbered21"/>
        <w:lvlText w:val="%1.%2"/>
        <w:lvlJc w:val="left"/>
        <w:pPr>
          <w:ind w:left="851" w:hanging="567"/>
        </w:pPr>
        <w:rPr>
          <w:rFonts w:hint="default"/>
        </w:rPr>
      </w:lvl>
    </w:lvlOverride>
    <w:lvlOverride w:ilvl="2">
      <w:lvl w:ilvl="2">
        <w:start w:val="1"/>
        <w:numFmt w:val="decimal"/>
        <w:pStyle w:val="ListNumbered311"/>
        <w:lvlText w:val="%1.%2.%3"/>
        <w:lvlJc w:val="left"/>
        <w:pPr>
          <w:ind w:left="1701" w:hanging="850"/>
        </w:pPr>
        <w:rPr>
          <w:rFonts w:hint="default"/>
        </w:rPr>
      </w:lvl>
    </w:lvlOverride>
    <w:lvlOverride w:ilvl="3">
      <w:lvl w:ilvl="3">
        <w:start w:val="1"/>
        <w:numFmt w:val="decimal"/>
        <w:lvlText w:val="%1.%2.%3.%4"/>
        <w:lvlJc w:val="left"/>
        <w:pPr>
          <w:ind w:left="1440" w:hanging="360"/>
        </w:pPr>
        <w:rPr>
          <w:rFonts w:hint="default"/>
        </w:rPr>
      </w:lvl>
    </w:lvlOverride>
    <w:lvlOverride w:ilvl="4">
      <w:lvl w:ilvl="4">
        <w:start w:val="1"/>
        <w:numFmt w:val="decimal"/>
        <w:lvlText w:val="%1.%2.%3.%4.%5"/>
        <w:lvlJc w:val="left"/>
        <w:pPr>
          <w:ind w:left="2552" w:hanging="851"/>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9">
    <w:abstractNumId w:val="36"/>
  </w:num>
  <w:num w:numId="10">
    <w:abstractNumId w:val="12"/>
  </w:num>
  <w:num w:numId="11">
    <w:abstractNumId w:val="29"/>
  </w:num>
  <w:num w:numId="12">
    <w:abstractNumId w:val="34"/>
  </w:num>
  <w:num w:numId="13">
    <w:abstractNumId w:val="51"/>
    <w:lvlOverride w:ilvl="0">
      <w:lvl w:ilvl="0">
        <w:start w:val="1"/>
        <w:numFmt w:val="upperLetter"/>
        <w:pStyle w:val="AttachmentHeading1"/>
        <w:suff w:val="space"/>
        <w:lvlText w:val="Attachment %1 –"/>
        <w:lvlJc w:val="left"/>
        <w:pPr>
          <w:ind w:left="0" w:firstLine="0"/>
        </w:pPr>
        <w:rPr>
          <w:rFonts w:hint="default"/>
          <w:u w:val="single"/>
        </w:rPr>
      </w:lvl>
    </w:lvlOverride>
  </w:num>
  <w:num w:numId="14">
    <w:abstractNumId w:val="55"/>
  </w:num>
  <w:num w:numId="15">
    <w:abstractNumId w:val="9"/>
  </w:num>
  <w:num w:numId="16">
    <w:abstractNumId w:val="56"/>
  </w:num>
  <w:num w:numId="17">
    <w:abstractNumId w:val="3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16"/>
  </w:num>
  <w:num w:numId="21">
    <w:abstractNumId w:val="6"/>
  </w:num>
  <w:num w:numId="22">
    <w:abstractNumId w:val="37"/>
  </w:num>
  <w:num w:numId="23">
    <w:abstractNumId w:val="51"/>
  </w:num>
  <w:num w:numId="24">
    <w:abstractNumId w:val="37"/>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pStyle w:val="Bullet2"/>
        <w:lvlText w:val="–"/>
        <w:lvlJc w:val="left"/>
        <w:pPr>
          <w:ind w:left="568" w:hanging="284"/>
        </w:pPr>
        <w:rPr>
          <w:rFonts w:ascii="Calibri" w:hAnsi="Calibri" w:hint="default"/>
          <w:color w:val="auto"/>
        </w:rPr>
      </w:lvl>
    </w:lvlOverride>
    <w:lvlOverride w:ilvl="2">
      <w:lvl w:ilvl="2">
        <w:start w:val="1"/>
        <w:numFmt w:val="bullet"/>
        <w:pStyle w:val="Bullet3"/>
        <w:lvlText w:val="›"/>
        <w:lvlJc w:val="left"/>
        <w:pPr>
          <w:ind w:left="852" w:hanging="284"/>
        </w:pPr>
        <w:rPr>
          <w:rFonts w:ascii="Calibri" w:hAnsi="Calibri" w:hint="default"/>
          <w:color w:val="auto"/>
        </w:rPr>
      </w:lvl>
    </w:lvlOverride>
    <w:lvlOverride w:ilvl="3">
      <w:lvl w:ilvl="3">
        <w:start w:val="1"/>
        <w:numFmt w:val="bullet"/>
        <w:lvlText w:val="▫"/>
        <w:lvlJc w:val="left"/>
        <w:pPr>
          <w:ind w:left="1136" w:hanging="284"/>
        </w:pPr>
        <w:rPr>
          <w:rFonts w:ascii="Calibri" w:hAnsi="Calibri" w:hint="default"/>
          <w:color w:val="auto"/>
        </w:rPr>
      </w:lvl>
    </w:lvlOverride>
    <w:lvlOverride w:ilvl="4">
      <w:lvl w:ilvl="4">
        <w:start w:val="1"/>
        <w:numFmt w:val="bullet"/>
        <w:lvlText w:val="—"/>
        <w:lvlJc w:val="left"/>
        <w:pPr>
          <w:ind w:left="1420" w:hanging="284"/>
        </w:pPr>
        <w:rPr>
          <w:rFonts w:ascii="Calibri" w:hAnsi="Calibri" w:hint="default"/>
          <w:color w:val="auto"/>
        </w:rPr>
      </w:lvl>
    </w:lvlOverride>
    <w:lvlOverride w:ilvl="5">
      <w:lvl w:ilvl="5">
        <w:start w:val="1"/>
        <w:numFmt w:val="bullet"/>
        <w:lvlText w:val="»"/>
        <w:lvlJc w:val="left"/>
        <w:pPr>
          <w:ind w:left="1704" w:hanging="284"/>
        </w:pPr>
        <w:rPr>
          <w:rFonts w:ascii="Calibri" w:hAnsi="Calibri" w:hint="default"/>
          <w:color w:val="auto"/>
        </w:rPr>
      </w:lvl>
    </w:lvlOverride>
    <w:lvlOverride w:ilvl="6">
      <w:lvl w:ilvl="6">
        <w:start w:val="1"/>
        <w:numFmt w:val="decimal"/>
        <w:lvlText w:val="%7."/>
        <w:lvlJc w:val="left"/>
        <w:pPr>
          <w:ind w:left="994"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25">
    <w:abstractNumId w:val="43"/>
  </w:num>
  <w:num w:numId="26">
    <w:abstractNumId w:val="72"/>
  </w:num>
  <w:num w:numId="27">
    <w:abstractNumId w:val="67"/>
  </w:num>
  <w:num w:numId="28">
    <w:abstractNumId w:val="54"/>
  </w:num>
  <w:num w:numId="29">
    <w:abstractNumId w:val="59"/>
  </w:num>
  <w:num w:numId="30">
    <w:abstractNumId w:val="50"/>
  </w:num>
  <w:num w:numId="31">
    <w:abstractNumId w:val="45"/>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8"/>
  </w:num>
  <w:num w:numId="35">
    <w:abstractNumId w:val="28"/>
  </w:num>
  <w:num w:numId="36">
    <w:abstractNumId w:val="46"/>
  </w:num>
  <w:num w:numId="37">
    <w:abstractNumId w:val="20"/>
  </w:num>
  <w:num w:numId="38">
    <w:abstractNumId w:val="44"/>
  </w:num>
  <w:num w:numId="39">
    <w:abstractNumId w:val="10"/>
  </w:num>
  <w:num w:numId="40">
    <w:abstractNumId w:val="14"/>
  </w:num>
  <w:num w:numId="41">
    <w:abstractNumId w:val="5"/>
  </w:num>
  <w:num w:numId="42">
    <w:abstractNumId w:val="30"/>
  </w:num>
  <w:num w:numId="43">
    <w:abstractNumId w:val="49"/>
  </w:num>
  <w:num w:numId="44">
    <w:abstractNumId w:val="52"/>
  </w:num>
  <w:num w:numId="45">
    <w:abstractNumId w:val="65"/>
  </w:num>
  <w:num w:numId="46">
    <w:abstractNumId w:val="41"/>
  </w:num>
  <w:num w:numId="47">
    <w:abstractNumId w:val="57"/>
  </w:num>
  <w:num w:numId="48">
    <w:abstractNumId w:val="48"/>
  </w:num>
  <w:num w:numId="49">
    <w:abstractNumId w:val="40"/>
  </w:num>
  <w:num w:numId="50">
    <w:abstractNumId w:val="33"/>
  </w:num>
  <w:num w:numId="51">
    <w:abstractNumId w:val="3"/>
  </w:num>
  <w:num w:numId="52">
    <w:abstractNumId w:val="68"/>
  </w:num>
  <w:num w:numId="53">
    <w:abstractNumId w:val="38"/>
  </w:num>
  <w:num w:numId="54">
    <w:abstractNumId w:val="13"/>
  </w:num>
  <w:num w:numId="55">
    <w:abstractNumId w:val="42"/>
  </w:num>
  <w:num w:numId="56">
    <w:abstractNumId w:val="21"/>
  </w:num>
  <w:num w:numId="57">
    <w:abstractNumId w:val="17"/>
  </w:num>
  <w:num w:numId="58">
    <w:abstractNumId w:val="1"/>
  </w:num>
  <w:num w:numId="59">
    <w:abstractNumId w:val="35"/>
  </w:num>
  <w:num w:numId="60">
    <w:abstractNumId w:val="24"/>
  </w:num>
  <w:num w:numId="61">
    <w:abstractNumId w:val="69"/>
  </w:num>
  <w:num w:numId="62">
    <w:abstractNumId w:val="64"/>
  </w:num>
  <w:num w:numId="63">
    <w:abstractNumId w:val="25"/>
  </w:num>
  <w:num w:numId="64">
    <w:abstractNumId w:val="4"/>
  </w:num>
  <w:num w:numId="65">
    <w:abstractNumId w:val="32"/>
  </w:num>
  <w:num w:numId="66">
    <w:abstractNumId w:val="26"/>
  </w:num>
  <w:num w:numId="67">
    <w:abstractNumId w:val="58"/>
  </w:num>
  <w:num w:numId="68">
    <w:abstractNumId w:val="53"/>
  </w:num>
  <w:num w:numId="69">
    <w:abstractNumId w:val="62"/>
  </w:num>
  <w:num w:numId="70">
    <w:abstractNumId w:val="18"/>
  </w:num>
  <w:num w:numId="71">
    <w:abstractNumId w:val="7"/>
  </w:num>
  <w:num w:numId="72">
    <w:abstractNumId w:val="19"/>
  </w:num>
  <w:num w:numId="73">
    <w:abstractNumId w:val="31"/>
  </w:num>
  <w:num w:numId="74">
    <w:abstractNumId w:val="27"/>
  </w:num>
  <w:num w:numId="75">
    <w:abstractNumId w:val="70"/>
  </w:num>
  <w:num w:numId="76">
    <w:abstractNumId w:val="15"/>
  </w:num>
  <w:num w:numId="77">
    <w:abstractNumId w:val="66"/>
  </w:num>
  <w:num w:numId="78">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AB2"/>
    <w:rsid w:val="0000743D"/>
    <w:rsid w:val="000132CC"/>
    <w:rsid w:val="00013823"/>
    <w:rsid w:val="00013FC2"/>
    <w:rsid w:val="00027826"/>
    <w:rsid w:val="000319C8"/>
    <w:rsid w:val="000334CD"/>
    <w:rsid w:val="000367FA"/>
    <w:rsid w:val="00042CCD"/>
    <w:rsid w:val="00045819"/>
    <w:rsid w:val="00046C30"/>
    <w:rsid w:val="00047844"/>
    <w:rsid w:val="000506D0"/>
    <w:rsid w:val="00051A4C"/>
    <w:rsid w:val="000526AA"/>
    <w:rsid w:val="00056F6E"/>
    <w:rsid w:val="00061393"/>
    <w:rsid w:val="00061FAE"/>
    <w:rsid w:val="000630B3"/>
    <w:rsid w:val="0007219F"/>
    <w:rsid w:val="00072E95"/>
    <w:rsid w:val="000730F7"/>
    <w:rsid w:val="000764F1"/>
    <w:rsid w:val="00081C4C"/>
    <w:rsid w:val="00081EC9"/>
    <w:rsid w:val="00083A4A"/>
    <w:rsid w:val="000855E5"/>
    <w:rsid w:val="0009044A"/>
    <w:rsid w:val="000917A8"/>
    <w:rsid w:val="00091883"/>
    <w:rsid w:val="00092179"/>
    <w:rsid w:val="00093F34"/>
    <w:rsid w:val="00094004"/>
    <w:rsid w:val="00095AE6"/>
    <w:rsid w:val="00095B7D"/>
    <w:rsid w:val="00095C6F"/>
    <w:rsid w:val="000A0C47"/>
    <w:rsid w:val="000A0E36"/>
    <w:rsid w:val="000A4CD3"/>
    <w:rsid w:val="000A5CA4"/>
    <w:rsid w:val="000A7EC6"/>
    <w:rsid w:val="000B2322"/>
    <w:rsid w:val="000C358A"/>
    <w:rsid w:val="000C7A9B"/>
    <w:rsid w:val="000D573A"/>
    <w:rsid w:val="000D6E0B"/>
    <w:rsid w:val="000E130F"/>
    <w:rsid w:val="000E26AF"/>
    <w:rsid w:val="000E3BA6"/>
    <w:rsid w:val="000E4039"/>
    <w:rsid w:val="000E7346"/>
    <w:rsid w:val="000F3393"/>
    <w:rsid w:val="000F5F0D"/>
    <w:rsid w:val="000F79C9"/>
    <w:rsid w:val="000F7A93"/>
    <w:rsid w:val="00102671"/>
    <w:rsid w:val="00105D34"/>
    <w:rsid w:val="001075A6"/>
    <w:rsid w:val="001077D1"/>
    <w:rsid w:val="001106EA"/>
    <w:rsid w:val="00110E27"/>
    <w:rsid w:val="001157AA"/>
    <w:rsid w:val="0012349C"/>
    <w:rsid w:val="00124C72"/>
    <w:rsid w:val="00127251"/>
    <w:rsid w:val="001303E5"/>
    <w:rsid w:val="00130750"/>
    <w:rsid w:val="001354A7"/>
    <w:rsid w:val="00136EE8"/>
    <w:rsid w:val="00141A31"/>
    <w:rsid w:val="00142303"/>
    <w:rsid w:val="00143EC6"/>
    <w:rsid w:val="0015000C"/>
    <w:rsid w:val="00150FE8"/>
    <w:rsid w:val="00151341"/>
    <w:rsid w:val="00151633"/>
    <w:rsid w:val="00154484"/>
    <w:rsid w:val="00154DB9"/>
    <w:rsid w:val="00157A73"/>
    <w:rsid w:val="00161AA2"/>
    <w:rsid w:val="00161AE8"/>
    <w:rsid w:val="00161F41"/>
    <w:rsid w:val="00163A8D"/>
    <w:rsid w:val="001642E0"/>
    <w:rsid w:val="001645AF"/>
    <w:rsid w:val="00171427"/>
    <w:rsid w:val="001716A4"/>
    <w:rsid w:val="001719BF"/>
    <w:rsid w:val="001733E2"/>
    <w:rsid w:val="00177DBD"/>
    <w:rsid w:val="001868C4"/>
    <w:rsid w:val="001878D0"/>
    <w:rsid w:val="001921BA"/>
    <w:rsid w:val="0019386E"/>
    <w:rsid w:val="001941EE"/>
    <w:rsid w:val="00194888"/>
    <w:rsid w:val="00194A70"/>
    <w:rsid w:val="001A2558"/>
    <w:rsid w:val="001A5339"/>
    <w:rsid w:val="001A5800"/>
    <w:rsid w:val="001B283F"/>
    <w:rsid w:val="001B4346"/>
    <w:rsid w:val="001B5326"/>
    <w:rsid w:val="001B726A"/>
    <w:rsid w:val="001B7B6E"/>
    <w:rsid w:val="001B7EE7"/>
    <w:rsid w:val="001C16F9"/>
    <w:rsid w:val="001C2AB4"/>
    <w:rsid w:val="001C367E"/>
    <w:rsid w:val="001C3CED"/>
    <w:rsid w:val="001C7A9B"/>
    <w:rsid w:val="001E08EB"/>
    <w:rsid w:val="001E307C"/>
    <w:rsid w:val="001E3CA1"/>
    <w:rsid w:val="001F1125"/>
    <w:rsid w:val="001F4861"/>
    <w:rsid w:val="001F649C"/>
    <w:rsid w:val="00202902"/>
    <w:rsid w:val="002035C8"/>
    <w:rsid w:val="0020414C"/>
    <w:rsid w:val="00205D3F"/>
    <w:rsid w:val="00226879"/>
    <w:rsid w:val="00231D75"/>
    <w:rsid w:val="002345CE"/>
    <w:rsid w:val="00234D12"/>
    <w:rsid w:val="00237392"/>
    <w:rsid w:val="002422E0"/>
    <w:rsid w:val="00246933"/>
    <w:rsid w:val="00247638"/>
    <w:rsid w:val="00251CD3"/>
    <w:rsid w:val="002524DD"/>
    <w:rsid w:val="002545D4"/>
    <w:rsid w:val="002552A8"/>
    <w:rsid w:val="002567CE"/>
    <w:rsid w:val="00262CCB"/>
    <w:rsid w:val="002635B6"/>
    <w:rsid w:val="00264A95"/>
    <w:rsid w:val="002766EE"/>
    <w:rsid w:val="00282701"/>
    <w:rsid w:val="0028364D"/>
    <w:rsid w:val="00287737"/>
    <w:rsid w:val="00291275"/>
    <w:rsid w:val="00294AE5"/>
    <w:rsid w:val="00296978"/>
    <w:rsid w:val="002B2028"/>
    <w:rsid w:val="002B282F"/>
    <w:rsid w:val="002B4362"/>
    <w:rsid w:val="002B5178"/>
    <w:rsid w:val="002B620F"/>
    <w:rsid w:val="002C10AE"/>
    <w:rsid w:val="002C6460"/>
    <w:rsid w:val="002D07EC"/>
    <w:rsid w:val="002D3211"/>
    <w:rsid w:val="002D5ADA"/>
    <w:rsid w:val="002D61F7"/>
    <w:rsid w:val="002E048C"/>
    <w:rsid w:val="002E0B35"/>
    <w:rsid w:val="002E1F04"/>
    <w:rsid w:val="002E2C7D"/>
    <w:rsid w:val="002E4819"/>
    <w:rsid w:val="002E7C79"/>
    <w:rsid w:val="002F0470"/>
    <w:rsid w:val="002F17DD"/>
    <w:rsid w:val="002F22E2"/>
    <w:rsid w:val="002F33E7"/>
    <w:rsid w:val="002F431E"/>
    <w:rsid w:val="00301AFF"/>
    <w:rsid w:val="00305410"/>
    <w:rsid w:val="0031093A"/>
    <w:rsid w:val="00310D7A"/>
    <w:rsid w:val="0031146F"/>
    <w:rsid w:val="00311FE8"/>
    <w:rsid w:val="00313DFB"/>
    <w:rsid w:val="00315D48"/>
    <w:rsid w:val="00316E1B"/>
    <w:rsid w:val="00321B4C"/>
    <w:rsid w:val="00321E90"/>
    <w:rsid w:val="003231C3"/>
    <w:rsid w:val="0032675D"/>
    <w:rsid w:val="00331394"/>
    <w:rsid w:val="00340F5F"/>
    <w:rsid w:val="003431B1"/>
    <w:rsid w:val="003439D7"/>
    <w:rsid w:val="003462CE"/>
    <w:rsid w:val="00346787"/>
    <w:rsid w:val="003468D2"/>
    <w:rsid w:val="00350243"/>
    <w:rsid w:val="0035491A"/>
    <w:rsid w:val="003610FC"/>
    <w:rsid w:val="003619C1"/>
    <w:rsid w:val="003640D8"/>
    <w:rsid w:val="00373AF9"/>
    <w:rsid w:val="00373D03"/>
    <w:rsid w:val="00374401"/>
    <w:rsid w:val="00374B2C"/>
    <w:rsid w:val="00377E3A"/>
    <w:rsid w:val="003800A8"/>
    <w:rsid w:val="00380230"/>
    <w:rsid w:val="00380A30"/>
    <w:rsid w:val="00381F02"/>
    <w:rsid w:val="00382EA4"/>
    <w:rsid w:val="00390755"/>
    <w:rsid w:val="003913F0"/>
    <w:rsid w:val="00393DF7"/>
    <w:rsid w:val="00394203"/>
    <w:rsid w:val="00395D02"/>
    <w:rsid w:val="003976CF"/>
    <w:rsid w:val="00397ACD"/>
    <w:rsid w:val="003A076F"/>
    <w:rsid w:val="003A3630"/>
    <w:rsid w:val="003A48AB"/>
    <w:rsid w:val="003A4DFB"/>
    <w:rsid w:val="003A5000"/>
    <w:rsid w:val="003A5BD7"/>
    <w:rsid w:val="003B265F"/>
    <w:rsid w:val="003B3564"/>
    <w:rsid w:val="003B77C8"/>
    <w:rsid w:val="003C2729"/>
    <w:rsid w:val="003C30C5"/>
    <w:rsid w:val="003C5251"/>
    <w:rsid w:val="003C7100"/>
    <w:rsid w:val="003D1397"/>
    <w:rsid w:val="003D49BF"/>
    <w:rsid w:val="003D78B4"/>
    <w:rsid w:val="003E23F8"/>
    <w:rsid w:val="003E5752"/>
    <w:rsid w:val="003E6CFF"/>
    <w:rsid w:val="003E7E85"/>
    <w:rsid w:val="003F28CE"/>
    <w:rsid w:val="003F3997"/>
    <w:rsid w:val="003F3DDB"/>
    <w:rsid w:val="003F5DDB"/>
    <w:rsid w:val="0040043B"/>
    <w:rsid w:val="0040212B"/>
    <w:rsid w:val="00402B76"/>
    <w:rsid w:val="00403CEB"/>
    <w:rsid w:val="00404D8E"/>
    <w:rsid w:val="00404E01"/>
    <w:rsid w:val="00406600"/>
    <w:rsid w:val="00410FD0"/>
    <w:rsid w:val="004176AF"/>
    <w:rsid w:val="004225FF"/>
    <w:rsid w:val="004228D6"/>
    <w:rsid w:val="00425012"/>
    <w:rsid w:val="00427712"/>
    <w:rsid w:val="004329F7"/>
    <w:rsid w:val="004338BA"/>
    <w:rsid w:val="0043456A"/>
    <w:rsid w:val="00436AD8"/>
    <w:rsid w:val="00440A5E"/>
    <w:rsid w:val="00442281"/>
    <w:rsid w:val="00453579"/>
    <w:rsid w:val="004552A8"/>
    <w:rsid w:val="00457629"/>
    <w:rsid w:val="004607F3"/>
    <w:rsid w:val="0046246C"/>
    <w:rsid w:val="004735E5"/>
    <w:rsid w:val="00473693"/>
    <w:rsid w:val="00473BC3"/>
    <w:rsid w:val="00473FA9"/>
    <w:rsid w:val="0047777A"/>
    <w:rsid w:val="00477902"/>
    <w:rsid w:val="004815D7"/>
    <w:rsid w:val="00484DF7"/>
    <w:rsid w:val="004851BC"/>
    <w:rsid w:val="00490001"/>
    <w:rsid w:val="00493191"/>
    <w:rsid w:val="0049403A"/>
    <w:rsid w:val="00494DDB"/>
    <w:rsid w:val="004958FE"/>
    <w:rsid w:val="004A047E"/>
    <w:rsid w:val="004A09D3"/>
    <w:rsid w:val="004A3914"/>
    <w:rsid w:val="004A3918"/>
    <w:rsid w:val="004A4373"/>
    <w:rsid w:val="004A463A"/>
    <w:rsid w:val="004A5A9A"/>
    <w:rsid w:val="004A65F5"/>
    <w:rsid w:val="004B2538"/>
    <w:rsid w:val="004B2D4C"/>
    <w:rsid w:val="004B39DE"/>
    <w:rsid w:val="004B3BC3"/>
    <w:rsid w:val="004C0D5D"/>
    <w:rsid w:val="004C0E3B"/>
    <w:rsid w:val="004C192E"/>
    <w:rsid w:val="004C3AB3"/>
    <w:rsid w:val="004C3BE6"/>
    <w:rsid w:val="004C47E2"/>
    <w:rsid w:val="004C5E35"/>
    <w:rsid w:val="004C6F08"/>
    <w:rsid w:val="004D04B2"/>
    <w:rsid w:val="004D11AC"/>
    <w:rsid w:val="004D4B0F"/>
    <w:rsid w:val="004D5EB9"/>
    <w:rsid w:val="004D68A2"/>
    <w:rsid w:val="004D7504"/>
    <w:rsid w:val="004E0877"/>
    <w:rsid w:val="004E1111"/>
    <w:rsid w:val="004E19EA"/>
    <w:rsid w:val="004E2169"/>
    <w:rsid w:val="004E502A"/>
    <w:rsid w:val="004E5A56"/>
    <w:rsid w:val="004E77B6"/>
    <w:rsid w:val="004E78C7"/>
    <w:rsid w:val="004F0D17"/>
    <w:rsid w:val="004F2E9C"/>
    <w:rsid w:val="004F54CC"/>
    <w:rsid w:val="004F6E27"/>
    <w:rsid w:val="00501BDC"/>
    <w:rsid w:val="005030BA"/>
    <w:rsid w:val="005111B2"/>
    <w:rsid w:val="0051128E"/>
    <w:rsid w:val="00512A4B"/>
    <w:rsid w:val="00517711"/>
    <w:rsid w:val="00524B3D"/>
    <w:rsid w:val="00524D47"/>
    <w:rsid w:val="00530C14"/>
    <w:rsid w:val="0053113B"/>
    <w:rsid w:val="00541D2E"/>
    <w:rsid w:val="00541F94"/>
    <w:rsid w:val="00542022"/>
    <w:rsid w:val="005428FC"/>
    <w:rsid w:val="005456F0"/>
    <w:rsid w:val="00545D91"/>
    <w:rsid w:val="005478D9"/>
    <w:rsid w:val="00547A38"/>
    <w:rsid w:val="00550EAE"/>
    <w:rsid w:val="00556742"/>
    <w:rsid w:val="00560273"/>
    <w:rsid w:val="00561ABC"/>
    <w:rsid w:val="0056669A"/>
    <w:rsid w:val="005676EC"/>
    <w:rsid w:val="0057013D"/>
    <w:rsid w:val="00570854"/>
    <w:rsid w:val="00573A3E"/>
    <w:rsid w:val="0058133C"/>
    <w:rsid w:val="005817BC"/>
    <w:rsid w:val="00583592"/>
    <w:rsid w:val="00585C56"/>
    <w:rsid w:val="00587126"/>
    <w:rsid w:val="0059070A"/>
    <w:rsid w:val="005924D7"/>
    <w:rsid w:val="005A3029"/>
    <w:rsid w:val="005A3F17"/>
    <w:rsid w:val="005A5D55"/>
    <w:rsid w:val="005B09D3"/>
    <w:rsid w:val="005B26D9"/>
    <w:rsid w:val="005B282E"/>
    <w:rsid w:val="005B2F63"/>
    <w:rsid w:val="005B4F5F"/>
    <w:rsid w:val="005B6D40"/>
    <w:rsid w:val="005B7A0F"/>
    <w:rsid w:val="005C03EB"/>
    <w:rsid w:val="005C1F88"/>
    <w:rsid w:val="005C45DD"/>
    <w:rsid w:val="005C5E33"/>
    <w:rsid w:val="005C7B03"/>
    <w:rsid w:val="005D00AF"/>
    <w:rsid w:val="005D5D77"/>
    <w:rsid w:val="005E2A82"/>
    <w:rsid w:val="005E64AC"/>
    <w:rsid w:val="005E7371"/>
    <w:rsid w:val="005F1F98"/>
    <w:rsid w:val="005F4AF4"/>
    <w:rsid w:val="005F604B"/>
    <w:rsid w:val="00600B26"/>
    <w:rsid w:val="00602349"/>
    <w:rsid w:val="0060690D"/>
    <w:rsid w:val="00606FB4"/>
    <w:rsid w:val="00610FC5"/>
    <w:rsid w:val="00611388"/>
    <w:rsid w:val="00616608"/>
    <w:rsid w:val="00616BE8"/>
    <w:rsid w:val="006171E1"/>
    <w:rsid w:val="00622DF5"/>
    <w:rsid w:val="00630F92"/>
    <w:rsid w:val="0063133C"/>
    <w:rsid w:val="006324D9"/>
    <w:rsid w:val="0064181B"/>
    <w:rsid w:val="00642F09"/>
    <w:rsid w:val="006433C9"/>
    <w:rsid w:val="00645CAB"/>
    <w:rsid w:val="00650AD2"/>
    <w:rsid w:val="00650B4A"/>
    <w:rsid w:val="006564D5"/>
    <w:rsid w:val="00657905"/>
    <w:rsid w:val="00660025"/>
    <w:rsid w:val="006620EB"/>
    <w:rsid w:val="006625AC"/>
    <w:rsid w:val="006643F5"/>
    <w:rsid w:val="00666DE9"/>
    <w:rsid w:val="00667A4E"/>
    <w:rsid w:val="00667C53"/>
    <w:rsid w:val="00672DB6"/>
    <w:rsid w:val="00673CA7"/>
    <w:rsid w:val="00673E80"/>
    <w:rsid w:val="00675105"/>
    <w:rsid w:val="0067790F"/>
    <w:rsid w:val="006821D4"/>
    <w:rsid w:val="00682839"/>
    <w:rsid w:val="0068476E"/>
    <w:rsid w:val="0068592B"/>
    <w:rsid w:val="00691635"/>
    <w:rsid w:val="006926B3"/>
    <w:rsid w:val="00694DB1"/>
    <w:rsid w:val="00697326"/>
    <w:rsid w:val="006A1CDA"/>
    <w:rsid w:val="006A30C5"/>
    <w:rsid w:val="006A5C1D"/>
    <w:rsid w:val="006A73E4"/>
    <w:rsid w:val="006B2F70"/>
    <w:rsid w:val="006B3781"/>
    <w:rsid w:val="006B66D3"/>
    <w:rsid w:val="006C0013"/>
    <w:rsid w:val="006C72DB"/>
    <w:rsid w:val="006D4345"/>
    <w:rsid w:val="006D4614"/>
    <w:rsid w:val="006D5853"/>
    <w:rsid w:val="006D6F3F"/>
    <w:rsid w:val="006D7C61"/>
    <w:rsid w:val="006E2D10"/>
    <w:rsid w:val="006E4E65"/>
    <w:rsid w:val="006E7C2C"/>
    <w:rsid w:val="006F011D"/>
    <w:rsid w:val="006F2F96"/>
    <w:rsid w:val="006F3CEC"/>
    <w:rsid w:val="006F48C2"/>
    <w:rsid w:val="006F65FB"/>
    <w:rsid w:val="007103BC"/>
    <w:rsid w:val="00712560"/>
    <w:rsid w:val="00713118"/>
    <w:rsid w:val="007319F4"/>
    <w:rsid w:val="007335B4"/>
    <w:rsid w:val="00733978"/>
    <w:rsid w:val="007363D8"/>
    <w:rsid w:val="00736DF5"/>
    <w:rsid w:val="00736E40"/>
    <w:rsid w:val="00742100"/>
    <w:rsid w:val="00744689"/>
    <w:rsid w:val="007479D8"/>
    <w:rsid w:val="00753948"/>
    <w:rsid w:val="00754992"/>
    <w:rsid w:val="007561CD"/>
    <w:rsid w:val="007628F8"/>
    <w:rsid w:val="00767F34"/>
    <w:rsid w:val="00770E33"/>
    <w:rsid w:val="00771CD4"/>
    <w:rsid w:val="0077486B"/>
    <w:rsid w:val="00781B3D"/>
    <w:rsid w:val="007821C6"/>
    <w:rsid w:val="00784286"/>
    <w:rsid w:val="007858B0"/>
    <w:rsid w:val="00786B47"/>
    <w:rsid w:val="00786B6B"/>
    <w:rsid w:val="00786DF1"/>
    <w:rsid w:val="00787494"/>
    <w:rsid w:val="0079178D"/>
    <w:rsid w:val="00792805"/>
    <w:rsid w:val="00793843"/>
    <w:rsid w:val="007942FE"/>
    <w:rsid w:val="007945D7"/>
    <w:rsid w:val="0079588B"/>
    <w:rsid w:val="0079621E"/>
    <w:rsid w:val="00796A5A"/>
    <w:rsid w:val="007A0492"/>
    <w:rsid w:val="007B3370"/>
    <w:rsid w:val="007B3A5B"/>
    <w:rsid w:val="007B43E5"/>
    <w:rsid w:val="007C2931"/>
    <w:rsid w:val="007C295B"/>
    <w:rsid w:val="007C2DFE"/>
    <w:rsid w:val="007C4B71"/>
    <w:rsid w:val="007D162C"/>
    <w:rsid w:val="007D7AC3"/>
    <w:rsid w:val="007E2047"/>
    <w:rsid w:val="007E3C92"/>
    <w:rsid w:val="007E455D"/>
    <w:rsid w:val="007E4582"/>
    <w:rsid w:val="007E6AE7"/>
    <w:rsid w:val="007E7D92"/>
    <w:rsid w:val="007F04B4"/>
    <w:rsid w:val="007F2C34"/>
    <w:rsid w:val="007F62B4"/>
    <w:rsid w:val="007F710C"/>
    <w:rsid w:val="0080078C"/>
    <w:rsid w:val="00800BEF"/>
    <w:rsid w:val="0080557A"/>
    <w:rsid w:val="008058AA"/>
    <w:rsid w:val="0080677C"/>
    <w:rsid w:val="00815904"/>
    <w:rsid w:val="008166D2"/>
    <w:rsid w:val="00816D35"/>
    <w:rsid w:val="00825F67"/>
    <w:rsid w:val="00833184"/>
    <w:rsid w:val="008344F9"/>
    <w:rsid w:val="00834937"/>
    <w:rsid w:val="008425C9"/>
    <w:rsid w:val="0084280D"/>
    <w:rsid w:val="008435B1"/>
    <w:rsid w:val="008439E1"/>
    <w:rsid w:val="00844DB1"/>
    <w:rsid w:val="00850EA5"/>
    <w:rsid w:val="00852297"/>
    <w:rsid w:val="008539A0"/>
    <w:rsid w:val="0085423C"/>
    <w:rsid w:val="0085428A"/>
    <w:rsid w:val="00856A46"/>
    <w:rsid w:val="0086613F"/>
    <w:rsid w:val="0087049B"/>
    <w:rsid w:val="00871CAD"/>
    <w:rsid w:val="00872B84"/>
    <w:rsid w:val="00874437"/>
    <w:rsid w:val="0087474B"/>
    <w:rsid w:val="00875AA5"/>
    <w:rsid w:val="008762D5"/>
    <w:rsid w:val="00881A66"/>
    <w:rsid w:val="00881B9E"/>
    <w:rsid w:val="00884E2C"/>
    <w:rsid w:val="00886D66"/>
    <w:rsid w:val="008877FC"/>
    <w:rsid w:val="0089014F"/>
    <w:rsid w:val="00890890"/>
    <w:rsid w:val="00892889"/>
    <w:rsid w:val="00894D47"/>
    <w:rsid w:val="00897886"/>
    <w:rsid w:val="008A212A"/>
    <w:rsid w:val="008A7F8E"/>
    <w:rsid w:val="008B0801"/>
    <w:rsid w:val="008B1154"/>
    <w:rsid w:val="008B3BA2"/>
    <w:rsid w:val="008B55F3"/>
    <w:rsid w:val="008B646B"/>
    <w:rsid w:val="008C0C06"/>
    <w:rsid w:val="008C1C27"/>
    <w:rsid w:val="008C3936"/>
    <w:rsid w:val="008D1DFA"/>
    <w:rsid w:val="008D2CCA"/>
    <w:rsid w:val="008D4708"/>
    <w:rsid w:val="008D4AB2"/>
    <w:rsid w:val="008D5948"/>
    <w:rsid w:val="008D7AE4"/>
    <w:rsid w:val="008D7FCF"/>
    <w:rsid w:val="008E055D"/>
    <w:rsid w:val="008E7312"/>
    <w:rsid w:val="008F0185"/>
    <w:rsid w:val="008F15B2"/>
    <w:rsid w:val="008F498D"/>
    <w:rsid w:val="008F655A"/>
    <w:rsid w:val="009067A7"/>
    <w:rsid w:val="00912B06"/>
    <w:rsid w:val="009134C0"/>
    <w:rsid w:val="00913F5F"/>
    <w:rsid w:val="00914EBE"/>
    <w:rsid w:val="00921CBC"/>
    <w:rsid w:val="00924580"/>
    <w:rsid w:val="00926412"/>
    <w:rsid w:val="009276A3"/>
    <w:rsid w:val="00931D84"/>
    <w:rsid w:val="00945040"/>
    <w:rsid w:val="00945E1F"/>
    <w:rsid w:val="00946096"/>
    <w:rsid w:val="0094772D"/>
    <w:rsid w:val="00947F02"/>
    <w:rsid w:val="00947FA5"/>
    <w:rsid w:val="009512B2"/>
    <w:rsid w:val="009534BB"/>
    <w:rsid w:val="00953BDD"/>
    <w:rsid w:val="00953FE0"/>
    <w:rsid w:val="00955F68"/>
    <w:rsid w:val="00960FA5"/>
    <w:rsid w:val="009623FF"/>
    <w:rsid w:val="00962EB3"/>
    <w:rsid w:val="00965ED1"/>
    <w:rsid w:val="009705DE"/>
    <w:rsid w:val="00972372"/>
    <w:rsid w:val="00974DE7"/>
    <w:rsid w:val="0098101E"/>
    <w:rsid w:val="00982AA8"/>
    <w:rsid w:val="009865B5"/>
    <w:rsid w:val="00987FB1"/>
    <w:rsid w:val="00992447"/>
    <w:rsid w:val="00993277"/>
    <w:rsid w:val="00993353"/>
    <w:rsid w:val="00997260"/>
    <w:rsid w:val="009A4A8E"/>
    <w:rsid w:val="009A4CD2"/>
    <w:rsid w:val="009A76CE"/>
    <w:rsid w:val="009B2D8B"/>
    <w:rsid w:val="009B2DD4"/>
    <w:rsid w:val="009B58C3"/>
    <w:rsid w:val="009B61BE"/>
    <w:rsid w:val="009B6BDD"/>
    <w:rsid w:val="009C44EC"/>
    <w:rsid w:val="009D044C"/>
    <w:rsid w:val="009D15D8"/>
    <w:rsid w:val="009D538C"/>
    <w:rsid w:val="009E27A5"/>
    <w:rsid w:val="009E7F0F"/>
    <w:rsid w:val="009E7FFC"/>
    <w:rsid w:val="009F3C35"/>
    <w:rsid w:val="009F4F2E"/>
    <w:rsid w:val="009F68D8"/>
    <w:rsid w:val="00A02E64"/>
    <w:rsid w:val="00A06601"/>
    <w:rsid w:val="00A07C50"/>
    <w:rsid w:val="00A11811"/>
    <w:rsid w:val="00A20D48"/>
    <w:rsid w:val="00A232C6"/>
    <w:rsid w:val="00A24529"/>
    <w:rsid w:val="00A24DF7"/>
    <w:rsid w:val="00A333F8"/>
    <w:rsid w:val="00A36007"/>
    <w:rsid w:val="00A405F9"/>
    <w:rsid w:val="00A43AE9"/>
    <w:rsid w:val="00A447A2"/>
    <w:rsid w:val="00A453EE"/>
    <w:rsid w:val="00A4558D"/>
    <w:rsid w:val="00A45B27"/>
    <w:rsid w:val="00A47401"/>
    <w:rsid w:val="00A50EF0"/>
    <w:rsid w:val="00A55129"/>
    <w:rsid w:val="00A552DA"/>
    <w:rsid w:val="00A555EF"/>
    <w:rsid w:val="00A57C06"/>
    <w:rsid w:val="00A60AD6"/>
    <w:rsid w:val="00A62FFE"/>
    <w:rsid w:val="00A71409"/>
    <w:rsid w:val="00A7148B"/>
    <w:rsid w:val="00A75A6D"/>
    <w:rsid w:val="00A8060A"/>
    <w:rsid w:val="00A83F71"/>
    <w:rsid w:val="00A900AD"/>
    <w:rsid w:val="00A92380"/>
    <w:rsid w:val="00A932AE"/>
    <w:rsid w:val="00A93FFA"/>
    <w:rsid w:val="00A951BA"/>
    <w:rsid w:val="00AA035A"/>
    <w:rsid w:val="00AA180A"/>
    <w:rsid w:val="00AA4670"/>
    <w:rsid w:val="00AB008C"/>
    <w:rsid w:val="00AB4662"/>
    <w:rsid w:val="00AB61B9"/>
    <w:rsid w:val="00AC039B"/>
    <w:rsid w:val="00AC13FE"/>
    <w:rsid w:val="00AC2BA3"/>
    <w:rsid w:val="00AD25E7"/>
    <w:rsid w:val="00AD3293"/>
    <w:rsid w:val="00AD3A10"/>
    <w:rsid w:val="00AD41BA"/>
    <w:rsid w:val="00AD5D36"/>
    <w:rsid w:val="00AD6056"/>
    <w:rsid w:val="00AE0950"/>
    <w:rsid w:val="00AE165A"/>
    <w:rsid w:val="00AE2680"/>
    <w:rsid w:val="00AE2697"/>
    <w:rsid w:val="00AE4AAE"/>
    <w:rsid w:val="00AE52A5"/>
    <w:rsid w:val="00AF0711"/>
    <w:rsid w:val="00AF4C2A"/>
    <w:rsid w:val="00AF6545"/>
    <w:rsid w:val="00AF7702"/>
    <w:rsid w:val="00B007B1"/>
    <w:rsid w:val="00B00A31"/>
    <w:rsid w:val="00B0322F"/>
    <w:rsid w:val="00B07F1F"/>
    <w:rsid w:val="00B1026A"/>
    <w:rsid w:val="00B13480"/>
    <w:rsid w:val="00B140F4"/>
    <w:rsid w:val="00B17483"/>
    <w:rsid w:val="00B22693"/>
    <w:rsid w:val="00B22C62"/>
    <w:rsid w:val="00B23C69"/>
    <w:rsid w:val="00B25F10"/>
    <w:rsid w:val="00B37DEB"/>
    <w:rsid w:val="00B40978"/>
    <w:rsid w:val="00B412CC"/>
    <w:rsid w:val="00B4538E"/>
    <w:rsid w:val="00B45731"/>
    <w:rsid w:val="00B50A3E"/>
    <w:rsid w:val="00B51696"/>
    <w:rsid w:val="00B54D35"/>
    <w:rsid w:val="00B54FD4"/>
    <w:rsid w:val="00B559BD"/>
    <w:rsid w:val="00B745AD"/>
    <w:rsid w:val="00B77DDF"/>
    <w:rsid w:val="00B80BC0"/>
    <w:rsid w:val="00B82E35"/>
    <w:rsid w:val="00B8363D"/>
    <w:rsid w:val="00B91A7D"/>
    <w:rsid w:val="00B93EE1"/>
    <w:rsid w:val="00B9415A"/>
    <w:rsid w:val="00BA004C"/>
    <w:rsid w:val="00BA2B9B"/>
    <w:rsid w:val="00BA3E65"/>
    <w:rsid w:val="00BA71E5"/>
    <w:rsid w:val="00BA74D3"/>
    <w:rsid w:val="00BB1C04"/>
    <w:rsid w:val="00BB1DFB"/>
    <w:rsid w:val="00BB1E77"/>
    <w:rsid w:val="00BB62D3"/>
    <w:rsid w:val="00BC0FE2"/>
    <w:rsid w:val="00BC27C1"/>
    <w:rsid w:val="00BC2965"/>
    <w:rsid w:val="00BC71D1"/>
    <w:rsid w:val="00BC72AC"/>
    <w:rsid w:val="00BD5A88"/>
    <w:rsid w:val="00BD6B89"/>
    <w:rsid w:val="00BE1B2C"/>
    <w:rsid w:val="00BE429A"/>
    <w:rsid w:val="00BE47B0"/>
    <w:rsid w:val="00BE72A4"/>
    <w:rsid w:val="00BF06A7"/>
    <w:rsid w:val="00BF3954"/>
    <w:rsid w:val="00C01BDE"/>
    <w:rsid w:val="00C01C3D"/>
    <w:rsid w:val="00C05807"/>
    <w:rsid w:val="00C0629F"/>
    <w:rsid w:val="00C07C95"/>
    <w:rsid w:val="00C10E20"/>
    <w:rsid w:val="00C1541A"/>
    <w:rsid w:val="00C15443"/>
    <w:rsid w:val="00C16CE9"/>
    <w:rsid w:val="00C17787"/>
    <w:rsid w:val="00C21314"/>
    <w:rsid w:val="00C26EDE"/>
    <w:rsid w:val="00C30AFB"/>
    <w:rsid w:val="00C40DB2"/>
    <w:rsid w:val="00C415E3"/>
    <w:rsid w:val="00C4280C"/>
    <w:rsid w:val="00C514E2"/>
    <w:rsid w:val="00C522F6"/>
    <w:rsid w:val="00C57D02"/>
    <w:rsid w:val="00C60568"/>
    <w:rsid w:val="00C66246"/>
    <w:rsid w:val="00C704CE"/>
    <w:rsid w:val="00C75C34"/>
    <w:rsid w:val="00C75FC9"/>
    <w:rsid w:val="00C76DE9"/>
    <w:rsid w:val="00C827CA"/>
    <w:rsid w:val="00C85FB1"/>
    <w:rsid w:val="00CA1B64"/>
    <w:rsid w:val="00CA3894"/>
    <w:rsid w:val="00CA3C50"/>
    <w:rsid w:val="00CA40E1"/>
    <w:rsid w:val="00CA4FFD"/>
    <w:rsid w:val="00CA5587"/>
    <w:rsid w:val="00CA65BF"/>
    <w:rsid w:val="00CA68B4"/>
    <w:rsid w:val="00CB159F"/>
    <w:rsid w:val="00CB388C"/>
    <w:rsid w:val="00CB442B"/>
    <w:rsid w:val="00CB454F"/>
    <w:rsid w:val="00CC18A5"/>
    <w:rsid w:val="00CC1F94"/>
    <w:rsid w:val="00CC2D7A"/>
    <w:rsid w:val="00CC3AC8"/>
    <w:rsid w:val="00CC3AF8"/>
    <w:rsid w:val="00CC3E1D"/>
    <w:rsid w:val="00CD13D2"/>
    <w:rsid w:val="00CD69B7"/>
    <w:rsid w:val="00CD6B48"/>
    <w:rsid w:val="00CF2097"/>
    <w:rsid w:val="00CF587C"/>
    <w:rsid w:val="00CF5E3F"/>
    <w:rsid w:val="00CF7427"/>
    <w:rsid w:val="00D06B17"/>
    <w:rsid w:val="00D109DA"/>
    <w:rsid w:val="00D11962"/>
    <w:rsid w:val="00D1310E"/>
    <w:rsid w:val="00D13E09"/>
    <w:rsid w:val="00D15057"/>
    <w:rsid w:val="00D163AC"/>
    <w:rsid w:val="00D175C2"/>
    <w:rsid w:val="00D17947"/>
    <w:rsid w:val="00D22456"/>
    <w:rsid w:val="00D2306C"/>
    <w:rsid w:val="00D25D11"/>
    <w:rsid w:val="00D27904"/>
    <w:rsid w:val="00D32D39"/>
    <w:rsid w:val="00D35CB8"/>
    <w:rsid w:val="00D3677C"/>
    <w:rsid w:val="00D372E2"/>
    <w:rsid w:val="00D406B1"/>
    <w:rsid w:val="00D47200"/>
    <w:rsid w:val="00D47FB1"/>
    <w:rsid w:val="00D502F2"/>
    <w:rsid w:val="00D50C1F"/>
    <w:rsid w:val="00D51967"/>
    <w:rsid w:val="00D55090"/>
    <w:rsid w:val="00D57A02"/>
    <w:rsid w:val="00D649FB"/>
    <w:rsid w:val="00D73720"/>
    <w:rsid w:val="00D76964"/>
    <w:rsid w:val="00D85955"/>
    <w:rsid w:val="00D87323"/>
    <w:rsid w:val="00D91DE8"/>
    <w:rsid w:val="00D91E61"/>
    <w:rsid w:val="00D91F63"/>
    <w:rsid w:val="00D928F5"/>
    <w:rsid w:val="00D9485F"/>
    <w:rsid w:val="00D95D9E"/>
    <w:rsid w:val="00D979B2"/>
    <w:rsid w:val="00DA0EBA"/>
    <w:rsid w:val="00DA1644"/>
    <w:rsid w:val="00DA2462"/>
    <w:rsid w:val="00DA65E0"/>
    <w:rsid w:val="00DA7C3A"/>
    <w:rsid w:val="00DB0B11"/>
    <w:rsid w:val="00DB49BC"/>
    <w:rsid w:val="00DB6C49"/>
    <w:rsid w:val="00DB7243"/>
    <w:rsid w:val="00DC0E73"/>
    <w:rsid w:val="00DC26AC"/>
    <w:rsid w:val="00DD0BCC"/>
    <w:rsid w:val="00DD418B"/>
    <w:rsid w:val="00DD4D81"/>
    <w:rsid w:val="00DE4EB2"/>
    <w:rsid w:val="00DE7B16"/>
    <w:rsid w:val="00DF0B63"/>
    <w:rsid w:val="00DF12FC"/>
    <w:rsid w:val="00DF3FB9"/>
    <w:rsid w:val="00DF64E2"/>
    <w:rsid w:val="00DF686F"/>
    <w:rsid w:val="00DF7400"/>
    <w:rsid w:val="00E002E2"/>
    <w:rsid w:val="00E06785"/>
    <w:rsid w:val="00E1199F"/>
    <w:rsid w:val="00E14044"/>
    <w:rsid w:val="00E166E0"/>
    <w:rsid w:val="00E177CC"/>
    <w:rsid w:val="00E20915"/>
    <w:rsid w:val="00E216AB"/>
    <w:rsid w:val="00E24239"/>
    <w:rsid w:val="00E274D2"/>
    <w:rsid w:val="00E35F69"/>
    <w:rsid w:val="00E373EB"/>
    <w:rsid w:val="00E4150A"/>
    <w:rsid w:val="00E423D8"/>
    <w:rsid w:val="00E43FA6"/>
    <w:rsid w:val="00E44CC7"/>
    <w:rsid w:val="00E451C4"/>
    <w:rsid w:val="00E51BF4"/>
    <w:rsid w:val="00E635F6"/>
    <w:rsid w:val="00E64800"/>
    <w:rsid w:val="00E6679A"/>
    <w:rsid w:val="00E673F5"/>
    <w:rsid w:val="00E67592"/>
    <w:rsid w:val="00E70AF7"/>
    <w:rsid w:val="00E718F6"/>
    <w:rsid w:val="00E83777"/>
    <w:rsid w:val="00E8506F"/>
    <w:rsid w:val="00E852DF"/>
    <w:rsid w:val="00E856D2"/>
    <w:rsid w:val="00E91CB1"/>
    <w:rsid w:val="00E92A3A"/>
    <w:rsid w:val="00E95AA1"/>
    <w:rsid w:val="00E964EA"/>
    <w:rsid w:val="00EA0AC1"/>
    <w:rsid w:val="00EA2AC5"/>
    <w:rsid w:val="00EA30E3"/>
    <w:rsid w:val="00EA46F4"/>
    <w:rsid w:val="00EA5DE4"/>
    <w:rsid w:val="00EB57B7"/>
    <w:rsid w:val="00EB5897"/>
    <w:rsid w:val="00EC18A5"/>
    <w:rsid w:val="00EC3C77"/>
    <w:rsid w:val="00EC4AB9"/>
    <w:rsid w:val="00EC56A5"/>
    <w:rsid w:val="00EC633B"/>
    <w:rsid w:val="00EC7B33"/>
    <w:rsid w:val="00ED0F93"/>
    <w:rsid w:val="00ED1721"/>
    <w:rsid w:val="00ED1853"/>
    <w:rsid w:val="00ED6F7C"/>
    <w:rsid w:val="00ED7E3E"/>
    <w:rsid w:val="00EE1CFE"/>
    <w:rsid w:val="00EE7613"/>
    <w:rsid w:val="00EF10C7"/>
    <w:rsid w:val="00EF1693"/>
    <w:rsid w:val="00EF20B6"/>
    <w:rsid w:val="00EF4529"/>
    <w:rsid w:val="00EF59AB"/>
    <w:rsid w:val="00F022F6"/>
    <w:rsid w:val="00F10666"/>
    <w:rsid w:val="00F14276"/>
    <w:rsid w:val="00F152EA"/>
    <w:rsid w:val="00F168CB"/>
    <w:rsid w:val="00F176A8"/>
    <w:rsid w:val="00F237CE"/>
    <w:rsid w:val="00F23CC6"/>
    <w:rsid w:val="00F24CDA"/>
    <w:rsid w:val="00F25294"/>
    <w:rsid w:val="00F25C4A"/>
    <w:rsid w:val="00F26EC2"/>
    <w:rsid w:val="00F27294"/>
    <w:rsid w:val="00F302D5"/>
    <w:rsid w:val="00F30B09"/>
    <w:rsid w:val="00F33A36"/>
    <w:rsid w:val="00F366E8"/>
    <w:rsid w:val="00F36DD9"/>
    <w:rsid w:val="00F36F0B"/>
    <w:rsid w:val="00F37EFF"/>
    <w:rsid w:val="00F42B40"/>
    <w:rsid w:val="00F44D60"/>
    <w:rsid w:val="00F46A56"/>
    <w:rsid w:val="00F46E3B"/>
    <w:rsid w:val="00F47B58"/>
    <w:rsid w:val="00F47BFE"/>
    <w:rsid w:val="00F538E9"/>
    <w:rsid w:val="00F55611"/>
    <w:rsid w:val="00F56D46"/>
    <w:rsid w:val="00F65D37"/>
    <w:rsid w:val="00F66192"/>
    <w:rsid w:val="00F66240"/>
    <w:rsid w:val="00F66F50"/>
    <w:rsid w:val="00F71E4C"/>
    <w:rsid w:val="00F7313B"/>
    <w:rsid w:val="00F73BE7"/>
    <w:rsid w:val="00F75EF4"/>
    <w:rsid w:val="00F77FA4"/>
    <w:rsid w:val="00F8004F"/>
    <w:rsid w:val="00F83E96"/>
    <w:rsid w:val="00F83F7D"/>
    <w:rsid w:val="00F85D91"/>
    <w:rsid w:val="00F86A83"/>
    <w:rsid w:val="00F87B55"/>
    <w:rsid w:val="00F934C4"/>
    <w:rsid w:val="00F93673"/>
    <w:rsid w:val="00F93853"/>
    <w:rsid w:val="00F963F5"/>
    <w:rsid w:val="00FA0AD4"/>
    <w:rsid w:val="00FA7D2B"/>
    <w:rsid w:val="00FB03A7"/>
    <w:rsid w:val="00FB4BDA"/>
    <w:rsid w:val="00FC0EBF"/>
    <w:rsid w:val="00FC1033"/>
    <w:rsid w:val="00FC6346"/>
    <w:rsid w:val="00FD04B5"/>
    <w:rsid w:val="00FD4300"/>
    <w:rsid w:val="00FD6292"/>
    <w:rsid w:val="00FD7E8D"/>
    <w:rsid w:val="00FE46F4"/>
    <w:rsid w:val="00FF3C51"/>
    <w:rsid w:val="00FF698B"/>
    <w:rsid w:val="08D050C4"/>
    <w:rsid w:val="169A030C"/>
    <w:rsid w:val="1F5E9FB7"/>
    <w:rsid w:val="21038F00"/>
    <w:rsid w:val="4C4858D8"/>
    <w:rsid w:val="4D35F4AD"/>
    <w:rsid w:val="6647E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3D00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2"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9C9"/>
    <w:pPr>
      <w:spacing w:line="240" w:lineRule="auto"/>
    </w:pPr>
    <w:rPr>
      <w:lang w:val="en-US"/>
    </w:rPr>
  </w:style>
  <w:style w:type="paragraph" w:styleId="Heading1">
    <w:name w:val="heading 1"/>
    <w:basedOn w:val="Normal"/>
    <w:next w:val="Normal"/>
    <w:link w:val="Heading1Char"/>
    <w:uiPriority w:val="9"/>
    <w:qFormat/>
    <w:rsid w:val="00616BE8"/>
    <w:pPr>
      <w:suppressAutoHyphens/>
      <w:spacing w:before="480" w:after="360"/>
      <w:outlineLvl w:val="0"/>
    </w:pPr>
    <w:rPr>
      <w:rFonts w:ascii="Calibri" w:eastAsia="Calibri" w:hAnsi="Calibri" w:cs="Calibri"/>
      <w:b/>
      <w:color w:val="000000"/>
      <w:kern w:val="12"/>
      <w:sz w:val="56"/>
      <w:szCs w:val="60"/>
    </w:rPr>
  </w:style>
  <w:style w:type="paragraph" w:styleId="Heading2">
    <w:name w:val="heading 2"/>
    <w:aliases w:val="Chapter Heading (Short),h2 main heading,B Sub/Bold,Body Text (Reset numbering),h2,H2,Section,2m,h 2,S&amp;P Heading 2,Reset numbering,Body Text (Reset numbering)1,Body Text (Reset numbering)2,B Sub/Bold1,B Sub/Bold2,B Sub/Bold11,h2 main heading1"/>
    <w:basedOn w:val="Normal"/>
    <w:next w:val="Normal"/>
    <w:link w:val="Heading2Char"/>
    <w:uiPriority w:val="2"/>
    <w:unhideWhenUsed/>
    <w:qFormat/>
    <w:rsid w:val="001B4346"/>
    <w:pPr>
      <w:keepNext/>
      <w:suppressAutoHyphens/>
      <w:spacing w:before="120"/>
      <w:outlineLvl w:val="1"/>
    </w:pPr>
    <w:rPr>
      <w:rFonts w:ascii="Calibri" w:eastAsia="Calibri" w:hAnsi="Calibri" w:cs="Calibri"/>
      <w:color w:val="081E3E"/>
      <w:kern w:val="12"/>
      <w:sz w:val="40"/>
      <w:szCs w:val="44"/>
    </w:rPr>
  </w:style>
  <w:style w:type="paragraph" w:styleId="Heading3">
    <w:name w:val="heading 3"/>
    <w:basedOn w:val="Normal"/>
    <w:next w:val="Normal"/>
    <w:link w:val="Heading3Char"/>
    <w:uiPriority w:val="9"/>
    <w:unhideWhenUsed/>
    <w:qFormat/>
    <w:rsid w:val="00953FE0"/>
    <w:pPr>
      <w:keepNext/>
      <w:suppressAutoHyphens/>
      <w:outlineLvl w:val="2"/>
    </w:pPr>
    <w:rPr>
      <w:rFonts w:ascii="Calibri" w:eastAsia="Calibri" w:hAnsi="Calibri" w:cs="Calibri"/>
      <w:color w:val="081E3E"/>
      <w:kern w:val="12"/>
      <w:sz w:val="36"/>
      <w:szCs w:val="36"/>
    </w:rPr>
  </w:style>
  <w:style w:type="paragraph" w:styleId="Heading4">
    <w:name w:val="heading 4"/>
    <w:aliases w:val="Appendix Heading (Short)"/>
    <w:basedOn w:val="Normal"/>
    <w:next w:val="Normal"/>
    <w:link w:val="Heading4Char"/>
    <w:uiPriority w:val="1"/>
    <w:unhideWhenUsed/>
    <w:qFormat/>
    <w:rsid w:val="00BB1DFB"/>
    <w:pPr>
      <w:keepNext/>
      <w:suppressAutoHyphens/>
      <w:outlineLvl w:val="3"/>
    </w:pPr>
    <w:rPr>
      <w:rFonts w:ascii="Calibri" w:eastAsia="Calibri" w:hAnsi="Calibri" w:cs="Calibri"/>
      <w:b/>
      <w:color w:val="595959"/>
      <w:kern w:val="12"/>
      <w:sz w:val="32"/>
      <w:szCs w:val="32"/>
    </w:rPr>
  </w:style>
  <w:style w:type="paragraph" w:styleId="Heading5">
    <w:name w:val="heading 5"/>
    <w:basedOn w:val="Normal"/>
    <w:next w:val="Normal"/>
    <w:link w:val="Heading5Char"/>
    <w:uiPriority w:val="9"/>
    <w:unhideWhenUsed/>
    <w:qFormat/>
    <w:rsid w:val="00BB1DFB"/>
    <w:pPr>
      <w:keepNext/>
      <w:suppressAutoHyphens/>
      <w:outlineLvl w:val="4"/>
    </w:pPr>
    <w:rPr>
      <w:rFonts w:ascii="Calibri" w:eastAsia="Calibri" w:hAnsi="Calibri" w:cs="Times New Roman"/>
      <w:b/>
      <w:color w:val="595959"/>
      <w:kern w:val="12"/>
      <w:sz w:val="26"/>
      <w:szCs w:val="26"/>
    </w:rPr>
  </w:style>
  <w:style w:type="paragraph" w:styleId="Heading6">
    <w:name w:val="heading 6"/>
    <w:basedOn w:val="Normal"/>
    <w:next w:val="Normal"/>
    <w:link w:val="Heading6Char"/>
    <w:uiPriority w:val="1"/>
    <w:unhideWhenUsed/>
    <w:qFormat/>
    <w:rsid w:val="00953FE0"/>
    <w:pPr>
      <w:keepNext/>
      <w:suppressAutoHyphens/>
      <w:outlineLvl w:val="5"/>
    </w:pPr>
    <w:rPr>
      <w:rFonts w:ascii="Calibri" w:eastAsia="Calibri" w:hAnsi="Calibri" w:cs="Times New Roman"/>
      <w:b/>
      <w:color w:val="081E3E"/>
      <w:kern w:val="12"/>
    </w:rPr>
  </w:style>
  <w:style w:type="paragraph" w:styleId="Heading7">
    <w:name w:val="heading 7"/>
    <w:basedOn w:val="Normal"/>
    <w:next w:val="Normal"/>
    <w:link w:val="Heading7Char"/>
    <w:uiPriority w:val="1"/>
    <w:unhideWhenUsed/>
    <w:qFormat/>
    <w:rsid w:val="00542022"/>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autoRedefine/>
    <w:uiPriority w:val="1"/>
    <w:unhideWhenUsed/>
    <w:qFormat/>
    <w:rsid w:val="006821D4"/>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4E502A"/>
    <w:pPr>
      <w:numPr>
        <w:numId w:val="0"/>
      </w:numPr>
      <w:spacing w:before="80" w:after="0"/>
    </w:pPr>
    <w:rPr>
      <w:b/>
      <w:sz w:val="20"/>
      <w:szCs w:val="20"/>
    </w:rPr>
  </w:style>
  <w:style w:type="character" w:customStyle="1" w:styleId="Heading1Char">
    <w:name w:val="Heading 1 Char"/>
    <w:basedOn w:val="DefaultParagraphFont"/>
    <w:link w:val="Heading1"/>
    <w:uiPriority w:val="9"/>
    <w:rsid w:val="00616BE8"/>
    <w:rPr>
      <w:rFonts w:ascii="Calibri" w:eastAsia="Calibri" w:hAnsi="Calibri" w:cs="Calibri"/>
      <w:b/>
      <w:color w:val="000000"/>
      <w:kern w:val="12"/>
      <w:sz w:val="56"/>
      <w:szCs w:val="60"/>
      <w:lang w:val="en-US"/>
    </w:rPr>
  </w:style>
  <w:style w:type="character" w:customStyle="1" w:styleId="Heading2Char">
    <w:name w:val="Heading 2 Char"/>
    <w:aliases w:val="Chapter Heading (Short) Char,h2 main heading Char,B Sub/Bold Char,Body Text (Reset numbering) Char,h2 Char,H2 Char,Section Char,2m Char,h 2 Char,S&amp;P Heading 2 Char,Reset numbering Char,Body Text (Reset numbering)1 Char,B Sub/Bold1 Char"/>
    <w:basedOn w:val="DefaultParagraphFont"/>
    <w:link w:val="Heading2"/>
    <w:uiPriority w:val="2"/>
    <w:rsid w:val="001B4346"/>
    <w:rPr>
      <w:rFonts w:ascii="Calibri" w:eastAsia="Calibri" w:hAnsi="Calibri" w:cs="Calibri"/>
      <w:color w:val="081E3E"/>
      <w:kern w:val="12"/>
      <w:sz w:val="40"/>
      <w:szCs w:val="44"/>
      <w:lang w:val="en-US"/>
    </w:rPr>
  </w:style>
  <w:style w:type="character" w:customStyle="1" w:styleId="Heading3Char">
    <w:name w:val="Heading 3 Char"/>
    <w:basedOn w:val="DefaultParagraphFont"/>
    <w:link w:val="Heading3"/>
    <w:uiPriority w:val="9"/>
    <w:rsid w:val="00953FE0"/>
    <w:rPr>
      <w:rFonts w:ascii="Calibri" w:eastAsia="Calibri" w:hAnsi="Calibri" w:cs="Calibri"/>
      <w:color w:val="081E3E"/>
      <w:kern w:val="12"/>
      <w:sz w:val="36"/>
      <w:szCs w:val="36"/>
      <w:lang w:val="en-US"/>
    </w:rPr>
  </w:style>
  <w:style w:type="character" w:customStyle="1" w:styleId="Heading4Char">
    <w:name w:val="Heading 4 Char"/>
    <w:aliases w:val="Appendix Heading (Short) Char"/>
    <w:basedOn w:val="DefaultParagraphFont"/>
    <w:link w:val="Heading4"/>
    <w:uiPriority w:val="1"/>
    <w:rsid w:val="00BB1DFB"/>
    <w:rPr>
      <w:rFonts w:ascii="Calibri" w:eastAsia="Calibri" w:hAnsi="Calibri" w:cs="Calibri"/>
      <w:b/>
      <w:color w:val="595959"/>
      <w:kern w:val="12"/>
      <w:sz w:val="32"/>
      <w:szCs w:val="32"/>
      <w:lang w:val="en-US"/>
    </w:rPr>
  </w:style>
  <w:style w:type="character" w:customStyle="1" w:styleId="Heading5Char">
    <w:name w:val="Heading 5 Char"/>
    <w:basedOn w:val="DefaultParagraphFont"/>
    <w:link w:val="Heading5"/>
    <w:uiPriority w:val="9"/>
    <w:rsid w:val="00BB1DFB"/>
    <w:rPr>
      <w:rFonts w:ascii="Calibri" w:eastAsia="Calibri" w:hAnsi="Calibri" w:cs="Times New Roman"/>
      <w:b/>
      <w:color w:val="595959"/>
      <w:kern w:val="12"/>
      <w:sz w:val="26"/>
      <w:szCs w:val="26"/>
      <w:lang w:val="en-US"/>
    </w:rPr>
  </w:style>
  <w:style w:type="character" w:customStyle="1" w:styleId="Heading6Char">
    <w:name w:val="Heading 6 Char"/>
    <w:basedOn w:val="DefaultParagraphFont"/>
    <w:link w:val="Heading6"/>
    <w:uiPriority w:val="1"/>
    <w:rsid w:val="00953FE0"/>
    <w:rPr>
      <w:rFonts w:ascii="Calibri" w:eastAsia="Calibri" w:hAnsi="Calibri" w:cs="Times New Roman"/>
      <w:b/>
      <w:color w:val="081E3E"/>
      <w:kern w:val="12"/>
      <w:lang w:val="en-US"/>
    </w:rPr>
  </w:style>
  <w:style w:type="paragraph" w:styleId="Subtitle">
    <w:name w:val="Subtitle"/>
    <w:basedOn w:val="Normal"/>
    <w:next w:val="Normal"/>
    <w:link w:val="SubtitleChar"/>
    <w:uiPriority w:val="18"/>
    <w:qFormat/>
    <w:rsid w:val="00F176A8"/>
    <w:pPr>
      <w:numPr>
        <w:ilvl w:val="1"/>
      </w:numPr>
      <w:suppressAutoHyphens/>
      <w:spacing w:before="480"/>
      <w:outlineLvl w:val="0"/>
    </w:pPr>
    <w:rPr>
      <w:rFonts w:asciiTheme="majorHAnsi" w:eastAsiaTheme="minorEastAsia" w:hAnsiTheme="majorHAnsi"/>
      <w:color w:val="377B88"/>
      <w:kern w:val="12"/>
      <w:sz w:val="44"/>
    </w:rPr>
  </w:style>
  <w:style w:type="character" w:customStyle="1" w:styleId="SubtitleChar">
    <w:name w:val="Subtitle Char"/>
    <w:basedOn w:val="DefaultParagraphFont"/>
    <w:link w:val="Subtitle"/>
    <w:uiPriority w:val="18"/>
    <w:rsid w:val="00F176A8"/>
    <w:rPr>
      <w:rFonts w:asciiTheme="majorHAnsi" w:eastAsiaTheme="minorEastAsia" w:hAnsiTheme="majorHAnsi"/>
      <w:color w:val="377B88"/>
      <w:kern w:val="12"/>
      <w:sz w:val="44"/>
      <w:lang w:val="en-US"/>
    </w:rPr>
  </w:style>
  <w:style w:type="paragraph" w:styleId="Header">
    <w:name w:val="header"/>
    <w:basedOn w:val="Normal"/>
    <w:link w:val="HeaderChar"/>
    <w:uiPriority w:val="99"/>
    <w:unhideWhenUsed/>
    <w:rsid w:val="008D4AB2"/>
    <w:pPr>
      <w:tabs>
        <w:tab w:val="center" w:pos="4513"/>
        <w:tab w:val="right" w:pos="9026"/>
      </w:tabs>
      <w:spacing w:after="0"/>
    </w:pPr>
  </w:style>
  <w:style w:type="character" w:customStyle="1" w:styleId="HeaderChar">
    <w:name w:val="Header Char"/>
    <w:basedOn w:val="DefaultParagraphFont"/>
    <w:link w:val="Header"/>
    <w:uiPriority w:val="99"/>
    <w:rsid w:val="008D4AB2"/>
  </w:style>
  <w:style w:type="paragraph" w:styleId="Footer">
    <w:name w:val="footer"/>
    <w:basedOn w:val="Normal"/>
    <w:link w:val="FooterChar"/>
    <w:uiPriority w:val="99"/>
    <w:unhideWhenUsed/>
    <w:rsid w:val="008D4AB2"/>
    <w:pPr>
      <w:tabs>
        <w:tab w:val="center" w:pos="4513"/>
        <w:tab w:val="right" w:pos="9026"/>
      </w:tabs>
      <w:spacing w:after="0"/>
    </w:pPr>
  </w:style>
  <w:style w:type="character" w:customStyle="1" w:styleId="FooterChar">
    <w:name w:val="Footer Char"/>
    <w:basedOn w:val="DefaultParagraphFont"/>
    <w:link w:val="Footer"/>
    <w:uiPriority w:val="99"/>
    <w:rsid w:val="008D4AB2"/>
  </w:style>
  <w:style w:type="paragraph" w:styleId="NoSpacing">
    <w:name w:val="No Spacing"/>
    <w:uiPriority w:val="1"/>
    <w:qFormat/>
    <w:rsid w:val="004D4B0F"/>
    <w:pPr>
      <w:suppressAutoHyphens/>
      <w:spacing w:after="0" w:line="240" w:lineRule="auto"/>
      <w:contextualSpacing/>
    </w:pPr>
    <w:rPr>
      <w:color w:val="000000" w:themeColor="text1"/>
      <w:kern w:val="12"/>
      <w:szCs w:val="20"/>
    </w:rPr>
  </w:style>
  <w:style w:type="paragraph" w:customStyle="1" w:styleId="ImprintHeading">
    <w:name w:val="Imprint Heading"/>
    <w:basedOn w:val="Normal"/>
    <w:link w:val="ImprintHeadingChar"/>
    <w:uiPriority w:val="12"/>
    <w:rsid w:val="004D4B0F"/>
    <w:pPr>
      <w:suppressAutoHyphens/>
      <w:outlineLvl w:val="1"/>
    </w:pPr>
    <w:rPr>
      <w:b/>
      <w:color w:val="000000" w:themeColor="text1"/>
      <w:kern w:val="12"/>
      <w:lang w:val="x-none"/>
    </w:rPr>
  </w:style>
  <w:style w:type="character" w:styleId="Hyperlink">
    <w:name w:val="Hyperlink"/>
    <w:basedOn w:val="DefaultParagraphFont"/>
    <w:uiPriority w:val="99"/>
    <w:unhideWhenUsed/>
    <w:rsid w:val="00F71E4C"/>
    <w:rPr>
      <w:color w:val="0046FF"/>
      <w:u w:val="single"/>
    </w:rPr>
  </w:style>
  <w:style w:type="paragraph" w:styleId="TOC1">
    <w:name w:val="toc 1"/>
    <w:basedOn w:val="Normal"/>
    <w:next w:val="Normal"/>
    <w:autoRedefine/>
    <w:uiPriority w:val="39"/>
    <w:rsid w:val="00CC18A5"/>
    <w:pPr>
      <w:keepLines/>
      <w:pBdr>
        <w:bottom w:val="single" w:sz="6" w:space="1" w:color="377B88"/>
      </w:pBdr>
      <w:tabs>
        <w:tab w:val="right" w:pos="9854"/>
      </w:tabs>
      <w:suppressAutoHyphens/>
      <w:spacing w:before="240" w:after="0"/>
      <w:ind w:left="567" w:hanging="567"/>
    </w:pPr>
    <w:rPr>
      <w:b/>
      <w:color w:val="000000" w:themeColor="text1"/>
      <w:kern w:val="12"/>
      <w:sz w:val="24"/>
      <w:szCs w:val="20"/>
      <w:u w:color="ED7D31" w:themeColor="accent2"/>
      <w:lang w:val="en-AU"/>
    </w:rPr>
  </w:style>
  <w:style w:type="paragraph" w:styleId="TOC2">
    <w:name w:val="toc 2"/>
    <w:basedOn w:val="Normal"/>
    <w:next w:val="Normal"/>
    <w:autoRedefine/>
    <w:uiPriority w:val="39"/>
    <w:rsid w:val="0051128E"/>
    <w:pPr>
      <w:keepLines/>
      <w:tabs>
        <w:tab w:val="right" w:leader="dot" w:pos="9854"/>
      </w:tabs>
      <w:suppressAutoHyphens/>
      <w:spacing w:after="0"/>
      <w:ind w:left="567" w:right="851" w:hanging="567"/>
    </w:pPr>
    <w:rPr>
      <w:noProof/>
      <w:color w:val="000000" w:themeColor="text1"/>
      <w:kern w:val="12"/>
      <w:sz w:val="20"/>
      <w:szCs w:val="20"/>
      <w:lang w:val="en-AU"/>
    </w:rPr>
  </w:style>
  <w:style w:type="paragraph" w:styleId="TOC3">
    <w:name w:val="toc 3"/>
    <w:basedOn w:val="Normal"/>
    <w:next w:val="Normal"/>
    <w:autoRedefine/>
    <w:uiPriority w:val="39"/>
    <w:rsid w:val="00D15057"/>
    <w:pPr>
      <w:tabs>
        <w:tab w:val="right" w:pos="8931"/>
      </w:tabs>
      <w:suppressAutoHyphens/>
      <w:spacing w:after="0"/>
      <w:ind w:left="1134" w:right="851" w:hanging="567"/>
    </w:pPr>
    <w:rPr>
      <w:color w:val="000000" w:themeColor="text1"/>
      <w:kern w:val="12"/>
      <w:sz w:val="20"/>
      <w:szCs w:val="20"/>
      <w:lang w:val="en-AU"/>
    </w:rPr>
  </w:style>
  <w:style w:type="paragraph" w:styleId="TableofFigures">
    <w:name w:val="table of figures"/>
    <w:basedOn w:val="Normal"/>
    <w:next w:val="Normal"/>
    <w:uiPriority w:val="99"/>
    <w:unhideWhenUsed/>
    <w:rsid w:val="004D4B0F"/>
    <w:pPr>
      <w:suppressAutoHyphens/>
      <w:spacing w:before="80" w:after="80"/>
    </w:pPr>
    <w:rPr>
      <w:color w:val="000000" w:themeColor="text1"/>
      <w:kern w:val="12"/>
      <w:sz w:val="20"/>
      <w:szCs w:val="20"/>
      <w:lang w:val="en-AU"/>
    </w:rPr>
  </w:style>
  <w:style w:type="paragraph" w:styleId="ListParagraph">
    <w:name w:val="List Paragraph"/>
    <w:aliases w:val="Recommendation,List Paragraph1,List Paragraph11,L,Number,#List Paragraph,Bullet point,List Paragraph111,F5 List Paragraph,Dot pt,CV text,Medium Grid 1 - Accent 21,Numbered Paragraph,List Paragraph2,NFP GP Bulleted List,FooterText,列出段"/>
    <w:basedOn w:val="Normal"/>
    <w:link w:val="ListParagraphChar"/>
    <w:uiPriority w:val="99"/>
    <w:qFormat/>
    <w:rsid w:val="004D4B0F"/>
    <w:pPr>
      <w:numPr>
        <w:numId w:val="2"/>
      </w:numPr>
      <w:ind w:left="567" w:hanging="567"/>
      <w:contextualSpacing/>
    </w:pPr>
  </w:style>
  <w:style w:type="paragraph" w:styleId="Caption">
    <w:name w:val="caption"/>
    <w:aliases w:val="Table heading,Char Char Char,Char Char,Char,Table title GH,Caption Char1,Caption Char Char,Table heading Char Char,Char Char Char Char Char,Char Char Char1 Char,Char Char Char2,Char Char1 Char,Table heading Char1,Char Char Char Char1, Char,TABLE"/>
    <w:basedOn w:val="Normal"/>
    <w:next w:val="Normal"/>
    <w:link w:val="CaptionChar"/>
    <w:uiPriority w:val="14"/>
    <w:qFormat/>
    <w:rsid w:val="00B13480"/>
    <w:pPr>
      <w:suppressAutoHyphens/>
      <w:spacing w:before="240"/>
    </w:pPr>
    <w:rPr>
      <w:b/>
      <w:iCs/>
      <w:color w:val="000000" w:themeColor="text1"/>
      <w:kern w:val="12"/>
      <w:sz w:val="20"/>
      <w:szCs w:val="18"/>
      <w:lang w:val="en-AU"/>
    </w:rPr>
  </w:style>
  <w:style w:type="table" w:customStyle="1" w:styleId="DefaultTable1">
    <w:name w:val="Default Table 1"/>
    <w:basedOn w:val="TableNormal"/>
    <w:uiPriority w:val="99"/>
    <w:rsid w:val="00AA180A"/>
    <w:pPr>
      <w:spacing w:before="80" w:after="80" w:line="240" w:lineRule="auto"/>
    </w:pPr>
    <w:rPr>
      <w:color w:val="000000" w:themeColor="text1"/>
      <w:sz w:val="20"/>
      <w:szCs w:val="20"/>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insideV w:val="single" w:sz="4" w:space="0" w:color="F4B083" w:themeColor="accent2" w:themeTint="99"/>
      </w:tblBorders>
    </w:tblPr>
    <w:tcPr>
      <w:shd w:val="clear" w:color="auto" w:fill="auto"/>
    </w:tcPr>
    <w:tblStylePr w:type="firstRow">
      <w:rPr>
        <w:b/>
        <w:color w:val="FFFFFF" w:themeColor="background1"/>
      </w:rPr>
      <w:tblPr/>
      <w:tcPr>
        <w:tcBorders>
          <w:insideH w:val="nil"/>
          <w:insideV w:val="nil"/>
        </w:tcBorders>
        <w:shd w:val="clear" w:color="auto" w:fill="1F4E79" w:themeFill="accent1" w:themeFillShade="80"/>
      </w:tcPr>
    </w:tblStylePr>
    <w:tblStylePr w:type="lastRow">
      <w:rPr>
        <w:b/>
      </w:rPr>
    </w:tblStylePr>
    <w:tblStylePr w:type="firstCol">
      <w:rPr>
        <w:b/>
      </w:rPr>
    </w:tblStylePr>
    <w:tblStylePr w:type="band1Vert">
      <w:pPr>
        <w:jc w:val="left"/>
      </w:pPr>
    </w:tblStylePr>
    <w:tblStylePr w:type="band2Vert">
      <w:pPr>
        <w:jc w:val="left"/>
      </w:pPr>
    </w:tblStylePr>
    <w:tblStylePr w:type="band1Horz">
      <w:rPr>
        <w:color w:val="auto"/>
      </w:rPr>
      <w:tblPr/>
      <w:tcPr>
        <w:shd w:val="clear" w:color="auto" w:fill="auto"/>
      </w:tcPr>
    </w:tblStylePr>
  </w:style>
  <w:style w:type="paragraph" w:customStyle="1" w:styleId="Sourcenotes">
    <w:name w:val="Source notes"/>
    <w:basedOn w:val="Normal"/>
    <w:uiPriority w:val="15"/>
    <w:qFormat/>
    <w:rsid w:val="008A7F8E"/>
    <w:pPr>
      <w:suppressAutoHyphens/>
    </w:pPr>
    <w:rPr>
      <w:color w:val="000000" w:themeColor="text1"/>
      <w:kern w:val="12"/>
      <w:sz w:val="20"/>
      <w:szCs w:val="20"/>
      <w:lang w:val="x-none"/>
    </w:rPr>
  </w:style>
  <w:style w:type="paragraph" w:customStyle="1" w:styleId="Sourcenotesnumbered">
    <w:name w:val="Source notes numbered"/>
    <w:basedOn w:val="Sourcenotes"/>
    <w:uiPriority w:val="15"/>
    <w:qFormat/>
    <w:rsid w:val="00B13480"/>
    <w:pPr>
      <w:spacing w:before="80"/>
    </w:pPr>
  </w:style>
  <w:style w:type="paragraph" w:customStyle="1" w:styleId="Tableheader">
    <w:name w:val="Table header"/>
    <w:basedOn w:val="Normal"/>
    <w:qFormat/>
    <w:rsid w:val="007E6AE7"/>
    <w:pPr>
      <w:suppressAutoHyphens/>
      <w:spacing w:before="80" w:after="80"/>
    </w:pPr>
    <w:rPr>
      <w:rFonts w:ascii="Calibri" w:eastAsia="Calibri" w:hAnsi="Calibri" w:cs="Times New Roman"/>
      <w:b/>
      <w:color w:val="FFFFFF"/>
      <w:kern w:val="12"/>
      <w:sz w:val="20"/>
      <w:szCs w:val="20"/>
      <w:lang w:val="en-AU"/>
    </w:rPr>
  </w:style>
  <w:style w:type="paragraph" w:customStyle="1" w:styleId="Tableheadercentred">
    <w:name w:val="Table header centred"/>
    <w:basedOn w:val="Normal"/>
    <w:qFormat/>
    <w:rsid w:val="007E6AE7"/>
    <w:pPr>
      <w:suppressAutoHyphens/>
      <w:spacing w:before="80" w:after="80"/>
      <w:jc w:val="center"/>
    </w:pPr>
    <w:rPr>
      <w:rFonts w:ascii="Calibri" w:eastAsia="Calibri" w:hAnsi="Calibri" w:cs="Times New Roman"/>
      <w:b/>
      <w:color w:val="FFFFFF"/>
      <w:kern w:val="12"/>
      <w:sz w:val="20"/>
      <w:szCs w:val="20"/>
      <w:lang w:val="en-AU"/>
    </w:rPr>
  </w:style>
  <w:style w:type="paragraph" w:customStyle="1" w:styleId="Normalcentred">
    <w:name w:val="Normal centred"/>
    <w:basedOn w:val="Normal"/>
    <w:qFormat/>
    <w:rsid w:val="007E6AE7"/>
    <w:pPr>
      <w:suppressAutoHyphens/>
      <w:spacing w:before="80" w:after="80"/>
      <w:jc w:val="center"/>
    </w:pPr>
    <w:rPr>
      <w:rFonts w:ascii="Calibri" w:eastAsia="Calibri" w:hAnsi="Calibri" w:cs="Times New Roman"/>
      <w:color w:val="000000"/>
      <w:kern w:val="12"/>
      <w:sz w:val="20"/>
      <w:szCs w:val="20"/>
      <w:lang w:val="en-AU"/>
    </w:rPr>
  </w:style>
  <w:style w:type="paragraph" w:customStyle="1" w:styleId="Listparagraphbullets">
    <w:name w:val="List paragraph—bullets"/>
    <w:basedOn w:val="ListParagraph"/>
    <w:link w:val="ListparagraphbulletsChar"/>
    <w:uiPriority w:val="99"/>
    <w:qFormat/>
    <w:rsid w:val="00A75A6D"/>
    <w:pPr>
      <w:numPr>
        <w:numId w:val="4"/>
      </w:numPr>
    </w:pPr>
    <w:rPr>
      <w:rFonts w:ascii="Calibri" w:hAnsi="Calibri"/>
      <w:lang w:val="en-AU" w:eastAsia="zh-TW"/>
    </w:rPr>
  </w:style>
  <w:style w:type="paragraph" w:styleId="FootnoteText">
    <w:name w:val="footnote text"/>
    <w:aliases w:val="(NECG) Footnote Text"/>
    <w:basedOn w:val="Normal"/>
    <w:link w:val="FootnoteTextChar"/>
    <w:uiPriority w:val="99"/>
    <w:unhideWhenUsed/>
    <w:rsid w:val="00A75A6D"/>
    <w:pPr>
      <w:spacing w:after="0"/>
    </w:pPr>
    <w:rPr>
      <w:rFonts w:ascii="Calibri" w:hAnsi="Calibri"/>
      <w:sz w:val="20"/>
      <w:szCs w:val="20"/>
      <w:lang w:val="en-AU"/>
    </w:rPr>
  </w:style>
  <w:style w:type="character" w:customStyle="1" w:styleId="FootnoteTextChar">
    <w:name w:val="Footnote Text Char"/>
    <w:aliases w:val="(NECG) Footnote Text Char"/>
    <w:basedOn w:val="DefaultParagraphFont"/>
    <w:link w:val="FootnoteText"/>
    <w:uiPriority w:val="99"/>
    <w:rsid w:val="00A75A6D"/>
    <w:rPr>
      <w:rFonts w:ascii="Calibri" w:hAnsi="Calibri"/>
      <w:sz w:val="20"/>
      <w:szCs w:val="20"/>
    </w:rPr>
  </w:style>
  <w:style w:type="character" w:styleId="FootnoteReference">
    <w:name w:val="footnote reference"/>
    <w:aliases w:val="(NECG) Footnote Reference,Text Footnote Reference"/>
    <w:basedOn w:val="DefaultParagraphFont"/>
    <w:uiPriority w:val="99"/>
    <w:unhideWhenUsed/>
    <w:qFormat/>
    <w:rsid w:val="00A75A6D"/>
    <w:rPr>
      <w:vertAlign w:val="superscript"/>
    </w:rPr>
  </w:style>
  <w:style w:type="paragraph" w:styleId="TableofAuthorities">
    <w:name w:val="table of authorities"/>
    <w:basedOn w:val="Normal"/>
    <w:next w:val="Normal"/>
    <w:uiPriority w:val="99"/>
    <w:unhideWhenUsed/>
    <w:rsid w:val="00A75A6D"/>
    <w:pPr>
      <w:spacing w:after="0"/>
      <w:ind w:left="220" w:hanging="220"/>
    </w:pPr>
  </w:style>
  <w:style w:type="paragraph" w:customStyle="1" w:styleId="Tablefigureheading">
    <w:name w:val="Table/figure heading"/>
    <w:basedOn w:val="Normal"/>
    <w:next w:val="Normal"/>
    <w:qFormat/>
    <w:rsid w:val="00A75A6D"/>
    <w:pPr>
      <w:keepNext/>
      <w:spacing w:after="0"/>
    </w:pPr>
    <w:rPr>
      <w:rFonts w:ascii="Calibri" w:hAnsi="Calibri"/>
      <w:b/>
      <w:color w:val="002D72"/>
      <w:lang w:val="en-AU"/>
    </w:rPr>
  </w:style>
  <w:style w:type="paragraph" w:styleId="Salutation">
    <w:name w:val="Salutation"/>
    <w:basedOn w:val="Normal"/>
    <w:next w:val="Normal"/>
    <w:link w:val="SalutationChar"/>
    <w:uiPriority w:val="99"/>
    <w:unhideWhenUsed/>
    <w:rsid w:val="00377E3A"/>
  </w:style>
  <w:style w:type="character" w:customStyle="1" w:styleId="SalutationChar">
    <w:name w:val="Salutation Char"/>
    <w:basedOn w:val="DefaultParagraphFont"/>
    <w:link w:val="Salutation"/>
    <w:uiPriority w:val="99"/>
    <w:rsid w:val="00377E3A"/>
    <w:rPr>
      <w:lang w:val="en-US"/>
    </w:rPr>
  </w:style>
  <w:style w:type="paragraph" w:customStyle="1" w:styleId="Bullet1">
    <w:name w:val="Bullet 1"/>
    <w:basedOn w:val="Normal"/>
    <w:uiPriority w:val="3"/>
    <w:qFormat/>
    <w:rsid w:val="00377E3A"/>
    <w:pPr>
      <w:numPr>
        <w:numId w:val="5"/>
      </w:numPr>
      <w:suppressAutoHyphens/>
      <w:spacing w:before="80" w:after="80"/>
    </w:pPr>
    <w:rPr>
      <w:color w:val="000000" w:themeColor="text1"/>
      <w:kern w:val="12"/>
      <w:sz w:val="20"/>
      <w:szCs w:val="20"/>
      <w:lang w:val="x-none"/>
    </w:rPr>
  </w:style>
  <w:style w:type="paragraph" w:customStyle="1" w:styleId="Bullet2">
    <w:name w:val="Bullet 2"/>
    <w:basedOn w:val="Bullet1"/>
    <w:uiPriority w:val="3"/>
    <w:qFormat/>
    <w:rsid w:val="00377E3A"/>
    <w:pPr>
      <w:numPr>
        <w:ilvl w:val="1"/>
      </w:numPr>
    </w:pPr>
  </w:style>
  <w:style w:type="paragraph" w:customStyle="1" w:styleId="Bullet3">
    <w:name w:val="Bullet 3"/>
    <w:basedOn w:val="Bullet2"/>
    <w:uiPriority w:val="3"/>
    <w:qFormat/>
    <w:rsid w:val="00377E3A"/>
    <w:pPr>
      <w:numPr>
        <w:ilvl w:val="2"/>
      </w:numPr>
    </w:pPr>
  </w:style>
  <w:style w:type="table" w:customStyle="1" w:styleId="IconBoxTable">
    <w:name w:val="Icon Box Table"/>
    <w:basedOn w:val="TableNormal"/>
    <w:uiPriority w:val="99"/>
    <w:rsid w:val="00377E3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377E3A"/>
    <w:pPr>
      <w:numPr>
        <w:numId w:val="22"/>
      </w:numPr>
    </w:pPr>
  </w:style>
  <w:style w:type="paragraph" w:styleId="List5">
    <w:name w:val="List 5"/>
    <w:basedOn w:val="Normal"/>
    <w:uiPriority w:val="99"/>
    <w:unhideWhenUsed/>
    <w:rsid w:val="00953FE0"/>
    <w:pPr>
      <w:ind w:left="1415" w:hanging="283"/>
      <w:contextualSpacing/>
    </w:pPr>
  </w:style>
  <w:style w:type="paragraph" w:styleId="Quote">
    <w:name w:val="Quote"/>
    <w:basedOn w:val="Normal"/>
    <w:next w:val="Normal"/>
    <w:link w:val="QuoteChar"/>
    <w:autoRedefine/>
    <w:uiPriority w:val="29"/>
    <w:qFormat/>
    <w:rsid w:val="00BE72A4"/>
    <w:pPr>
      <w:pBdr>
        <w:left w:val="single" w:sz="48" w:space="22" w:color="377B88"/>
      </w:pBdr>
      <w:suppressAutoHyphens/>
      <w:spacing w:before="160"/>
      <w:ind w:left="567" w:right="567"/>
    </w:pPr>
    <w:rPr>
      <w:iCs/>
      <w:kern w:val="12"/>
      <w:sz w:val="21"/>
      <w:szCs w:val="20"/>
      <w:lang w:val="en-AU"/>
    </w:rPr>
  </w:style>
  <w:style w:type="character" w:customStyle="1" w:styleId="QuoteChar">
    <w:name w:val="Quote Char"/>
    <w:basedOn w:val="DefaultParagraphFont"/>
    <w:link w:val="Quote"/>
    <w:uiPriority w:val="29"/>
    <w:rsid w:val="00BE72A4"/>
    <w:rPr>
      <w:iCs/>
      <w:kern w:val="12"/>
      <w:sz w:val="21"/>
      <w:szCs w:val="20"/>
    </w:rPr>
  </w:style>
  <w:style w:type="paragraph" w:styleId="BalloonText">
    <w:name w:val="Balloon Text"/>
    <w:basedOn w:val="Normal"/>
    <w:link w:val="BalloonTextChar"/>
    <w:uiPriority w:val="99"/>
    <w:semiHidden/>
    <w:unhideWhenUsed/>
    <w:rsid w:val="00CB388C"/>
    <w:pPr>
      <w:spacing w:after="0"/>
    </w:pPr>
    <w:rPr>
      <w:rFonts w:ascii="Segoe UI" w:hAnsi="Segoe UI" w:cs="Segoe UI"/>
      <w:sz w:val="18"/>
      <w:szCs w:val="18"/>
    </w:rPr>
  </w:style>
  <w:style w:type="paragraph" w:styleId="TOC4">
    <w:name w:val="toc 4"/>
    <w:basedOn w:val="Normal"/>
    <w:next w:val="Normal"/>
    <w:autoRedefine/>
    <w:uiPriority w:val="39"/>
    <w:unhideWhenUsed/>
    <w:rsid w:val="00DD418B"/>
    <w:pPr>
      <w:tabs>
        <w:tab w:val="right" w:pos="8896"/>
      </w:tabs>
      <w:spacing w:after="120"/>
      <w:ind w:right="851"/>
    </w:pPr>
  </w:style>
  <w:style w:type="character" w:customStyle="1" w:styleId="BalloonTextChar">
    <w:name w:val="Balloon Text Char"/>
    <w:basedOn w:val="DefaultParagraphFont"/>
    <w:link w:val="BalloonText"/>
    <w:uiPriority w:val="99"/>
    <w:semiHidden/>
    <w:rsid w:val="00CB388C"/>
    <w:rPr>
      <w:rFonts w:ascii="Segoe UI" w:hAnsi="Segoe UI" w:cs="Segoe UI"/>
      <w:sz w:val="18"/>
      <w:szCs w:val="18"/>
      <w:lang w:val="en-US"/>
    </w:rPr>
  </w:style>
  <w:style w:type="paragraph" w:styleId="Title">
    <w:name w:val="Title"/>
    <w:basedOn w:val="Normal"/>
    <w:next w:val="Normal"/>
    <w:link w:val="TitleChar"/>
    <w:uiPriority w:val="17"/>
    <w:qFormat/>
    <w:rsid w:val="00F176A8"/>
    <w:pPr>
      <w:suppressAutoHyphens/>
      <w:spacing w:before="1680" w:after="240"/>
    </w:pPr>
    <w:rPr>
      <w:rFonts w:asciiTheme="majorHAnsi" w:eastAsiaTheme="majorEastAsia" w:hAnsiTheme="majorHAnsi" w:cstheme="majorBidi"/>
      <w:b/>
      <w:color w:val="44546A" w:themeColor="text2"/>
      <w:kern w:val="12"/>
      <w:sz w:val="60"/>
      <w:szCs w:val="56"/>
      <w:lang w:val="en-AU"/>
    </w:rPr>
  </w:style>
  <w:style w:type="character" w:customStyle="1" w:styleId="TitleChar">
    <w:name w:val="Title Char"/>
    <w:basedOn w:val="DefaultParagraphFont"/>
    <w:link w:val="Title"/>
    <w:uiPriority w:val="17"/>
    <w:rsid w:val="00F176A8"/>
    <w:rPr>
      <w:rFonts w:asciiTheme="majorHAnsi" w:eastAsiaTheme="majorEastAsia" w:hAnsiTheme="majorHAnsi" w:cstheme="majorBidi"/>
      <w:b/>
      <w:color w:val="44546A" w:themeColor="text2"/>
      <w:kern w:val="12"/>
      <w:sz w:val="60"/>
      <w:szCs w:val="56"/>
    </w:rPr>
  </w:style>
  <w:style w:type="character" w:styleId="PlaceholderText">
    <w:name w:val="Placeholder Text"/>
    <w:basedOn w:val="DefaultParagraphFont"/>
    <w:uiPriority w:val="99"/>
    <w:semiHidden/>
    <w:rsid w:val="00F176A8"/>
    <w:rPr>
      <w:color w:val="808080"/>
    </w:rPr>
  </w:style>
  <w:style w:type="character" w:styleId="Emphasis">
    <w:name w:val="Emphasis"/>
    <w:uiPriority w:val="20"/>
    <w:qFormat/>
    <w:rsid w:val="00F176A8"/>
    <w:rPr>
      <w:color w:val="377B88"/>
      <w:sz w:val="26"/>
      <w:szCs w:val="26"/>
    </w:rPr>
  </w:style>
  <w:style w:type="paragraph" w:customStyle="1" w:styleId="Heading2notshowing">
    <w:name w:val="Heading 2—not showing"/>
    <w:basedOn w:val="ImprintHeading"/>
    <w:next w:val="Normal"/>
    <w:link w:val="Heading2notshowingChar"/>
    <w:qFormat/>
    <w:rsid w:val="006C0013"/>
    <w:rPr>
      <w:sz w:val="24"/>
    </w:rPr>
  </w:style>
  <w:style w:type="paragraph" w:customStyle="1" w:styleId="Tabletext">
    <w:name w:val="Table text"/>
    <w:basedOn w:val="Normal"/>
    <w:qFormat/>
    <w:rsid w:val="00374401"/>
    <w:pPr>
      <w:spacing w:before="60" w:after="60"/>
    </w:pPr>
    <w:rPr>
      <w:rFonts w:ascii="Calibri" w:eastAsia="Times New Roman" w:hAnsi="Calibri" w:cs="Times New Roman"/>
      <w:sz w:val="20"/>
      <w:szCs w:val="20"/>
      <w:lang w:val="en-AU"/>
    </w:rPr>
  </w:style>
  <w:style w:type="paragraph" w:customStyle="1" w:styleId="Tablerowcolumnheading">
    <w:name w:val="Table row/column heading"/>
    <w:basedOn w:val="Normal"/>
    <w:next w:val="Normal"/>
    <w:rsid w:val="00374401"/>
    <w:pPr>
      <w:spacing w:before="60" w:after="60"/>
    </w:pPr>
    <w:rPr>
      <w:rFonts w:ascii="Calibri" w:hAnsi="Calibri"/>
      <w:b/>
      <w:szCs w:val="20"/>
      <w:lang w:val="en-AU"/>
    </w:rPr>
  </w:style>
  <w:style w:type="paragraph" w:customStyle="1" w:styleId="Tabletextcentred">
    <w:name w:val="Table text—centred"/>
    <w:basedOn w:val="Tabletext"/>
    <w:next w:val="NoSpacing"/>
    <w:rsid w:val="00374401"/>
    <w:pPr>
      <w:jc w:val="center"/>
    </w:pPr>
  </w:style>
  <w:style w:type="paragraph" w:customStyle="1" w:styleId="Tablerowcolumnheadingcentred">
    <w:name w:val="Table row/column heading—centred"/>
    <w:basedOn w:val="Tablerowcolumnheading"/>
    <w:next w:val="Normal"/>
    <w:rsid w:val="00374401"/>
    <w:pPr>
      <w:jc w:val="center"/>
    </w:pPr>
  </w:style>
  <w:style w:type="paragraph" w:customStyle="1" w:styleId="Sourcenote">
    <w:name w:val="Source / note"/>
    <w:basedOn w:val="Normal"/>
    <w:qFormat/>
    <w:rsid w:val="00374401"/>
    <w:rPr>
      <w:rFonts w:ascii="Calibri" w:eastAsia="PMingLiU" w:hAnsi="Calibri" w:cs="Mangal"/>
      <w:color w:val="4C5564"/>
      <w:sz w:val="20"/>
      <w:szCs w:val="20"/>
      <w:lang w:val="en-AU" w:eastAsia="zh-TW"/>
    </w:rPr>
  </w:style>
  <w:style w:type="paragraph" w:customStyle="1" w:styleId="Tabletextbullets">
    <w:name w:val="Table text—bullets"/>
    <w:basedOn w:val="Listparagraphbullets"/>
    <w:qFormat/>
    <w:rsid w:val="00374401"/>
    <w:pPr>
      <w:numPr>
        <w:numId w:val="1"/>
      </w:numPr>
      <w:tabs>
        <w:tab w:val="num" w:pos="360"/>
      </w:tabs>
      <w:spacing w:before="60" w:after="60"/>
      <w:ind w:left="284" w:hanging="284"/>
    </w:pPr>
    <w:rPr>
      <w:color w:val="000000" w:themeColor="text1"/>
      <w:sz w:val="20"/>
      <w:szCs w:val="20"/>
    </w:rPr>
  </w:style>
  <w:style w:type="paragraph" w:customStyle="1" w:styleId="Heading3notshowing">
    <w:name w:val="Heading 3—not showing"/>
    <w:basedOn w:val="Normal"/>
    <w:next w:val="Normal"/>
    <w:qFormat/>
    <w:rsid w:val="006C0013"/>
    <w:pPr>
      <w:keepNext/>
      <w:spacing w:after="120"/>
      <w:outlineLvl w:val="2"/>
    </w:pPr>
    <w:rPr>
      <w:rFonts w:ascii="Calibri" w:eastAsia="MingLiU" w:hAnsi="Calibri" w:cs="Segoe UI Semibold"/>
      <w:b/>
      <w:color w:val="4C5564"/>
      <w:szCs w:val="30"/>
      <w:lang w:val="en-AU"/>
    </w:rPr>
  </w:style>
  <w:style w:type="table" w:styleId="TableGrid">
    <w:name w:val="Table Grid"/>
    <w:basedOn w:val="TableNormal"/>
    <w:uiPriority w:val="39"/>
    <w:rsid w:val="00C05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16AB"/>
    <w:rPr>
      <w:sz w:val="16"/>
      <w:szCs w:val="16"/>
    </w:rPr>
  </w:style>
  <w:style w:type="paragraph" w:styleId="CommentText">
    <w:name w:val="annotation text"/>
    <w:basedOn w:val="Normal"/>
    <w:link w:val="CommentTextChar"/>
    <w:uiPriority w:val="99"/>
    <w:unhideWhenUsed/>
    <w:rsid w:val="00E216AB"/>
    <w:rPr>
      <w:sz w:val="20"/>
      <w:szCs w:val="20"/>
    </w:rPr>
  </w:style>
  <w:style w:type="character" w:customStyle="1" w:styleId="CommentTextChar">
    <w:name w:val="Comment Text Char"/>
    <w:basedOn w:val="DefaultParagraphFont"/>
    <w:link w:val="CommentText"/>
    <w:uiPriority w:val="99"/>
    <w:rsid w:val="00E216AB"/>
    <w:rPr>
      <w:sz w:val="20"/>
      <w:szCs w:val="20"/>
      <w:lang w:val="en-US"/>
    </w:rPr>
  </w:style>
  <w:style w:type="character" w:customStyle="1" w:styleId="CaptionChar">
    <w:name w:val="Caption Char"/>
    <w:aliases w:val="Table heading Char,Char Char Char Char,Char Char Char1,Char Char1,Table title GH Char,Caption Char1 Char,Caption Char Char Char,Table heading Char Char Char,Char Char Char Char Char Char,Char Char Char1 Char Char,Char Char Char2 Char"/>
    <w:basedOn w:val="DefaultParagraphFont"/>
    <w:link w:val="Caption"/>
    <w:uiPriority w:val="14"/>
    <w:rsid w:val="00E216AB"/>
    <w:rPr>
      <w:b/>
      <w:iCs/>
      <w:color w:val="000000" w:themeColor="text1"/>
      <w:kern w:val="12"/>
      <w:sz w:val="20"/>
      <w:szCs w:val="18"/>
    </w:rPr>
  </w:style>
  <w:style w:type="paragraph" w:styleId="EndnoteText">
    <w:name w:val="endnote text"/>
    <w:basedOn w:val="Normal"/>
    <w:link w:val="EndnoteTextChar"/>
    <w:uiPriority w:val="99"/>
    <w:semiHidden/>
    <w:unhideWhenUsed/>
    <w:rsid w:val="001645AF"/>
    <w:pPr>
      <w:spacing w:after="0"/>
    </w:pPr>
    <w:rPr>
      <w:sz w:val="20"/>
      <w:szCs w:val="20"/>
    </w:rPr>
  </w:style>
  <w:style w:type="character" w:customStyle="1" w:styleId="EndnoteTextChar">
    <w:name w:val="Endnote Text Char"/>
    <w:basedOn w:val="DefaultParagraphFont"/>
    <w:link w:val="EndnoteText"/>
    <w:uiPriority w:val="99"/>
    <w:semiHidden/>
    <w:rsid w:val="001645AF"/>
    <w:rPr>
      <w:sz w:val="20"/>
      <w:szCs w:val="20"/>
      <w:lang w:val="en-US"/>
    </w:rPr>
  </w:style>
  <w:style w:type="character" w:styleId="EndnoteReference">
    <w:name w:val="endnote reference"/>
    <w:basedOn w:val="DefaultParagraphFont"/>
    <w:uiPriority w:val="99"/>
    <w:semiHidden/>
    <w:unhideWhenUsed/>
    <w:rsid w:val="001645AF"/>
    <w:rPr>
      <w:vertAlign w:val="superscript"/>
    </w:rPr>
  </w:style>
  <w:style w:type="character" w:customStyle="1" w:styleId="ListparagraphbulletsChar">
    <w:name w:val="List paragraph—bullets Char"/>
    <w:basedOn w:val="DefaultParagraphFont"/>
    <w:link w:val="Listparagraphbullets"/>
    <w:uiPriority w:val="99"/>
    <w:rsid w:val="001645AF"/>
    <w:rPr>
      <w:rFonts w:ascii="Calibri" w:hAnsi="Calibri"/>
      <w:lang w:eastAsia="zh-TW"/>
    </w:rPr>
  </w:style>
  <w:style w:type="paragraph" w:customStyle="1" w:styleId="Normaldisclaimerpage">
    <w:name w:val="Normal—disclaimer page"/>
    <w:basedOn w:val="Normal"/>
    <w:qFormat/>
    <w:rsid w:val="001941EE"/>
    <w:pPr>
      <w:spacing w:after="120"/>
    </w:pPr>
    <w:rPr>
      <w:szCs w:val="20"/>
      <w:lang w:val="en-AU"/>
    </w:rPr>
  </w:style>
  <w:style w:type="paragraph" w:styleId="CommentSubject">
    <w:name w:val="annotation subject"/>
    <w:basedOn w:val="CommentText"/>
    <w:next w:val="CommentText"/>
    <w:link w:val="CommentSubjectChar"/>
    <w:uiPriority w:val="99"/>
    <w:semiHidden/>
    <w:unhideWhenUsed/>
    <w:rsid w:val="00542022"/>
    <w:rPr>
      <w:b/>
      <w:bCs/>
    </w:rPr>
  </w:style>
  <w:style w:type="character" w:customStyle="1" w:styleId="CommentSubjectChar">
    <w:name w:val="Comment Subject Char"/>
    <w:basedOn w:val="CommentTextChar"/>
    <w:link w:val="CommentSubject"/>
    <w:uiPriority w:val="99"/>
    <w:semiHidden/>
    <w:rsid w:val="00542022"/>
    <w:rPr>
      <w:b/>
      <w:bCs/>
      <w:sz w:val="20"/>
      <w:szCs w:val="20"/>
      <w:lang w:val="en-US"/>
    </w:rPr>
  </w:style>
  <w:style w:type="character" w:customStyle="1" w:styleId="Heading7Char">
    <w:name w:val="Heading 7 Char"/>
    <w:basedOn w:val="DefaultParagraphFont"/>
    <w:link w:val="Heading7"/>
    <w:uiPriority w:val="1"/>
    <w:rsid w:val="00542022"/>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1"/>
    <w:rsid w:val="006821D4"/>
    <w:rPr>
      <w:rFonts w:asciiTheme="majorHAnsi" w:eastAsiaTheme="majorEastAsia" w:hAnsiTheme="majorHAnsi" w:cstheme="majorBidi"/>
      <w:color w:val="272727" w:themeColor="text1" w:themeTint="D8"/>
      <w:szCs w:val="21"/>
      <w:lang w:val="en-US"/>
    </w:rPr>
  </w:style>
  <w:style w:type="paragraph" w:styleId="BodyText">
    <w:name w:val="Body Text"/>
    <w:basedOn w:val="Normal"/>
    <w:link w:val="BodyTextChar"/>
    <w:qFormat/>
    <w:rsid w:val="00CD6B48"/>
    <w:pPr>
      <w:spacing w:before="180" w:after="120" w:line="280" w:lineRule="atLeast"/>
    </w:pPr>
    <w:rPr>
      <w:rFonts w:ascii="Arial" w:eastAsia="Times New Roman" w:hAnsi="Arial" w:cs="Times New Roman"/>
      <w:sz w:val="20"/>
      <w:szCs w:val="20"/>
      <w:lang w:val="en-AU" w:eastAsia="en-AU"/>
    </w:rPr>
  </w:style>
  <w:style w:type="character" w:customStyle="1" w:styleId="BodyTextChar">
    <w:name w:val="Body Text Char"/>
    <w:basedOn w:val="DefaultParagraphFont"/>
    <w:link w:val="BodyText"/>
    <w:rsid w:val="00CD6B48"/>
    <w:rPr>
      <w:rFonts w:ascii="Arial" w:eastAsia="Times New Roman" w:hAnsi="Arial" w:cs="Times New Roman"/>
      <w:sz w:val="20"/>
      <w:szCs w:val="20"/>
      <w:lang w:eastAsia="en-AU"/>
    </w:rPr>
  </w:style>
  <w:style w:type="paragraph" w:customStyle="1" w:styleId="CoverDate">
    <w:name w:val="Cover Date"/>
    <w:basedOn w:val="Normal"/>
    <w:uiPriority w:val="19"/>
    <w:qFormat/>
    <w:rsid w:val="008F655A"/>
    <w:pPr>
      <w:suppressAutoHyphens/>
      <w:spacing w:before="160" w:after="80"/>
    </w:pPr>
    <w:rPr>
      <w:b/>
      <w:color w:val="000000" w:themeColor="text1"/>
      <w:lang w:val="en-AU"/>
    </w:rPr>
  </w:style>
  <w:style w:type="character" w:styleId="PageNumber">
    <w:name w:val="page number"/>
    <w:basedOn w:val="DefaultParagraphFont"/>
    <w:uiPriority w:val="99"/>
    <w:semiHidden/>
    <w:rsid w:val="008F655A"/>
    <w:rPr>
      <w:b/>
      <w:sz w:val="20"/>
    </w:rPr>
  </w:style>
  <w:style w:type="paragraph" w:customStyle="1" w:styleId="CoverPhoto">
    <w:name w:val="Cover Photo"/>
    <w:basedOn w:val="Normal"/>
    <w:uiPriority w:val="19"/>
    <w:qFormat/>
    <w:rsid w:val="008F655A"/>
    <w:pPr>
      <w:suppressAutoHyphens/>
      <w:spacing w:before="1240"/>
    </w:pPr>
    <w:rPr>
      <w:color w:val="000000" w:themeColor="text1"/>
      <w:lang w:val="en-AU"/>
    </w:rPr>
  </w:style>
  <w:style w:type="paragraph" w:customStyle="1" w:styleId="Introduction">
    <w:name w:val="Introduction"/>
    <w:basedOn w:val="Normal"/>
    <w:uiPriority w:val="2"/>
    <w:qFormat/>
    <w:rsid w:val="008F655A"/>
    <w:pPr>
      <w:suppressAutoHyphens/>
      <w:spacing w:before="240" w:after="240"/>
    </w:pPr>
    <w:rPr>
      <w:color w:val="377B88"/>
      <w:sz w:val="26"/>
      <w:lang w:val="x-none"/>
    </w:rPr>
  </w:style>
  <w:style w:type="paragraph" w:customStyle="1" w:styleId="ListLegal1">
    <w:name w:val="List Legal 1"/>
    <w:basedOn w:val="Normal"/>
    <w:uiPriority w:val="3"/>
    <w:qFormat/>
    <w:rsid w:val="008F655A"/>
    <w:pPr>
      <w:numPr>
        <w:numId w:val="7"/>
      </w:numPr>
      <w:suppressAutoHyphens/>
      <w:spacing w:before="80" w:after="80"/>
    </w:pPr>
    <w:rPr>
      <w:color w:val="000000" w:themeColor="text1"/>
      <w:lang w:val="x-none"/>
    </w:rPr>
  </w:style>
  <w:style w:type="paragraph" w:customStyle="1" w:styleId="ListLegal2">
    <w:name w:val="List Legal 2"/>
    <w:basedOn w:val="ListLegal1"/>
    <w:uiPriority w:val="3"/>
    <w:rsid w:val="008F655A"/>
    <w:pPr>
      <w:numPr>
        <w:ilvl w:val="1"/>
      </w:numPr>
    </w:pPr>
  </w:style>
  <w:style w:type="paragraph" w:customStyle="1" w:styleId="ListLegal3">
    <w:name w:val="List Legal 3"/>
    <w:basedOn w:val="ListLegal2"/>
    <w:uiPriority w:val="3"/>
    <w:rsid w:val="008F655A"/>
    <w:pPr>
      <w:numPr>
        <w:ilvl w:val="2"/>
      </w:numPr>
    </w:pPr>
  </w:style>
  <w:style w:type="paragraph" w:customStyle="1" w:styleId="ListNumbered1">
    <w:name w:val="List Numbered 1"/>
    <w:basedOn w:val="Normal"/>
    <w:uiPriority w:val="3"/>
    <w:qFormat/>
    <w:rsid w:val="008F655A"/>
    <w:pPr>
      <w:numPr>
        <w:numId w:val="8"/>
      </w:numPr>
      <w:suppressAutoHyphens/>
      <w:spacing w:before="80" w:after="80"/>
    </w:pPr>
    <w:rPr>
      <w:color w:val="000000" w:themeColor="text1"/>
      <w:lang w:val="x-none"/>
    </w:rPr>
  </w:style>
  <w:style w:type="paragraph" w:customStyle="1" w:styleId="ListNumbered21">
    <w:name w:val="List Numbered 2.1"/>
    <w:basedOn w:val="ListNumbered1"/>
    <w:uiPriority w:val="3"/>
    <w:rsid w:val="008F655A"/>
    <w:pPr>
      <w:numPr>
        <w:ilvl w:val="1"/>
      </w:numPr>
    </w:pPr>
  </w:style>
  <w:style w:type="paragraph" w:customStyle="1" w:styleId="ListNumbered311">
    <w:name w:val="List Numbered 3.1.1"/>
    <w:basedOn w:val="ListNumbered21"/>
    <w:uiPriority w:val="3"/>
    <w:rsid w:val="008F655A"/>
    <w:pPr>
      <w:numPr>
        <w:ilvl w:val="2"/>
      </w:numPr>
    </w:pPr>
  </w:style>
  <w:style w:type="paragraph" w:styleId="TOCHeading">
    <w:name w:val="TOC Heading"/>
    <w:basedOn w:val="Heading1"/>
    <w:next w:val="Normal"/>
    <w:uiPriority w:val="39"/>
    <w:qFormat/>
    <w:rsid w:val="008F655A"/>
    <w:pPr>
      <w:keepNext/>
      <w:keepLines/>
      <w:spacing w:before="0"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Box1Text">
    <w:name w:val="Box 1 Text"/>
    <w:basedOn w:val="Normal"/>
    <w:uiPriority w:val="23"/>
    <w:qFormat/>
    <w:rsid w:val="008F655A"/>
    <w:pPr>
      <w:pBdr>
        <w:top w:val="single" w:sz="4" w:space="14" w:color="ED7D31" w:themeColor="accent2"/>
        <w:left w:val="single" w:sz="4" w:space="14" w:color="ED7D31" w:themeColor="accent2"/>
        <w:bottom w:val="single" w:sz="4" w:space="14" w:color="ED7D31" w:themeColor="accent2"/>
        <w:right w:val="single" w:sz="4" w:space="14" w:color="ED7D31" w:themeColor="accent2"/>
      </w:pBdr>
      <w:suppressAutoHyphens/>
      <w:spacing w:before="160" w:after="80"/>
      <w:ind w:left="284" w:right="284"/>
    </w:pPr>
    <w:rPr>
      <w:color w:val="000000" w:themeColor="text1"/>
      <w:lang w:val="x-none"/>
    </w:rPr>
  </w:style>
  <w:style w:type="paragraph" w:customStyle="1" w:styleId="Box1Heading">
    <w:name w:val="Box 1 Heading"/>
    <w:basedOn w:val="Box1Text"/>
    <w:uiPriority w:val="23"/>
    <w:qFormat/>
    <w:rsid w:val="008F655A"/>
    <w:rPr>
      <w:b/>
    </w:rPr>
  </w:style>
  <w:style w:type="paragraph" w:customStyle="1" w:styleId="Box1Bullet1">
    <w:name w:val="Box 1 Bullet 1"/>
    <w:basedOn w:val="Box1Text"/>
    <w:uiPriority w:val="24"/>
    <w:qFormat/>
    <w:rsid w:val="008F655A"/>
    <w:pPr>
      <w:numPr>
        <w:numId w:val="14"/>
      </w:numPr>
      <w:spacing w:before="80"/>
    </w:pPr>
    <w:rPr>
      <w:kern w:val="12"/>
      <w:sz w:val="20"/>
      <w:szCs w:val="20"/>
    </w:rPr>
  </w:style>
  <w:style w:type="paragraph" w:customStyle="1" w:styleId="Box2Text">
    <w:name w:val="Box 2 Text"/>
    <w:basedOn w:val="Normal"/>
    <w:uiPriority w:val="24"/>
    <w:qFormat/>
    <w:rsid w:val="008F655A"/>
    <w:pPr>
      <w:pBdr>
        <w:top w:val="single" w:sz="4" w:space="14" w:color="D9E2F3" w:themeColor="accent5" w:themeTint="33"/>
        <w:left w:val="single" w:sz="4" w:space="14" w:color="D9E2F3" w:themeColor="accent5" w:themeTint="33"/>
        <w:bottom w:val="single" w:sz="4" w:space="14" w:color="D9E2F3" w:themeColor="accent5" w:themeTint="33"/>
        <w:right w:val="single" w:sz="4" w:space="14" w:color="D9E2F3" w:themeColor="accent5" w:themeTint="33"/>
      </w:pBdr>
      <w:shd w:val="clear" w:color="auto" w:fill="D9E2F3" w:themeFill="accent5" w:themeFillTint="33"/>
      <w:suppressAutoHyphens/>
      <w:spacing w:before="160" w:after="80"/>
      <w:ind w:left="284" w:right="284"/>
    </w:pPr>
    <w:rPr>
      <w:color w:val="000000" w:themeColor="text1"/>
      <w:lang w:val="x-none"/>
    </w:rPr>
  </w:style>
  <w:style w:type="paragraph" w:customStyle="1" w:styleId="Box2Heading">
    <w:name w:val="Box 2 Heading"/>
    <w:basedOn w:val="Box2Text"/>
    <w:uiPriority w:val="24"/>
    <w:qFormat/>
    <w:rsid w:val="008F655A"/>
    <w:rPr>
      <w:b/>
    </w:rPr>
  </w:style>
  <w:style w:type="paragraph" w:customStyle="1" w:styleId="Box2Bullet1">
    <w:name w:val="Box 2 Bullet 1"/>
    <w:basedOn w:val="Box2Text"/>
    <w:uiPriority w:val="25"/>
    <w:qFormat/>
    <w:rsid w:val="008F655A"/>
    <w:pPr>
      <w:numPr>
        <w:ilvl w:val="1"/>
        <w:numId w:val="14"/>
      </w:numPr>
      <w:spacing w:before="80"/>
    </w:pPr>
    <w:rPr>
      <w:kern w:val="12"/>
      <w:sz w:val="20"/>
      <w:szCs w:val="20"/>
    </w:rPr>
  </w:style>
  <w:style w:type="numbering" w:customStyle="1" w:styleId="ListLegal">
    <w:name w:val="List Legal"/>
    <w:uiPriority w:val="99"/>
    <w:rsid w:val="008F655A"/>
    <w:pPr>
      <w:numPr>
        <w:numId w:val="7"/>
      </w:numPr>
    </w:pPr>
  </w:style>
  <w:style w:type="numbering" w:customStyle="1" w:styleId="ListNumbered">
    <w:name w:val="List Numbered"/>
    <w:uiPriority w:val="99"/>
    <w:rsid w:val="008F655A"/>
    <w:pPr>
      <w:numPr>
        <w:numId w:val="21"/>
      </w:numPr>
    </w:pPr>
  </w:style>
  <w:style w:type="paragraph" w:customStyle="1" w:styleId="Heading1Numbered">
    <w:name w:val="Heading 1 Numbered"/>
    <w:basedOn w:val="Heading1"/>
    <w:uiPriority w:val="10"/>
    <w:rsid w:val="008F655A"/>
    <w:pPr>
      <w:keepNext/>
      <w:keepLines/>
      <w:numPr>
        <w:numId w:val="10"/>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Heading2Numbered">
    <w:name w:val="Heading 2 Numbered"/>
    <w:basedOn w:val="Heading2"/>
    <w:uiPriority w:val="10"/>
    <w:rsid w:val="008F655A"/>
    <w:pPr>
      <w:keepLines/>
      <w:numPr>
        <w:ilvl w:val="1"/>
        <w:numId w:val="10"/>
      </w:numPr>
      <w:tabs>
        <w:tab w:val="left" w:pos="1701"/>
      </w:tabs>
      <w:spacing w:before="320"/>
    </w:pPr>
    <w:rPr>
      <w:rFonts w:asciiTheme="majorHAnsi" w:eastAsiaTheme="majorEastAsia" w:hAnsiTheme="majorHAnsi" w:cstheme="majorBidi"/>
      <w:bCs/>
      <w:color w:val="44546A" w:themeColor="text2"/>
      <w:kern w:val="0"/>
      <w:szCs w:val="26"/>
      <w:lang w:val="en-AU"/>
    </w:rPr>
  </w:style>
  <w:style w:type="paragraph" w:customStyle="1" w:styleId="Heading3Numbered">
    <w:name w:val="Heading 3 Numbered"/>
    <w:basedOn w:val="Heading3"/>
    <w:uiPriority w:val="10"/>
    <w:rsid w:val="008F655A"/>
    <w:pPr>
      <w:numPr>
        <w:ilvl w:val="2"/>
        <w:numId w:val="10"/>
      </w:numPr>
    </w:pPr>
  </w:style>
  <w:style w:type="paragraph" w:customStyle="1" w:styleId="Heading4Numbered">
    <w:name w:val="Heading 4 Numbered"/>
    <w:basedOn w:val="Heading4"/>
    <w:uiPriority w:val="10"/>
    <w:rsid w:val="008F655A"/>
    <w:pPr>
      <w:keepLines/>
      <w:numPr>
        <w:ilvl w:val="3"/>
        <w:numId w:val="10"/>
      </w:numPr>
      <w:spacing w:before="240"/>
    </w:pPr>
    <w:rPr>
      <w:rFonts w:asciiTheme="majorHAnsi" w:eastAsiaTheme="majorEastAsia" w:hAnsiTheme="majorHAnsi" w:cstheme="majorBidi"/>
      <w:iCs/>
      <w:color w:val="806000" w:themeColor="accent4" w:themeShade="80"/>
      <w:kern w:val="0"/>
      <w:sz w:val="26"/>
      <w:szCs w:val="22"/>
      <w:lang w:val="en-AU"/>
    </w:rPr>
  </w:style>
  <w:style w:type="paragraph" w:customStyle="1" w:styleId="Heading5Numbered">
    <w:name w:val="Heading 5 Numbered"/>
    <w:basedOn w:val="Heading5"/>
    <w:uiPriority w:val="10"/>
    <w:rsid w:val="008F655A"/>
    <w:pPr>
      <w:keepLines/>
      <w:numPr>
        <w:ilvl w:val="4"/>
        <w:numId w:val="10"/>
      </w:numPr>
      <w:spacing w:before="240"/>
    </w:pPr>
    <w:rPr>
      <w:rFonts w:asciiTheme="majorHAnsi" w:eastAsiaTheme="majorEastAsia" w:hAnsiTheme="majorHAnsi" w:cstheme="majorBidi"/>
      <w:color w:val="44546A" w:themeColor="text2"/>
      <w:kern w:val="0"/>
      <w:sz w:val="22"/>
      <w:szCs w:val="22"/>
      <w:lang w:val="en-AU"/>
    </w:rPr>
  </w:style>
  <w:style w:type="numbering" w:customStyle="1" w:styleId="NumberedHeadings">
    <w:name w:val="Numbered Headings"/>
    <w:uiPriority w:val="99"/>
    <w:rsid w:val="008F655A"/>
    <w:pPr>
      <w:numPr>
        <w:numId w:val="9"/>
      </w:numPr>
    </w:pPr>
  </w:style>
  <w:style w:type="paragraph" w:customStyle="1" w:styleId="AppendixHeading1">
    <w:name w:val="Appendix Heading 1"/>
    <w:basedOn w:val="Heading1"/>
    <w:uiPriority w:val="11"/>
    <w:qFormat/>
    <w:rsid w:val="008F655A"/>
    <w:pPr>
      <w:keepNext/>
      <w:keepLines/>
      <w:numPr>
        <w:numId w:val="12"/>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AppendixHeading2">
    <w:name w:val="Appendix Heading 2"/>
    <w:basedOn w:val="Heading2"/>
    <w:uiPriority w:val="11"/>
    <w:rsid w:val="008F655A"/>
    <w:pPr>
      <w:keepLines/>
      <w:numPr>
        <w:ilvl w:val="1"/>
        <w:numId w:val="12"/>
      </w:numPr>
      <w:tabs>
        <w:tab w:val="left" w:pos="1701"/>
      </w:tabs>
      <w:spacing w:before="320"/>
    </w:pPr>
    <w:rPr>
      <w:rFonts w:asciiTheme="majorHAnsi" w:eastAsiaTheme="majorEastAsia" w:hAnsiTheme="majorHAnsi" w:cstheme="majorBidi"/>
      <w:bCs/>
      <w:color w:val="44546A" w:themeColor="text2"/>
      <w:kern w:val="0"/>
      <w:szCs w:val="26"/>
      <w:lang w:val="en-AU"/>
    </w:rPr>
  </w:style>
  <w:style w:type="paragraph" w:customStyle="1" w:styleId="AttachmentHeading1">
    <w:name w:val="Attachment Heading 1"/>
    <w:basedOn w:val="Heading1"/>
    <w:uiPriority w:val="11"/>
    <w:qFormat/>
    <w:rsid w:val="008F655A"/>
    <w:pPr>
      <w:keepNext/>
      <w:keepLines/>
      <w:numPr>
        <w:numId w:val="13"/>
      </w:numPr>
      <w:spacing w:after="160"/>
      <w:contextualSpacing/>
    </w:pPr>
    <w:rPr>
      <w:rFonts w:asciiTheme="majorHAnsi" w:eastAsiaTheme="majorEastAsia" w:hAnsiTheme="majorHAnsi" w:cstheme="majorBidi"/>
      <w:b w:val="0"/>
      <w:color w:val="44546A" w:themeColor="text2"/>
      <w:kern w:val="0"/>
      <w:sz w:val="44"/>
      <w:szCs w:val="32"/>
      <w:lang w:val="en-AU"/>
    </w:rPr>
  </w:style>
  <w:style w:type="paragraph" w:customStyle="1" w:styleId="AttachmentHeading2">
    <w:name w:val="Attachment Heading 2"/>
    <w:basedOn w:val="Heading2"/>
    <w:uiPriority w:val="11"/>
    <w:rsid w:val="008F655A"/>
    <w:pPr>
      <w:keepLines/>
      <w:numPr>
        <w:ilvl w:val="1"/>
        <w:numId w:val="13"/>
      </w:numPr>
      <w:tabs>
        <w:tab w:val="left" w:pos="1701"/>
      </w:tabs>
      <w:spacing w:before="320"/>
    </w:pPr>
    <w:rPr>
      <w:rFonts w:asciiTheme="majorHAnsi" w:eastAsiaTheme="majorEastAsia" w:hAnsiTheme="majorHAnsi" w:cstheme="majorBidi"/>
      <w:bCs/>
      <w:color w:val="44546A" w:themeColor="text2"/>
      <w:kern w:val="0"/>
      <w:szCs w:val="26"/>
      <w:lang w:val="en-AU"/>
    </w:rPr>
  </w:style>
  <w:style w:type="numbering" w:customStyle="1" w:styleId="AppendixNumbers">
    <w:name w:val="Appendix Numbers"/>
    <w:uiPriority w:val="99"/>
    <w:rsid w:val="008F655A"/>
    <w:pPr>
      <w:numPr>
        <w:numId w:val="11"/>
      </w:numPr>
    </w:pPr>
  </w:style>
  <w:style w:type="numbering" w:customStyle="1" w:styleId="AttachmentNumbers">
    <w:name w:val="Attachment Numbers"/>
    <w:uiPriority w:val="99"/>
    <w:rsid w:val="008F655A"/>
    <w:pPr>
      <w:numPr>
        <w:numId w:val="23"/>
      </w:numPr>
    </w:pPr>
  </w:style>
  <w:style w:type="paragraph" w:customStyle="1" w:styleId="AreaHeading">
    <w:name w:val="Area Heading"/>
    <w:basedOn w:val="Normal"/>
    <w:qFormat/>
    <w:rsid w:val="008F655A"/>
    <w:pPr>
      <w:suppressAutoHyphens/>
      <w:spacing w:after="80"/>
      <w:ind w:left="-1020" w:firstLine="1020"/>
    </w:pPr>
    <w:rPr>
      <w:rFonts w:cs="Times New Roman (Body CS)"/>
      <w:caps/>
      <w:color w:val="806000" w:themeColor="accent4" w:themeShade="80"/>
      <w:lang w:val="en-AU"/>
    </w:rPr>
  </w:style>
  <w:style w:type="paragraph" w:customStyle="1" w:styleId="Box2Checklist">
    <w:name w:val="Box 2 Checklist"/>
    <w:basedOn w:val="Box2Text"/>
    <w:uiPriority w:val="26"/>
    <w:qFormat/>
    <w:rsid w:val="008F655A"/>
    <w:pPr>
      <w:numPr>
        <w:ilvl w:val="2"/>
        <w:numId w:val="14"/>
      </w:numPr>
    </w:pPr>
    <w:rPr>
      <w:kern w:val="12"/>
      <w:sz w:val="20"/>
      <w:szCs w:val="20"/>
    </w:rPr>
  </w:style>
  <w:style w:type="numbering" w:customStyle="1" w:styleId="BoxedBullets">
    <w:name w:val="Boxed Bullets"/>
    <w:uiPriority w:val="99"/>
    <w:rsid w:val="008F655A"/>
    <w:pPr>
      <w:numPr>
        <w:numId w:val="14"/>
      </w:numPr>
    </w:pPr>
  </w:style>
  <w:style w:type="character" w:customStyle="1" w:styleId="ListParagraphChar">
    <w:name w:val="List Paragraph Char"/>
    <w:aliases w:val="Recommendation Char,List Paragraph1 Char,List Paragraph11 Char,L Char,Number Char,#List Paragraph Char,Bullet point Char,List Paragraph111 Char,F5 List Paragraph Char,Dot pt Char,CV text Char,Medium Grid 1 - Accent 21 Char,列出段 Char"/>
    <w:link w:val="ListParagraph"/>
    <w:uiPriority w:val="99"/>
    <w:qFormat/>
    <w:locked/>
    <w:rsid w:val="008F655A"/>
    <w:rPr>
      <w:lang w:val="en-US"/>
    </w:rPr>
  </w:style>
  <w:style w:type="table" w:customStyle="1" w:styleId="DefaultTable11">
    <w:name w:val="Default Table 11"/>
    <w:basedOn w:val="TableNormal"/>
    <w:uiPriority w:val="99"/>
    <w:rsid w:val="008F655A"/>
    <w:pPr>
      <w:spacing w:before="80" w:after="80" w:line="240" w:lineRule="auto"/>
    </w:pPr>
    <w:rPr>
      <w:color w:val="000000"/>
      <w:sz w:val="20"/>
      <w:szCs w:val="20"/>
    </w:rPr>
    <w:tblPr>
      <w:tblStyleRowBandSize w:val="1"/>
      <w:tblStyleColBandSize w:val="1"/>
      <w:tblInd w:w="0" w:type="nil"/>
      <w:tblBorders>
        <w:top w:val="single" w:sz="4" w:space="0" w:color="4BB3B5"/>
        <w:bottom w:val="single" w:sz="4" w:space="0" w:color="4BB3B5"/>
        <w:insideH w:val="single" w:sz="4" w:space="0" w:color="4BB3B5"/>
      </w:tblBorders>
    </w:tblPr>
    <w:tblStylePr w:type="firstRow">
      <w:rPr>
        <w:b/>
        <w:color w:val="FFFFFF"/>
      </w:rPr>
      <w:tbl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character" w:styleId="FollowedHyperlink">
    <w:name w:val="FollowedHyperlink"/>
    <w:basedOn w:val="DefaultParagraphFont"/>
    <w:uiPriority w:val="99"/>
    <w:semiHidden/>
    <w:unhideWhenUsed/>
    <w:rsid w:val="008F655A"/>
    <w:rPr>
      <w:color w:val="954F72" w:themeColor="followedHyperlink"/>
      <w:u w:val="single"/>
    </w:rPr>
  </w:style>
  <w:style w:type="paragraph" w:customStyle="1" w:styleId="BulletList">
    <w:name w:val="Bullet List"/>
    <w:qFormat/>
    <w:rsid w:val="008F655A"/>
    <w:pPr>
      <w:numPr>
        <w:numId w:val="15"/>
      </w:numPr>
      <w:spacing w:after="0" w:line="240" w:lineRule="auto"/>
    </w:pPr>
    <w:rPr>
      <w:rFonts w:ascii="Century Gothic" w:eastAsia="TimesNewRomanPSMT" w:hAnsi="Century Gothic" w:cs="TimesNewRomanPSMT"/>
      <w:color w:val="000000"/>
      <w:sz w:val="20"/>
      <w:szCs w:val="19"/>
      <w:lang w:val="en-GB"/>
    </w:rPr>
  </w:style>
  <w:style w:type="paragraph" w:styleId="ListBullet">
    <w:name w:val="List Bullet"/>
    <w:basedOn w:val="Normal"/>
    <w:uiPriority w:val="99"/>
    <w:rsid w:val="008F655A"/>
    <w:pPr>
      <w:tabs>
        <w:tab w:val="num" w:pos="360"/>
        <w:tab w:val="num" w:pos="851"/>
      </w:tabs>
      <w:spacing w:after="120" w:line="280" w:lineRule="atLeast"/>
      <w:ind w:left="360" w:hanging="360"/>
      <w:jc w:val="both"/>
    </w:pPr>
    <w:rPr>
      <w:rFonts w:ascii="Arial" w:eastAsia="Times New Roman" w:hAnsi="Arial" w:cs="Times New Roman"/>
      <w:sz w:val="20"/>
      <w:szCs w:val="20"/>
      <w:lang w:val="en-AU"/>
    </w:rPr>
  </w:style>
  <w:style w:type="paragraph" w:styleId="Revision">
    <w:name w:val="Revision"/>
    <w:hidden/>
    <w:uiPriority w:val="99"/>
    <w:semiHidden/>
    <w:rsid w:val="008F655A"/>
    <w:pPr>
      <w:spacing w:after="0" w:line="240" w:lineRule="auto"/>
    </w:pPr>
    <w:rPr>
      <w:lang w:val="en-US"/>
    </w:rPr>
  </w:style>
  <w:style w:type="paragraph" w:customStyle="1" w:styleId="Resources">
    <w:name w:val="Resources"/>
    <w:basedOn w:val="Normal"/>
    <w:rsid w:val="008F655A"/>
    <w:pPr>
      <w:spacing w:after="80"/>
    </w:pPr>
    <w:rPr>
      <w:rFonts w:ascii="Georgia" w:eastAsia="Times New Roman" w:hAnsi="Georgia" w:cs="Microsoft Sans Serif"/>
      <w:b/>
      <w:lang w:val="en-AU" w:eastAsia="en-AU"/>
    </w:rPr>
  </w:style>
  <w:style w:type="table" w:customStyle="1" w:styleId="GTA1">
    <w:name w:val="GTA1"/>
    <w:basedOn w:val="TableNormal"/>
    <w:next w:val="TableGrid"/>
    <w:uiPriority w:val="39"/>
    <w:rsid w:val="008F655A"/>
    <w:pPr>
      <w:spacing w:after="0" w:line="240" w:lineRule="auto"/>
    </w:pPr>
    <w:rPr>
      <w:color w:val="000000" w:themeColor="tex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conBoxTable1">
    <w:name w:val="Icon Box Table1"/>
    <w:basedOn w:val="TableNormal"/>
    <w:uiPriority w:val="99"/>
    <w:rsid w:val="008F655A"/>
    <w:pPr>
      <w:spacing w:before="80" w:after="80" w:line="240" w:lineRule="auto"/>
    </w:pPr>
    <w:rPr>
      <w:color w:val="000000" w:themeColor="text1"/>
      <w:sz w:val="20"/>
      <w:szCs w:val="20"/>
    </w:r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NoList1">
    <w:name w:val="No List1"/>
    <w:next w:val="NoList"/>
    <w:uiPriority w:val="99"/>
    <w:semiHidden/>
    <w:unhideWhenUsed/>
    <w:rsid w:val="008F655A"/>
  </w:style>
  <w:style w:type="paragraph" w:customStyle="1" w:styleId="hp">
    <w:name w:val="hp"/>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partno">
    <w:name w:val="charpartno"/>
    <w:basedOn w:val="DefaultParagraphFont"/>
    <w:rsid w:val="008F655A"/>
  </w:style>
  <w:style w:type="character" w:customStyle="1" w:styleId="charparttext">
    <w:name w:val="charparttext"/>
    <w:basedOn w:val="DefaultParagraphFont"/>
    <w:rsid w:val="008F655A"/>
  </w:style>
  <w:style w:type="character" w:customStyle="1" w:styleId="chardivno">
    <w:name w:val="chardivno"/>
    <w:basedOn w:val="DefaultParagraphFont"/>
    <w:rsid w:val="008F655A"/>
  </w:style>
  <w:style w:type="character" w:customStyle="1" w:styleId="chardivtext">
    <w:name w:val="chardivtext"/>
    <w:basedOn w:val="DefaultParagraphFont"/>
    <w:rsid w:val="008F655A"/>
  </w:style>
  <w:style w:type="paragraph" w:customStyle="1" w:styleId="hr">
    <w:name w:val="hr"/>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
    <w:name w:val="charsectno"/>
    <w:basedOn w:val="DefaultParagraphFont"/>
    <w:rsid w:val="008F655A"/>
  </w:style>
  <w:style w:type="paragraph" w:customStyle="1" w:styleId="r1">
    <w:name w:val="r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colhead">
    <w:name w:val="tablecolhead"/>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tabletext0">
    <w:name w:val="tabletext"/>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r2">
    <w:name w:val="r2"/>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heading">
    <w:name w:val="scheduleheading"/>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schedulepara">
    <w:name w:val="schedulepara"/>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1">
    <w:name w:val="p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zp1">
    <w:name w:val="zp1"/>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paragraph" w:customStyle="1" w:styleId="p2">
    <w:name w:val="p2"/>
    <w:basedOn w:val="Normal"/>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CharSectno0">
    <w:name w:val="CharSectno"/>
    <w:basedOn w:val="DefaultParagraphFont"/>
    <w:rsid w:val="008F655A"/>
  </w:style>
  <w:style w:type="paragraph" w:customStyle="1" w:styleId="HR0">
    <w:name w:val="HR"/>
    <w:aliases w:val="Regulation Heading"/>
    <w:basedOn w:val="Normal"/>
    <w:next w:val="Normal"/>
    <w:rsid w:val="008F655A"/>
    <w:pPr>
      <w:keepNext/>
      <w:spacing w:before="360" w:after="0"/>
      <w:ind w:left="964" w:hanging="964"/>
    </w:pPr>
    <w:rPr>
      <w:rFonts w:ascii="Arial" w:eastAsia="Times New Roman" w:hAnsi="Arial" w:cs="Times New Roman"/>
      <w:b/>
      <w:sz w:val="24"/>
      <w:szCs w:val="24"/>
      <w:lang w:val="en-AU"/>
    </w:rPr>
  </w:style>
  <w:style w:type="paragraph" w:customStyle="1" w:styleId="R10">
    <w:name w:val="R1"/>
    <w:aliases w:val="1. or 1.(1)"/>
    <w:basedOn w:val="Normal"/>
    <w:next w:val="Normal"/>
    <w:rsid w:val="008F655A"/>
    <w:pPr>
      <w:keepLines/>
      <w:tabs>
        <w:tab w:val="right" w:pos="794"/>
      </w:tabs>
      <w:spacing w:before="120" w:after="0" w:line="260" w:lineRule="exact"/>
      <w:ind w:left="964" w:hanging="964"/>
      <w:jc w:val="both"/>
    </w:pPr>
    <w:rPr>
      <w:rFonts w:ascii="Times New Roman" w:eastAsia="Times New Roman" w:hAnsi="Times New Roman" w:cs="Times New Roman"/>
      <w:sz w:val="24"/>
      <w:szCs w:val="24"/>
      <w:lang w:val="en-AU"/>
    </w:rPr>
  </w:style>
  <w:style w:type="paragraph" w:customStyle="1" w:styleId="R20">
    <w:name w:val="R2"/>
    <w:aliases w:val="(2)"/>
    <w:basedOn w:val="Normal"/>
    <w:rsid w:val="008F655A"/>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val="en-AU"/>
    </w:rPr>
  </w:style>
  <w:style w:type="paragraph" w:customStyle="1" w:styleId="P10">
    <w:name w:val="P1"/>
    <w:aliases w:val="(a)"/>
    <w:basedOn w:val="Normal"/>
    <w:rsid w:val="008F655A"/>
    <w:pPr>
      <w:tabs>
        <w:tab w:val="right" w:pos="1191"/>
      </w:tabs>
      <w:spacing w:before="60" w:after="0" w:line="260" w:lineRule="exact"/>
      <w:ind w:left="1418" w:hanging="1418"/>
      <w:jc w:val="both"/>
    </w:pPr>
    <w:rPr>
      <w:rFonts w:ascii="Times New Roman" w:eastAsia="Times New Roman" w:hAnsi="Times New Roman" w:cs="Times New Roman"/>
      <w:sz w:val="24"/>
      <w:szCs w:val="24"/>
      <w:lang w:val="en-AU"/>
    </w:rPr>
  </w:style>
  <w:style w:type="paragraph" w:customStyle="1" w:styleId="P20">
    <w:name w:val="P2"/>
    <w:aliases w:val="(i)"/>
    <w:basedOn w:val="Normal"/>
    <w:rsid w:val="008F655A"/>
    <w:pPr>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val="en-AU"/>
    </w:rPr>
  </w:style>
  <w:style w:type="paragraph" w:customStyle="1" w:styleId="Leg3SecSubsec11">
    <w:name w:val="Leg3 Sec(Subsec): 1.(1)"/>
    <w:aliases w:val="L3"/>
    <w:basedOn w:val="Normal"/>
    <w:uiPriority w:val="5"/>
    <w:qFormat/>
    <w:rsid w:val="008F655A"/>
    <w:pPr>
      <w:tabs>
        <w:tab w:val="left" w:pos="425"/>
        <w:tab w:val="left" w:pos="850"/>
        <w:tab w:val="left" w:pos="1276"/>
      </w:tabs>
      <w:spacing w:before="60" w:after="60" w:line="260" w:lineRule="atLeast"/>
      <w:ind w:left="1276" w:right="567" w:hanging="850"/>
    </w:pPr>
    <w:rPr>
      <w:rFonts w:ascii="Arial" w:eastAsia="Times New Roman" w:hAnsi="Arial" w:cs="Arial"/>
      <w:sz w:val="20"/>
      <w:lang w:val="en-AU" w:eastAsia="en-AU"/>
    </w:rPr>
  </w:style>
  <w:style w:type="paragraph" w:styleId="NormalWeb">
    <w:name w:val="Normal (Web)"/>
    <w:basedOn w:val="Normal"/>
    <w:uiPriority w:val="99"/>
    <w:unhideWhenUsed/>
    <w:rsid w:val="008F655A"/>
    <w:pPr>
      <w:spacing w:before="100" w:beforeAutospacing="1" w:after="100" w:afterAutospacing="1"/>
    </w:pPr>
    <w:rPr>
      <w:rFonts w:ascii="Times New Roman" w:eastAsia="Times New Roman" w:hAnsi="Times New Roman" w:cs="Times New Roman"/>
      <w:sz w:val="24"/>
      <w:szCs w:val="24"/>
      <w:lang w:val="en-AU" w:eastAsia="en-AU"/>
    </w:rPr>
  </w:style>
  <w:style w:type="character" w:styleId="Strong">
    <w:name w:val="Strong"/>
    <w:basedOn w:val="DefaultParagraphFont"/>
    <w:uiPriority w:val="22"/>
    <w:qFormat/>
    <w:rsid w:val="008F655A"/>
    <w:rPr>
      <w:b/>
      <w:bCs/>
    </w:rPr>
  </w:style>
  <w:style w:type="character" w:styleId="IntenseEmphasis">
    <w:name w:val="Intense Emphasis"/>
    <w:basedOn w:val="DefaultParagraphFont"/>
    <w:uiPriority w:val="21"/>
    <w:qFormat/>
    <w:rsid w:val="008F655A"/>
    <w:rPr>
      <w:i/>
      <w:iCs/>
      <w:color w:val="5B9BD5" w:themeColor="accent1"/>
    </w:rPr>
  </w:style>
  <w:style w:type="paragraph" w:styleId="TOC5">
    <w:name w:val="toc 5"/>
    <w:basedOn w:val="Normal"/>
    <w:next w:val="Normal"/>
    <w:autoRedefine/>
    <w:uiPriority w:val="39"/>
    <w:unhideWhenUsed/>
    <w:rsid w:val="008F655A"/>
    <w:pPr>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8F655A"/>
    <w:pPr>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8F655A"/>
    <w:pPr>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8F655A"/>
    <w:pPr>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8F655A"/>
    <w:pPr>
      <w:spacing w:after="100" w:line="259" w:lineRule="auto"/>
      <w:ind w:left="1760"/>
    </w:pPr>
    <w:rPr>
      <w:rFonts w:eastAsiaTheme="minorEastAsia"/>
      <w:lang w:val="en-AU" w:eastAsia="en-AU"/>
    </w:rPr>
  </w:style>
  <w:style w:type="paragraph" w:customStyle="1" w:styleId="Talkingpoint">
    <w:name w:val="Talking point"/>
    <w:basedOn w:val="ListParagraph"/>
    <w:qFormat/>
    <w:rsid w:val="008F655A"/>
    <w:pPr>
      <w:numPr>
        <w:ilvl w:val="1"/>
      </w:numPr>
      <w:spacing w:before="240" w:after="200" w:line="276" w:lineRule="auto"/>
      <w:ind w:left="360"/>
    </w:pPr>
    <w:rPr>
      <w:rFonts w:ascii="Calibri Light" w:hAnsi="Calibri Light" w:cs="Calibri Light"/>
      <w:b/>
      <w:lang w:val="en-AU"/>
    </w:rPr>
  </w:style>
  <w:style w:type="numbering" w:customStyle="1" w:styleId="Bullets1">
    <w:name w:val="Bullets1"/>
    <w:uiPriority w:val="99"/>
    <w:rsid w:val="008F655A"/>
  </w:style>
  <w:style w:type="character" w:customStyle="1" w:styleId="normaltextrun">
    <w:name w:val="normaltextrun"/>
    <w:basedOn w:val="DefaultParagraphFont"/>
    <w:rsid w:val="008F655A"/>
  </w:style>
  <w:style w:type="character" w:customStyle="1" w:styleId="eop">
    <w:name w:val="eop"/>
    <w:basedOn w:val="DefaultParagraphFont"/>
    <w:rsid w:val="008F655A"/>
  </w:style>
  <w:style w:type="table" w:styleId="TableGrid1">
    <w:name w:val="Table Grid 1"/>
    <w:basedOn w:val="TableNormal"/>
    <w:semiHidden/>
    <w:rsid w:val="008F655A"/>
    <w:pPr>
      <w:kinsoku w:val="0"/>
      <w:overflowPunct w:val="0"/>
      <w:autoSpaceDE w:val="0"/>
      <w:autoSpaceDN w:val="0"/>
      <w:adjustRightInd w:val="0"/>
      <w:snapToGrid w:val="0"/>
      <w:spacing w:after="0" w:line="240" w:lineRule="auto"/>
    </w:pPr>
    <w:rPr>
      <w:rFonts w:ascii="Georgia" w:eastAsia="Times New Roman" w:hAnsi="Georg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8F655A"/>
    <w:rPr>
      <w:color w:val="605E5C"/>
      <w:shd w:val="clear" w:color="auto" w:fill="E1DFDD"/>
    </w:rPr>
  </w:style>
  <w:style w:type="character" w:styleId="HTMLCite">
    <w:name w:val="HTML Cite"/>
    <w:basedOn w:val="DefaultParagraphFont"/>
    <w:uiPriority w:val="99"/>
    <w:semiHidden/>
    <w:unhideWhenUsed/>
    <w:rsid w:val="008F655A"/>
    <w:rPr>
      <w:i w:val="0"/>
      <w:iCs w:val="0"/>
      <w:color w:val="006621"/>
    </w:rPr>
  </w:style>
  <w:style w:type="paragraph" w:customStyle="1" w:styleId="AppendixNumberLong">
    <w:name w:val="Appendix Number (Long)"/>
    <w:basedOn w:val="Heading3"/>
    <w:next w:val="Heading3"/>
    <w:uiPriority w:val="19"/>
    <w:rsid w:val="008F655A"/>
    <w:pPr>
      <w:keepLines/>
      <w:pageBreakBefore/>
      <w:suppressAutoHyphens w:val="0"/>
      <w:kinsoku w:val="0"/>
      <w:overflowPunct w:val="0"/>
      <w:autoSpaceDE w:val="0"/>
      <w:autoSpaceDN w:val="0"/>
      <w:adjustRightInd w:val="0"/>
      <w:snapToGrid w:val="0"/>
      <w:spacing w:after="0" w:line="640" w:lineRule="atLeast"/>
    </w:pPr>
    <w:rPr>
      <w:rFonts w:asciiTheme="minorHAnsi" w:eastAsia="Times New Roman" w:hAnsiTheme="minorHAnsi" w:cs="Arial"/>
      <w:snapToGrid w:val="0"/>
      <w:color w:val="FFFFFF" w:themeColor="background1"/>
      <w:kern w:val="0"/>
      <w:sz w:val="760"/>
      <w:szCs w:val="72"/>
      <w:lang w:val="en-AU"/>
    </w:rPr>
  </w:style>
  <w:style w:type="paragraph" w:customStyle="1" w:styleId="ChapterNumberLong">
    <w:name w:val="Chapter Number (Long)"/>
    <w:basedOn w:val="Heading1"/>
    <w:next w:val="Heading1"/>
    <w:uiPriority w:val="19"/>
    <w:rsid w:val="008F655A"/>
    <w:pPr>
      <w:pageBreakBefore/>
      <w:framePr w:w="5670" w:wrap="around" w:vAnchor="text" w:hAnchor="text" w:y="1"/>
      <w:suppressAutoHyphens w:val="0"/>
      <w:kinsoku w:val="0"/>
      <w:overflowPunct w:val="0"/>
      <w:autoSpaceDE w:val="0"/>
      <w:autoSpaceDN w:val="0"/>
      <w:adjustRightInd w:val="0"/>
      <w:snapToGrid w:val="0"/>
      <w:spacing w:before="0" w:after="0" w:line="640" w:lineRule="atLeast"/>
    </w:pPr>
    <w:rPr>
      <w:rFonts w:asciiTheme="minorHAnsi" w:eastAsia="Times New Roman" w:hAnsiTheme="minorHAnsi" w:cs="Arial"/>
      <w:b w:val="0"/>
      <w:bCs/>
      <w:snapToGrid w:val="0"/>
      <w:color w:val="FFFFFF" w:themeColor="background1"/>
      <w:kern w:val="0"/>
      <w:sz w:val="900"/>
      <w:szCs w:val="72"/>
      <w:lang w:val="en-AU"/>
    </w:rPr>
  </w:style>
  <w:style w:type="paragraph" w:customStyle="1" w:styleId="Indent1">
    <w:name w:val="Indent 1"/>
    <w:basedOn w:val="Normal"/>
    <w:uiPriority w:val="99"/>
    <w:qFormat/>
    <w:rsid w:val="008F655A"/>
    <w:pPr>
      <w:numPr>
        <w:ilvl w:val="1"/>
        <w:numId w:val="16"/>
      </w:numPr>
      <w:kinsoku w:val="0"/>
      <w:overflowPunct w:val="0"/>
      <w:autoSpaceDE w:val="0"/>
      <w:autoSpaceDN w:val="0"/>
      <w:adjustRightInd w:val="0"/>
      <w:snapToGrid w:val="0"/>
      <w:spacing w:before="100" w:after="100" w:line="281" w:lineRule="auto"/>
    </w:pPr>
    <w:rPr>
      <w:rFonts w:eastAsia="Times New Roman" w:cs="Times New Roman"/>
      <w:snapToGrid w:val="0"/>
      <w:sz w:val="18"/>
      <w:szCs w:val="20"/>
      <w:lang w:val="en-AU"/>
    </w:rPr>
  </w:style>
  <w:style w:type="paragraph" w:customStyle="1" w:styleId="Indent2">
    <w:name w:val="Indent 2"/>
    <w:basedOn w:val="Indent1"/>
    <w:uiPriority w:val="99"/>
    <w:qFormat/>
    <w:rsid w:val="008F655A"/>
    <w:pPr>
      <w:numPr>
        <w:ilvl w:val="2"/>
      </w:numPr>
    </w:pPr>
  </w:style>
  <w:style w:type="paragraph" w:customStyle="1" w:styleId="Indent3">
    <w:name w:val="Indent 3"/>
    <w:basedOn w:val="Indent2"/>
    <w:uiPriority w:val="99"/>
    <w:qFormat/>
    <w:rsid w:val="008F655A"/>
    <w:pPr>
      <w:numPr>
        <w:ilvl w:val="3"/>
      </w:numPr>
    </w:pPr>
  </w:style>
  <w:style w:type="paragraph" w:customStyle="1" w:styleId="Indent5">
    <w:name w:val="Indent 5"/>
    <w:basedOn w:val="Indent4"/>
    <w:rsid w:val="008F655A"/>
    <w:pPr>
      <w:numPr>
        <w:ilvl w:val="5"/>
      </w:numPr>
    </w:pPr>
  </w:style>
  <w:style w:type="paragraph" w:customStyle="1" w:styleId="Indent6">
    <w:name w:val="Indent 6"/>
    <w:basedOn w:val="Indent5"/>
    <w:rsid w:val="008F655A"/>
    <w:pPr>
      <w:numPr>
        <w:ilvl w:val="6"/>
      </w:numPr>
    </w:pPr>
  </w:style>
  <w:style w:type="paragraph" w:customStyle="1" w:styleId="Indent7">
    <w:name w:val="Indent 7"/>
    <w:basedOn w:val="Indent6"/>
    <w:rsid w:val="008F655A"/>
    <w:pPr>
      <w:numPr>
        <w:ilvl w:val="7"/>
      </w:numPr>
    </w:pPr>
  </w:style>
  <w:style w:type="paragraph" w:customStyle="1" w:styleId="Indent4">
    <w:name w:val="Indent 4"/>
    <w:basedOn w:val="Indent3"/>
    <w:uiPriority w:val="99"/>
    <w:rsid w:val="008F655A"/>
    <w:pPr>
      <w:numPr>
        <w:ilvl w:val="4"/>
      </w:numPr>
    </w:pPr>
  </w:style>
  <w:style w:type="paragraph" w:customStyle="1" w:styleId="ChapterNumberedList1">
    <w:name w:val="Chapter Numbered List 1"/>
    <w:basedOn w:val="PwCNormal"/>
    <w:uiPriority w:val="19"/>
    <w:rsid w:val="008F655A"/>
    <w:pPr>
      <w:numPr>
        <w:numId w:val="0"/>
      </w:numPr>
      <w:spacing w:before="120"/>
      <w:ind w:left="5760" w:hanging="360"/>
    </w:pPr>
  </w:style>
  <w:style w:type="paragraph" w:customStyle="1" w:styleId="ChapterNumberedList2">
    <w:name w:val="Chapter Numbered List 2"/>
    <w:basedOn w:val="ChapterNumberedList1"/>
    <w:uiPriority w:val="19"/>
    <w:rsid w:val="008F655A"/>
    <w:pPr>
      <w:ind w:left="6480"/>
    </w:pPr>
  </w:style>
  <w:style w:type="paragraph" w:customStyle="1" w:styleId="PwCNormal">
    <w:name w:val="PwC Normal"/>
    <w:aliases w:val="n,majNormal,note(text),cv teC Normal,note(text) + +Headings (Georgia),9 pt,Before:  3 pt,After:  3...,rmal"/>
    <w:basedOn w:val="Normal"/>
    <w:link w:val="PwCNormalChar"/>
    <w:uiPriority w:val="99"/>
    <w:qFormat/>
    <w:rsid w:val="008F655A"/>
    <w:pPr>
      <w:numPr>
        <w:numId w:val="16"/>
      </w:numPr>
      <w:kinsoku w:val="0"/>
      <w:overflowPunct w:val="0"/>
      <w:autoSpaceDE w:val="0"/>
      <w:autoSpaceDN w:val="0"/>
      <w:adjustRightInd w:val="0"/>
      <w:snapToGrid w:val="0"/>
      <w:spacing w:before="240" w:after="120" w:line="281" w:lineRule="auto"/>
    </w:pPr>
    <w:rPr>
      <w:rFonts w:eastAsia="Times New Roman" w:cs="Arial"/>
      <w:snapToGrid w:val="0"/>
      <w:color w:val="000000" w:themeColor="text1"/>
      <w:sz w:val="18"/>
      <w:szCs w:val="20"/>
      <w:lang w:val="en-AU"/>
    </w:rPr>
  </w:style>
  <w:style w:type="character" w:customStyle="1" w:styleId="PwCNormalChar">
    <w:name w:val="PwC Normal Char"/>
    <w:aliases w:val="n Char Char,n Char,majNormal Char,note(text) Char,cv teC Normal Char,note(text) + +Headings (Georgia) Char,9 pt Char,Before:  3 pt Char,After:  3... Char,rmal Char"/>
    <w:basedOn w:val="DefaultParagraphFont"/>
    <w:link w:val="PwCNormal"/>
    <w:uiPriority w:val="99"/>
    <w:rsid w:val="008F655A"/>
    <w:rPr>
      <w:rFonts w:eastAsia="Times New Roman" w:cs="Arial"/>
      <w:snapToGrid w:val="0"/>
      <w:color w:val="000000" w:themeColor="text1"/>
      <w:sz w:val="18"/>
      <w:szCs w:val="20"/>
    </w:rPr>
  </w:style>
  <w:style w:type="paragraph" w:customStyle="1" w:styleId="Indent8">
    <w:name w:val="Indent 8"/>
    <w:basedOn w:val="Indent7"/>
    <w:rsid w:val="008F655A"/>
    <w:pPr>
      <w:numPr>
        <w:ilvl w:val="8"/>
      </w:numPr>
    </w:pPr>
  </w:style>
  <w:style w:type="paragraph" w:customStyle="1" w:styleId="Style2">
    <w:name w:val="Style2"/>
    <w:basedOn w:val="Heading6"/>
    <w:link w:val="Style2Char"/>
    <w:uiPriority w:val="39"/>
    <w:qFormat/>
    <w:rsid w:val="008F655A"/>
    <w:pPr>
      <w:keepLines/>
      <w:numPr>
        <w:ilvl w:val="2"/>
      </w:numPr>
      <w:tabs>
        <w:tab w:val="num" w:pos="850"/>
      </w:tabs>
      <w:suppressAutoHyphens w:val="0"/>
      <w:kinsoku w:val="0"/>
      <w:overflowPunct w:val="0"/>
      <w:autoSpaceDE w:val="0"/>
      <w:autoSpaceDN w:val="0"/>
      <w:adjustRightInd w:val="0"/>
      <w:snapToGrid w:val="0"/>
      <w:spacing w:before="120" w:after="120" w:line="300" w:lineRule="atLeast"/>
      <w:ind w:left="850" w:hanging="850"/>
    </w:pPr>
    <w:rPr>
      <w:rFonts w:eastAsia="Times New Roman" w:cs="Arial"/>
      <w:iCs/>
      <w:snapToGrid w:val="0"/>
      <w:color w:val="44546A" w:themeColor="text2"/>
      <w:sz w:val="24"/>
      <w:szCs w:val="36"/>
    </w:rPr>
  </w:style>
  <w:style w:type="character" w:customStyle="1" w:styleId="Style2Char">
    <w:name w:val="Style2 Char"/>
    <w:basedOn w:val="Heading6Char"/>
    <w:link w:val="Style2"/>
    <w:uiPriority w:val="39"/>
    <w:rsid w:val="008F655A"/>
    <w:rPr>
      <w:rFonts w:ascii="Calibri" w:eastAsia="Times New Roman" w:hAnsi="Calibri" w:cs="Arial"/>
      <w:b/>
      <w:iCs/>
      <w:snapToGrid w:val="0"/>
      <w:color w:val="44546A" w:themeColor="text2"/>
      <w:kern w:val="12"/>
      <w:sz w:val="24"/>
      <w:szCs w:val="36"/>
      <w:lang w:val="en-US"/>
    </w:rPr>
  </w:style>
  <w:style w:type="paragraph" w:customStyle="1" w:styleId="CVText">
    <w:name w:val="CV Text"/>
    <w:basedOn w:val="PwCNormal"/>
    <w:uiPriority w:val="17"/>
    <w:qFormat/>
    <w:rsid w:val="008F655A"/>
    <w:pPr>
      <w:numPr>
        <w:numId w:val="0"/>
      </w:numPr>
      <w:spacing w:before="80" w:after="80"/>
    </w:pPr>
  </w:style>
  <w:style w:type="paragraph" w:styleId="ListBullet2">
    <w:name w:val="List Bullet 2"/>
    <w:basedOn w:val="Normal"/>
    <w:uiPriority w:val="99"/>
    <w:semiHidden/>
    <w:unhideWhenUsed/>
    <w:rsid w:val="008F655A"/>
    <w:pPr>
      <w:tabs>
        <w:tab w:val="num" w:pos="643"/>
      </w:tabs>
      <w:ind w:left="643" w:hanging="360"/>
      <w:contextualSpacing/>
    </w:pPr>
  </w:style>
  <w:style w:type="paragraph" w:customStyle="1" w:styleId="CVHeading2">
    <w:name w:val="CV Heading 2"/>
    <w:basedOn w:val="Normal"/>
    <w:next w:val="CVText"/>
    <w:uiPriority w:val="18"/>
    <w:qFormat/>
    <w:rsid w:val="008F655A"/>
    <w:pPr>
      <w:keepNext/>
      <w:keepLines/>
      <w:pBdr>
        <w:bottom w:val="none" w:sz="0" w:space="0" w:color="00457C"/>
      </w:pBdr>
      <w:kinsoku w:val="0"/>
      <w:overflowPunct w:val="0"/>
      <w:autoSpaceDE w:val="0"/>
      <w:autoSpaceDN w:val="0"/>
      <w:adjustRightInd w:val="0"/>
      <w:snapToGrid w:val="0"/>
      <w:spacing w:before="120" w:after="80" w:line="281" w:lineRule="auto"/>
    </w:pPr>
    <w:rPr>
      <w:rFonts w:eastAsia="Times New Roman" w:cs="Arial"/>
      <w:snapToGrid w:val="0"/>
      <w:color w:val="5B9BD5" w:themeColor="accent1"/>
      <w:sz w:val="18"/>
      <w:szCs w:val="24"/>
      <w:lang w:val="en-AU"/>
    </w:rPr>
  </w:style>
  <w:style w:type="paragraph" w:customStyle="1" w:styleId="Sources">
    <w:name w:val="Sources"/>
    <w:basedOn w:val="Normal"/>
    <w:next w:val="PwCNormal"/>
    <w:rsid w:val="008F655A"/>
    <w:pPr>
      <w:kinsoku w:val="0"/>
      <w:overflowPunct w:val="0"/>
      <w:autoSpaceDE w:val="0"/>
      <w:autoSpaceDN w:val="0"/>
      <w:adjustRightInd w:val="0"/>
      <w:snapToGrid w:val="0"/>
      <w:spacing w:before="80" w:after="240" w:line="180" w:lineRule="atLeast"/>
    </w:pPr>
    <w:rPr>
      <w:rFonts w:eastAsia="Times New Roman" w:cs="Arial"/>
      <w:snapToGrid w:val="0"/>
      <w:color w:val="5B9BD5" w:themeColor="accent1"/>
      <w:sz w:val="16"/>
      <w:szCs w:val="20"/>
      <w:lang w:val="en-AU"/>
    </w:rPr>
  </w:style>
  <w:style w:type="paragraph" w:customStyle="1" w:styleId="InputHeadingStyle1">
    <w:name w:val="Input Heading Style 1"/>
    <w:basedOn w:val="Normal"/>
    <w:rsid w:val="008F655A"/>
    <w:pPr>
      <w:spacing w:after="0"/>
      <w:outlineLvl w:val="0"/>
    </w:pPr>
    <w:rPr>
      <w:rFonts w:ascii="Arial" w:eastAsia="Times New Roman" w:hAnsi="Arial" w:cs="Times New Roman"/>
      <w:b/>
      <w:szCs w:val="20"/>
      <w:lang w:val="en-AU" w:eastAsia="en-AU"/>
    </w:rPr>
  </w:style>
  <w:style w:type="table" w:styleId="PlainTable2">
    <w:name w:val="Plain Table 2"/>
    <w:basedOn w:val="TableNormal"/>
    <w:uiPriority w:val="42"/>
    <w:rsid w:val="008F65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8F655A"/>
  </w:style>
  <w:style w:type="character" w:customStyle="1" w:styleId="UnresolvedMention2">
    <w:name w:val="Unresolved Mention2"/>
    <w:basedOn w:val="DefaultParagraphFont"/>
    <w:uiPriority w:val="99"/>
    <w:semiHidden/>
    <w:unhideWhenUsed/>
    <w:rsid w:val="008F655A"/>
    <w:rPr>
      <w:color w:val="605E5C"/>
      <w:shd w:val="clear" w:color="auto" w:fill="E1DFDD"/>
    </w:rPr>
  </w:style>
  <w:style w:type="character" w:customStyle="1" w:styleId="UnresolvedMention3">
    <w:name w:val="Unresolved Mention3"/>
    <w:basedOn w:val="DefaultParagraphFont"/>
    <w:uiPriority w:val="99"/>
    <w:semiHidden/>
    <w:unhideWhenUsed/>
    <w:rsid w:val="008F655A"/>
    <w:rPr>
      <w:color w:val="605E5C"/>
      <w:shd w:val="clear" w:color="auto" w:fill="E1DFDD"/>
    </w:rPr>
  </w:style>
  <w:style w:type="paragraph" w:customStyle="1" w:styleId="Listparagraph-bullets-secondlevel">
    <w:name w:val="List paragraph-bullets-second level"/>
    <w:basedOn w:val="Listparagraphbullets"/>
    <w:next w:val="Listparagraphbulletssecondlevel"/>
    <w:link w:val="Listparagraph-bullets-secondlevelChar"/>
    <w:autoRedefine/>
    <w:qFormat/>
    <w:rsid w:val="00425012"/>
    <w:pPr>
      <w:numPr>
        <w:numId w:val="3"/>
      </w:numPr>
      <w:spacing w:after="0"/>
    </w:pPr>
    <w:rPr>
      <w:lang w:val="en-US"/>
    </w:rPr>
  </w:style>
  <w:style w:type="character" w:customStyle="1" w:styleId="Listparagraph-bullets-secondlevelChar">
    <w:name w:val="List paragraph-bullets-second level Char"/>
    <w:basedOn w:val="ListparagraphbulletsChar"/>
    <w:link w:val="Listparagraph-bullets-secondlevel"/>
    <w:rsid w:val="00425012"/>
    <w:rPr>
      <w:rFonts w:ascii="Calibri" w:hAnsi="Calibri"/>
      <w:lang w:val="en-US" w:eastAsia="zh-TW"/>
    </w:rPr>
  </w:style>
  <w:style w:type="paragraph" w:customStyle="1" w:styleId="Style1">
    <w:name w:val="Style1"/>
    <w:basedOn w:val="Heading2notshowing"/>
    <w:link w:val="Style1Char"/>
    <w:qFormat/>
    <w:rsid w:val="008F655A"/>
    <w:pPr>
      <w:keepNext/>
      <w:pBdr>
        <w:bottom w:val="single" w:sz="4" w:space="1" w:color="auto"/>
      </w:pBdr>
      <w:spacing w:before="480"/>
    </w:pPr>
  </w:style>
  <w:style w:type="paragraph" w:customStyle="1" w:styleId="Style3">
    <w:name w:val="Style3"/>
    <w:basedOn w:val="Style1"/>
    <w:link w:val="Style3Char"/>
    <w:qFormat/>
    <w:rsid w:val="008F655A"/>
    <w:pPr>
      <w:spacing w:before="0" w:after="0"/>
    </w:pPr>
  </w:style>
  <w:style w:type="character" w:customStyle="1" w:styleId="ImprintHeadingChar">
    <w:name w:val="Imprint Heading Char"/>
    <w:basedOn w:val="DefaultParagraphFont"/>
    <w:link w:val="ImprintHeading"/>
    <w:uiPriority w:val="12"/>
    <w:rsid w:val="008F655A"/>
    <w:rPr>
      <w:b/>
      <w:color w:val="000000" w:themeColor="text1"/>
      <w:kern w:val="12"/>
      <w:lang w:val="x-none"/>
    </w:rPr>
  </w:style>
  <w:style w:type="character" w:customStyle="1" w:styleId="Heading2notshowingChar">
    <w:name w:val="Heading 2—not showing Char"/>
    <w:basedOn w:val="ImprintHeadingChar"/>
    <w:link w:val="Heading2notshowing"/>
    <w:rsid w:val="008F655A"/>
    <w:rPr>
      <w:b/>
      <w:color w:val="000000" w:themeColor="text1"/>
      <w:kern w:val="12"/>
      <w:sz w:val="24"/>
      <w:lang w:val="x-none"/>
    </w:rPr>
  </w:style>
  <w:style w:type="character" w:customStyle="1" w:styleId="Style1Char">
    <w:name w:val="Style1 Char"/>
    <w:basedOn w:val="Heading2notshowingChar"/>
    <w:link w:val="Style1"/>
    <w:rsid w:val="008F655A"/>
    <w:rPr>
      <w:b/>
      <w:color w:val="000000" w:themeColor="text1"/>
      <w:kern w:val="12"/>
      <w:sz w:val="24"/>
      <w:lang w:val="x-none"/>
    </w:rPr>
  </w:style>
  <w:style w:type="paragraph" w:customStyle="1" w:styleId="Style4">
    <w:name w:val="Style4"/>
    <w:basedOn w:val="Style3"/>
    <w:link w:val="Style4Char"/>
    <w:qFormat/>
    <w:rsid w:val="008F655A"/>
  </w:style>
  <w:style w:type="character" w:customStyle="1" w:styleId="Style3Char">
    <w:name w:val="Style3 Char"/>
    <w:basedOn w:val="Style1Char"/>
    <w:link w:val="Style3"/>
    <w:rsid w:val="008F655A"/>
    <w:rPr>
      <w:b/>
      <w:color w:val="000000" w:themeColor="text1"/>
      <w:kern w:val="12"/>
      <w:sz w:val="24"/>
      <w:lang w:val="x-none"/>
    </w:rPr>
  </w:style>
  <w:style w:type="character" w:customStyle="1" w:styleId="Style4Char">
    <w:name w:val="Style4 Char"/>
    <w:basedOn w:val="Style3Char"/>
    <w:link w:val="Style4"/>
    <w:rsid w:val="008F655A"/>
    <w:rPr>
      <w:b/>
      <w:color w:val="000000" w:themeColor="text1"/>
      <w:kern w:val="12"/>
      <w:sz w:val="24"/>
      <w:lang w:val="x-none"/>
    </w:rPr>
  </w:style>
  <w:style w:type="character" w:customStyle="1" w:styleId="UnresolvedMention4">
    <w:name w:val="Unresolved Mention4"/>
    <w:basedOn w:val="DefaultParagraphFont"/>
    <w:uiPriority w:val="99"/>
    <w:semiHidden/>
    <w:unhideWhenUsed/>
    <w:rsid w:val="008F655A"/>
    <w:rPr>
      <w:color w:val="605E5C"/>
      <w:shd w:val="clear" w:color="auto" w:fill="E1DFDD"/>
    </w:rPr>
  </w:style>
  <w:style w:type="character" w:customStyle="1" w:styleId="UnresolvedMention5">
    <w:name w:val="Unresolved Mention5"/>
    <w:basedOn w:val="DefaultParagraphFont"/>
    <w:uiPriority w:val="99"/>
    <w:semiHidden/>
    <w:unhideWhenUsed/>
    <w:rsid w:val="008F655A"/>
    <w:rPr>
      <w:color w:val="605E5C"/>
      <w:shd w:val="clear" w:color="auto" w:fill="E1DFDD"/>
    </w:rPr>
  </w:style>
  <w:style w:type="character" w:customStyle="1" w:styleId="UnresolvedMention6">
    <w:name w:val="Unresolved Mention6"/>
    <w:basedOn w:val="DefaultParagraphFont"/>
    <w:uiPriority w:val="99"/>
    <w:semiHidden/>
    <w:unhideWhenUsed/>
    <w:rsid w:val="008F655A"/>
    <w:rPr>
      <w:color w:val="605E5C"/>
      <w:shd w:val="clear" w:color="auto" w:fill="E1DFDD"/>
    </w:rPr>
  </w:style>
  <w:style w:type="character" w:customStyle="1" w:styleId="UnresolvedMention7">
    <w:name w:val="Unresolved Mention7"/>
    <w:basedOn w:val="DefaultParagraphFont"/>
    <w:uiPriority w:val="99"/>
    <w:semiHidden/>
    <w:unhideWhenUsed/>
    <w:rsid w:val="008F655A"/>
    <w:rPr>
      <w:color w:val="605E5C"/>
      <w:shd w:val="clear" w:color="auto" w:fill="E1DFDD"/>
    </w:rPr>
  </w:style>
  <w:style w:type="table" w:customStyle="1" w:styleId="DefaultTable12">
    <w:name w:val="Default Table 12"/>
    <w:basedOn w:val="TableNormal"/>
    <w:uiPriority w:val="99"/>
    <w:rsid w:val="00457629"/>
    <w:pPr>
      <w:spacing w:before="80" w:after="80" w:line="240" w:lineRule="auto"/>
    </w:pPr>
    <w:rPr>
      <w:color w:val="000000"/>
    </w:rPr>
    <w:tblPr>
      <w:tblStyleRowBandSize w:val="1"/>
      <w:tblStyleColBandSize w:val="1"/>
      <w:tblBorders>
        <w:top w:val="single" w:sz="4" w:space="0" w:color="008089"/>
        <w:bottom w:val="single" w:sz="4" w:space="0" w:color="008089"/>
        <w:insideH w:val="single" w:sz="4" w:space="0" w:color="008089"/>
        <w:insideV w:val="single" w:sz="4" w:space="0" w:color="008089"/>
      </w:tblBorders>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style>
  <w:style w:type="numbering" w:customStyle="1" w:styleId="Bullets2">
    <w:name w:val="Bullets2"/>
    <w:uiPriority w:val="99"/>
    <w:rsid w:val="00457629"/>
  </w:style>
  <w:style w:type="numbering" w:customStyle="1" w:styleId="NumberedHeadings1">
    <w:name w:val="Numbered Headings1"/>
    <w:uiPriority w:val="99"/>
    <w:rsid w:val="00457629"/>
  </w:style>
  <w:style w:type="numbering" w:customStyle="1" w:styleId="AttachmentNumbers1">
    <w:name w:val="Attachment Numbers1"/>
    <w:uiPriority w:val="99"/>
    <w:rsid w:val="00457629"/>
  </w:style>
  <w:style w:type="character" w:customStyle="1" w:styleId="UnresolvedMention">
    <w:name w:val="Unresolved Mention"/>
    <w:basedOn w:val="DefaultParagraphFont"/>
    <w:uiPriority w:val="99"/>
    <w:semiHidden/>
    <w:unhideWhenUsed/>
    <w:rsid w:val="00675105"/>
    <w:rPr>
      <w:color w:val="605E5C"/>
      <w:shd w:val="clear" w:color="auto" w:fill="E1DFDD"/>
    </w:rPr>
  </w:style>
  <w:style w:type="paragraph" w:customStyle="1" w:styleId="dash">
    <w:name w:val="dash"/>
    <w:basedOn w:val="Normal"/>
    <w:link w:val="dashChar"/>
    <w:qFormat/>
    <w:rsid w:val="00081C4C"/>
    <w:pPr>
      <w:spacing w:before="80" w:after="80"/>
    </w:pPr>
    <w:rPr>
      <w:sz w:val="21"/>
      <w:szCs w:val="20"/>
    </w:rPr>
  </w:style>
  <w:style w:type="character" w:customStyle="1" w:styleId="dashChar">
    <w:name w:val="dash Char"/>
    <w:basedOn w:val="DefaultParagraphFont"/>
    <w:link w:val="dash"/>
    <w:rsid w:val="00081C4C"/>
    <w:rPr>
      <w:sz w:val="21"/>
      <w:szCs w:val="20"/>
      <w:lang w:val="en-US"/>
    </w:rPr>
  </w:style>
  <w:style w:type="paragraph" w:customStyle="1" w:styleId="Style5">
    <w:name w:val="Style5"/>
    <w:basedOn w:val="BodyText"/>
    <w:link w:val="Style5Char"/>
    <w:qFormat/>
    <w:rsid w:val="00DA2462"/>
    <w:pPr>
      <w:framePr w:wrap="around" w:vAnchor="text" w:hAnchor="text" w:y="1"/>
      <w:pBdr>
        <w:top w:val="single" w:sz="4" w:space="1" w:color="A5A5A5" w:themeColor="accent3"/>
        <w:left w:val="single" w:sz="4" w:space="4" w:color="A5A5A5" w:themeColor="accent3"/>
        <w:bottom w:val="single" w:sz="4" w:space="1" w:color="A5A5A5" w:themeColor="accent3"/>
        <w:right w:val="single" w:sz="4" w:space="4" w:color="A5A5A5" w:themeColor="accent3"/>
      </w:pBdr>
    </w:pPr>
    <w:rPr>
      <w:rFonts w:asciiTheme="minorHAnsi" w:hAnsiTheme="minorHAnsi"/>
      <w:sz w:val="22"/>
    </w:rPr>
  </w:style>
  <w:style w:type="character" w:customStyle="1" w:styleId="Style5Char">
    <w:name w:val="Style5 Char"/>
    <w:basedOn w:val="BodyTextChar"/>
    <w:link w:val="Style5"/>
    <w:rsid w:val="00DA2462"/>
    <w:rPr>
      <w:rFonts w:ascii="Arial" w:eastAsia="Times New Roman" w:hAnsi="Arial"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30185">
      <w:bodyDiv w:val="1"/>
      <w:marLeft w:val="0"/>
      <w:marRight w:val="0"/>
      <w:marTop w:val="0"/>
      <w:marBottom w:val="0"/>
      <w:divBdr>
        <w:top w:val="none" w:sz="0" w:space="0" w:color="auto"/>
        <w:left w:val="none" w:sz="0" w:space="0" w:color="auto"/>
        <w:bottom w:val="none" w:sz="0" w:space="0" w:color="auto"/>
        <w:right w:val="none" w:sz="0" w:space="0" w:color="auto"/>
      </w:divBdr>
    </w:div>
    <w:div w:id="726994156">
      <w:bodyDiv w:val="1"/>
      <w:marLeft w:val="0"/>
      <w:marRight w:val="0"/>
      <w:marTop w:val="0"/>
      <w:marBottom w:val="0"/>
      <w:divBdr>
        <w:top w:val="none" w:sz="0" w:space="0" w:color="auto"/>
        <w:left w:val="none" w:sz="0" w:space="0" w:color="auto"/>
        <w:bottom w:val="none" w:sz="0" w:space="0" w:color="auto"/>
        <w:right w:val="none" w:sz="0" w:space="0" w:color="auto"/>
      </w:divBdr>
    </w:div>
    <w:div w:id="1914973257">
      <w:bodyDiv w:val="1"/>
      <w:marLeft w:val="0"/>
      <w:marRight w:val="0"/>
      <w:marTop w:val="0"/>
      <w:marBottom w:val="0"/>
      <w:divBdr>
        <w:top w:val="none" w:sz="0" w:space="0" w:color="auto"/>
        <w:left w:val="none" w:sz="0" w:space="0" w:color="auto"/>
        <w:bottom w:val="none" w:sz="0" w:space="0" w:color="auto"/>
        <w:right w:val="none" w:sz="0" w:space="0" w:color="auto"/>
      </w:divBdr>
    </w:div>
    <w:div w:id="211316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mailto:publishing@infrastructure.gov.au" TargetMode="External"/><Relationship Id="rId17" Type="http://schemas.openxmlformats.org/officeDocument/2006/relationships/header" Target="header3.xml"/><Relationship Id="rId25" Type="http://schemas.openxmlformats.org/officeDocument/2006/relationships/diagramLayout" Target="diagrams/layout1.xml"/><Relationship Id="rId33" Type="http://schemas.openxmlformats.org/officeDocument/2006/relationships/hyperlink" Target="https://dit.sa.gov.au/__data/assets/pdf_file/0004/113827/DOCS_AND_FILES-5786255-v4-Station_D_Part_-_Part_D074_Design_-_Electrical_Infrastructure.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disabilitygateway.gov.au/ads" TargetMode="External"/><Relationship Id="rId29" Type="http://schemas.openxmlformats.org/officeDocument/2006/relationships/hyperlink" Target="https://www.infrastructure.gov.au/have-your-say/stage-2-reform-disability-standards-accessible-public-transport-2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sabilityTransport@infrastructure.gov.au" TargetMode="External"/><Relationship Id="rId24" Type="http://schemas.openxmlformats.org/officeDocument/2006/relationships/diagramData" Target="diagrams/data1.xml"/><Relationship Id="rId32"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ag.gov.au/rights-and-protections/human-rights-and-anti-discrimination" TargetMode="External"/><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hyperlink" Target="http://www.pmc.gov.au/" TargetMode="External"/><Relationship Id="rId19" Type="http://schemas.openxmlformats.org/officeDocument/2006/relationships/image" Target="media/image3.jp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www.comlaw.gov.au/Series/F2005B01059" TargetMode="External"/><Relationship Id="rId27" Type="http://schemas.openxmlformats.org/officeDocument/2006/relationships/diagramColors" Target="diagrams/colors1.xml"/><Relationship Id="rId30" Type="http://schemas.openxmlformats.org/officeDocument/2006/relationships/hyperlink" Target="https://www.infrastructure.gov.au/infrastructure-transport-vehicles/transport-accessibility/reform-transport-standards/stage-1-reforms" TargetMode="Externa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humanrights.gov.au/our-work/disability-rights/publications/guidelines-equivalent-access-under-disability-standard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ihw.gov.au/reports/disability/people-with-disability-in-australia-2020-in-brief/contents/employment" TargetMode="External"/><Relationship Id="rId13" Type="http://schemas.openxmlformats.org/officeDocument/2006/relationships/hyperlink" Target="https://www.aihw.gov.au/getmedia/5f322ec4-ef63-4c43-a854-64f7a2f55a04/aihw-dis-72-people-with-disability-in-australia-2022.pdf.aspx?inline=true" TargetMode="External"/><Relationship Id="rId18" Type="http://schemas.openxmlformats.org/officeDocument/2006/relationships/hyperlink" Target="https://ncc.abcb.gov.au/ncc-online/NCC/2019-A1/NCC-2019-Volume-One-Amendment-1/Section-D-Access-and-Egress/Part-D2-Construction-Of-Exits" TargetMode="External"/><Relationship Id="rId3" Type="http://schemas.openxmlformats.org/officeDocument/2006/relationships/hyperlink" Target="https://www.aihw.gov.au/getmedia/ee5ee3c2-152d-4b5f-9901-71d483b47f03/aihw-dis-72.pdf.aspx?inline=true" TargetMode="External"/><Relationship Id="rId7" Type="http://schemas.openxmlformats.org/officeDocument/2006/relationships/hyperlink" Target="https://www.aihw.gov.au/reports/disability/people-with-disability-in-australia/contents/justice-and-safety/disability-discrimination" TargetMode="External"/><Relationship Id="rId12" Type="http://schemas.openxmlformats.org/officeDocument/2006/relationships/hyperlink" Target="https://www.aihw.gov.au/reports/dis/72/people-with-disability-in-australia/contents/education-and-skills/education-participation-needs-and-challenges" TargetMode="External"/><Relationship Id="rId17" Type="http://schemas.openxmlformats.org/officeDocument/2006/relationships/hyperlink" Target="https://ncc.abcb.gov.au/ncc-online/NCC/2019-A1/NCC-2019-Volume-One-Amendment-1/Section-D-Access-and-Egress/Part-D2-Construction-Of-Exits" TargetMode="External"/><Relationship Id="rId2" Type="http://schemas.openxmlformats.org/officeDocument/2006/relationships/hyperlink" Target="https://www.abs.gov.au/statistics/people/people-and-communities/general-social-survey-summary-results-australia/latest-release" TargetMode="External"/><Relationship Id="rId16" Type="http://schemas.openxmlformats.org/officeDocument/2006/relationships/hyperlink" Target="https://humanrights.gov.au/our-work/disability-rights/publications/advisory-note-streetscape-public-outdoor-areas-fixtures" TargetMode="External"/><Relationship Id="rId1" Type="http://schemas.openxmlformats.org/officeDocument/2006/relationships/hyperlink" Target="https://www.abs.gov.au/statistics/health/disability/disability-ageing-and-carers-australia-summary-findings/latest-release" TargetMode="External"/><Relationship Id="rId6" Type="http://schemas.openxmlformats.org/officeDocument/2006/relationships/hyperlink" Target="https://www.abs.gov.au/statistics/microdata-tablebuilder/available-microdata-tablebuilder/disability-ageing-and-carers-australia" TargetMode="External"/><Relationship Id="rId11" Type="http://schemas.openxmlformats.org/officeDocument/2006/relationships/hyperlink" Target="https://humanrights.gov.au/sites/default/files/document/publication/WTW_2016_Full_Report_AHRC_ac.pdf" TargetMode="External"/><Relationship Id="rId5" Type="http://schemas.openxmlformats.org/officeDocument/2006/relationships/hyperlink" Target="https://www.aihw.gov.au/getmedia/ee5ee3c2-152d-4b5f-9901-71d483b47f03/aihw-dis-72.pdf.aspx?inline=true" TargetMode="External"/><Relationship Id="rId15" Type="http://schemas.openxmlformats.org/officeDocument/2006/relationships/hyperlink" Target="https://www.legislation.gov.au/Details/F2012C00535" TargetMode="External"/><Relationship Id="rId10" Type="http://schemas.openxmlformats.org/officeDocument/2006/relationships/hyperlink" Target="https://www.aihw.gov.au/getmedia/5f322ec4-ef63-4c43-a854-64f7a2f55a04/aihw-dis-72-people-with-disability-in-australia-2022.pdf.aspx?inline=true" TargetMode="External"/><Relationship Id="rId4" Type="http://schemas.openxmlformats.org/officeDocument/2006/relationships/hyperlink" Target="https://www.disabilitygateway.gov.au/ads" TargetMode="External"/><Relationship Id="rId9" Type="http://schemas.openxmlformats.org/officeDocument/2006/relationships/hyperlink" Target="https://www.aihw.gov.au/reports/disability/people-with-disability-in-australia-2020-in-brief/contents/employment" TargetMode="External"/><Relationship Id="rId14" Type="http://schemas.openxmlformats.org/officeDocument/2006/relationships/hyperlink" Target="https://ncc.abcb.gov.au/editions/2019-a1/ncc-2019-volume-three-amendment-1/section-governing-requirements/part-a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FC2EAE-09D6-4499-BC9C-EC6F1B8B0BB2}"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AFE2E6C0-0ED5-4D46-9A1C-E73420A578FC}">
      <dgm:prSet phldrT="[Text]"/>
      <dgm:spPr>
        <a:solidFill>
          <a:srgbClr val="3078BA"/>
        </a:solidFill>
        <a:ln>
          <a:solidFill>
            <a:srgbClr val="3078BA"/>
          </a:solidFill>
        </a:ln>
      </dgm:spPr>
      <dgm:t>
        <a:bodyPr/>
        <a:lstStyle/>
        <a:p>
          <a:r>
            <a:rPr lang="en-AU"/>
            <a:t>ITMM</a:t>
          </a:r>
        </a:p>
      </dgm:t>
    </dgm:pt>
    <dgm:pt modelId="{D7F53823-5B18-4B15-BDAA-01499B7742A5}" type="parTrans" cxnId="{3BDC27B0-0381-461B-AAFF-AE8B99BB1F76}">
      <dgm:prSet/>
      <dgm:spPr/>
      <dgm:t>
        <a:bodyPr/>
        <a:lstStyle/>
        <a:p>
          <a:endParaRPr lang="en-AU"/>
        </a:p>
      </dgm:t>
    </dgm:pt>
    <dgm:pt modelId="{90596109-8C54-445A-AA67-E30405956B2D}" type="sibTrans" cxnId="{3BDC27B0-0381-461B-AAFF-AE8B99BB1F76}">
      <dgm:prSet/>
      <dgm:spPr/>
      <dgm:t>
        <a:bodyPr/>
        <a:lstStyle/>
        <a:p>
          <a:endParaRPr lang="en-AU"/>
        </a:p>
      </dgm:t>
    </dgm:pt>
    <dgm:pt modelId="{216E565A-2B32-4A17-A02D-B10F1154BD33}">
      <dgm:prSet phldrT="[Text]"/>
      <dgm:spPr/>
      <dgm:t>
        <a:bodyPr/>
        <a:lstStyle/>
        <a:p>
          <a:r>
            <a:rPr lang="en-AU"/>
            <a:t>  Will consider the final Decision Regulation Impact Statement for Stage 1 and Stage 2. </a:t>
          </a:r>
        </a:p>
      </dgm:t>
    </dgm:pt>
    <dgm:pt modelId="{EE8E6572-78D8-4B76-B13D-993978990937}" type="parTrans" cxnId="{1C60BCEA-0EB9-454A-B6CD-AEA27C5A912B}">
      <dgm:prSet/>
      <dgm:spPr/>
      <dgm:t>
        <a:bodyPr/>
        <a:lstStyle/>
        <a:p>
          <a:endParaRPr lang="en-AU"/>
        </a:p>
      </dgm:t>
    </dgm:pt>
    <dgm:pt modelId="{808D9E57-DE5D-4DE9-B880-CA467652D040}" type="sibTrans" cxnId="{1C60BCEA-0EB9-454A-B6CD-AEA27C5A912B}">
      <dgm:prSet/>
      <dgm:spPr/>
      <dgm:t>
        <a:bodyPr/>
        <a:lstStyle/>
        <a:p>
          <a:endParaRPr lang="en-AU"/>
        </a:p>
      </dgm:t>
    </dgm:pt>
    <dgm:pt modelId="{72636E06-031A-4C7D-8626-07074BC51139}">
      <dgm:prSet phldrT="[Text]"/>
      <dgm:spPr>
        <a:solidFill>
          <a:srgbClr val="3078BA"/>
        </a:solidFill>
        <a:ln>
          <a:solidFill>
            <a:srgbClr val="3078BA"/>
          </a:solidFill>
        </a:ln>
      </dgm:spPr>
      <dgm:t>
        <a:bodyPr/>
        <a:lstStyle/>
        <a:p>
          <a:r>
            <a:rPr lang="en-AU"/>
            <a:t>ITSOC</a:t>
          </a:r>
        </a:p>
      </dgm:t>
    </dgm:pt>
    <dgm:pt modelId="{A805055C-D400-4E13-902A-6D415C441065}" type="parTrans" cxnId="{995CFA60-AA1A-4F4B-A5C2-79DBD88A178C}">
      <dgm:prSet/>
      <dgm:spPr/>
      <dgm:t>
        <a:bodyPr/>
        <a:lstStyle/>
        <a:p>
          <a:endParaRPr lang="en-AU"/>
        </a:p>
      </dgm:t>
    </dgm:pt>
    <dgm:pt modelId="{FEB78019-55CB-4336-B070-797D9C1CA8EB}" type="sibTrans" cxnId="{995CFA60-AA1A-4F4B-A5C2-79DBD88A178C}">
      <dgm:prSet/>
      <dgm:spPr/>
      <dgm:t>
        <a:bodyPr/>
        <a:lstStyle/>
        <a:p>
          <a:endParaRPr lang="en-AU"/>
        </a:p>
      </dgm:t>
    </dgm:pt>
    <dgm:pt modelId="{035E9A69-C182-4456-9445-5F7722B320FC}">
      <dgm:prSet phldrT="[Text]"/>
      <dgm:spPr/>
      <dgm:t>
        <a:bodyPr/>
        <a:lstStyle/>
        <a:p>
          <a:r>
            <a:rPr lang="en-AU"/>
            <a:t>  Considered and approved the proposed areas of reform.</a:t>
          </a:r>
        </a:p>
      </dgm:t>
    </dgm:pt>
    <dgm:pt modelId="{2A171C1C-FA81-4AAA-881A-99F8FDB3785D}" type="parTrans" cxnId="{2F9E5A54-369E-49D6-B5BA-B1E4B2BC79B1}">
      <dgm:prSet/>
      <dgm:spPr/>
      <dgm:t>
        <a:bodyPr/>
        <a:lstStyle/>
        <a:p>
          <a:endParaRPr lang="en-AU"/>
        </a:p>
      </dgm:t>
    </dgm:pt>
    <dgm:pt modelId="{689F2952-CC9D-42F9-9F46-5A2A6838A60B}" type="sibTrans" cxnId="{2F9E5A54-369E-49D6-B5BA-B1E4B2BC79B1}">
      <dgm:prSet/>
      <dgm:spPr/>
      <dgm:t>
        <a:bodyPr/>
        <a:lstStyle/>
        <a:p>
          <a:endParaRPr lang="en-AU"/>
        </a:p>
      </dgm:t>
    </dgm:pt>
    <dgm:pt modelId="{DB56C803-93D8-4397-8AD5-CC632034AD07}">
      <dgm:prSet phldrT="[Text]"/>
      <dgm:spPr>
        <a:solidFill>
          <a:srgbClr val="3078BA"/>
        </a:solidFill>
        <a:ln>
          <a:solidFill>
            <a:srgbClr val="3078BA"/>
          </a:solidFill>
        </a:ln>
      </dgm:spPr>
      <dgm:t>
        <a:bodyPr/>
        <a:lstStyle/>
        <a:p>
          <a:r>
            <a:rPr lang="en-AU"/>
            <a:t>The Steering Committee</a:t>
          </a:r>
        </a:p>
      </dgm:t>
    </dgm:pt>
    <dgm:pt modelId="{3EE164CE-FB6C-498A-96A1-A3296B678BCA}" type="parTrans" cxnId="{5B74F4CF-C127-4F50-B945-47DA1197E52E}">
      <dgm:prSet/>
      <dgm:spPr/>
      <dgm:t>
        <a:bodyPr/>
        <a:lstStyle/>
        <a:p>
          <a:endParaRPr lang="en-AU"/>
        </a:p>
      </dgm:t>
    </dgm:pt>
    <dgm:pt modelId="{ACF33586-5F3F-4788-B63B-0F1C26B87111}" type="sibTrans" cxnId="{5B74F4CF-C127-4F50-B945-47DA1197E52E}">
      <dgm:prSet/>
      <dgm:spPr/>
      <dgm:t>
        <a:bodyPr/>
        <a:lstStyle/>
        <a:p>
          <a:endParaRPr lang="en-AU"/>
        </a:p>
      </dgm:t>
    </dgm:pt>
    <dgm:pt modelId="{7F9A3BFC-FF72-4A21-ACE1-8DDA9B7F9E24}">
      <dgm:prSet phldrT="[Text]"/>
      <dgm:spPr/>
      <dgm:t>
        <a:bodyPr/>
        <a:lstStyle/>
        <a:p>
          <a:r>
            <a:rPr lang="en-AU"/>
            <a:t>  Oversaw the development of areas of reform.</a:t>
          </a:r>
        </a:p>
      </dgm:t>
    </dgm:pt>
    <dgm:pt modelId="{CB1FDCE7-51CF-4FF9-B2FC-4F92C5DDB890}" type="parTrans" cxnId="{B72325A1-7F4D-4741-95BA-49D7A1C425E3}">
      <dgm:prSet/>
      <dgm:spPr/>
      <dgm:t>
        <a:bodyPr/>
        <a:lstStyle/>
        <a:p>
          <a:endParaRPr lang="en-AU"/>
        </a:p>
      </dgm:t>
    </dgm:pt>
    <dgm:pt modelId="{2769B770-23DF-446D-A1F4-2ADC6702C162}" type="sibTrans" cxnId="{B72325A1-7F4D-4741-95BA-49D7A1C425E3}">
      <dgm:prSet/>
      <dgm:spPr/>
      <dgm:t>
        <a:bodyPr/>
        <a:lstStyle/>
        <a:p>
          <a:endParaRPr lang="en-AU"/>
        </a:p>
      </dgm:t>
    </dgm:pt>
    <dgm:pt modelId="{701631D6-5B45-4446-84D5-51DA842A7295}">
      <dgm:prSet phldrT="[Text]"/>
      <dgm:spPr>
        <a:solidFill>
          <a:srgbClr val="3078BA"/>
        </a:solidFill>
        <a:ln>
          <a:solidFill>
            <a:srgbClr val="3078BA"/>
          </a:solidFill>
        </a:ln>
      </dgm:spPr>
      <dgm:t>
        <a:bodyPr/>
        <a:lstStyle/>
        <a:p>
          <a:r>
            <a:rPr lang="en-AU"/>
            <a:t>The Taskforce </a:t>
          </a:r>
        </a:p>
      </dgm:t>
    </dgm:pt>
    <dgm:pt modelId="{B4458250-23B5-41D8-95DB-0DC8BC2D70D2}" type="parTrans" cxnId="{D06334F8-E078-4EDF-96B7-B82895C3DAC5}">
      <dgm:prSet/>
      <dgm:spPr/>
      <dgm:t>
        <a:bodyPr/>
        <a:lstStyle/>
        <a:p>
          <a:endParaRPr lang="en-AU"/>
        </a:p>
      </dgm:t>
    </dgm:pt>
    <dgm:pt modelId="{428BEB43-3A5B-46DB-9924-E00E14911936}" type="sibTrans" cxnId="{D06334F8-E078-4EDF-96B7-B82895C3DAC5}">
      <dgm:prSet/>
      <dgm:spPr/>
      <dgm:t>
        <a:bodyPr/>
        <a:lstStyle/>
        <a:p>
          <a:endParaRPr lang="en-AU"/>
        </a:p>
      </dgm:t>
    </dgm:pt>
    <dgm:pt modelId="{E7D842B3-E813-4993-806E-00E74A43F8BF}">
      <dgm:prSet phldrT="[Text]"/>
      <dgm:spPr/>
      <dgm:t>
        <a:bodyPr/>
        <a:lstStyle/>
        <a:p>
          <a:r>
            <a:rPr lang="en-AU"/>
            <a:t>  Developed policy options for areas of reform through working groups and focus groups. </a:t>
          </a:r>
        </a:p>
      </dgm:t>
    </dgm:pt>
    <dgm:pt modelId="{89B4A322-6B06-45FA-BC64-4617FE360874}" type="parTrans" cxnId="{82604C4F-013C-4698-A944-8C94287F796E}">
      <dgm:prSet/>
      <dgm:spPr/>
      <dgm:t>
        <a:bodyPr/>
        <a:lstStyle/>
        <a:p>
          <a:endParaRPr lang="en-AU"/>
        </a:p>
      </dgm:t>
    </dgm:pt>
    <dgm:pt modelId="{4DC3ABE0-3F4A-4D05-A408-FBC148F82BD0}" type="sibTrans" cxnId="{82604C4F-013C-4698-A944-8C94287F796E}">
      <dgm:prSet/>
      <dgm:spPr/>
      <dgm:t>
        <a:bodyPr/>
        <a:lstStyle/>
        <a:p>
          <a:endParaRPr lang="en-AU"/>
        </a:p>
      </dgm:t>
    </dgm:pt>
    <dgm:pt modelId="{24CCAEFB-FEE3-4126-8604-80A7D51FE989}">
      <dgm:prSet phldrT="[Text]"/>
      <dgm:spPr/>
      <dgm:t>
        <a:bodyPr/>
        <a:lstStyle/>
        <a:p>
          <a:r>
            <a:rPr lang="en-AU"/>
            <a:t>  Agreed to modernisation of the Transport Standards and set guiding principles for the reforms. </a:t>
          </a:r>
        </a:p>
      </dgm:t>
    </dgm:pt>
    <dgm:pt modelId="{024FEC5A-5D6B-43F3-A6A4-E3022BFB56B6}" type="parTrans" cxnId="{B6B24BEE-9CD7-4B2A-803C-5637E5755596}">
      <dgm:prSet/>
      <dgm:spPr/>
      <dgm:t>
        <a:bodyPr/>
        <a:lstStyle/>
        <a:p>
          <a:endParaRPr lang="en-AU"/>
        </a:p>
      </dgm:t>
    </dgm:pt>
    <dgm:pt modelId="{BFB15421-F714-46DA-9ADC-1A2CDA003FE9}" type="sibTrans" cxnId="{B6B24BEE-9CD7-4B2A-803C-5637E5755596}">
      <dgm:prSet/>
      <dgm:spPr/>
      <dgm:t>
        <a:bodyPr/>
        <a:lstStyle/>
        <a:p>
          <a:endParaRPr lang="en-AU"/>
        </a:p>
      </dgm:t>
    </dgm:pt>
    <dgm:pt modelId="{0338482F-8976-4D9C-9013-F2212D5783F3}">
      <dgm:prSet phldrT="[Text]"/>
      <dgm:spPr/>
      <dgm:t>
        <a:bodyPr/>
        <a:lstStyle/>
        <a:p>
          <a:r>
            <a:rPr lang="en-AU"/>
            <a:t>  Endorsed areas of reform to be considered by ITSOC.</a:t>
          </a:r>
        </a:p>
      </dgm:t>
    </dgm:pt>
    <dgm:pt modelId="{AAFD1CEC-0295-459A-B55F-7D7D59EC7517}" type="parTrans" cxnId="{B9EF4557-E192-475F-93CE-86E150F3850A}">
      <dgm:prSet/>
      <dgm:spPr/>
      <dgm:t>
        <a:bodyPr/>
        <a:lstStyle/>
        <a:p>
          <a:endParaRPr lang="en-AU"/>
        </a:p>
      </dgm:t>
    </dgm:pt>
    <dgm:pt modelId="{60258A0C-102D-429A-9B26-EBBF8FE0AADB}" type="sibTrans" cxnId="{B9EF4557-E192-475F-93CE-86E150F3850A}">
      <dgm:prSet/>
      <dgm:spPr/>
      <dgm:t>
        <a:bodyPr/>
        <a:lstStyle/>
        <a:p>
          <a:endParaRPr lang="en-AU"/>
        </a:p>
      </dgm:t>
    </dgm:pt>
    <dgm:pt modelId="{51E4A0BC-C6C2-4A46-876C-90B619E3E9DB}" type="pres">
      <dgm:prSet presAssocID="{79FC2EAE-09D6-4499-BC9C-EC6F1B8B0BB2}" presName="linear" presStyleCnt="0">
        <dgm:presLayoutVars>
          <dgm:animLvl val="lvl"/>
          <dgm:resizeHandles val="exact"/>
        </dgm:presLayoutVars>
      </dgm:prSet>
      <dgm:spPr/>
      <dgm:t>
        <a:bodyPr/>
        <a:lstStyle/>
        <a:p>
          <a:endParaRPr lang="en-US"/>
        </a:p>
      </dgm:t>
    </dgm:pt>
    <dgm:pt modelId="{79A91AA9-A1B6-4987-998C-D3BC33D623DB}" type="pres">
      <dgm:prSet presAssocID="{AFE2E6C0-0ED5-4D46-9A1C-E73420A578FC}" presName="parentText" presStyleLbl="node1" presStyleIdx="0" presStyleCnt="4">
        <dgm:presLayoutVars>
          <dgm:chMax val="0"/>
          <dgm:bulletEnabled val="1"/>
        </dgm:presLayoutVars>
      </dgm:prSet>
      <dgm:spPr/>
      <dgm:t>
        <a:bodyPr/>
        <a:lstStyle/>
        <a:p>
          <a:endParaRPr lang="en-US"/>
        </a:p>
      </dgm:t>
    </dgm:pt>
    <dgm:pt modelId="{C7251D23-1F3C-4C43-94CA-A7C37DC75A2D}" type="pres">
      <dgm:prSet presAssocID="{AFE2E6C0-0ED5-4D46-9A1C-E73420A578FC}" presName="childText" presStyleLbl="revTx" presStyleIdx="0" presStyleCnt="4">
        <dgm:presLayoutVars>
          <dgm:bulletEnabled val="1"/>
        </dgm:presLayoutVars>
      </dgm:prSet>
      <dgm:spPr/>
      <dgm:t>
        <a:bodyPr/>
        <a:lstStyle/>
        <a:p>
          <a:endParaRPr lang="en-US"/>
        </a:p>
      </dgm:t>
    </dgm:pt>
    <dgm:pt modelId="{F620F47F-6BB0-4F2E-973C-9BBBEE2D53A3}" type="pres">
      <dgm:prSet presAssocID="{72636E06-031A-4C7D-8626-07074BC51139}" presName="parentText" presStyleLbl="node1" presStyleIdx="1" presStyleCnt="4">
        <dgm:presLayoutVars>
          <dgm:chMax val="0"/>
          <dgm:bulletEnabled val="1"/>
        </dgm:presLayoutVars>
      </dgm:prSet>
      <dgm:spPr/>
      <dgm:t>
        <a:bodyPr/>
        <a:lstStyle/>
        <a:p>
          <a:endParaRPr lang="en-US"/>
        </a:p>
      </dgm:t>
    </dgm:pt>
    <dgm:pt modelId="{A71DFDED-C1BA-49E5-B636-05C8374020C9}" type="pres">
      <dgm:prSet presAssocID="{72636E06-031A-4C7D-8626-07074BC51139}" presName="childText" presStyleLbl="revTx" presStyleIdx="1" presStyleCnt="4">
        <dgm:presLayoutVars>
          <dgm:bulletEnabled val="1"/>
        </dgm:presLayoutVars>
      </dgm:prSet>
      <dgm:spPr/>
      <dgm:t>
        <a:bodyPr/>
        <a:lstStyle/>
        <a:p>
          <a:endParaRPr lang="en-US"/>
        </a:p>
      </dgm:t>
    </dgm:pt>
    <dgm:pt modelId="{13F2D517-B9AF-4441-8AB7-0BB100920F9A}" type="pres">
      <dgm:prSet presAssocID="{DB56C803-93D8-4397-8AD5-CC632034AD07}" presName="parentText" presStyleLbl="node1" presStyleIdx="2" presStyleCnt="4">
        <dgm:presLayoutVars>
          <dgm:chMax val="0"/>
          <dgm:bulletEnabled val="1"/>
        </dgm:presLayoutVars>
      </dgm:prSet>
      <dgm:spPr/>
      <dgm:t>
        <a:bodyPr/>
        <a:lstStyle/>
        <a:p>
          <a:endParaRPr lang="en-US"/>
        </a:p>
      </dgm:t>
    </dgm:pt>
    <dgm:pt modelId="{9160B741-3CDB-49B5-A1AE-9100F832F5DC}" type="pres">
      <dgm:prSet presAssocID="{DB56C803-93D8-4397-8AD5-CC632034AD07}" presName="childText" presStyleLbl="revTx" presStyleIdx="2" presStyleCnt="4">
        <dgm:presLayoutVars>
          <dgm:bulletEnabled val="1"/>
        </dgm:presLayoutVars>
      </dgm:prSet>
      <dgm:spPr/>
      <dgm:t>
        <a:bodyPr/>
        <a:lstStyle/>
        <a:p>
          <a:endParaRPr lang="en-US"/>
        </a:p>
      </dgm:t>
    </dgm:pt>
    <dgm:pt modelId="{2A06D749-5E49-4506-B492-A0877799B9C3}" type="pres">
      <dgm:prSet presAssocID="{701631D6-5B45-4446-84D5-51DA842A7295}" presName="parentText" presStyleLbl="node1" presStyleIdx="3" presStyleCnt="4">
        <dgm:presLayoutVars>
          <dgm:chMax val="0"/>
          <dgm:bulletEnabled val="1"/>
        </dgm:presLayoutVars>
      </dgm:prSet>
      <dgm:spPr/>
      <dgm:t>
        <a:bodyPr/>
        <a:lstStyle/>
        <a:p>
          <a:endParaRPr lang="en-US"/>
        </a:p>
      </dgm:t>
    </dgm:pt>
    <dgm:pt modelId="{50F8360F-97A3-4699-977C-81E65F7F1F86}" type="pres">
      <dgm:prSet presAssocID="{701631D6-5B45-4446-84D5-51DA842A7295}" presName="childText" presStyleLbl="revTx" presStyleIdx="3" presStyleCnt="4">
        <dgm:presLayoutVars>
          <dgm:bulletEnabled val="1"/>
        </dgm:presLayoutVars>
      </dgm:prSet>
      <dgm:spPr/>
      <dgm:t>
        <a:bodyPr/>
        <a:lstStyle/>
        <a:p>
          <a:endParaRPr lang="en-US"/>
        </a:p>
      </dgm:t>
    </dgm:pt>
  </dgm:ptLst>
  <dgm:cxnLst>
    <dgm:cxn modelId="{82604C4F-013C-4698-A944-8C94287F796E}" srcId="{701631D6-5B45-4446-84D5-51DA842A7295}" destId="{E7D842B3-E813-4993-806E-00E74A43F8BF}" srcOrd="0" destOrd="0" parTransId="{89B4A322-6B06-45FA-BC64-4617FE360874}" sibTransId="{4DC3ABE0-3F4A-4D05-A408-FBC148F82BD0}"/>
    <dgm:cxn modelId="{328D24AA-CDF3-4098-B822-BAB0E17FFA30}" type="presOf" srcId="{7F9A3BFC-FF72-4A21-ACE1-8DDA9B7F9E24}" destId="{9160B741-3CDB-49B5-A1AE-9100F832F5DC}" srcOrd="0" destOrd="0" presId="urn:microsoft.com/office/officeart/2005/8/layout/vList2"/>
    <dgm:cxn modelId="{550F1AA2-24B0-4627-A3E3-447FF9D6167F}" type="presOf" srcId="{DB56C803-93D8-4397-8AD5-CC632034AD07}" destId="{13F2D517-B9AF-4441-8AB7-0BB100920F9A}" srcOrd="0" destOrd="0" presId="urn:microsoft.com/office/officeart/2005/8/layout/vList2"/>
    <dgm:cxn modelId="{607A4220-551D-4D34-9192-4E3EA9DADCD1}" type="presOf" srcId="{AFE2E6C0-0ED5-4D46-9A1C-E73420A578FC}" destId="{79A91AA9-A1B6-4987-998C-D3BC33D623DB}" srcOrd="0" destOrd="0" presId="urn:microsoft.com/office/officeart/2005/8/layout/vList2"/>
    <dgm:cxn modelId="{B72325A1-7F4D-4741-95BA-49D7A1C425E3}" srcId="{DB56C803-93D8-4397-8AD5-CC632034AD07}" destId="{7F9A3BFC-FF72-4A21-ACE1-8DDA9B7F9E24}" srcOrd="0" destOrd="0" parTransId="{CB1FDCE7-51CF-4FF9-B2FC-4F92C5DDB890}" sibTransId="{2769B770-23DF-446D-A1F4-2ADC6702C162}"/>
    <dgm:cxn modelId="{F3872A52-570F-402A-902F-FDE24E86B977}" type="presOf" srcId="{79FC2EAE-09D6-4499-BC9C-EC6F1B8B0BB2}" destId="{51E4A0BC-C6C2-4A46-876C-90B619E3E9DB}" srcOrd="0" destOrd="0" presId="urn:microsoft.com/office/officeart/2005/8/layout/vList2"/>
    <dgm:cxn modelId="{5B74F4CF-C127-4F50-B945-47DA1197E52E}" srcId="{79FC2EAE-09D6-4499-BC9C-EC6F1B8B0BB2}" destId="{DB56C803-93D8-4397-8AD5-CC632034AD07}" srcOrd="2" destOrd="0" parTransId="{3EE164CE-FB6C-498A-96A1-A3296B678BCA}" sibTransId="{ACF33586-5F3F-4788-B63B-0F1C26B87111}"/>
    <dgm:cxn modelId="{1C60BCEA-0EB9-454A-B6CD-AEA27C5A912B}" srcId="{AFE2E6C0-0ED5-4D46-9A1C-E73420A578FC}" destId="{216E565A-2B32-4A17-A02D-B10F1154BD33}" srcOrd="1" destOrd="0" parTransId="{EE8E6572-78D8-4B76-B13D-993978990937}" sibTransId="{808D9E57-DE5D-4DE9-B880-CA467652D040}"/>
    <dgm:cxn modelId="{73233BE6-16A9-40F0-B66A-035BCEC82501}" type="presOf" srcId="{216E565A-2B32-4A17-A02D-B10F1154BD33}" destId="{C7251D23-1F3C-4C43-94CA-A7C37DC75A2D}" srcOrd="0" destOrd="1" presId="urn:microsoft.com/office/officeart/2005/8/layout/vList2"/>
    <dgm:cxn modelId="{79C30AE8-F6D7-4B4D-836B-7352CB5DD25C}" type="presOf" srcId="{035E9A69-C182-4456-9445-5F7722B320FC}" destId="{A71DFDED-C1BA-49E5-B636-05C8374020C9}" srcOrd="0" destOrd="0" presId="urn:microsoft.com/office/officeart/2005/8/layout/vList2"/>
    <dgm:cxn modelId="{B9EF4557-E192-475F-93CE-86E150F3850A}" srcId="{DB56C803-93D8-4397-8AD5-CC632034AD07}" destId="{0338482F-8976-4D9C-9013-F2212D5783F3}" srcOrd="1" destOrd="0" parTransId="{AAFD1CEC-0295-459A-B55F-7D7D59EC7517}" sibTransId="{60258A0C-102D-429A-9B26-EBBF8FE0AADB}"/>
    <dgm:cxn modelId="{3A666317-B7B7-480C-AEEB-395C42DFE79D}" type="presOf" srcId="{E7D842B3-E813-4993-806E-00E74A43F8BF}" destId="{50F8360F-97A3-4699-977C-81E65F7F1F86}" srcOrd="0" destOrd="0" presId="urn:microsoft.com/office/officeart/2005/8/layout/vList2"/>
    <dgm:cxn modelId="{BB1B3970-DCF7-4F05-8CD3-C9179253970C}" type="presOf" srcId="{0338482F-8976-4D9C-9013-F2212D5783F3}" destId="{9160B741-3CDB-49B5-A1AE-9100F832F5DC}" srcOrd="0" destOrd="1" presId="urn:microsoft.com/office/officeart/2005/8/layout/vList2"/>
    <dgm:cxn modelId="{995CFA60-AA1A-4F4B-A5C2-79DBD88A178C}" srcId="{79FC2EAE-09D6-4499-BC9C-EC6F1B8B0BB2}" destId="{72636E06-031A-4C7D-8626-07074BC51139}" srcOrd="1" destOrd="0" parTransId="{A805055C-D400-4E13-902A-6D415C441065}" sibTransId="{FEB78019-55CB-4336-B070-797D9C1CA8EB}"/>
    <dgm:cxn modelId="{2F9E5A54-369E-49D6-B5BA-B1E4B2BC79B1}" srcId="{72636E06-031A-4C7D-8626-07074BC51139}" destId="{035E9A69-C182-4456-9445-5F7722B320FC}" srcOrd="0" destOrd="0" parTransId="{2A171C1C-FA81-4AAA-881A-99F8FDB3785D}" sibTransId="{689F2952-CC9D-42F9-9F46-5A2A6838A60B}"/>
    <dgm:cxn modelId="{B6B24BEE-9CD7-4B2A-803C-5637E5755596}" srcId="{AFE2E6C0-0ED5-4D46-9A1C-E73420A578FC}" destId="{24CCAEFB-FEE3-4126-8604-80A7D51FE989}" srcOrd="0" destOrd="0" parTransId="{024FEC5A-5D6B-43F3-A6A4-E3022BFB56B6}" sibTransId="{BFB15421-F714-46DA-9ADC-1A2CDA003FE9}"/>
    <dgm:cxn modelId="{3BDC27B0-0381-461B-AAFF-AE8B99BB1F76}" srcId="{79FC2EAE-09D6-4499-BC9C-EC6F1B8B0BB2}" destId="{AFE2E6C0-0ED5-4D46-9A1C-E73420A578FC}" srcOrd="0" destOrd="0" parTransId="{D7F53823-5B18-4B15-BDAA-01499B7742A5}" sibTransId="{90596109-8C54-445A-AA67-E30405956B2D}"/>
    <dgm:cxn modelId="{FBB320BB-9C91-4190-AAA4-4219F52766AB}" type="presOf" srcId="{701631D6-5B45-4446-84D5-51DA842A7295}" destId="{2A06D749-5E49-4506-B492-A0877799B9C3}" srcOrd="0" destOrd="0" presId="urn:microsoft.com/office/officeart/2005/8/layout/vList2"/>
    <dgm:cxn modelId="{426D37ED-E2EA-408C-812C-4377525FF58B}" type="presOf" srcId="{24CCAEFB-FEE3-4126-8604-80A7D51FE989}" destId="{C7251D23-1F3C-4C43-94CA-A7C37DC75A2D}" srcOrd="0" destOrd="0" presId="urn:microsoft.com/office/officeart/2005/8/layout/vList2"/>
    <dgm:cxn modelId="{7563D665-C168-4FEC-94F9-8CADA5901363}" type="presOf" srcId="{72636E06-031A-4C7D-8626-07074BC51139}" destId="{F620F47F-6BB0-4F2E-973C-9BBBEE2D53A3}" srcOrd="0" destOrd="0" presId="urn:microsoft.com/office/officeart/2005/8/layout/vList2"/>
    <dgm:cxn modelId="{D06334F8-E078-4EDF-96B7-B82895C3DAC5}" srcId="{79FC2EAE-09D6-4499-BC9C-EC6F1B8B0BB2}" destId="{701631D6-5B45-4446-84D5-51DA842A7295}" srcOrd="3" destOrd="0" parTransId="{B4458250-23B5-41D8-95DB-0DC8BC2D70D2}" sibTransId="{428BEB43-3A5B-46DB-9924-E00E14911936}"/>
    <dgm:cxn modelId="{04338B28-BF46-4F1A-A5C4-1CDD89F70B4D}" type="presParOf" srcId="{51E4A0BC-C6C2-4A46-876C-90B619E3E9DB}" destId="{79A91AA9-A1B6-4987-998C-D3BC33D623DB}" srcOrd="0" destOrd="0" presId="urn:microsoft.com/office/officeart/2005/8/layout/vList2"/>
    <dgm:cxn modelId="{1620C06B-B832-4D67-A4FE-6D2A59ABD426}" type="presParOf" srcId="{51E4A0BC-C6C2-4A46-876C-90B619E3E9DB}" destId="{C7251D23-1F3C-4C43-94CA-A7C37DC75A2D}" srcOrd="1" destOrd="0" presId="urn:microsoft.com/office/officeart/2005/8/layout/vList2"/>
    <dgm:cxn modelId="{526BE881-519A-4816-ADD7-4C030E9A8E07}" type="presParOf" srcId="{51E4A0BC-C6C2-4A46-876C-90B619E3E9DB}" destId="{F620F47F-6BB0-4F2E-973C-9BBBEE2D53A3}" srcOrd="2" destOrd="0" presId="urn:microsoft.com/office/officeart/2005/8/layout/vList2"/>
    <dgm:cxn modelId="{09B8016B-33D0-4FE4-9B36-56B5085D267C}" type="presParOf" srcId="{51E4A0BC-C6C2-4A46-876C-90B619E3E9DB}" destId="{A71DFDED-C1BA-49E5-B636-05C8374020C9}" srcOrd="3" destOrd="0" presId="urn:microsoft.com/office/officeart/2005/8/layout/vList2"/>
    <dgm:cxn modelId="{FCBE0899-5FE1-455A-B271-D3A0B368BB09}" type="presParOf" srcId="{51E4A0BC-C6C2-4A46-876C-90B619E3E9DB}" destId="{13F2D517-B9AF-4441-8AB7-0BB100920F9A}" srcOrd="4" destOrd="0" presId="urn:microsoft.com/office/officeart/2005/8/layout/vList2"/>
    <dgm:cxn modelId="{3049B673-E80E-4E91-9075-BEFB9E2F8617}" type="presParOf" srcId="{51E4A0BC-C6C2-4A46-876C-90B619E3E9DB}" destId="{9160B741-3CDB-49B5-A1AE-9100F832F5DC}" srcOrd="5" destOrd="0" presId="urn:microsoft.com/office/officeart/2005/8/layout/vList2"/>
    <dgm:cxn modelId="{E47B37A6-C572-4D31-BF46-6EED0DA7B218}" type="presParOf" srcId="{51E4A0BC-C6C2-4A46-876C-90B619E3E9DB}" destId="{2A06D749-5E49-4506-B492-A0877799B9C3}" srcOrd="6" destOrd="0" presId="urn:microsoft.com/office/officeart/2005/8/layout/vList2"/>
    <dgm:cxn modelId="{F2A07A6D-10D5-4830-8C8B-793C1CDEC8A0}" type="presParOf" srcId="{51E4A0BC-C6C2-4A46-876C-90B619E3E9DB}" destId="{50F8360F-97A3-4699-977C-81E65F7F1F86}" srcOrd="7"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A91AA9-A1B6-4987-998C-D3BC33D623DB}">
      <dsp:nvSpPr>
        <dsp:cNvPr id="0" name=""/>
        <dsp:cNvSpPr/>
      </dsp:nvSpPr>
      <dsp:spPr>
        <a:xfrm>
          <a:off x="0" y="76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AU" sz="1600" kern="1200"/>
            <a:t>ITMM</a:t>
          </a:r>
        </a:p>
      </dsp:txBody>
      <dsp:txXfrm>
        <a:off x="18734" y="19497"/>
        <a:ext cx="6069806" cy="346292"/>
      </dsp:txXfrm>
    </dsp:sp>
    <dsp:sp modelId="{C7251D23-1F3C-4C43-94CA-A7C37DC75A2D}">
      <dsp:nvSpPr>
        <dsp:cNvPr id="0" name=""/>
        <dsp:cNvSpPr/>
      </dsp:nvSpPr>
      <dsp:spPr>
        <a:xfrm>
          <a:off x="0" y="384523"/>
          <a:ext cx="6107274"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Agreed to modernisation of the Transport Standards and set guiding principles for the reforms. </a:t>
          </a:r>
        </a:p>
        <a:p>
          <a:pPr marL="114300" lvl="1" indent="-114300" algn="l" defTabSz="533400">
            <a:lnSpc>
              <a:spcPct val="90000"/>
            </a:lnSpc>
            <a:spcBef>
              <a:spcPct val="0"/>
            </a:spcBef>
            <a:spcAft>
              <a:spcPct val="20000"/>
            </a:spcAft>
            <a:buChar char="••"/>
          </a:pPr>
          <a:r>
            <a:rPr lang="en-AU" sz="1200" kern="1200"/>
            <a:t>  Will consider the final Decision Regulation Impact Statement for Stage 1 and Stage 2. </a:t>
          </a:r>
        </a:p>
      </dsp:txBody>
      <dsp:txXfrm>
        <a:off x="0" y="384523"/>
        <a:ext cx="6107274" cy="596160"/>
      </dsp:txXfrm>
    </dsp:sp>
    <dsp:sp modelId="{F620F47F-6BB0-4F2E-973C-9BBBEE2D53A3}">
      <dsp:nvSpPr>
        <dsp:cNvPr id="0" name=""/>
        <dsp:cNvSpPr/>
      </dsp:nvSpPr>
      <dsp:spPr>
        <a:xfrm>
          <a:off x="0" y="98068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AU" sz="1600" kern="1200"/>
            <a:t>ITSOC</a:t>
          </a:r>
        </a:p>
      </dsp:txBody>
      <dsp:txXfrm>
        <a:off x="18734" y="999417"/>
        <a:ext cx="6069806" cy="346292"/>
      </dsp:txXfrm>
    </dsp:sp>
    <dsp:sp modelId="{A71DFDED-C1BA-49E5-B636-05C8374020C9}">
      <dsp:nvSpPr>
        <dsp:cNvPr id="0" name=""/>
        <dsp:cNvSpPr/>
      </dsp:nvSpPr>
      <dsp:spPr>
        <a:xfrm>
          <a:off x="0" y="1364443"/>
          <a:ext cx="6107274"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Considered and approved the proposed areas of reform.</a:t>
          </a:r>
        </a:p>
      </dsp:txBody>
      <dsp:txXfrm>
        <a:off x="0" y="1364443"/>
        <a:ext cx="6107274" cy="264960"/>
      </dsp:txXfrm>
    </dsp:sp>
    <dsp:sp modelId="{13F2D517-B9AF-4441-8AB7-0BB100920F9A}">
      <dsp:nvSpPr>
        <dsp:cNvPr id="0" name=""/>
        <dsp:cNvSpPr/>
      </dsp:nvSpPr>
      <dsp:spPr>
        <a:xfrm>
          <a:off x="0" y="162940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AU" sz="1600" kern="1200"/>
            <a:t>The Steering Committee</a:t>
          </a:r>
        </a:p>
      </dsp:txBody>
      <dsp:txXfrm>
        <a:off x="18734" y="1648137"/>
        <a:ext cx="6069806" cy="346292"/>
      </dsp:txXfrm>
    </dsp:sp>
    <dsp:sp modelId="{9160B741-3CDB-49B5-A1AE-9100F832F5DC}">
      <dsp:nvSpPr>
        <dsp:cNvPr id="0" name=""/>
        <dsp:cNvSpPr/>
      </dsp:nvSpPr>
      <dsp:spPr>
        <a:xfrm>
          <a:off x="0" y="2013163"/>
          <a:ext cx="6107274" cy="414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Oversaw the development of areas of reform.</a:t>
          </a:r>
        </a:p>
        <a:p>
          <a:pPr marL="114300" lvl="1" indent="-114300" algn="l" defTabSz="533400">
            <a:lnSpc>
              <a:spcPct val="90000"/>
            </a:lnSpc>
            <a:spcBef>
              <a:spcPct val="0"/>
            </a:spcBef>
            <a:spcAft>
              <a:spcPct val="20000"/>
            </a:spcAft>
            <a:buChar char="••"/>
          </a:pPr>
          <a:r>
            <a:rPr lang="en-AU" sz="1200" kern="1200"/>
            <a:t>  Endorsed areas of reform to be considered by ITSOC.</a:t>
          </a:r>
        </a:p>
      </dsp:txBody>
      <dsp:txXfrm>
        <a:off x="0" y="2013163"/>
        <a:ext cx="6107274" cy="414000"/>
      </dsp:txXfrm>
    </dsp:sp>
    <dsp:sp modelId="{2A06D749-5E49-4506-B492-A0877799B9C3}">
      <dsp:nvSpPr>
        <dsp:cNvPr id="0" name=""/>
        <dsp:cNvSpPr/>
      </dsp:nvSpPr>
      <dsp:spPr>
        <a:xfrm>
          <a:off x="0" y="2427163"/>
          <a:ext cx="6107274" cy="383760"/>
        </a:xfrm>
        <a:prstGeom prst="roundRect">
          <a:avLst/>
        </a:prstGeom>
        <a:solidFill>
          <a:srgbClr val="3078BA"/>
        </a:solidFill>
        <a:ln w="12700" cap="flat" cmpd="sng" algn="ctr">
          <a:solidFill>
            <a:srgbClr val="3078BA"/>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AU" sz="1600" kern="1200"/>
            <a:t>The Taskforce </a:t>
          </a:r>
        </a:p>
      </dsp:txBody>
      <dsp:txXfrm>
        <a:off x="18734" y="2445897"/>
        <a:ext cx="6069806" cy="346292"/>
      </dsp:txXfrm>
    </dsp:sp>
    <dsp:sp modelId="{50F8360F-97A3-4699-977C-81E65F7F1F86}">
      <dsp:nvSpPr>
        <dsp:cNvPr id="0" name=""/>
        <dsp:cNvSpPr/>
      </dsp:nvSpPr>
      <dsp:spPr>
        <a:xfrm>
          <a:off x="0" y="2810923"/>
          <a:ext cx="6107274" cy="2649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906" tIns="20320" rIns="113792" bIns="20320" numCol="1" spcCol="1270" anchor="t" anchorCtr="0">
          <a:noAutofit/>
        </a:bodyPr>
        <a:lstStyle/>
        <a:p>
          <a:pPr marL="114300" lvl="1" indent="-114300" algn="l" defTabSz="533400">
            <a:lnSpc>
              <a:spcPct val="90000"/>
            </a:lnSpc>
            <a:spcBef>
              <a:spcPct val="0"/>
            </a:spcBef>
            <a:spcAft>
              <a:spcPct val="20000"/>
            </a:spcAft>
            <a:buChar char="••"/>
          </a:pPr>
          <a:r>
            <a:rPr lang="en-AU" sz="1200" kern="1200"/>
            <a:t>  Developed policy options for areas of reform through working groups and focus groups. </a:t>
          </a:r>
        </a:p>
      </dsp:txBody>
      <dsp:txXfrm>
        <a:off x="0" y="2810923"/>
        <a:ext cx="6107274" cy="26496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C9BD6-0F6A-4BBD-B339-22791D5D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486</Pages>
  <Words>206250</Words>
  <Characters>1175625</Characters>
  <Application>Microsoft Office Word</Application>
  <DocSecurity>0</DocSecurity>
  <Lines>9796</Lines>
  <Paragraphs>2758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2024-03-21T00:41:00Z</dcterms:created>
  <dcterms:modified xsi:type="dcterms:W3CDTF">2024-03-21T00:41:00Z</dcterms:modified>
</cp:coreProperties>
</file>