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AC89" w14:textId="77777777" w:rsidR="00387675" w:rsidRPr="00387675" w:rsidRDefault="00387675" w:rsidP="00387675">
      <w:pPr>
        <w:jc w:val="left"/>
        <w:rPr>
          <w:szCs w:val="22"/>
        </w:rPr>
      </w:pPr>
    </w:p>
    <w:p w14:paraId="300DDD03" w14:textId="77777777" w:rsidR="00387675" w:rsidRPr="00387675" w:rsidRDefault="00387675" w:rsidP="00387675">
      <w:pPr>
        <w:jc w:val="left"/>
        <w:rPr>
          <w:szCs w:val="22"/>
        </w:rPr>
      </w:pPr>
    </w:p>
    <w:p w14:paraId="3E84693C" w14:textId="33D8FD6D" w:rsidR="00387675" w:rsidRPr="00F30B45" w:rsidRDefault="00D31F99" w:rsidP="218C0415">
      <w:pPr>
        <w:jc w:val="left"/>
        <w:rPr>
          <w:sz w:val="21"/>
          <w:szCs w:val="21"/>
        </w:rPr>
      </w:pPr>
      <w:r w:rsidRPr="00F30B45">
        <w:rPr>
          <w:sz w:val="21"/>
          <w:szCs w:val="21"/>
        </w:rPr>
        <w:t>18 March 2024</w:t>
      </w:r>
    </w:p>
    <w:p w14:paraId="3610A118" w14:textId="77777777" w:rsidR="00B10377" w:rsidRPr="00F30B45" w:rsidRDefault="00B10377" w:rsidP="218C0415">
      <w:pPr>
        <w:jc w:val="left"/>
        <w:rPr>
          <w:sz w:val="21"/>
          <w:szCs w:val="21"/>
        </w:rPr>
      </w:pPr>
    </w:p>
    <w:p w14:paraId="735263F2" w14:textId="77777777" w:rsidR="00B10377" w:rsidRPr="00F30B45" w:rsidRDefault="00B10377" w:rsidP="218C0415">
      <w:pPr>
        <w:jc w:val="left"/>
        <w:rPr>
          <w:sz w:val="21"/>
          <w:szCs w:val="21"/>
          <w:highlight w:val="yellow"/>
        </w:rPr>
      </w:pPr>
    </w:p>
    <w:p w14:paraId="494F14BB" w14:textId="77777777" w:rsidR="00B10377" w:rsidRPr="00F30B45" w:rsidRDefault="00B10377" w:rsidP="00B10377">
      <w:pPr>
        <w:jc w:val="left"/>
        <w:rPr>
          <w:sz w:val="21"/>
          <w:szCs w:val="21"/>
        </w:rPr>
      </w:pPr>
      <w:r w:rsidRPr="00F30B45">
        <w:rPr>
          <w:sz w:val="21"/>
          <w:szCs w:val="21"/>
        </w:rPr>
        <w:t>Mr Jason Lange</w:t>
      </w:r>
    </w:p>
    <w:p w14:paraId="79DB36E0" w14:textId="77777777" w:rsidR="00B10377" w:rsidRPr="00F30B45" w:rsidRDefault="00B10377" w:rsidP="00B10377">
      <w:pPr>
        <w:jc w:val="left"/>
        <w:rPr>
          <w:sz w:val="21"/>
          <w:szCs w:val="21"/>
        </w:rPr>
      </w:pPr>
      <w:r w:rsidRPr="00F30B45">
        <w:rPr>
          <w:sz w:val="21"/>
          <w:szCs w:val="21"/>
        </w:rPr>
        <w:t xml:space="preserve">Executive Director </w:t>
      </w:r>
    </w:p>
    <w:p w14:paraId="69D5339F" w14:textId="77777777" w:rsidR="00B10377" w:rsidRPr="00F30B45" w:rsidRDefault="00B10377" w:rsidP="00B10377">
      <w:pPr>
        <w:jc w:val="left"/>
        <w:rPr>
          <w:sz w:val="21"/>
          <w:szCs w:val="21"/>
        </w:rPr>
      </w:pPr>
      <w:r w:rsidRPr="00F30B45">
        <w:rPr>
          <w:sz w:val="21"/>
          <w:szCs w:val="21"/>
        </w:rPr>
        <w:t xml:space="preserve">Office of Impact Analysis </w:t>
      </w:r>
    </w:p>
    <w:p w14:paraId="332A4B88" w14:textId="77777777" w:rsidR="00B10377" w:rsidRPr="00F30B45" w:rsidRDefault="00B10377" w:rsidP="00B10377">
      <w:pPr>
        <w:jc w:val="left"/>
        <w:rPr>
          <w:sz w:val="21"/>
          <w:szCs w:val="21"/>
        </w:rPr>
      </w:pPr>
      <w:r w:rsidRPr="00F30B45">
        <w:rPr>
          <w:sz w:val="21"/>
          <w:szCs w:val="21"/>
        </w:rPr>
        <w:t>Department of the Prime Minister and Cabinet</w:t>
      </w:r>
    </w:p>
    <w:p w14:paraId="78A0620A" w14:textId="77777777" w:rsidR="00B10377" w:rsidRPr="00F30B45" w:rsidRDefault="00B10377" w:rsidP="00B10377">
      <w:pPr>
        <w:jc w:val="left"/>
        <w:rPr>
          <w:sz w:val="21"/>
          <w:szCs w:val="21"/>
        </w:rPr>
      </w:pPr>
    </w:p>
    <w:p w14:paraId="26F3ACA9" w14:textId="77777777" w:rsidR="00F30B45" w:rsidRPr="00F30B45" w:rsidRDefault="00F30B45" w:rsidP="00B10377">
      <w:pPr>
        <w:jc w:val="left"/>
        <w:rPr>
          <w:sz w:val="21"/>
          <w:szCs w:val="21"/>
        </w:rPr>
      </w:pPr>
    </w:p>
    <w:p w14:paraId="66BBB0F9" w14:textId="6A32A36A" w:rsidR="00F30B45" w:rsidRPr="00F30B45" w:rsidRDefault="00B10377" w:rsidP="00F30B45">
      <w:pPr>
        <w:rPr>
          <w:i/>
          <w:iCs/>
          <w:sz w:val="21"/>
          <w:szCs w:val="21"/>
        </w:rPr>
      </w:pPr>
      <w:r w:rsidRPr="00F30B45">
        <w:rPr>
          <w:i/>
          <w:iCs/>
          <w:sz w:val="21"/>
          <w:szCs w:val="21"/>
        </w:rPr>
        <w:t xml:space="preserve">By email </w:t>
      </w:r>
      <w:proofErr w:type="gramStart"/>
      <w:r w:rsidR="00F30B45" w:rsidRPr="00F30B45">
        <w:rPr>
          <w:i/>
          <w:iCs/>
          <w:sz w:val="21"/>
          <w:szCs w:val="21"/>
        </w:rPr>
        <w:t>By</w:t>
      </w:r>
      <w:proofErr w:type="gramEnd"/>
      <w:r w:rsidR="00F30B45" w:rsidRPr="00F30B45">
        <w:rPr>
          <w:i/>
          <w:iCs/>
          <w:sz w:val="21"/>
          <w:szCs w:val="21"/>
        </w:rPr>
        <w:t xml:space="preserve"> email: </w:t>
      </w:r>
      <w:hyperlink r:id="rId12" w:history="1">
        <w:r w:rsidR="00F30B45" w:rsidRPr="007963E8">
          <w:rPr>
            <w:rStyle w:val="Hyperlink"/>
            <w:i/>
            <w:iCs/>
            <w:sz w:val="21"/>
            <w:szCs w:val="21"/>
          </w:rPr>
          <w:t>helpdesk-OIA@pmc.gov.au</w:t>
        </w:r>
      </w:hyperlink>
      <w:r w:rsidR="00F30B45">
        <w:rPr>
          <w:i/>
          <w:iCs/>
          <w:sz w:val="21"/>
          <w:szCs w:val="21"/>
        </w:rPr>
        <w:t xml:space="preserve"> </w:t>
      </w:r>
      <w:r w:rsidR="00F30B45" w:rsidRPr="00F30B45">
        <w:rPr>
          <w:i/>
          <w:iCs/>
          <w:sz w:val="21"/>
          <w:szCs w:val="21"/>
        </w:rPr>
        <w:t xml:space="preserve"> </w:t>
      </w:r>
    </w:p>
    <w:p w14:paraId="199A4985" w14:textId="77777777" w:rsidR="00B10377" w:rsidRPr="00F30B45" w:rsidRDefault="00B10377" w:rsidP="218C0415">
      <w:pPr>
        <w:jc w:val="left"/>
        <w:rPr>
          <w:sz w:val="21"/>
          <w:szCs w:val="21"/>
          <w:highlight w:val="yellow"/>
        </w:rPr>
      </w:pPr>
    </w:p>
    <w:p w14:paraId="46C32D9E" w14:textId="77777777" w:rsidR="00B10377" w:rsidRPr="00F30B45" w:rsidRDefault="00B10377" w:rsidP="218C0415">
      <w:pPr>
        <w:jc w:val="left"/>
        <w:rPr>
          <w:sz w:val="21"/>
          <w:szCs w:val="21"/>
          <w:highlight w:val="yellow"/>
        </w:rPr>
      </w:pPr>
    </w:p>
    <w:p w14:paraId="78C5EE06" w14:textId="30ECA7A1" w:rsidR="00387675" w:rsidRPr="00944454" w:rsidRDefault="00944454" w:rsidP="00944454">
      <w:pPr>
        <w:rPr>
          <w:b/>
          <w:bCs/>
          <w:szCs w:val="22"/>
        </w:rPr>
      </w:pPr>
      <w:r>
        <w:rPr>
          <w:b/>
          <w:bCs/>
          <w:szCs w:val="22"/>
        </w:rPr>
        <w:t>REMAKE OF ASIC CLASS ORDERS DUE TO SUNSET ON 1 APRIL 2024</w:t>
      </w:r>
    </w:p>
    <w:p w14:paraId="52867352" w14:textId="272863BF" w:rsidR="00944454" w:rsidRPr="00F30B45" w:rsidRDefault="002F34B0" w:rsidP="00944454">
      <w:pPr>
        <w:rPr>
          <w:sz w:val="21"/>
          <w:szCs w:val="21"/>
        </w:rPr>
      </w:pPr>
      <w:r>
        <w:rPr>
          <w:sz w:val="21"/>
          <w:szCs w:val="21"/>
        </w:rPr>
        <w:br/>
      </w:r>
    </w:p>
    <w:p w14:paraId="3AA54B1E" w14:textId="380449DA" w:rsidR="000F7A6E" w:rsidRPr="00F30B45" w:rsidRDefault="00387675" w:rsidP="4AEAD616">
      <w:pPr>
        <w:jc w:val="left"/>
        <w:rPr>
          <w:sz w:val="21"/>
          <w:szCs w:val="21"/>
        </w:rPr>
        <w:sectPr w:rsidR="000F7A6E" w:rsidRPr="00F30B45" w:rsidSect="003152CF">
          <w:headerReference w:type="default" r:id="rId13"/>
          <w:footerReference w:type="default" r:id="rId14"/>
          <w:headerReference w:type="first" r:id="rId15"/>
          <w:pgSz w:w="11907" w:h="16840" w:code="9"/>
          <w:pgMar w:top="3261" w:right="1797" w:bottom="1440" w:left="1797" w:header="839" w:footer="720" w:gutter="0"/>
          <w:paperSrc w:first="15" w:other="15"/>
          <w:cols w:space="720"/>
          <w:titlePg/>
        </w:sectPr>
      </w:pPr>
      <w:r w:rsidRPr="00F30B45">
        <w:rPr>
          <w:sz w:val="21"/>
          <w:szCs w:val="21"/>
        </w:rPr>
        <w:t xml:space="preserve">Dear </w:t>
      </w:r>
      <w:sdt>
        <w:sdtPr>
          <w:rPr>
            <w:sz w:val="21"/>
            <w:szCs w:val="21"/>
          </w:rPr>
          <w:id w:val="-1792897319"/>
          <w:placeholder>
            <w:docPart w:val="4923130FFCD642FFA92A1F2085B8E922"/>
          </w:placeholder>
        </w:sdtPr>
        <w:sdtEndPr/>
        <w:sdtContent>
          <w:r w:rsidR="006F3E2D" w:rsidRPr="00F30B45">
            <w:rPr>
              <w:sz w:val="21"/>
              <w:szCs w:val="21"/>
            </w:rPr>
            <w:t>Mr Lange</w:t>
          </w:r>
        </w:sdtContent>
      </w:sdt>
    </w:p>
    <w:p w14:paraId="723F81B5" w14:textId="77777777" w:rsidR="00387675" w:rsidRPr="00F30B45" w:rsidRDefault="00387675" w:rsidP="658B9FE8">
      <w:pPr>
        <w:rPr>
          <w:rFonts w:asciiTheme="minorHAnsi" w:eastAsiaTheme="minorEastAsia" w:hAnsiTheme="minorHAnsi" w:cstheme="minorBidi"/>
          <w:sz w:val="21"/>
          <w:szCs w:val="21"/>
        </w:rPr>
      </w:pPr>
    </w:p>
    <w:p w14:paraId="69CF8522" w14:textId="4C4F5B6F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>I am writing to the Office of Impact Analysis (</w:t>
      </w:r>
      <w:r w:rsidRPr="00F30B45">
        <w:rPr>
          <w:rFonts w:eastAsia="Century Gothic" w:cs="Century Gothic"/>
          <w:b/>
          <w:color w:val="000000"/>
          <w:sz w:val="21"/>
          <w:szCs w:val="21"/>
        </w:rPr>
        <w:t>OIA</w:t>
      </w:r>
      <w:r w:rsidRPr="00F30B45">
        <w:rPr>
          <w:rFonts w:eastAsia="Century Gothic" w:cs="Century Gothic"/>
          <w:color w:val="000000"/>
          <w:sz w:val="21"/>
          <w:szCs w:val="21"/>
        </w:rPr>
        <w:t>) regarding the following ASIC Class Orders (</w:t>
      </w:r>
      <w:r w:rsidRPr="00F30B45">
        <w:rPr>
          <w:rFonts w:eastAsia="Century Gothic" w:cs="Century Gothic"/>
          <w:b/>
          <w:sz w:val="21"/>
          <w:szCs w:val="21"/>
        </w:rPr>
        <w:t xml:space="preserve">Managed Investment </w:t>
      </w:r>
      <w:r w:rsidR="00D34424" w:rsidRPr="00F30B45">
        <w:rPr>
          <w:rFonts w:eastAsia="Century Gothic" w:cs="Century Gothic"/>
          <w:b/>
          <w:sz w:val="21"/>
          <w:szCs w:val="21"/>
        </w:rPr>
        <w:t>Class Orders</w:t>
      </w:r>
      <w:r w:rsidRPr="00F30B45">
        <w:rPr>
          <w:rFonts w:eastAsia="Century Gothic" w:cs="Century Gothic"/>
          <w:sz w:val="21"/>
          <w:szCs w:val="21"/>
        </w:rPr>
        <w:t>)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that are due to sunset </w:t>
      </w:r>
      <w:r w:rsidRPr="00F30B45">
        <w:rPr>
          <w:rFonts w:eastAsia="Century Gothic" w:cs="Century Gothic"/>
          <w:sz w:val="21"/>
          <w:szCs w:val="21"/>
        </w:rPr>
        <w:t>on 1 April 2024:</w:t>
      </w:r>
    </w:p>
    <w:p w14:paraId="686DD707" w14:textId="47E63EC1" w:rsidR="19F9B76F" w:rsidRPr="00F30B45" w:rsidRDefault="19F9B76F" w:rsidP="005E152D">
      <w:pPr>
        <w:pStyle w:val="ListParagraph"/>
        <w:numPr>
          <w:ilvl w:val="0"/>
          <w:numId w:val="1"/>
        </w:numPr>
        <w:spacing w:before="240"/>
        <w:ind w:left="720" w:right="-20" w:hanging="578"/>
        <w:jc w:val="left"/>
        <w:rPr>
          <w:rFonts w:eastAsia="Century Gothic" w:cs="Century Gothic"/>
          <w:i/>
          <w:sz w:val="21"/>
          <w:szCs w:val="21"/>
        </w:rPr>
      </w:pPr>
      <w:r w:rsidRPr="00F30B45">
        <w:rPr>
          <w:rFonts w:eastAsia="Century Gothic" w:cs="Century Gothic"/>
          <w:i/>
          <w:sz w:val="21"/>
          <w:szCs w:val="21"/>
        </w:rPr>
        <w:t>ASIC Class Order [</w:t>
      </w:r>
      <w:r w:rsidRPr="005E152D">
        <w:rPr>
          <w:rFonts w:eastAsia="Century Gothic" w:cs="Century Gothic"/>
          <w:b/>
          <w:i/>
          <w:sz w:val="21"/>
          <w:szCs w:val="21"/>
        </w:rPr>
        <w:t>CO 13/1200</w:t>
      </w:r>
      <w:r w:rsidRPr="00F30B45">
        <w:rPr>
          <w:rFonts w:eastAsia="Century Gothic" w:cs="Century Gothic"/>
          <w:i/>
          <w:sz w:val="21"/>
          <w:szCs w:val="21"/>
        </w:rPr>
        <w:t>] Periodic statements relief for AQUA quoted and listed managed investment scheme managed investment scheme issuer</w:t>
      </w:r>
      <w:r w:rsidRPr="00F30B45">
        <w:rPr>
          <w:rFonts w:eastAsia="Century Gothic" w:cs="Century Gothic"/>
          <w:sz w:val="21"/>
          <w:szCs w:val="21"/>
        </w:rPr>
        <w:t>;</w:t>
      </w:r>
      <w:r w:rsidRPr="00F30B45">
        <w:rPr>
          <w:rFonts w:eastAsia="Century Gothic" w:cs="Century Gothic"/>
          <w:i/>
          <w:sz w:val="21"/>
          <w:szCs w:val="21"/>
        </w:rPr>
        <w:t xml:space="preserve"> </w:t>
      </w:r>
      <w:r w:rsidR="005E152D">
        <w:rPr>
          <w:rFonts w:eastAsia="Century Gothic" w:cs="Century Gothic"/>
          <w:i/>
          <w:iCs/>
          <w:sz w:val="21"/>
          <w:szCs w:val="21"/>
        </w:rPr>
        <w:br/>
      </w:r>
    </w:p>
    <w:p w14:paraId="1107FEAC" w14:textId="67023B9E" w:rsidR="19F9B76F" w:rsidRPr="00F30B45" w:rsidRDefault="19F9B76F" w:rsidP="005E152D">
      <w:pPr>
        <w:pStyle w:val="ListParagraph"/>
        <w:numPr>
          <w:ilvl w:val="0"/>
          <w:numId w:val="1"/>
        </w:numPr>
        <w:spacing w:before="240"/>
        <w:ind w:left="720" w:right="-20" w:hanging="578"/>
        <w:jc w:val="left"/>
        <w:rPr>
          <w:rFonts w:eastAsia="Century Gothic" w:cs="Century Gothic"/>
          <w:sz w:val="21"/>
          <w:szCs w:val="21"/>
        </w:rPr>
      </w:pPr>
      <w:r w:rsidRPr="00F30B45">
        <w:rPr>
          <w:rFonts w:eastAsia="Century Gothic" w:cs="Century Gothic"/>
          <w:i/>
          <w:sz w:val="21"/>
          <w:szCs w:val="21"/>
        </w:rPr>
        <w:t>ASIC Class Order [</w:t>
      </w:r>
      <w:r w:rsidRPr="005E152D">
        <w:rPr>
          <w:rFonts w:eastAsia="Century Gothic" w:cs="Century Gothic"/>
          <w:b/>
          <w:i/>
          <w:sz w:val="21"/>
          <w:szCs w:val="21"/>
        </w:rPr>
        <w:t>CO 13/1406</w:t>
      </w:r>
      <w:r w:rsidRPr="00F30B45">
        <w:rPr>
          <w:rFonts w:eastAsia="Century Gothic" w:cs="Century Gothic"/>
          <w:i/>
          <w:sz w:val="21"/>
          <w:szCs w:val="21"/>
        </w:rPr>
        <w:t>] Land holding for primary production schemes</w:t>
      </w:r>
      <w:r w:rsidRPr="00F30B45">
        <w:rPr>
          <w:rFonts w:eastAsia="Century Gothic" w:cs="Century Gothic"/>
          <w:sz w:val="21"/>
          <w:szCs w:val="21"/>
        </w:rPr>
        <w:t>;</w:t>
      </w:r>
      <w:r w:rsidR="005E152D">
        <w:rPr>
          <w:rFonts w:eastAsia="Century Gothic" w:cs="Century Gothic"/>
          <w:sz w:val="21"/>
          <w:szCs w:val="21"/>
        </w:rPr>
        <w:br/>
      </w:r>
    </w:p>
    <w:p w14:paraId="4ACF96E3" w14:textId="5BB5FD81" w:rsidR="19F9B76F" w:rsidRPr="00F30B45" w:rsidRDefault="19F9B76F" w:rsidP="005E152D">
      <w:pPr>
        <w:pStyle w:val="ListParagraph"/>
        <w:numPr>
          <w:ilvl w:val="0"/>
          <w:numId w:val="1"/>
        </w:numPr>
        <w:spacing w:before="240"/>
        <w:ind w:left="720" w:right="-20" w:hanging="578"/>
        <w:jc w:val="left"/>
        <w:rPr>
          <w:rFonts w:eastAsia="Century Gothic" w:cs="Century Gothic"/>
          <w:sz w:val="21"/>
          <w:szCs w:val="21"/>
        </w:rPr>
      </w:pPr>
      <w:r w:rsidRPr="00F30B45">
        <w:rPr>
          <w:rFonts w:eastAsia="Century Gothic" w:cs="Century Gothic"/>
          <w:i/>
          <w:sz w:val="21"/>
          <w:szCs w:val="21"/>
        </w:rPr>
        <w:t>ASIC Class Order [</w:t>
      </w:r>
      <w:r w:rsidRPr="005E152D">
        <w:rPr>
          <w:rFonts w:eastAsia="Century Gothic" w:cs="Century Gothic"/>
          <w:b/>
          <w:i/>
          <w:sz w:val="21"/>
          <w:szCs w:val="21"/>
        </w:rPr>
        <w:t>CO 13/1409</w:t>
      </w:r>
      <w:r w:rsidRPr="00F30B45">
        <w:rPr>
          <w:rFonts w:eastAsia="Century Gothic" w:cs="Century Gothic"/>
          <w:i/>
          <w:sz w:val="21"/>
          <w:szCs w:val="21"/>
        </w:rPr>
        <w:t>] Holding assets: Standards for responsible entities</w:t>
      </w:r>
      <w:r w:rsidRPr="00F30B45">
        <w:rPr>
          <w:rFonts w:eastAsia="Century Gothic" w:cs="Century Gothic"/>
          <w:sz w:val="21"/>
          <w:szCs w:val="21"/>
        </w:rPr>
        <w:t>;</w:t>
      </w:r>
      <w:r w:rsidR="005E152D">
        <w:rPr>
          <w:rFonts w:eastAsia="Century Gothic" w:cs="Century Gothic"/>
          <w:sz w:val="21"/>
          <w:szCs w:val="21"/>
        </w:rPr>
        <w:br/>
      </w:r>
    </w:p>
    <w:p w14:paraId="35C247DA" w14:textId="6FCB2749" w:rsidR="19F9B76F" w:rsidRPr="00F30B45" w:rsidRDefault="19F9B76F" w:rsidP="005E152D">
      <w:pPr>
        <w:pStyle w:val="ListParagraph"/>
        <w:numPr>
          <w:ilvl w:val="0"/>
          <w:numId w:val="1"/>
        </w:numPr>
        <w:spacing w:before="240"/>
        <w:ind w:left="720" w:right="-20" w:hanging="578"/>
        <w:jc w:val="left"/>
        <w:rPr>
          <w:rFonts w:eastAsia="Century Gothic" w:cs="Century Gothic"/>
          <w:sz w:val="21"/>
          <w:szCs w:val="21"/>
        </w:rPr>
      </w:pPr>
      <w:r w:rsidRPr="00F30B45">
        <w:rPr>
          <w:rFonts w:eastAsia="Century Gothic" w:cs="Century Gothic"/>
          <w:i/>
          <w:sz w:val="21"/>
          <w:szCs w:val="21"/>
        </w:rPr>
        <w:t>ASIC Class Order [</w:t>
      </w:r>
      <w:r w:rsidRPr="005E152D">
        <w:rPr>
          <w:rFonts w:eastAsia="Century Gothic" w:cs="Century Gothic"/>
          <w:b/>
          <w:i/>
          <w:sz w:val="21"/>
          <w:szCs w:val="21"/>
        </w:rPr>
        <w:t>CO 13/1410</w:t>
      </w:r>
      <w:r w:rsidRPr="00F30B45">
        <w:rPr>
          <w:rFonts w:eastAsia="Century Gothic" w:cs="Century Gothic"/>
          <w:i/>
          <w:sz w:val="21"/>
          <w:szCs w:val="21"/>
        </w:rPr>
        <w:t>] Holding assets: Standards for providers of custodial and depository services</w:t>
      </w:r>
      <w:r w:rsidRPr="00F30B45">
        <w:rPr>
          <w:rFonts w:eastAsia="Century Gothic" w:cs="Century Gothic"/>
          <w:sz w:val="21"/>
          <w:szCs w:val="21"/>
        </w:rPr>
        <w:t>; and</w:t>
      </w:r>
      <w:r w:rsidR="005E152D">
        <w:rPr>
          <w:rFonts w:eastAsia="Century Gothic" w:cs="Century Gothic"/>
          <w:sz w:val="21"/>
          <w:szCs w:val="21"/>
        </w:rPr>
        <w:br/>
      </w:r>
    </w:p>
    <w:p w14:paraId="1184756B" w14:textId="7D0CC4E7" w:rsidR="19F9B76F" w:rsidRPr="00F30B45" w:rsidRDefault="19F9B76F" w:rsidP="005E152D">
      <w:pPr>
        <w:pStyle w:val="ListParagraph"/>
        <w:numPr>
          <w:ilvl w:val="0"/>
          <w:numId w:val="1"/>
        </w:numPr>
        <w:spacing w:before="240"/>
        <w:ind w:left="720" w:right="-20" w:hanging="578"/>
        <w:jc w:val="left"/>
        <w:rPr>
          <w:rFonts w:eastAsia="Century Gothic" w:cs="Century Gothic"/>
          <w:sz w:val="21"/>
          <w:szCs w:val="21"/>
        </w:rPr>
      </w:pPr>
      <w:r w:rsidRPr="00F30B45">
        <w:rPr>
          <w:rFonts w:eastAsia="Century Gothic" w:cs="Century Gothic"/>
          <w:i/>
          <w:sz w:val="21"/>
          <w:szCs w:val="21"/>
        </w:rPr>
        <w:t>ASIC Class Order [</w:t>
      </w:r>
      <w:r w:rsidRPr="005E152D">
        <w:rPr>
          <w:rFonts w:eastAsia="Century Gothic" w:cs="Century Gothic"/>
          <w:b/>
          <w:i/>
          <w:sz w:val="21"/>
          <w:szCs w:val="21"/>
        </w:rPr>
        <w:t>CO 13/162</w:t>
      </w:r>
      <w:r w:rsidRPr="00F30B45">
        <w:rPr>
          <w:rFonts w:eastAsia="Century Gothic" w:cs="Century Gothic"/>
          <w:i/>
          <w:sz w:val="21"/>
          <w:szCs w:val="21"/>
        </w:rPr>
        <w:t xml:space="preserve">1] Exemption and declaration for the operation of </w:t>
      </w:r>
      <w:proofErr w:type="spellStart"/>
      <w:r w:rsidRPr="00F30B45">
        <w:rPr>
          <w:rFonts w:eastAsia="Century Gothic" w:cs="Century Gothic"/>
          <w:i/>
          <w:sz w:val="21"/>
          <w:szCs w:val="21"/>
        </w:rPr>
        <w:t>mFund</w:t>
      </w:r>
      <w:proofErr w:type="spellEnd"/>
      <w:r w:rsidRPr="00F30B45">
        <w:rPr>
          <w:rFonts w:eastAsia="Century Gothic" w:cs="Century Gothic"/>
          <w:sz w:val="21"/>
          <w:szCs w:val="21"/>
        </w:rPr>
        <w:t>.</w:t>
      </w:r>
    </w:p>
    <w:p w14:paraId="53ADF210" w14:textId="21F7641B" w:rsidR="19F9B76F" w:rsidRPr="00F30B45" w:rsidRDefault="19F9B76F" w:rsidP="005E152D">
      <w:pPr>
        <w:jc w:val="left"/>
        <w:rPr>
          <w:sz w:val="21"/>
          <w:szCs w:val="21"/>
        </w:rPr>
      </w:pPr>
    </w:p>
    <w:p w14:paraId="7CA11246" w14:textId="4B4E4865" w:rsidR="19F9B76F" w:rsidRPr="00F30B45" w:rsidRDefault="19F9B76F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>The Australian Securities and Investments Commission (</w:t>
      </w:r>
      <w:r w:rsidRPr="00F30B45">
        <w:rPr>
          <w:rFonts w:eastAsia="Century Gothic" w:cs="Century Gothic"/>
          <w:b/>
          <w:color w:val="000000"/>
          <w:sz w:val="21"/>
          <w:szCs w:val="21"/>
        </w:rPr>
        <w:t>ASIC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) has decided to remake the </w:t>
      </w:r>
      <w:r w:rsidR="50D4DD42" w:rsidRPr="00F30B45">
        <w:rPr>
          <w:rFonts w:eastAsia="Century Gothic" w:cs="Century Gothic"/>
          <w:color w:val="000000"/>
          <w:sz w:val="21"/>
          <w:szCs w:val="21"/>
        </w:rPr>
        <w:t xml:space="preserve">Managed Investment </w:t>
      </w:r>
      <w:r w:rsidR="00D34424" w:rsidRPr="00F30B45">
        <w:rPr>
          <w:rFonts w:eastAsia="Century Gothic" w:cs="Century Gothic"/>
          <w:color w:val="000000"/>
          <w:sz w:val="21"/>
          <w:szCs w:val="21"/>
        </w:rPr>
        <w:t>Class Orders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without significant amendment.</w:t>
      </w:r>
    </w:p>
    <w:p w14:paraId="55E3E591" w14:textId="61764593" w:rsidR="71CD4932" w:rsidRPr="00F30B45" w:rsidRDefault="71CD4932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</w:p>
    <w:p w14:paraId="558E7673" w14:textId="5064273F" w:rsidR="19F9B76F" w:rsidRPr="00F30B45" w:rsidRDefault="19F9B76F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ASIC certifies that each of the Managed Investment </w:t>
      </w:r>
      <w:r w:rsidR="00D34424" w:rsidRPr="00F30B45">
        <w:rPr>
          <w:rFonts w:eastAsia="Century Gothic" w:cs="Century Gothic"/>
          <w:color w:val="000000"/>
          <w:sz w:val="21"/>
          <w:szCs w:val="21"/>
        </w:rPr>
        <w:t>Class Orders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are operating effectively and efficiently, and therefore an Impact Analysis is not required for these legislative instruments to be remade. </w:t>
      </w:r>
    </w:p>
    <w:p w14:paraId="0D63E633" w14:textId="175D8923" w:rsidR="71CD4932" w:rsidRPr="00F30B45" w:rsidRDefault="71CD4932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</w:p>
    <w:p w14:paraId="1E066167" w14:textId="6D8525E2" w:rsidR="19F9B76F" w:rsidRPr="00F30B45" w:rsidRDefault="19F9B76F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lastRenderedPageBreak/>
        <w:t xml:space="preserve">The assessment that the Managed Investment </w:t>
      </w:r>
      <w:r w:rsidR="00D34424" w:rsidRPr="00F30B45">
        <w:rPr>
          <w:rFonts w:eastAsia="Century Gothic" w:cs="Century Gothic"/>
          <w:color w:val="000000"/>
          <w:sz w:val="21"/>
          <w:szCs w:val="21"/>
        </w:rPr>
        <w:t>Class Orders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are operating effectively and efficiently has been informed by a public consultation process during the period from 19 January 2024 to 16 February 2024.  </w:t>
      </w:r>
    </w:p>
    <w:p w14:paraId="22BD084D" w14:textId="09EAC107" w:rsidR="71CD4932" w:rsidRPr="00F30B45" w:rsidRDefault="71CD4932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</w:p>
    <w:p w14:paraId="772D2923" w14:textId="280B2E6A" w:rsidR="19F9B76F" w:rsidRPr="00F30B45" w:rsidRDefault="19F9B76F" w:rsidP="71CD4932">
      <w:pPr>
        <w:ind w:left="-20" w:right="-20"/>
        <w:rPr>
          <w:rFonts w:eastAsia="Century Gothic" w:cs="Century Gothic"/>
          <w:color w:val="000000"/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In our </w:t>
      </w:r>
      <w:hyperlink r:id="rId16">
        <w:r w:rsidRPr="00F30B45">
          <w:rPr>
            <w:rStyle w:val="Hyperlink"/>
            <w:rFonts w:eastAsia="Century Gothic" w:cs="Century Gothic"/>
            <w:color w:val="0071CE"/>
            <w:sz w:val="21"/>
            <w:szCs w:val="21"/>
          </w:rPr>
          <w:t>news announcement</w:t>
        </w:r>
      </w:hyperlink>
      <w:r w:rsidRPr="00F30B45">
        <w:rPr>
          <w:rFonts w:eastAsia="Century Gothic" w:cs="Century Gothic"/>
          <w:color w:val="000000"/>
          <w:sz w:val="21"/>
          <w:szCs w:val="21"/>
        </w:rPr>
        <w:t xml:space="preserve"> of 19 January 2024, we sought feedback on our proposal to remake, without significant changes, the Managed Investment </w:t>
      </w:r>
      <w:r w:rsidR="00D34424" w:rsidRPr="00F30B45">
        <w:rPr>
          <w:rFonts w:eastAsia="Century Gothic" w:cs="Century Gothic"/>
          <w:color w:val="000000"/>
          <w:sz w:val="21"/>
          <w:szCs w:val="21"/>
        </w:rPr>
        <w:t>Class Orders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for a period of five years.</w:t>
      </w:r>
    </w:p>
    <w:p w14:paraId="2CA514BE" w14:textId="12BE5E68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28736DF8" w14:textId="50004DC8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We received two submissions in response to our public consultation. The submissions generally supported our proposal to remake the Managed Investment </w:t>
      </w:r>
      <w:r w:rsidR="00D34424" w:rsidRPr="00F30B45">
        <w:rPr>
          <w:rFonts w:eastAsia="Century Gothic" w:cs="Century Gothic"/>
          <w:color w:val="000000"/>
          <w:sz w:val="21"/>
          <w:szCs w:val="21"/>
        </w:rPr>
        <w:t>Class Orders</w:t>
      </w:r>
      <w:r w:rsidR="5CA45A82"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with minor changes only. </w:t>
      </w:r>
    </w:p>
    <w:p w14:paraId="3C4A0F75" w14:textId="7AEF34B8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37542244" w14:textId="020E4714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In relation to ASIC Class Order </w:t>
      </w:r>
      <w:r w:rsidRPr="00F30B45">
        <w:rPr>
          <w:rFonts w:eastAsia="Century Gothic" w:cs="Century Gothic"/>
          <w:sz w:val="21"/>
          <w:szCs w:val="21"/>
        </w:rPr>
        <w:t>[CO 13/1409],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we did not receive any direct feedback on remaking the relief. Accordingly, we determined to remake the relief for a shorter period of six months, while we undertake further consultation with stakeholders on the continued need for this relief. </w:t>
      </w:r>
    </w:p>
    <w:p w14:paraId="4CFBEAB5" w14:textId="4BEF914B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11323338" w14:textId="64118699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In relation to </w:t>
      </w:r>
      <w:r w:rsidRPr="00F30B45">
        <w:rPr>
          <w:rFonts w:eastAsia="Century Gothic" w:cs="Century Gothic"/>
          <w:sz w:val="21"/>
          <w:szCs w:val="21"/>
        </w:rPr>
        <w:t>ASIC Class Order [CO 13/1200], one of the submissions requested substantive changes. Given the sunsetting date of 1 April 2024, we determined to remake the relief in substantially the same form</w:t>
      </w:r>
      <w:r w:rsidR="55FD1725" w:rsidRPr="00F30B45">
        <w:rPr>
          <w:rFonts w:eastAsia="Century Gothic" w:cs="Century Gothic"/>
          <w:sz w:val="21"/>
          <w:szCs w:val="21"/>
        </w:rPr>
        <w:t>,</w:t>
      </w:r>
      <w:r w:rsidRPr="00F30B45">
        <w:rPr>
          <w:rFonts w:eastAsia="Century Gothic" w:cs="Century Gothic"/>
          <w:sz w:val="21"/>
          <w:szCs w:val="21"/>
        </w:rPr>
        <w:t xml:space="preserve"> and we will consult further with stakeholders on whether amendments to the relief are required.</w:t>
      </w:r>
    </w:p>
    <w:p w14:paraId="16EA9032" w14:textId="5010BA21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2C967A3C" w14:textId="6DCF835C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>ASIC has not published a report on the submissions due to the submissions being generally supportive of ASIC’s proposal and the proposals being mechanical and minor.</w:t>
      </w:r>
    </w:p>
    <w:p w14:paraId="77ADC558" w14:textId="1DB76B5E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0D8750C6" w14:textId="36B4D11E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ASIC has determined that there are no net regulatory costs to business, community organisations or individuals involved as the Managed Investment </w:t>
      </w:r>
      <w:r w:rsidR="004B166C" w:rsidRPr="00F30B45">
        <w:rPr>
          <w:rFonts w:eastAsia="Century Gothic" w:cs="Century Gothic"/>
          <w:color w:val="000000"/>
          <w:sz w:val="21"/>
          <w:szCs w:val="21"/>
        </w:rPr>
        <w:t>Class Orders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 are to be remade with only minor changes</w:t>
      </w:r>
      <w:r w:rsidR="007BD2B8" w:rsidRPr="00F30B45">
        <w:rPr>
          <w:rFonts w:eastAsia="Century Gothic" w:cs="Century Gothic"/>
          <w:color w:val="000000"/>
          <w:sz w:val="21"/>
          <w:szCs w:val="21"/>
        </w:rPr>
        <w:t xml:space="preserve"> that do not give rise to changes in annual regulatory costs</w:t>
      </w:r>
      <w:r w:rsidRPr="00F30B45">
        <w:rPr>
          <w:rFonts w:eastAsia="Century Gothic" w:cs="Century Gothic"/>
          <w:color w:val="000000"/>
          <w:sz w:val="21"/>
          <w:szCs w:val="21"/>
        </w:rPr>
        <w:t xml:space="preserve">. </w:t>
      </w:r>
    </w:p>
    <w:p w14:paraId="45E4CD9F" w14:textId="0E497A85" w:rsidR="19F9B76F" w:rsidRPr="00F30B45" w:rsidRDefault="19F9B76F" w:rsidP="71CD4932">
      <w:pPr>
        <w:ind w:left="-20" w:right="-20"/>
        <w:rPr>
          <w:sz w:val="21"/>
          <w:szCs w:val="21"/>
        </w:rPr>
      </w:pPr>
      <w:r w:rsidRPr="71CD4932">
        <w:rPr>
          <w:rFonts w:ascii="Times New Roman" w:hAnsi="Times New Roman"/>
          <w:color w:val="000000"/>
          <w:sz w:val="21"/>
          <w:szCs w:val="21"/>
        </w:rPr>
        <w:t xml:space="preserve">            </w:t>
      </w:r>
    </w:p>
    <w:p w14:paraId="0E4BE971" w14:textId="1F5474A5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ASIC acknowledges that OIA will publish this letter for transparency purposes.  </w:t>
      </w:r>
    </w:p>
    <w:p w14:paraId="30522A27" w14:textId="6610949A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22C903F8" w14:textId="3CFBBF4D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If you have any queries about this advice, please contact Leanne Damary at </w:t>
      </w:r>
      <w:hyperlink r:id="rId17">
        <w:r w:rsidRPr="00F30B45">
          <w:rPr>
            <w:rStyle w:val="Hyperlink"/>
            <w:rFonts w:eastAsia="Century Gothic" w:cs="Century Gothic"/>
            <w:color w:val="0071CE"/>
            <w:sz w:val="21"/>
            <w:szCs w:val="21"/>
          </w:rPr>
          <w:t>leanne.damary@asic.gov.au</w:t>
        </w:r>
      </w:hyperlink>
      <w:r w:rsidRPr="00F30B45">
        <w:rPr>
          <w:rFonts w:eastAsia="Century Gothic" w:cs="Century Gothic"/>
          <w:color w:val="000000"/>
          <w:sz w:val="21"/>
          <w:szCs w:val="21"/>
        </w:rPr>
        <w:t>.</w:t>
      </w:r>
    </w:p>
    <w:p w14:paraId="2C47A90F" w14:textId="341DA622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 </w:t>
      </w:r>
    </w:p>
    <w:p w14:paraId="70A47A1C" w14:textId="69FCA28C" w:rsidR="19F9B76F" w:rsidRPr="00F30B45" w:rsidRDefault="19F9B76F" w:rsidP="71CD4932">
      <w:pPr>
        <w:ind w:left="-20" w:right="-20"/>
        <w:rPr>
          <w:sz w:val="21"/>
          <w:szCs w:val="21"/>
        </w:rPr>
      </w:pPr>
      <w:r w:rsidRPr="00F30B45">
        <w:rPr>
          <w:rFonts w:eastAsia="Century Gothic" w:cs="Century Gothic"/>
          <w:color w:val="000000"/>
          <w:sz w:val="21"/>
          <w:szCs w:val="21"/>
        </w:rPr>
        <w:t xml:space="preserve">Yours sincerely   </w:t>
      </w:r>
    </w:p>
    <w:p w14:paraId="77122E1F" w14:textId="023DD2FD" w:rsidR="00BE3BAD" w:rsidRPr="00F30B45" w:rsidRDefault="00BE3BAD" w:rsidP="00BE3B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1"/>
          <w:szCs w:val="21"/>
        </w:rPr>
      </w:pPr>
    </w:p>
    <w:p w14:paraId="0F80455D" w14:textId="7BB3A90D" w:rsidR="00BE3BAD" w:rsidRPr="00F30B45" w:rsidRDefault="00BE3BAD" w:rsidP="00BE3BA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21"/>
          <w:szCs w:val="21"/>
        </w:rPr>
      </w:pPr>
    </w:p>
    <w:p w14:paraId="02816F4C" w14:textId="77777777" w:rsidR="00B10377" w:rsidRPr="00F30B45" w:rsidRDefault="00B10377" w:rsidP="00BE3B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1"/>
          <w:szCs w:val="21"/>
        </w:rPr>
      </w:pPr>
    </w:p>
    <w:p w14:paraId="43886409" w14:textId="4726EAC7" w:rsidR="00BE3BAD" w:rsidRPr="00F30B45" w:rsidRDefault="00BE3BAD" w:rsidP="00B103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1"/>
          <w:szCs w:val="21"/>
        </w:rPr>
      </w:pPr>
      <w:r w:rsidRPr="00F30B45">
        <w:rPr>
          <w:rStyle w:val="normaltextrun"/>
          <w:rFonts w:ascii="Century Gothic" w:hAnsi="Century Gothic" w:cs="Segoe UI"/>
          <w:b/>
          <w:color w:val="000000"/>
          <w:sz w:val="21"/>
          <w:szCs w:val="21"/>
        </w:rPr>
        <w:t>JOSEPH LONGO</w:t>
      </w:r>
      <w:r w:rsidRPr="00F30B45">
        <w:rPr>
          <w:rStyle w:val="scxw259065262"/>
          <w:rFonts w:ascii="Century Gothic" w:hAnsi="Century Gothic" w:cs="Segoe UI"/>
          <w:color w:val="000000"/>
          <w:sz w:val="21"/>
          <w:szCs w:val="21"/>
        </w:rPr>
        <w:t> </w:t>
      </w:r>
      <w:r w:rsidRPr="00F30B45">
        <w:rPr>
          <w:rFonts w:ascii="Century Gothic" w:hAnsi="Century Gothic" w:cs="Segoe UI"/>
          <w:color w:val="000000"/>
          <w:sz w:val="21"/>
          <w:szCs w:val="21"/>
        </w:rPr>
        <w:br/>
      </w:r>
      <w:r w:rsidRPr="00F30B45">
        <w:rPr>
          <w:rStyle w:val="normaltextrun"/>
          <w:rFonts w:ascii="Century Gothic" w:hAnsi="Century Gothic" w:cs="Segoe UI"/>
          <w:smallCaps/>
          <w:color w:val="000000"/>
          <w:sz w:val="21"/>
          <w:szCs w:val="21"/>
        </w:rPr>
        <w:t>chair</w:t>
      </w:r>
      <w:r w:rsidRPr="00F30B45">
        <w:rPr>
          <w:rStyle w:val="eop"/>
          <w:rFonts w:ascii="Century Gothic" w:hAnsi="Century Gothic" w:cs="Segoe UI"/>
          <w:color w:val="000000"/>
          <w:sz w:val="21"/>
          <w:szCs w:val="21"/>
        </w:rPr>
        <w:t> </w:t>
      </w:r>
    </w:p>
    <w:sectPr w:rsidR="00BE3BAD" w:rsidRPr="00F30B45" w:rsidSect="009E4F3A">
      <w:headerReference w:type="default" r:id="rId18"/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DB1B" w14:textId="77777777" w:rsidR="00C64BE0" w:rsidRDefault="00C64BE0">
      <w:r>
        <w:separator/>
      </w:r>
    </w:p>
  </w:endnote>
  <w:endnote w:type="continuationSeparator" w:id="0">
    <w:p w14:paraId="1AF81D7B" w14:textId="77777777" w:rsidR="00C64BE0" w:rsidRDefault="00C64BE0">
      <w:r>
        <w:continuationSeparator/>
      </w:r>
    </w:p>
  </w:endnote>
  <w:endnote w:type="continuationNotice" w:id="1">
    <w:p w14:paraId="12E80716" w14:textId="77777777" w:rsidR="00E72AA1" w:rsidRDefault="00E7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FF9F" w14:textId="77777777" w:rsidR="00D11D8C" w:rsidRPr="00B10377" w:rsidRDefault="00B10377" w:rsidP="00B10377">
    <w:pPr>
      <w:pStyle w:val="Footer"/>
      <w:jc w:val="right"/>
      <w:rPr>
        <w:sz w:val="16"/>
        <w:szCs w:val="18"/>
      </w:rPr>
    </w:pPr>
    <w:r w:rsidRPr="00B10377">
      <w:rPr>
        <w:sz w:val="16"/>
        <w:szCs w:val="18"/>
      </w:rPr>
      <w:t xml:space="preserve">ASIC | Page </w:t>
    </w:r>
    <w:r w:rsidRPr="00B10377">
      <w:rPr>
        <w:sz w:val="16"/>
        <w:szCs w:val="18"/>
      </w:rPr>
      <w:fldChar w:fldCharType="begin"/>
    </w:r>
    <w:r w:rsidRPr="00B10377">
      <w:rPr>
        <w:sz w:val="16"/>
        <w:szCs w:val="18"/>
      </w:rPr>
      <w:instrText xml:space="preserve"> PAGE </w:instrText>
    </w:r>
    <w:r w:rsidRPr="00B10377">
      <w:rPr>
        <w:sz w:val="16"/>
        <w:szCs w:val="18"/>
      </w:rPr>
      <w:fldChar w:fldCharType="separate"/>
    </w:r>
    <w:r w:rsidRPr="00B10377">
      <w:rPr>
        <w:noProof/>
        <w:sz w:val="16"/>
        <w:szCs w:val="18"/>
      </w:rPr>
      <w:t>2</w:t>
    </w:r>
    <w:r w:rsidRPr="00B10377">
      <w:rPr>
        <w:sz w:val="16"/>
        <w:szCs w:val="18"/>
      </w:rPr>
      <w:fldChar w:fldCharType="end"/>
    </w:r>
    <w:r w:rsidRPr="00B10377">
      <w:rPr>
        <w:sz w:val="16"/>
        <w:szCs w:val="18"/>
      </w:rPr>
      <w:t xml:space="preserve"> of </w:t>
    </w:r>
    <w:r w:rsidRPr="00B10377">
      <w:rPr>
        <w:sz w:val="16"/>
        <w:szCs w:val="18"/>
      </w:rPr>
      <w:fldChar w:fldCharType="begin"/>
    </w:r>
    <w:r w:rsidRPr="00B10377">
      <w:rPr>
        <w:sz w:val="16"/>
        <w:szCs w:val="18"/>
      </w:rPr>
      <w:instrText xml:space="preserve"> NUMPAGES  </w:instrText>
    </w:r>
    <w:r w:rsidRPr="00B10377">
      <w:rPr>
        <w:sz w:val="16"/>
        <w:szCs w:val="18"/>
      </w:rPr>
      <w:fldChar w:fldCharType="separate"/>
    </w:r>
    <w:r w:rsidRPr="00B10377">
      <w:rPr>
        <w:noProof/>
        <w:sz w:val="16"/>
        <w:szCs w:val="18"/>
      </w:rPr>
      <w:t>2</w:t>
    </w:r>
    <w:r w:rsidRPr="00B10377"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22CB" w14:textId="77777777" w:rsidR="00C64BE0" w:rsidRDefault="00C64BE0">
      <w:r>
        <w:separator/>
      </w:r>
    </w:p>
  </w:footnote>
  <w:footnote w:type="continuationSeparator" w:id="0">
    <w:p w14:paraId="16F11A8C" w14:textId="77777777" w:rsidR="00C64BE0" w:rsidRDefault="00C64BE0">
      <w:r>
        <w:continuationSeparator/>
      </w:r>
    </w:p>
  </w:footnote>
  <w:footnote w:type="continuationNotice" w:id="1">
    <w:p w14:paraId="6232F7AF" w14:textId="77777777" w:rsidR="00E72AA1" w:rsidRDefault="00E72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3F3C" w14:textId="03560FDB" w:rsidR="009075E5" w:rsidRDefault="009075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60DD" w14:textId="77777777" w:rsidR="009075E5" w:rsidRPr="00C0750D" w:rsidRDefault="00387675" w:rsidP="003152CF">
    <w:pPr>
      <w:pStyle w:val="Header"/>
      <w:tabs>
        <w:tab w:val="clear" w:pos="4819"/>
        <w:tab w:val="clear" w:pos="9071"/>
      </w:tabs>
      <w:jc w:val="left"/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3A4F67" wp14:editId="7BEF51F7">
              <wp:simplePos x="0" y="0"/>
              <wp:positionH relativeFrom="page">
                <wp:posOffset>5571067</wp:posOffset>
              </wp:positionH>
              <wp:positionV relativeFrom="page">
                <wp:posOffset>575733</wp:posOffset>
              </wp:positionV>
              <wp:extent cx="1557866" cy="3064934"/>
              <wp:effectExtent l="0" t="0" r="444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866" cy="30649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5BA67" w14:textId="77777777" w:rsidR="009075E5" w:rsidRPr="000F5B45" w:rsidRDefault="00387675" w:rsidP="003152CF">
                          <w:pPr>
                            <w:spacing w:after="120" w:line="288" w:lineRule="auto"/>
                            <w:jc w:val="lef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4CB00507" w14:textId="77777777" w:rsidR="002F34B0" w:rsidRPr="00D619F0" w:rsidRDefault="002F34B0" w:rsidP="002F34B0">
                          <w:pPr>
                            <w:jc w:val="left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619F0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Australian Securities</w:t>
                          </w:r>
                          <w:r w:rsidRPr="00D619F0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17BDCC11" w14:textId="77777777" w:rsidR="002F34B0" w:rsidRDefault="002F34B0" w:rsidP="002F34B0">
                          <w:pPr>
                            <w:spacing w:line="288" w:lineRule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674A5894" w14:textId="77777777" w:rsidR="002F34B0" w:rsidRDefault="002F34B0" w:rsidP="002F34B0">
                          <w:pPr>
                            <w:spacing w:line="288" w:lineRule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Level 7, 120 Collins Street, MELBOURNE VIC 3001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2A350CA5" w14:textId="77777777" w:rsidR="002F34B0" w:rsidRDefault="002F34B0" w:rsidP="002F34B0">
                          <w:pPr>
                            <w:spacing w:line="288" w:lineRule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E94297">
                            <w:rPr>
                              <w:sz w:val="15"/>
                              <w:szCs w:val="15"/>
                            </w:rPr>
                            <w:t xml:space="preserve">Level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</w:t>
                          </w:r>
                          <w:r w:rsidRPr="00E94297">
                            <w:rPr>
                              <w:sz w:val="15"/>
                              <w:szCs w:val="15"/>
                            </w:rPr>
                            <w:t>, 1</w:t>
                          </w:r>
                          <w:r>
                            <w:rPr>
                              <w:sz w:val="15"/>
                              <w:szCs w:val="15"/>
                            </w:rPr>
                            <w:t>0</w:t>
                          </w:r>
                          <w:r w:rsidRPr="00E94297">
                            <w:rPr>
                              <w:sz w:val="15"/>
                              <w:szCs w:val="15"/>
                            </w:rPr>
                            <w:t xml:space="preserve">0 </w:t>
                          </w:r>
                          <w:r>
                            <w:rPr>
                              <w:sz w:val="15"/>
                              <w:szCs w:val="15"/>
                            </w:rPr>
                            <w:t>Market</w:t>
                          </w:r>
                          <w:r w:rsidRPr="00E94297">
                            <w:rPr>
                              <w:sz w:val="15"/>
                              <w:szCs w:val="15"/>
                            </w:rPr>
                            <w:t xml:space="preserve"> Street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032D87A" w14:textId="77777777" w:rsidR="002F34B0" w:rsidRDefault="002F34B0" w:rsidP="002F34B0">
                          <w:pPr>
                            <w:spacing w:line="288" w:lineRule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SYDNEY NSW 2001</w:t>
                          </w:r>
                        </w:p>
                        <w:p w14:paraId="49A7A58C" w14:textId="77777777" w:rsidR="002F34B0" w:rsidRDefault="002F34B0" w:rsidP="002F34B0">
                          <w:pPr>
                            <w:spacing w:line="288" w:lineRule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3F86D4E9" w14:textId="77777777" w:rsidR="002F34B0" w:rsidRPr="000F5B45" w:rsidRDefault="002F34B0" w:rsidP="002F34B0">
                          <w:pPr>
                            <w:spacing w:line="288" w:lineRule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Postal Address: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GPO Box 9827,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001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32A2BB72" w14:textId="77777777" w:rsidR="002F34B0" w:rsidRPr="0081736D" w:rsidRDefault="002F34B0" w:rsidP="002F34B0">
                          <w:pPr>
                            <w:spacing w:line="242" w:lineRule="atLeast"/>
                            <w:jc w:val="left"/>
                            <w:rPr>
                              <w:color w:val="0000FF"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Switch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: +61 1300 935 075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hyperlink r:id="rId1" w:history="1">
                            <w:r w:rsidR="00387675" w:rsidRPr="009A6AE9">
                              <w:rPr>
                                <w:rStyle w:val="Hyperlink"/>
                                <w:color w:val="0070C0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  <w:p w14:paraId="27FDE539" w14:textId="77777777" w:rsidR="002F34B0" w:rsidRPr="00606C35" w:rsidRDefault="002F34B0" w:rsidP="002F34B0">
                          <w:pPr>
                            <w:spacing w:line="288" w:lineRule="auto"/>
                            <w:rPr>
                              <w:b/>
                              <w:color w:val="121B22" w:themeColor="text2" w:themeShade="80"/>
                              <w:sz w:val="16"/>
                              <w:szCs w:val="16"/>
                            </w:rPr>
                          </w:pPr>
                        </w:p>
                        <w:p w14:paraId="524F8942" w14:textId="77777777" w:rsidR="002F34B0" w:rsidRPr="00411D2E" w:rsidRDefault="002F34B0" w:rsidP="002F34B0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11D2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JOSEPH LONGO</w:t>
                          </w:r>
                        </w:p>
                        <w:p w14:paraId="23A876A8" w14:textId="20F34D41" w:rsidR="009075E5" w:rsidRPr="002F34B0" w:rsidRDefault="002F34B0" w:rsidP="002F34B0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11D2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CHAI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A4F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65pt;margin-top:45.35pt;width:122.65pt;height:2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" stroked="f">
              <v:textbox inset="1mm,1mm,1mm,1mm">
                <w:txbxContent>
                  <w:p w14:paraId="3BD5BA67" w14:textId="77777777" w:rsidR="009075E5" w:rsidRPr="000F5B45" w:rsidRDefault="00387675" w:rsidP="003152CF">
                    <w:pPr>
                      <w:spacing w:after="120" w:line="288" w:lineRule="auto"/>
                      <w:jc w:val="left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4CB00507" w14:textId="77777777" w:rsidR="002F34B0" w:rsidRPr="00D619F0" w:rsidRDefault="002F34B0" w:rsidP="002F34B0">
                    <w:pPr>
                      <w:jc w:val="left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D619F0">
                      <w:rPr>
                        <w:b/>
                        <w:bCs/>
                        <w:sz w:val="15"/>
                        <w:szCs w:val="15"/>
                      </w:rPr>
                      <w:t>Australian Securities</w:t>
                    </w:r>
                    <w:r w:rsidRPr="00D619F0">
                      <w:rPr>
                        <w:b/>
                        <w:bCs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17BDCC11" w14:textId="77777777" w:rsidR="002F34B0" w:rsidRDefault="002F34B0" w:rsidP="002F34B0">
                    <w:pPr>
                      <w:spacing w:line="288" w:lineRule="auto"/>
                      <w:jc w:val="left"/>
                      <w:rPr>
                        <w:sz w:val="15"/>
                        <w:szCs w:val="15"/>
                      </w:rPr>
                    </w:pPr>
                  </w:p>
                  <w:p w14:paraId="674A5894" w14:textId="77777777" w:rsidR="002F34B0" w:rsidRDefault="002F34B0" w:rsidP="002F34B0">
                    <w:pPr>
                      <w:spacing w:line="288" w:lineRule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Level 7, 120 Collins Street, MELBOURNE VIC 3001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</w:p>
                  <w:p w14:paraId="2A350CA5" w14:textId="77777777" w:rsidR="002F34B0" w:rsidRDefault="002F34B0" w:rsidP="002F34B0">
                    <w:pPr>
                      <w:spacing w:line="288" w:lineRule="auto"/>
                      <w:jc w:val="left"/>
                      <w:rPr>
                        <w:sz w:val="15"/>
                        <w:szCs w:val="15"/>
                      </w:rPr>
                    </w:pPr>
                    <w:r w:rsidRPr="00E94297">
                      <w:rPr>
                        <w:sz w:val="15"/>
                        <w:szCs w:val="15"/>
                      </w:rPr>
                      <w:t xml:space="preserve">Level </w:t>
                    </w:r>
                    <w:r>
                      <w:rPr>
                        <w:sz w:val="15"/>
                        <w:szCs w:val="15"/>
                      </w:rPr>
                      <w:t>5</w:t>
                    </w:r>
                    <w:r w:rsidRPr="00E94297">
                      <w:rPr>
                        <w:sz w:val="15"/>
                        <w:szCs w:val="15"/>
                      </w:rPr>
                      <w:t>, 1</w:t>
                    </w:r>
                    <w:r>
                      <w:rPr>
                        <w:sz w:val="15"/>
                        <w:szCs w:val="15"/>
                      </w:rPr>
                      <w:t>0</w:t>
                    </w:r>
                    <w:r w:rsidRPr="00E94297">
                      <w:rPr>
                        <w:sz w:val="15"/>
                        <w:szCs w:val="15"/>
                      </w:rPr>
                      <w:t xml:space="preserve">0 </w:t>
                    </w:r>
                    <w:r>
                      <w:rPr>
                        <w:sz w:val="15"/>
                        <w:szCs w:val="15"/>
                      </w:rPr>
                      <w:t>Market</w:t>
                    </w:r>
                    <w:r w:rsidRPr="00E94297">
                      <w:rPr>
                        <w:sz w:val="15"/>
                        <w:szCs w:val="15"/>
                      </w:rPr>
                      <w:t xml:space="preserve"> Street</w:t>
                    </w:r>
                    <w:r>
                      <w:rPr>
                        <w:sz w:val="15"/>
                        <w:szCs w:val="15"/>
                      </w:rPr>
                      <w:t xml:space="preserve"> </w:t>
                    </w:r>
                  </w:p>
                  <w:p w14:paraId="5032D87A" w14:textId="77777777" w:rsidR="002F34B0" w:rsidRDefault="002F34B0" w:rsidP="002F34B0">
                    <w:pPr>
                      <w:spacing w:line="288" w:lineRule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SYDNEY NSW 2001</w:t>
                    </w:r>
                  </w:p>
                  <w:p w14:paraId="49A7A58C" w14:textId="77777777" w:rsidR="002F34B0" w:rsidRDefault="002F34B0" w:rsidP="002F34B0">
                    <w:pPr>
                      <w:spacing w:line="288" w:lineRule="auto"/>
                      <w:jc w:val="left"/>
                      <w:rPr>
                        <w:sz w:val="15"/>
                        <w:szCs w:val="15"/>
                      </w:rPr>
                    </w:pPr>
                  </w:p>
                  <w:p w14:paraId="3F86D4E9" w14:textId="77777777" w:rsidR="002F34B0" w:rsidRPr="000F5B45" w:rsidRDefault="002F34B0" w:rsidP="002F34B0">
                    <w:pPr>
                      <w:spacing w:line="288" w:lineRule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Postal Address: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  <w:r w:rsidRPr="000F5B45">
                      <w:rPr>
                        <w:sz w:val="15"/>
                        <w:szCs w:val="15"/>
                      </w:rPr>
                      <w:t>GPO Box 9827,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</w:t>
                    </w:r>
                    <w:r w:rsidRPr="000F5B45">
                      <w:rPr>
                        <w:sz w:val="15"/>
                        <w:szCs w:val="15"/>
                      </w:rPr>
                      <w:t>001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</w:p>
                  <w:p w14:paraId="32A2BB72" w14:textId="77777777" w:rsidR="002F34B0" w:rsidRPr="0081736D" w:rsidRDefault="002F34B0" w:rsidP="002F34B0">
                    <w:pPr>
                      <w:spacing w:line="242" w:lineRule="atLeast"/>
                      <w:jc w:val="left"/>
                      <w:rPr>
                        <w:color w:val="0000FF"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sz w:val="15"/>
                        <w:szCs w:val="15"/>
                      </w:rPr>
                      <w:t>Switch</w:t>
                    </w:r>
                    <w:r w:rsidRPr="000F5B45">
                      <w:rPr>
                        <w:sz w:val="15"/>
                        <w:szCs w:val="15"/>
                      </w:rPr>
                      <w:t>: +61 1300 935 075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  <w:hyperlink r:id="rId2" w:history="1">
                      <w:r w:rsidR="00387675" w:rsidRPr="009A6AE9">
                        <w:rPr>
                          <w:rStyle w:val="Hyperlink"/>
                          <w:color w:val="0070C0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  <w:p w14:paraId="27FDE539" w14:textId="77777777" w:rsidR="002F34B0" w:rsidRPr="00606C35" w:rsidRDefault="002F34B0" w:rsidP="002F34B0">
                    <w:pPr>
                      <w:spacing w:line="288" w:lineRule="auto"/>
                      <w:rPr>
                        <w:b/>
                        <w:color w:val="121B22" w:themeColor="text2" w:themeShade="80"/>
                        <w:sz w:val="16"/>
                        <w:szCs w:val="16"/>
                      </w:rPr>
                    </w:pPr>
                  </w:p>
                  <w:p w14:paraId="524F8942" w14:textId="77777777" w:rsidR="002F34B0" w:rsidRPr="00411D2E" w:rsidRDefault="002F34B0" w:rsidP="002F34B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11D2E">
                      <w:rPr>
                        <w:b/>
                        <w:bCs/>
                        <w:sz w:val="16"/>
                        <w:szCs w:val="16"/>
                      </w:rPr>
                      <w:t>JOSEPH LONGO</w:t>
                    </w:r>
                  </w:p>
                  <w:p w14:paraId="23A876A8" w14:textId="20F34D41" w:rsidR="009075E5" w:rsidRPr="002F34B0" w:rsidRDefault="002F34B0" w:rsidP="002F34B0">
                    <w:pPr>
                      <w:rPr>
                        <w:b/>
                        <w:sz w:val="16"/>
                        <w:szCs w:val="16"/>
                      </w:rPr>
                    </w:pPr>
                    <w:r w:rsidRPr="00411D2E">
                      <w:rPr>
                        <w:b/>
                        <w:bCs/>
                        <w:sz w:val="16"/>
                        <w:szCs w:val="16"/>
                      </w:rPr>
                      <w:t>CHAI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58241" behindDoc="0" locked="0" layoutInCell="1" allowOverlap="1" wp14:anchorId="5C12BDEA" wp14:editId="560C95A5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8F86C" w14:textId="77777777" w:rsidR="009075E5" w:rsidRPr="00C0750D" w:rsidRDefault="009075E5" w:rsidP="003152CF">
    <w:pPr>
      <w:pStyle w:val="Header"/>
      <w:jc w:val="left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2318" w14:textId="77777777" w:rsidR="00B10377" w:rsidRDefault="00B10377">
    <w:pPr>
      <w:pStyle w:val="Header"/>
      <w:jc w:val="center"/>
    </w:pPr>
  </w:p>
  <w:p w14:paraId="079A24CA" w14:textId="77777777" w:rsidR="00F30B45" w:rsidRDefault="00F30B45">
    <w:pPr>
      <w:pStyle w:val="Header"/>
      <w:jc w:val="center"/>
    </w:pPr>
  </w:p>
  <w:p w14:paraId="7A0C12E9" w14:textId="77777777" w:rsidR="00F30B45" w:rsidRDefault="00F30B45">
    <w:pPr>
      <w:pStyle w:val="Header"/>
      <w:jc w:val="center"/>
    </w:pPr>
  </w:p>
  <w:p w14:paraId="43631729" w14:textId="77777777" w:rsidR="00D11D8C" w:rsidRDefault="00D1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E64"/>
    <w:multiLevelType w:val="hybridMultilevel"/>
    <w:tmpl w:val="29FAA826"/>
    <w:lvl w:ilvl="0" w:tplc="B1C211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A910377C">
      <w:start w:val="1"/>
      <w:numFmt w:val="lowerLetter"/>
      <w:lvlText w:val="%2."/>
      <w:lvlJc w:val="left"/>
      <w:pPr>
        <w:ind w:left="2160" w:hanging="360"/>
      </w:pPr>
    </w:lvl>
    <w:lvl w:ilvl="2" w:tplc="16E23636">
      <w:start w:val="1"/>
      <w:numFmt w:val="lowerRoman"/>
      <w:lvlText w:val="%3."/>
      <w:lvlJc w:val="right"/>
      <w:pPr>
        <w:ind w:left="2880" w:hanging="180"/>
      </w:pPr>
    </w:lvl>
    <w:lvl w:ilvl="3" w:tplc="24A8AE54">
      <w:start w:val="1"/>
      <w:numFmt w:val="decimal"/>
      <w:lvlText w:val="%4."/>
      <w:lvlJc w:val="left"/>
      <w:pPr>
        <w:ind w:left="3600" w:hanging="360"/>
      </w:pPr>
    </w:lvl>
    <w:lvl w:ilvl="4" w:tplc="71428470">
      <w:start w:val="1"/>
      <w:numFmt w:val="lowerLetter"/>
      <w:lvlText w:val="%5."/>
      <w:lvlJc w:val="left"/>
      <w:pPr>
        <w:ind w:left="4320" w:hanging="360"/>
      </w:pPr>
    </w:lvl>
    <w:lvl w:ilvl="5" w:tplc="33629444">
      <w:start w:val="1"/>
      <w:numFmt w:val="lowerRoman"/>
      <w:lvlText w:val="%6."/>
      <w:lvlJc w:val="right"/>
      <w:pPr>
        <w:ind w:left="5040" w:hanging="180"/>
      </w:pPr>
    </w:lvl>
    <w:lvl w:ilvl="6" w:tplc="699A9628">
      <w:start w:val="1"/>
      <w:numFmt w:val="decimal"/>
      <w:lvlText w:val="%7."/>
      <w:lvlJc w:val="left"/>
      <w:pPr>
        <w:ind w:left="5760" w:hanging="360"/>
      </w:pPr>
    </w:lvl>
    <w:lvl w:ilvl="7" w:tplc="2A209784">
      <w:start w:val="1"/>
      <w:numFmt w:val="lowerLetter"/>
      <w:lvlText w:val="%8."/>
      <w:lvlJc w:val="left"/>
      <w:pPr>
        <w:ind w:left="6480" w:hanging="360"/>
      </w:pPr>
    </w:lvl>
    <w:lvl w:ilvl="8" w:tplc="12F21806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E73BF"/>
    <w:multiLevelType w:val="hybridMultilevel"/>
    <w:tmpl w:val="399A279A"/>
    <w:lvl w:ilvl="0" w:tplc="C92422E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5342"/>
    <w:multiLevelType w:val="hybridMultilevel"/>
    <w:tmpl w:val="399A279A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5728">
    <w:abstractNumId w:val="0"/>
  </w:num>
  <w:num w:numId="2" w16cid:durableId="710109938">
    <w:abstractNumId w:val="1"/>
  </w:num>
  <w:num w:numId="3" w16cid:durableId="142981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75"/>
    <w:rsid w:val="0001400D"/>
    <w:rsid w:val="0008778A"/>
    <w:rsid w:val="000A0A7D"/>
    <w:rsid w:val="000A2F86"/>
    <w:rsid w:val="000C3E09"/>
    <w:rsid w:val="000C7F9E"/>
    <w:rsid w:val="000F4368"/>
    <w:rsid w:val="000F6487"/>
    <w:rsid w:val="000F7A6E"/>
    <w:rsid w:val="0012111C"/>
    <w:rsid w:val="0012120C"/>
    <w:rsid w:val="0013241F"/>
    <w:rsid w:val="001763B1"/>
    <w:rsid w:val="00190197"/>
    <w:rsid w:val="001A488D"/>
    <w:rsid w:val="001A7305"/>
    <w:rsid w:val="001B400A"/>
    <w:rsid w:val="001F2652"/>
    <w:rsid w:val="00206BE1"/>
    <w:rsid w:val="002313C4"/>
    <w:rsid w:val="00251DE6"/>
    <w:rsid w:val="00273B20"/>
    <w:rsid w:val="002970AC"/>
    <w:rsid w:val="002A180E"/>
    <w:rsid w:val="002F1102"/>
    <w:rsid w:val="002F34B0"/>
    <w:rsid w:val="003152CF"/>
    <w:rsid w:val="00356520"/>
    <w:rsid w:val="00373DF7"/>
    <w:rsid w:val="00387675"/>
    <w:rsid w:val="00392588"/>
    <w:rsid w:val="00397AF8"/>
    <w:rsid w:val="003A11F5"/>
    <w:rsid w:val="003A21EE"/>
    <w:rsid w:val="003A5910"/>
    <w:rsid w:val="003C7657"/>
    <w:rsid w:val="003E5747"/>
    <w:rsid w:val="003F13B2"/>
    <w:rsid w:val="004020DE"/>
    <w:rsid w:val="00403CEA"/>
    <w:rsid w:val="00422FAD"/>
    <w:rsid w:val="00450122"/>
    <w:rsid w:val="00485D2E"/>
    <w:rsid w:val="004B166C"/>
    <w:rsid w:val="004C4E97"/>
    <w:rsid w:val="00500D64"/>
    <w:rsid w:val="00505DE0"/>
    <w:rsid w:val="00514203"/>
    <w:rsid w:val="00555D20"/>
    <w:rsid w:val="00557325"/>
    <w:rsid w:val="00571017"/>
    <w:rsid w:val="005965D0"/>
    <w:rsid w:val="005B54B2"/>
    <w:rsid w:val="005D6856"/>
    <w:rsid w:val="005E152D"/>
    <w:rsid w:val="00632FFE"/>
    <w:rsid w:val="006802A5"/>
    <w:rsid w:val="00681CD7"/>
    <w:rsid w:val="006A7041"/>
    <w:rsid w:val="006B4CAF"/>
    <w:rsid w:val="006C15CA"/>
    <w:rsid w:val="006F3E2D"/>
    <w:rsid w:val="007220D7"/>
    <w:rsid w:val="00725890"/>
    <w:rsid w:val="0076385C"/>
    <w:rsid w:val="00783CB3"/>
    <w:rsid w:val="007A4FE7"/>
    <w:rsid w:val="007A5C87"/>
    <w:rsid w:val="007B23E7"/>
    <w:rsid w:val="007BD2B8"/>
    <w:rsid w:val="007C1161"/>
    <w:rsid w:val="007D7D84"/>
    <w:rsid w:val="007F432D"/>
    <w:rsid w:val="00815365"/>
    <w:rsid w:val="00832DF3"/>
    <w:rsid w:val="00864C9F"/>
    <w:rsid w:val="00866DAC"/>
    <w:rsid w:val="00875730"/>
    <w:rsid w:val="0089433B"/>
    <w:rsid w:val="008A2431"/>
    <w:rsid w:val="008C14B4"/>
    <w:rsid w:val="008D5321"/>
    <w:rsid w:val="009075E5"/>
    <w:rsid w:val="00910FB1"/>
    <w:rsid w:val="009116B3"/>
    <w:rsid w:val="00936B7F"/>
    <w:rsid w:val="00944454"/>
    <w:rsid w:val="009A5BE9"/>
    <w:rsid w:val="009B1458"/>
    <w:rsid w:val="009E1A34"/>
    <w:rsid w:val="009E4F3A"/>
    <w:rsid w:val="00A1375D"/>
    <w:rsid w:val="00A2710B"/>
    <w:rsid w:val="00A4311E"/>
    <w:rsid w:val="00A54B68"/>
    <w:rsid w:val="00A8073A"/>
    <w:rsid w:val="00A9080F"/>
    <w:rsid w:val="00AB6EF6"/>
    <w:rsid w:val="00B071E4"/>
    <w:rsid w:val="00B10377"/>
    <w:rsid w:val="00B91F98"/>
    <w:rsid w:val="00BE3BAD"/>
    <w:rsid w:val="00BF65EA"/>
    <w:rsid w:val="00C50434"/>
    <w:rsid w:val="00C64BE0"/>
    <w:rsid w:val="00C91E92"/>
    <w:rsid w:val="00CB4830"/>
    <w:rsid w:val="00CB5A86"/>
    <w:rsid w:val="00CC675C"/>
    <w:rsid w:val="00CE1025"/>
    <w:rsid w:val="00CE2411"/>
    <w:rsid w:val="00D006FF"/>
    <w:rsid w:val="00D11D8C"/>
    <w:rsid w:val="00D20B0A"/>
    <w:rsid w:val="00D22B0D"/>
    <w:rsid w:val="00D24772"/>
    <w:rsid w:val="00D31D42"/>
    <w:rsid w:val="00D31F99"/>
    <w:rsid w:val="00D34424"/>
    <w:rsid w:val="00D522C1"/>
    <w:rsid w:val="00D92888"/>
    <w:rsid w:val="00D93E6F"/>
    <w:rsid w:val="00DA73FE"/>
    <w:rsid w:val="00DC13DC"/>
    <w:rsid w:val="00DD2252"/>
    <w:rsid w:val="00DD437E"/>
    <w:rsid w:val="00E3353D"/>
    <w:rsid w:val="00E72AA1"/>
    <w:rsid w:val="00E745D2"/>
    <w:rsid w:val="00EA480B"/>
    <w:rsid w:val="00EE0F5A"/>
    <w:rsid w:val="00EF3DB9"/>
    <w:rsid w:val="00F06182"/>
    <w:rsid w:val="00F21B14"/>
    <w:rsid w:val="00F30B45"/>
    <w:rsid w:val="00F33DEC"/>
    <w:rsid w:val="00F41ADA"/>
    <w:rsid w:val="00F850E0"/>
    <w:rsid w:val="00F858EE"/>
    <w:rsid w:val="00F93EAA"/>
    <w:rsid w:val="00FE22BC"/>
    <w:rsid w:val="016FCF96"/>
    <w:rsid w:val="01AE2E0D"/>
    <w:rsid w:val="0305B241"/>
    <w:rsid w:val="0810C315"/>
    <w:rsid w:val="0B5FE259"/>
    <w:rsid w:val="0DD48701"/>
    <w:rsid w:val="1013E9E1"/>
    <w:rsid w:val="10B429AA"/>
    <w:rsid w:val="10D88C87"/>
    <w:rsid w:val="13324830"/>
    <w:rsid w:val="143A64DA"/>
    <w:rsid w:val="14F8989A"/>
    <w:rsid w:val="1565A28B"/>
    <w:rsid w:val="172F41BB"/>
    <w:rsid w:val="1757652B"/>
    <w:rsid w:val="19EAB751"/>
    <w:rsid w:val="19F9B76F"/>
    <w:rsid w:val="1B1670CB"/>
    <w:rsid w:val="1C7B5DE6"/>
    <w:rsid w:val="1E00FB42"/>
    <w:rsid w:val="20E7AFC5"/>
    <w:rsid w:val="218C0415"/>
    <w:rsid w:val="2369FDC2"/>
    <w:rsid w:val="25A75563"/>
    <w:rsid w:val="288B2EF2"/>
    <w:rsid w:val="2BAED404"/>
    <w:rsid w:val="2BEAB843"/>
    <w:rsid w:val="2D68807B"/>
    <w:rsid w:val="2DD7456E"/>
    <w:rsid w:val="348B92E2"/>
    <w:rsid w:val="36E9ACB4"/>
    <w:rsid w:val="38ADFD76"/>
    <w:rsid w:val="38C16EEF"/>
    <w:rsid w:val="43C8D5CD"/>
    <w:rsid w:val="4896AADC"/>
    <w:rsid w:val="49F038D0"/>
    <w:rsid w:val="4AEAD616"/>
    <w:rsid w:val="4C157C4F"/>
    <w:rsid w:val="50D4DD42"/>
    <w:rsid w:val="51516E77"/>
    <w:rsid w:val="519FE072"/>
    <w:rsid w:val="5279DBF3"/>
    <w:rsid w:val="55FD1725"/>
    <w:rsid w:val="561D898C"/>
    <w:rsid w:val="57E4B725"/>
    <w:rsid w:val="58879FFB"/>
    <w:rsid w:val="58E066A3"/>
    <w:rsid w:val="5CA45A82"/>
    <w:rsid w:val="658B9FE8"/>
    <w:rsid w:val="67693357"/>
    <w:rsid w:val="68A1EC3E"/>
    <w:rsid w:val="6A5D18CD"/>
    <w:rsid w:val="6B4BC607"/>
    <w:rsid w:val="70C3F4E8"/>
    <w:rsid w:val="71CD4932"/>
    <w:rsid w:val="726F0E6B"/>
    <w:rsid w:val="727C57CB"/>
    <w:rsid w:val="740751FC"/>
    <w:rsid w:val="747F468E"/>
    <w:rsid w:val="764E0000"/>
    <w:rsid w:val="785B527D"/>
    <w:rsid w:val="7D7226F8"/>
    <w:rsid w:val="7D899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9890C"/>
  <w15:chartTrackingRefBased/>
  <w15:docId w15:val="{35462A3F-6DC3-41C9-8C1C-F2E5731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7675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87675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87675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87675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3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E6F"/>
    <w:rPr>
      <w:rFonts w:ascii="Century Gothic" w:eastAsia="Times New Roman" w:hAnsi="Century Gothic" w:cs="Times New Roman"/>
      <w:szCs w:val="20"/>
    </w:rPr>
  </w:style>
  <w:style w:type="paragraph" w:styleId="ListParagraph">
    <w:name w:val="List Paragraph"/>
    <w:basedOn w:val="Normal"/>
    <w:uiPriority w:val="34"/>
    <w:qFormat/>
    <w:rsid w:val="000A0A7D"/>
    <w:pPr>
      <w:ind w:left="720"/>
      <w:contextualSpacing/>
    </w:pPr>
  </w:style>
  <w:style w:type="character" w:customStyle="1" w:styleId="normaltextrun">
    <w:name w:val="normaltextrun"/>
    <w:basedOn w:val="DefaultParagraphFont"/>
    <w:rsid w:val="000F7A6E"/>
  </w:style>
  <w:style w:type="character" w:customStyle="1" w:styleId="eop">
    <w:name w:val="eop"/>
    <w:basedOn w:val="DefaultParagraphFont"/>
    <w:rsid w:val="000F7A6E"/>
  </w:style>
  <w:style w:type="paragraph" w:customStyle="1" w:styleId="paragraph">
    <w:name w:val="paragraph"/>
    <w:basedOn w:val="Normal"/>
    <w:rsid w:val="001901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scxw259065262">
    <w:name w:val="scxw259065262"/>
    <w:basedOn w:val="DefaultParagraphFont"/>
    <w:rsid w:val="00BE3BAD"/>
  </w:style>
  <w:style w:type="character" w:styleId="UnresolvedMention">
    <w:name w:val="Unresolved Mention"/>
    <w:basedOn w:val="DefaultParagraphFont"/>
    <w:uiPriority w:val="99"/>
    <w:semiHidden/>
    <w:unhideWhenUsed/>
    <w:rsid w:val="003C76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7305"/>
    <w:pPr>
      <w:spacing w:after="0" w:line="240" w:lineRule="auto"/>
    </w:pPr>
    <w:rPr>
      <w:rFonts w:ascii="Century Gothic" w:eastAsia="Times New Roman" w:hAnsi="Century Gothi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helpdesk-OIA@pmc.gov.au" TargetMode="External"/><Relationship Id="rId17" Type="http://schemas.openxmlformats.org/officeDocument/2006/relationships/hyperlink" Target="mailto:james.grapsas@as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ic.gov.au/about-asic/news-centre/news-items/asic-proposes-to-remake-managed-investment-scheme-legislative-instruments/" TargetMode="Externa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../Received%20Attachments/www.asic.gov.au" TargetMode="External"/><Relationship Id="rId1" Type="http://schemas.openxmlformats.org/officeDocument/2006/relationships/hyperlink" Target="../Received%20Attachments/www.asi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3130FFCD642FFA92A1F2085B8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730E-897A-420E-B7A4-4BEA074DC2BB}"/>
      </w:docPartPr>
      <w:docPartBody>
        <w:p w:rsidR="0019025B" w:rsidRDefault="003A5910" w:rsidP="003A5910">
          <w:pPr>
            <w:pStyle w:val="4923130FFCD642FFA92A1F2085B8E922"/>
          </w:pPr>
          <w:r w:rsidRPr="00866A64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10"/>
    <w:rsid w:val="000A2F86"/>
    <w:rsid w:val="0019025B"/>
    <w:rsid w:val="003A5910"/>
    <w:rsid w:val="00B24EED"/>
    <w:rsid w:val="00B90FEE"/>
    <w:rsid w:val="00CA0E68"/>
    <w:rsid w:val="00E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3130FFCD642FFA92A1F2085B8E922">
    <w:name w:val="4923130FFCD642FFA92A1F2085B8E922"/>
    <w:rsid w:val="003A5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25" ma:contentTypeDescription="Create a new document." ma:contentTypeScope="" ma:versionID="4eee952142d321facbb1fde01d01d759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509bb4dcf39477eb83e04680f8be942d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e38ccbe6cbdd953dd6cc23e705d0942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DOCID-322795542-49691</_dlc_DocId>
    <_dlc_DocIdUrl xmlns="4195ad5f-cdf2-4c4a-8d9b-b7944a108e98">
      <Url>https://pmc01.sharepoint.com/sites/CRMOBPR/_layouts/15/DocIdRedir.aspx?ID=DOCID-322795542-49691</Url>
      <Description>DOCID-322795542-49691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F625F-E9E5-4AED-93E0-0816A22F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17C94-5F33-4D8A-A2C3-DD3059B8A3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E4846D-4242-4DD3-A9F9-75F78DF2AF70}"/>
</file>

<file path=customXml/itemProps4.xml><?xml version="1.0" encoding="utf-8"?>
<ds:datastoreItem xmlns:ds="http://schemas.openxmlformats.org/officeDocument/2006/customXml" ds:itemID="{4B921CAC-847C-42E2-9B56-B9EFF0BD19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8D54CB-A521-46E6-BF8D-663DA71F7A33}">
  <ds:schemaRefs>
    <ds:schemaRef ds:uri="http://schemas.microsoft.com/office/2006/documentManagement/types"/>
    <ds:schemaRef ds:uri="http://schemas.microsoft.com/office/infopath/2007/PartnerControls"/>
    <ds:schemaRef ds:uri="6d01ba57-bcb9-4c1f-9f73-80759da4b85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Gee</dc:creator>
  <cp:keywords/>
  <dc:description/>
  <cp:lastModifiedBy>Leanne Damary</cp:lastModifiedBy>
  <cp:revision>2</cp:revision>
  <dcterms:created xsi:type="dcterms:W3CDTF">2024-03-27T00:53:00Z</dcterms:created>
  <dcterms:modified xsi:type="dcterms:W3CDTF">2024-03-27T00:53:00Z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b4615fe9-cc64-4794-9318-21a1b922cfe2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SecurityClassification">
    <vt:lpwstr>4;#OFFICIAL - Sensitive|6eccc17f-024b-41b0-b6b1-faf98d2aff85</vt:lpwstr>
  </property>
  <property fmtid="{D5CDD505-2E9C-101B-9397-08002B2CF9AE}" pid="7" name="MSIP_Label_a6aead41-07f8-4767-ac8e-ef1c9c793766_Enabled">
    <vt:lpwstr>true</vt:lpwstr>
  </property>
  <property fmtid="{D5CDD505-2E9C-101B-9397-08002B2CF9AE}" pid="8" name="MSIP_Label_a6aead41-07f8-4767-ac8e-ef1c9c793766_SetDate">
    <vt:lpwstr>2024-03-12T00:37:50Z</vt:lpwstr>
  </property>
  <property fmtid="{D5CDD505-2E9C-101B-9397-08002B2CF9AE}" pid="9" name="MSIP_Label_a6aead41-07f8-4767-ac8e-ef1c9c793766_Method">
    <vt:lpwstr>Standard</vt:lpwstr>
  </property>
  <property fmtid="{D5CDD505-2E9C-101B-9397-08002B2CF9AE}" pid="10" name="MSIP_Label_a6aead41-07f8-4767-ac8e-ef1c9c793766_Name">
    <vt:lpwstr>OFFICIAL</vt:lpwstr>
  </property>
  <property fmtid="{D5CDD505-2E9C-101B-9397-08002B2CF9AE}" pid="11" name="MSIP_Label_a6aead41-07f8-4767-ac8e-ef1c9c793766_SiteId">
    <vt:lpwstr>5f1de7c6-55cd-4bb2-902d-514c78cf10f4</vt:lpwstr>
  </property>
  <property fmtid="{D5CDD505-2E9C-101B-9397-08002B2CF9AE}" pid="12" name="MSIP_Label_a6aead41-07f8-4767-ac8e-ef1c9c793766_ActionId">
    <vt:lpwstr>fe605dbe-1752-43c0-9121-a71a0493c4ed</vt:lpwstr>
  </property>
  <property fmtid="{D5CDD505-2E9C-101B-9397-08002B2CF9AE}" pid="13" name="MSIP_Label_a6aead41-07f8-4767-ac8e-ef1c9c793766_ContentBits">
    <vt:lpwstr>0</vt:lpwstr>
  </property>
</Properties>
</file>