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701CB" w14:textId="187B839E" w:rsidR="00573DDE" w:rsidRPr="00A51D1A" w:rsidRDefault="00573DDE" w:rsidP="00573DDE">
      <w:pPr>
        <w:pStyle w:val="Reporttitle"/>
        <w:spacing w:after="200"/>
      </w:pPr>
      <w:bookmarkStart w:id="0" w:name="_Hlk148453438"/>
      <w:bookmarkStart w:id="1" w:name="_GoBack"/>
      <w:bookmarkEnd w:id="1"/>
      <w:r>
        <w:t xml:space="preserve">Financial </w:t>
      </w:r>
      <w:r w:rsidR="009E3CF9">
        <w:t>h</w:t>
      </w:r>
      <w:r>
        <w:t xml:space="preserve">ardship in the telco sector </w:t>
      </w:r>
      <w:r w:rsidR="00582871">
        <w:t>– enhancing consumer protections</w:t>
      </w:r>
      <w:r>
        <w:br/>
      </w:r>
      <w:r w:rsidRPr="00924231">
        <w:rPr>
          <w:b w:val="0"/>
          <w:bCs/>
        </w:rPr>
        <w:t xml:space="preserve">Impact </w:t>
      </w:r>
      <w:r w:rsidR="009E3CF9">
        <w:rPr>
          <w:b w:val="0"/>
          <w:bCs/>
        </w:rPr>
        <w:t>a</w:t>
      </w:r>
      <w:r w:rsidRPr="00924231">
        <w:rPr>
          <w:b w:val="0"/>
          <w:bCs/>
        </w:rPr>
        <w:t>nalysis</w:t>
      </w:r>
    </w:p>
    <w:p w14:paraId="0EECB71E" w14:textId="5CBADC35" w:rsidR="00573DDE" w:rsidRPr="000D76E0" w:rsidRDefault="00817FAE" w:rsidP="00573DDE">
      <w:pPr>
        <w:pStyle w:val="Reportdate"/>
        <w:spacing w:after="720"/>
        <w:rPr>
          <w:rFonts w:cs="Arial"/>
        </w:rPr>
        <w:sectPr w:rsidR="00573DDE" w:rsidRPr="000D76E0" w:rsidSect="00C9240C">
          <w:headerReference w:type="even" r:id="rId8"/>
          <w:headerReference w:type="default" r:id="rId9"/>
          <w:footerReference w:type="even" r:id="rId10"/>
          <w:footerReference w:type="default" r:id="rId11"/>
          <w:headerReference w:type="first" r:id="rId12"/>
          <w:footerReference w:type="first" r:id="rId13"/>
          <w:pgSz w:w="11906" w:h="16838" w:code="9"/>
          <w:pgMar w:top="3924" w:right="992" w:bottom="1440" w:left="1134" w:header="709" w:footer="454" w:gutter="0"/>
          <w:cols w:space="708"/>
          <w:docGrid w:linePitch="360"/>
        </w:sectPr>
      </w:pPr>
      <w:r>
        <w:t xml:space="preserve">JANUARY </w:t>
      </w:r>
      <w:r w:rsidR="00573DDE">
        <w:t>202</w:t>
      </w:r>
      <w:r>
        <w:t>4</w:t>
      </w:r>
    </w:p>
    <w:p w14:paraId="2A39C2CE" w14:textId="77777777" w:rsidR="00573DDE" w:rsidRPr="00317FE4" w:rsidRDefault="00573DDE" w:rsidP="00573DDE">
      <w:pPr>
        <w:pStyle w:val="ACMACorporateAddressHeader"/>
      </w:pPr>
      <w:r w:rsidRPr="00317FE4">
        <w:lastRenderedPageBreak/>
        <w:t>Canberra</w:t>
      </w:r>
    </w:p>
    <w:p w14:paraId="04F32890" w14:textId="4D22FF35" w:rsidR="00573DDE" w:rsidRPr="00FC07B9" w:rsidRDefault="00317FE4" w:rsidP="00573DDE">
      <w:pPr>
        <w:pStyle w:val="ACMACorporateAddresses"/>
      </w:pPr>
      <w:r w:rsidRPr="00317FE4">
        <w:t>Level 3</w:t>
      </w:r>
      <w:r w:rsidR="00573DDE" w:rsidRPr="0062597D">
        <w:t xml:space="preserve"> </w:t>
      </w:r>
      <w:r w:rsidR="00573DDE" w:rsidRPr="0062597D">
        <w:br/>
      </w:r>
      <w:r w:rsidRPr="0062597D">
        <w:t>40 Cameron Avenue</w:t>
      </w:r>
      <w:r w:rsidR="00573DDE" w:rsidRPr="0062597D">
        <w:br/>
        <w:t>Belconnen ACT</w:t>
      </w:r>
    </w:p>
    <w:p w14:paraId="7F67D9FA" w14:textId="77777777" w:rsidR="00573DDE" w:rsidRPr="00FC07B9" w:rsidRDefault="00573DDE" w:rsidP="00573DDE">
      <w:pPr>
        <w:pStyle w:val="ACMACorporateAddresses"/>
      </w:pPr>
      <w:r w:rsidRPr="00FC07B9">
        <w:t>PO Box 78</w:t>
      </w:r>
      <w:r w:rsidRPr="00FC07B9">
        <w:br/>
        <w:t>Belconnen ACT 2616</w:t>
      </w:r>
    </w:p>
    <w:p w14:paraId="4E223877" w14:textId="77777777" w:rsidR="00573DDE" w:rsidRPr="00FC07B9" w:rsidRDefault="00573DDE" w:rsidP="00573DDE">
      <w:pPr>
        <w:pStyle w:val="ACMACorporateAddresses"/>
      </w:pPr>
      <w:r w:rsidRPr="00FC07B9">
        <w:t>T</w:t>
      </w:r>
      <w:r w:rsidRPr="00FC07B9">
        <w:tab/>
        <w:t>+61 2 6219 5555</w:t>
      </w:r>
      <w:r w:rsidRPr="00FC07B9">
        <w:br/>
        <w:t>F</w:t>
      </w:r>
      <w:r w:rsidRPr="00FC07B9">
        <w:tab/>
        <w:t>+61 2 6219 5353</w:t>
      </w:r>
    </w:p>
    <w:p w14:paraId="11DD15C2" w14:textId="77777777" w:rsidR="00573DDE" w:rsidRPr="00F44F3A" w:rsidRDefault="00573DDE" w:rsidP="00573DDE">
      <w:pPr>
        <w:pStyle w:val="ACMACorporateAddressHeader"/>
      </w:pPr>
      <w:r w:rsidRPr="00F44F3A">
        <w:t>Melbourne</w:t>
      </w:r>
    </w:p>
    <w:p w14:paraId="699875DC" w14:textId="77777777" w:rsidR="00573DDE" w:rsidRPr="00F44F3A" w:rsidRDefault="00573DDE" w:rsidP="00573DDE">
      <w:pPr>
        <w:pStyle w:val="ACMACorporateAddresses"/>
      </w:pPr>
      <w:r w:rsidRPr="00F44F3A">
        <w:t xml:space="preserve">Level 32 </w:t>
      </w:r>
      <w:r w:rsidRPr="00F44F3A">
        <w:br/>
        <w:t>Melbourne Central Tower</w:t>
      </w:r>
      <w:r w:rsidRPr="00F44F3A">
        <w:br/>
        <w:t xml:space="preserve">360 Elizabeth Street </w:t>
      </w:r>
      <w:r w:rsidRPr="00F44F3A">
        <w:br/>
        <w:t>Melbourne VIC</w:t>
      </w:r>
    </w:p>
    <w:p w14:paraId="18EE7694" w14:textId="77777777" w:rsidR="00573DDE" w:rsidRPr="00F44F3A" w:rsidRDefault="00573DDE" w:rsidP="00573DDE">
      <w:pPr>
        <w:pStyle w:val="ACMACorporateAddresses"/>
      </w:pPr>
      <w:r w:rsidRPr="00F44F3A">
        <w:t>PO Box 13112</w:t>
      </w:r>
      <w:r w:rsidRPr="00F44F3A">
        <w:br/>
        <w:t xml:space="preserve">Law Courts </w:t>
      </w:r>
      <w:r w:rsidRPr="00F44F3A">
        <w:br/>
        <w:t>Melbourne VIC 8010</w:t>
      </w:r>
    </w:p>
    <w:p w14:paraId="0F47D6B2" w14:textId="77777777" w:rsidR="00573DDE" w:rsidRPr="00F44F3A" w:rsidRDefault="00573DDE" w:rsidP="00573DDE">
      <w:pPr>
        <w:pStyle w:val="ACMACorporateAddresses"/>
      </w:pPr>
      <w:r w:rsidRPr="00F44F3A">
        <w:t>T</w:t>
      </w:r>
      <w:r w:rsidRPr="00F44F3A">
        <w:tab/>
        <w:t>+61 3 9963 6800</w:t>
      </w:r>
      <w:r w:rsidRPr="00F44F3A">
        <w:br/>
        <w:t>F</w:t>
      </w:r>
      <w:r w:rsidRPr="00F44F3A">
        <w:tab/>
        <w:t>+61 3 9963 6899</w:t>
      </w:r>
    </w:p>
    <w:p w14:paraId="520436B7" w14:textId="77777777" w:rsidR="00573DDE" w:rsidRPr="00F44F3A" w:rsidRDefault="00573DDE" w:rsidP="00573DDE">
      <w:pPr>
        <w:pStyle w:val="ACMACorporateAddressHeader"/>
      </w:pPr>
      <w:r w:rsidRPr="00F44F3A">
        <w:t>Sydney</w:t>
      </w:r>
    </w:p>
    <w:p w14:paraId="06B3F256" w14:textId="77777777" w:rsidR="00573DDE" w:rsidRPr="00F44F3A" w:rsidRDefault="00573DDE" w:rsidP="00573DDE">
      <w:pPr>
        <w:pStyle w:val="ACMACorporateAddresses"/>
      </w:pPr>
      <w:r w:rsidRPr="00F44F3A">
        <w:t xml:space="preserve">Level 5 </w:t>
      </w:r>
      <w:r w:rsidRPr="00F44F3A">
        <w:br/>
        <w:t>The Bay Centre</w:t>
      </w:r>
      <w:r w:rsidRPr="00F44F3A">
        <w:br/>
        <w:t xml:space="preserve">65 Pirrama Road </w:t>
      </w:r>
      <w:r w:rsidRPr="00F44F3A">
        <w:br/>
        <w:t>Pyrmont NSW</w:t>
      </w:r>
    </w:p>
    <w:p w14:paraId="40647747" w14:textId="77777777" w:rsidR="00573DDE" w:rsidRPr="00F44F3A" w:rsidRDefault="00573DDE" w:rsidP="00573DDE">
      <w:pPr>
        <w:pStyle w:val="ACMACorporateAddresses"/>
      </w:pPr>
      <w:r w:rsidRPr="00F44F3A">
        <w:t>PO Box Q500</w:t>
      </w:r>
      <w:r w:rsidRPr="00F44F3A">
        <w:br/>
        <w:t xml:space="preserve">Queen Victoria Building </w:t>
      </w:r>
      <w:r w:rsidRPr="00F44F3A">
        <w:br/>
        <w:t>NSW 1230</w:t>
      </w:r>
    </w:p>
    <w:p w14:paraId="6940B4CF" w14:textId="77777777" w:rsidR="00573DDE" w:rsidRPr="00F44F3A" w:rsidRDefault="00573DDE" w:rsidP="00573DDE">
      <w:pPr>
        <w:pStyle w:val="ACMACorporateAddresses"/>
      </w:pPr>
      <w:r w:rsidRPr="00F44F3A">
        <w:t>T</w:t>
      </w:r>
      <w:r w:rsidRPr="00F44F3A">
        <w:tab/>
        <w:t>+61 2 9334 7700 or 1800 226 667</w:t>
      </w:r>
      <w:r w:rsidRPr="00F44F3A">
        <w:br/>
        <w:t>F</w:t>
      </w:r>
      <w:r w:rsidRPr="00F44F3A">
        <w:tab/>
        <w:t>+61 2 9334 7799</w:t>
      </w:r>
    </w:p>
    <w:p w14:paraId="7265571E" w14:textId="77777777" w:rsidR="00573DDE" w:rsidRPr="006D46E5" w:rsidRDefault="00573DDE" w:rsidP="007B5360">
      <w:pPr>
        <w:pStyle w:val="ACMACopyrightHeader"/>
        <w:spacing w:before="4560"/>
      </w:pPr>
      <w:r w:rsidRPr="00140318">
        <w:t>Copyright notice</w:t>
      </w:r>
    </w:p>
    <w:p w14:paraId="34CC05A5" w14:textId="77777777" w:rsidR="00573DDE" w:rsidRPr="006D46E5" w:rsidRDefault="00573DDE" w:rsidP="00573DDE">
      <w:pPr>
        <w:pStyle w:val="ACMACClogo"/>
      </w:pPr>
      <w:r w:rsidRPr="00623FF9">
        <w:rPr>
          <w:noProof/>
        </w:rPr>
        <w:drawing>
          <wp:inline distT="0" distB="0" distL="0" distR="0" wp14:anchorId="7E6A8DC9" wp14:editId="58CE5047">
            <wp:extent cx="838200" cy="295275"/>
            <wp:effectExtent l="0" t="0" r="0" b="0"/>
            <wp:docPr id="1" name="Picture 1" title="Creative Commons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4"/>
                    </pic:cNvPr>
                    <pic:cNvPicPr>
                      <a:picLocks noChangeAspect="1" noChangeArrowheads="1"/>
                    </pic:cNvPicPr>
                  </pic:nvPicPr>
                  <pic:blipFill>
                    <a:blip r:embed="rId15" cstate="print"/>
                    <a:srcRect/>
                    <a:stretch>
                      <a:fillRect/>
                    </a:stretch>
                  </pic:blipFill>
                  <pic:spPr bwMode="auto">
                    <a:xfrm>
                      <a:off x="0" y="0"/>
                      <a:ext cx="838200" cy="295275"/>
                    </a:xfrm>
                    <a:prstGeom prst="rect">
                      <a:avLst/>
                    </a:prstGeom>
                    <a:noFill/>
                  </pic:spPr>
                </pic:pic>
              </a:graphicData>
            </a:graphic>
          </wp:inline>
        </w:drawing>
      </w:r>
    </w:p>
    <w:p w14:paraId="12016C93" w14:textId="77777777" w:rsidR="00573DDE" w:rsidRDefault="0065520A" w:rsidP="00573DDE">
      <w:pPr>
        <w:pStyle w:val="ACMACorporateAddresses"/>
        <w:rPr>
          <w:rStyle w:val="Hyperlink"/>
        </w:rPr>
      </w:pPr>
      <w:hyperlink r:id="rId16" w:history="1">
        <w:r w:rsidR="00573DDE">
          <w:rPr>
            <w:rStyle w:val="Hyperlink"/>
          </w:rPr>
          <w:t>https://creativecommons.org/licenses/by/4.0/</w:t>
        </w:r>
      </w:hyperlink>
    </w:p>
    <w:p w14:paraId="5BAF10E0" w14:textId="77777777" w:rsidR="00573DDE" w:rsidRDefault="00573DDE" w:rsidP="00573DDE">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0EC90899" w14:textId="77777777" w:rsidR="00573DDE" w:rsidRDefault="00573DDE" w:rsidP="00573DDE">
      <w:pPr>
        <w:pStyle w:val="ACMACorporateAddresses"/>
      </w:pPr>
      <w:r>
        <w:t>All other rights are reserved.</w:t>
      </w:r>
    </w:p>
    <w:p w14:paraId="515B8C5B" w14:textId="77777777" w:rsidR="00573DDE" w:rsidRDefault="00573DDE" w:rsidP="00573DDE">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2C8569D1" w14:textId="7FE86A7E" w:rsidR="00573DDE" w:rsidRPr="007B5360" w:rsidRDefault="007B5360" w:rsidP="00573DDE">
      <w:pPr>
        <w:pStyle w:val="ACMACorporateAddresses"/>
        <w:rPr>
          <w:rStyle w:val="Hyperlink"/>
          <w:color w:val="auto"/>
          <w:u w:val="none"/>
        </w:rPr>
      </w:pPr>
      <w:r>
        <w:t xml:space="preserve">We request attribution as © Commonwealth of Australia (Australian Communications and Media </w:t>
      </w:r>
      <w:r w:rsidRPr="00317FE4">
        <w:t>Author</w:t>
      </w:r>
      <w:r w:rsidRPr="0062597D">
        <w:t>ity) 202</w:t>
      </w:r>
      <w:r>
        <w:t>4</w:t>
      </w:r>
      <w:r w:rsidRPr="0062597D">
        <w:t>.</w:t>
      </w:r>
    </w:p>
    <w:p w14:paraId="1539412F" w14:textId="77777777" w:rsidR="00573DDE" w:rsidRPr="00D16FE3" w:rsidRDefault="00573DDE" w:rsidP="00573DDE">
      <w:pPr>
        <w:pStyle w:val="ACMACorporateAddresses"/>
        <w:sectPr w:rsidR="00573DDE" w:rsidRPr="00D16FE3">
          <w:headerReference w:type="even" r:id="rId17"/>
          <w:headerReference w:type="default" r:id="rId18"/>
          <w:footerReference w:type="even" r:id="rId19"/>
          <w:footerReference w:type="default" r:id="rId20"/>
          <w:pgSz w:w="11906" w:h="16838" w:code="9"/>
          <w:pgMar w:top="3924" w:right="1797" w:bottom="697" w:left="1134" w:header="709" w:footer="119" w:gutter="0"/>
          <w:cols w:space="708"/>
          <w:docGrid w:linePitch="360"/>
        </w:sectPr>
      </w:pPr>
    </w:p>
    <w:p w14:paraId="05953718" w14:textId="792BDA1F" w:rsidR="00E145FA" w:rsidRDefault="00573DDE">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\h \z \t "Exec summary heading,1" </w:instrText>
      </w:r>
      <w:r>
        <w:rPr>
          <w:rFonts w:cs="Arial"/>
          <w:b w:val="0"/>
        </w:rPr>
        <w:fldChar w:fldCharType="separate"/>
      </w:r>
      <w:hyperlink w:anchor="_Toc155685971" w:history="1">
        <w:r w:rsidR="00E145FA" w:rsidRPr="00A879DD">
          <w:rPr>
            <w:rStyle w:val="Hyperlink"/>
          </w:rPr>
          <w:t>Introduction</w:t>
        </w:r>
        <w:r w:rsidR="00E145FA">
          <w:rPr>
            <w:webHidden/>
          </w:rPr>
          <w:tab/>
        </w:r>
        <w:r w:rsidR="00E145FA">
          <w:rPr>
            <w:webHidden/>
          </w:rPr>
          <w:fldChar w:fldCharType="begin"/>
        </w:r>
        <w:r w:rsidR="00E145FA">
          <w:rPr>
            <w:webHidden/>
          </w:rPr>
          <w:instrText xml:space="preserve"> PAGEREF _Toc155685971 \h </w:instrText>
        </w:r>
        <w:r w:rsidR="00E145FA">
          <w:rPr>
            <w:webHidden/>
          </w:rPr>
        </w:r>
        <w:r w:rsidR="00E145FA">
          <w:rPr>
            <w:webHidden/>
          </w:rPr>
          <w:fldChar w:fldCharType="separate"/>
        </w:r>
        <w:r w:rsidR="00487741">
          <w:rPr>
            <w:webHidden/>
          </w:rPr>
          <w:t>1</w:t>
        </w:r>
        <w:r w:rsidR="00E145FA">
          <w:rPr>
            <w:webHidden/>
          </w:rPr>
          <w:fldChar w:fldCharType="end"/>
        </w:r>
      </w:hyperlink>
    </w:p>
    <w:p w14:paraId="486F5654" w14:textId="4D625ADA" w:rsidR="00E145FA" w:rsidRDefault="0065520A">
      <w:pPr>
        <w:pStyle w:val="TOC1"/>
        <w:rPr>
          <w:rFonts w:asciiTheme="minorHAnsi" w:eastAsiaTheme="minorEastAsia" w:hAnsiTheme="minorHAnsi" w:cstheme="minorBidi"/>
          <w:b w:val="0"/>
          <w:spacing w:val="0"/>
          <w:sz w:val="22"/>
          <w:szCs w:val="22"/>
        </w:rPr>
      </w:pPr>
      <w:hyperlink w:anchor="_Toc155685972" w:history="1">
        <w:r w:rsidR="00E145FA" w:rsidRPr="00A879DD">
          <w:rPr>
            <w:rStyle w:val="Hyperlink"/>
          </w:rPr>
          <w:t>Regulatory setting</w:t>
        </w:r>
        <w:r w:rsidR="00E145FA">
          <w:rPr>
            <w:webHidden/>
          </w:rPr>
          <w:tab/>
        </w:r>
        <w:r w:rsidR="00E145FA">
          <w:rPr>
            <w:webHidden/>
          </w:rPr>
          <w:fldChar w:fldCharType="begin"/>
        </w:r>
        <w:r w:rsidR="00E145FA">
          <w:rPr>
            <w:webHidden/>
          </w:rPr>
          <w:instrText xml:space="preserve"> PAGEREF _Toc155685972 \h </w:instrText>
        </w:r>
        <w:r w:rsidR="00E145FA">
          <w:rPr>
            <w:webHidden/>
          </w:rPr>
        </w:r>
        <w:r w:rsidR="00E145FA">
          <w:rPr>
            <w:webHidden/>
          </w:rPr>
          <w:fldChar w:fldCharType="separate"/>
        </w:r>
        <w:r w:rsidR="00487741">
          <w:rPr>
            <w:webHidden/>
          </w:rPr>
          <w:t>2</w:t>
        </w:r>
        <w:r w:rsidR="00E145FA">
          <w:rPr>
            <w:webHidden/>
          </w:rPr>
          <w:fldChar w:fldCharType="end"/>
        </w:r>
      </w:hyperlink>
    </w:p>
    <w:p w14:paraId="724FC0B6" w14:textId="5BA4E48B" w:rsidR="00E145FA" w:rsidRDefault="0065520A">
      <w:pPr>
        <w:pStyle w:val="TOC2"/>
        <w:rPr>
          <w:rFonts w:asciiTheme="minorHAnsi" w:eastAsiaTheme="minorEastAsia" w:hAnsiTheme="minorHAnsi" w:cstheme="minorBidi"/>
          <w:spacing w:val="0"/>
          <w:sz w:val="22"/>
          <w:szCs w:val="22"/>
        </w:rPr>
      </w:pPr>
      <w:hyperlink w:anchor="_Toc155685973" w:history="1">
        <w:r w:rsidR="00E145FA" w:rsidRPr="00A879DD">
          <w:rPr>
            <w:rStyle w:val="Hyperlink"/>
          </w:rPr>
          <w:t>Current protections for financial hardship</w:t>
        </w:r>
        <w:r w:rsidR="00E145FA">
          <w:rPr>
            <w:webHidden/>
          </w:rPr>
          <w:tab/>
        </w:r>
        <w:r w:rsidR="00E145FA">
          <w:rPr>
            <w:webHidden/>
          </w:rPr>
          <w:fldChar w:fldCharType="begin"/>
        </w:r>
        <w:r w:rsidR="00E145FA">
          <w:rPr>
            <w:webHidden/>
          </w:rPr>
          <w:instrText xml:space="preserve"> PAGEREF _Toc155685973 \h </w:instrText>
        </w:r>
        <w:r w:rsidR="00E145FA">
          <w:rPr>
            <w:webHidden/>
          </w:rPr>
        </w:r>
        <w:r w:rsidR="00E145FA">
          <w:rPr>
            <w:webHidden/>
          </w:rPr>
          <w:fldChar w:fldCharType="separate"/>
        </w:r>
        <w:r w:rsidR="00487741">
          <w:rPr>
            <w:webHidden/>
          </w:rPr>
          <w:t>2</w:t>
        </w:r>
        <w:r w:rsidR="00E145FA">
          <w:rPr>
            <w:webHidden/>
          </w:rPr>
          <w:fldChar w:fldCharType="end"/>
        </w:r>
      </w:hyperlink>
    </w:p>
    <w:p w14:paraId="78A0EB0B" w14:textId="356D5343" w:rsidR="00E145FA" w:rsidRDefault="0065520A">
      <w:pPr>
        <w:pStyle w:val="TOC2"/>
        <w:rPr>
          <w:rFonts w:asciiTheme="minorHAnsi" w:eastAsiaTheme="minorEastAsia" w:hAnsiTheme="minorHAnsi" w:cstheme="minorBidi"/>
          <w:spacing w:val="0"/>
          <w:sz w:val="22"/>
          <w:szCs w:val="22"/>
        </w:rPr>
      </w:pPr>
      <w:hyperlink w:anchor="_Toc155685974" w:history="1">
        <w:r w:rsidR="00E145FA" w:rsidRPr="00A879DD">
          <w:rPr>
            <w:rStyle w:val="Hyperlink"/>
          </w:rPr>
          <w:t>Regulatory framework</w:t>
        </w:r>
        <w:r w:rsidR="00E145FA">
          <w:rPr>
            <w:webHidden/>
          </w:rPr>
          <w:tab/>
        </w:r>
        <w:r w:rsidR="00E145FA">
          <w:rPr>
            <w:webHidden/>
          </w:rPr>
          <w:fldChar w:fldCharType="begin"/>
        </w:r>
        <w:r w:rsidR="00E145FA">
          <w:rPr>
            <w:webHidden/>
          </w:rPr>
          <w:instrText xml:space="preserve"> PAGEREF _Toc155685974 \h </w:instrText>
        </w:r>
        <w:r w:rsidR="00E145FA">
          <w:rPr>
            <w:webHidden/>
          </w:rPr>
        </w:r>
        <w:r w:rsidR="00E145FA">
          <w:rPr>
            <w:webHidden/>
          </w:rPr>
          <w:fldChar w:fldCharType="separate"/>
        </w:r>
        <w:r w:rsidR="00487741">
          <w:rPr>
            <w:webHidden/>
          </w:rPr>
          <w:t>2</w:t>
        </w:r>
        <w:r w:rsidR="00E145FA">
          <w:rPr>
            <w:webHidden/>
          </w:rPr>
          <w:fldChar w:fldCharType="end"/>
        </w:r>
      </w:hyperlink>
    </w:p>
    <w:p w14:paraId="5065F89C" w14:textId="771F7BDE" w:rsidR="00E145FA" w:rsidRDefault="0065520A">
      <w:pPr>
        <w:pStyle w:val="TOC2"/>
        <w:rPr>
          <w:rFonts w:asciiTheme="minorHAnsi" w:eastAsiaTheme="minorEastAsia" w:hAnsiTheme="minorHAnsi" w:cstheme="minorBidi"/>
          <w:spacing w:val="0"/>
          <w:sz w:val="22"/>
          <w:szCs w:val="22"/>
        </w:rPr>
      </w:pPr>
      <w:hyperlink w:anchor="_Toc155685975" w:history="1">
        <w:r w:rsidR="00E145FA" w:rsidRPr="00A879DD">
          <w:rPr>
            <w:rStyle w:val="Hyperlink"/>
          </w:rPr>
          <w:t>Reporting and compliance</w:t>
        </w:r>
        <w:r w:rsidR="00E145FA">
          <w:rPr>
            <w:webHidden/>
          </w:rPr>
          <w:tab/>
        </w:r>
        <w:r w:rsidR="00E145FA">
          <w:rPr>
            <w:webHidden/>
          </w:rPr>
          <w:fldChar w:fldCharType="begin"/>
        </w:r>
        <w:r w:rsidR="00E145FA">
          <w:rPr>
            <w:webHidden/>
          </w:rPr>
          <w:instrText xml:space="preserve"> PAGEREF _Toc155685975 \h </w:instrText>
        </w:r>
        <w:r w:rsidR="00E145FA">
          <w:rPr>
            <w:webHidden/>
          </w:rPr>
        </w:r>
        <w:r w:rsidR="00E145FA">
          <w:rPr>
            <w:webHidden/>
          </w:rPr>
          <w:fldChar w:fldCharType="separate"/>
        </w:r>
        <w:r w:rsidR="00487741">
          <w:rPr>
            <w:webHidden/>
          </w:rPr>
          <w:t>3</w:t>
        </w:r>
        <w:r w:rsidR="00E145FA">
          <w:rPr>
            <w:webHidden/>
          </w:rPr>
          <w:fldChar w:fldCharType="end"/>
        </w:r>
      </w:hyperlink>
    </w:p>
    <w:p w14:paraId="72FF5D00" w14:textId="09DE4A41" w:rsidR="00E145FA" w:rsidRDefault="0065520A">
      <w:pPr>
        <w:pStyle w:val="TOC1"/>
        <w:rPr>
          <w:rFonts w:asciiTheme="minorHAnsi" w:eastAsiaTheme="minorEastAsia" w:hAnsiTheme="minorHAnsi" w:cstheme="minorBidi"/>
          <w:b w:val="0"/>
          <w:spacing w:val="0"/>
          <w:sz w:val="22"/>
          <w:szCs w:val="22"/>
        </w:rPr>
      </w:pPr>
      <w:hyperlink w:anchor="_Toc155685976" w:history="1">
        <w:r w:rsidR="00E145FA" w:rsidRPr="00A879DD">
          <w:rPr>
            <w:rStyle w:val="Hyperlink"/>
          </w:rPr>
          <w:t>What is the policy problem?</w:t>
        </w:r>
        <w:r w:rsidR="00E145FA">
          <w:rPr>
            <w:webHidden/>
          </w:rPr>
          <w:tab/>
        </w:r>
        <w:r w:rsidR="00E145FA">
          <w:rPr>
            <w:webHidden/>
          </w:rPr>
          <w:fldChar w:fldCharType="begin"/>
        </w:r>
        <w:r w:rsidR="00E145FA">
          <w:rPr>
            <w:webHidden/>
          </w:rPr>
          <w:instrText xml:space="preserve"> PAGEREF _Toc155685976 \h </w:instrText>
        </w:r>
        <w:r w:rsidR="00E145FA">
          <w:rPr>
            <w:webHidden/>
          </w:rPr>
        </w:r>
        <w:r w:rsidR="00E145FA">
          <w:rPr>
            <w:webHidden/>
          </w:rPr>
          <w:fldChar w:fldCharType="separate"/>
        </w:r>
        <w:r w:rsidR="00487741">
          <w:rPr>
            <w:webHidden/>
          </w:rPr>
          <w:t>5</w:t>
        </w:r>
        <w:r w:rsidR="00E145FA">
          <w:rPr>
            <w:webHidden/>
          </w:rPr>
          <w:fldChar w:fldCharType="end"/>
        </w:r>
      </w:hyperlink>
    </w:p>
    <w:p w14:paraId="499FAB28" w14:textId="3D291F41" w:rsidR="00E145FA" w:rsidRDefault="0065520A">
      <w:pPr>
        <w:pStyle w:val="TOC2"/>
        <w:rPr>
          <w:rFonts w:asciiTheme="minorHAnsi" w:eastAsiaTheme="minorEastAsia" w:hAnsiTheme="minorHAnsi" w:cstheme="minorBidi"/>
          <w:spacing w:val="0"/>
          <w:sz w:val="22"/>
          <w:szCs w:val="22"/>
        </w:rPr>
      </w:pPr>
      <w:hyperlink w:anchor="_Toc155685977" w:history="1">
        <w:r w:rsidR="00E145FA" w:rsidRPr="00A879DD">
          <w:rPr>
            <w:rStyle w:val="Hyperlink"/>
          </w:rPr>
          <w:t>Changing environment</w:t>
        </w:r>
        <w:r w:rsidR="00E145FA">
          <w:rPr>
            <w:webHidden/>
          </w:rPr>
          <w:tab/>
        </w:r>
        <w:r w:rsidR="00E145FA">
          <w:rPr>
            <w:webHidden/>
          </w:rPr>
          <w:fldChar w:fldCharType="begin"/>
        </w:r>
        <w:r w:rsidR="00E145FA">
          <w:rPr>
            <w:webHidden/>
          </w:rPr>
          <w:instrText xml:space="preserve"> PAGEREF _Toc155685977 \h </w:instrText>
        </w:r>
        <w:r w:rsidR="00E145FA">
          <w:rPr>
            <w:webHidden/>
          </w:rPr>
        </w:r>
        <w:r w:rsidR="00E145FA">
          <w:rPr>
            <w:webHidden/>
          </w:rPr>
          <w:fldChar w:fldCharType="separate"/>
        </w:r>
        <w:r w:rsidR="00487741">
          <w:rPr>
            <w:webHidden/>
          </w:rPr>
          <w:t>5</w:t>
        </w:r>
        <w:r w:rsidR="00E145FA">
          <w:rPr>
            <w:webHidden/>
          </w:rPr>
          <w:fldChar w:fldCharType="end"/>
        </w:r>
      </w:hyperlink>
    </w:p>
    <w:p w14:paraId="0D75F593" w14:textId="22C35888" w:rsidR="00E145FA" w:rsidRDefault="0065520A">
      <w:pPr>
        <w:pStyle w:val="TOC2"/>
        <w:rPr>
          <w:rFonts w:asciiTheme="minorHAnsi" w:eastAsiaTheme="minorEastAsia" w:hAnsiTheme="minorHAnsi" w:cstheme="minorBidi"/>
          <w:spacing w:val="0"/>
          <w:sz w:val="22"/>
          <w:szCs w:val="22"/>
        </w:rPr>
      </w:pPr>
      <w:hyperlink w:anchor="_Toc155685978" w:history="1">
        <w:r w:rsidR="00E145FA" w:rsidRPr="00A879DD">
          <w:rPr>
            <w:rStyle w:val="Hyperlink"/>
          </w:rPr>
          <w:t>Financial hardship</w:t>
        </w:r>
        <w:r w:rsidR="00E145FA">
          <w:rPr>
            <w:webHidden/>
          </w:rPr>
          <w:tab/>
        </w:r>
        <w:r w:rsidR="00E145FA">
          <w:rPr>
            <w:webHidden/>
          </w:rPr>
          <w:fldChar w:fldCharType="begin"/>
        </w:r>
        <w:r w:rsidR="00E145FA">
          <w:rPr>
            <w:webHidden/>
          </w:rPr>
          <w:instrText xml:space="preserve"> PAGEREF _Toc155685978 \h </w:instrText>
        </w:r>
        <w:r w:rsidR="00E145FA">
          <w:rPr>
            <w:webHidden/>
          </w:rPr>
        </w:r>
        <w:r w:rsidR="00E145FA">
          <w:rPr>
            <w:webHidden/>
          </w:rPr>
          <w:fldChar w:fldCharType="separate"/>
        </w:r>
        <w:r w:rsidR="00487741">
          <w:rPr>
            <w:webHidden/>
          </w:rPr>
          <w:t>5</w:t>
        </w:r>
        <w:r w:rsidR="00E145FA">
          <w:rPr>
            <w:webHidden/>
          </w:rPr>
          <w:fldChar w:fldCharType="end"/>
        </w:r>
      </w:hyperlink>
    </w:p>
    <w:p w14:paraId="015ACC4B" w14:textId="67AAD9D6" w:rsidR="00E145FA" w:rsidRDefault="0065520A">
      <w:pPr>
        <w:pStyle w:val="TOC3"/>
        <w:rPr>
          <w:rFonts w:asciiTheme="minorHAnsi" w:eastAsiaTheme="minorEastAsia" w:hAnsiTheme="minorHAnsi" w:cstheme="minorBidi"/>
        </w:rPr>
      </w:pPr>
      <w:hyperlink w:anchor="_Toc155685979" w:history="1">
        <w:r w:rsidR="00E145FA" w:rsidRPr="00A879DD">
          <w:rPr>
            <w:rStyle w:val="Hyperlink"/>
            <w:lang w:val="en-US"/>
          </w:rPr>
          <w:t>Insufficient financial hardship protections</w:t>
        </w:r>
        <w:r w:rsidR="00E145FA">
          <w:rPr>
            <w:webHidden/>
          </w:rPr>
          <w:tab/>
        </w:r>
        <w:r w:rsidR="00E145FA">
          <w:rPr>
            <w:webHidden/>
          </w:rPr>
          <w:fldChar w:fldCharType="begin"/>
        </w:r>
        <w:r w:rsidR="00E145FA">
          <w:rPr>
            <w:webHidden/>
          </w:rPr>
          <w:instrText xml:space="preserve"> PAGEREF _Toc155685979 \h </w:instrText>
        </w:r>
        <w:r w:rsidR="00E145FA">
          <w:rPr>
            <w:webHidden/>
          </w:rPr>
        </w:r>
        <w:r w:rsidR="00E145FA">
          <w:rPr>
            <w:webHidden/>
          </w:rPr>
          <w:fldChar w:fldCharType="separate"/>
        </w:r>
        <w:r w:rsidR="00487741">
          <w:rPr>
            <w:webHidden/>
          </w:rPr>
          <w:t>6</w:t>
        </w:r>
        <w:r w:rsidR="00E145FA">
          <w:rPr>
            <w:webHidden/>
          </w:rPr>
          <w:fldChar w:fldCharType="end"/>
        </w:r>
      </w:hyperlink>
    </w:p>
    <w:p w14:paraId="135BFC17" w14:textId="7709A290" w:rsidR="00E145FA" w:rsidRDefault="0065520A">
      <w:pPr>
        <w:pStyle w:val="TOC2"/>
        <w:rPr>
          <w:rFonts w:asciiTheme="minorHAnsi" w:eastAsiaTheme="minorEastAsia" w:hAnsiTheme="minorHAnsi" w:cstheme="minorBidi"/>
          <w:spacing w:val="0"/>
          <w:sz w:val="22"/>
          <w:szCs w:val="22"/>
        </w:rPr>
      </w:pPr>
      <w:hyperlink w:anchor="_Toc155685980" w:history="1">
        <w:r w:rsidR="00E145FA" w:rsidRPr="00A879DD">
          <w:rPr>
            <w:rStyle w:val="Hyperlink"/>
          </w:rPr>
          <w:t>Addressing the gaps</w:t>
        </w:r>
        <w:r w:rsidR="00E145FA">
          <w:rPr>
            <w:webHidden/>
          </w:rPr>
          <w:tab/>
        </w:r>
        <w:r w:rsidR="00E145FA">
          <w:rPr>
            <w:webHidden/>
          </w:rPr>
          <w:fldChar w:fldCharType="begin"/>
        </w:r>
        <w:r w:rsidR="00E145FA">
          <w:rPr>
            <w:webHidden/>
          </w:rPr>
          <w:instrText xml:space="preserve"> PAGEREF _Toc155685980 \h </w:instrText>
        </w:r>
        <w:r w:rsidR="00E145FA">
          <w:rPr>
            <w:webHidden/>
          </w:rPr>
        </w:r>
        <w:r w:rsidR="00E145FA">
          <w:rPr>
            <w:webHidden/>
          </w:rPr>
          <w:fldChar w:fldCharType="separate"/>
        </w:r>
        <w:r w:rsidR="00487741">
          <w:rPr>
            <w:webHidden/>
          </w:rPr>
          <w:t>8</w:t>
        </w:r>
        <w:r w:rsidR="00E145FA">
          <w:rPr>
            <w:webHidden/>
          </w:rPr>
          <w:fldChar w:fldCharType="end"/>
        </w:r>
      </w:hyperlink>
    </w:p>
    <w:p w14:paraId="4AE2C397" w14:textId="7608AA03" w:rsidR="00E145FA" w:rsidRDefault="0065520A">
      <w:pPr>
        <w:pStyle w:val="TOC1"/>
        <w:rPr>
          <w:rFonts w:asciiTheme="minorHAnsi" w:eastAsiaTheme="minorEastAsia" w:hAnsiTheme="minorHAnsi" w:cstheme="minorBidi"/>
          <w:b w:val="0"/>
          <w:spacing w:val="0"/>
          <w:sz w:val="22"/>
          <w:szCs w:val="22"/>
        </w:rPr>
      </w:pPr>
      <w:hyperlink w:anchor="_Toc155685981" w:history="1">
        <w:r w:rsidR="00E145FA" w:rsidRPr="00A879DD">
          <w:rPr>
            <w:rStyle w:val="Hyperlink"/>
          </w:rPr>
          <w:t>Why is government action needed?</w:t>
        </w:r>
        <w:r w:rsidR="00E145FA">
          <w:rPr>
            <w:webHidden/>
          </w:rPr>
          <w:tab/>
        </w:r>
        <w:r w:rsidR="00E145FA">
          <w:rPr>
            <w:webHidden/>
          </w:rPr>
          <w:fldChar w:fldCharType="begin"/>
        </w:r>
        <w:r w:rsidR="00E145FA">
          <w:rPr>
            <w:webHidden/>
          </w:rPr>
          <w:instrText xml:space="preserve"> PAGEREF _Toc155685981 \h </w:instrText>
        </w:r>
        <w:r w:rsidR="00E145FA">
          <w:rPr>
            <w:webHidden/>
          </w:rPr>
        </w:r>
        <w:r w:rsidR="00E145FA">
          <w:rPr>
            <w:webHidden/>
          </w:rPr>
          <w:fldChar w:fldCharType="separate"/>
        </w:r>
        <w:r w:rsidR="00487741">
          <w:rPr>
            <w:webHidden/>
          </w:rPr>
          <w:t>11</w:t>
        </w:r>
        <w:r w:rsidR="00E145FA">
          <w:rPr>
            <w:webHidden/>
          </w:rPr>
          <w:fldChar w:fldCharType="end"/>
        </w:r>
      </w:hyperlink>
    </w:p>
    <w:p w14:paraId="787656E6" w14:textId="133537EE" w:rsidR="00E145FA" w:rsidRDefault="0065520A">
      <w:pPr>
        <w:pStyle w:val="TOC1"/>
        <w:rPr>
          <w:rFonts w:asciiTheme="minorHAnsi" w:eastAsiaTheme="minorEastAsia" w:hAnsiTheme="minorHAnsi" w:cstheme="minorBidi"/>
          <w:b w:val="0"/>
          <w:spacing w:val="0"/>
          <w:sz w:val="22"/>
          <w:szCs w:val="22"/>
        </w:rPr>
      </w:pPr>
      <w:hyperlink w:anchor="_Toc155685982" w:history="1">
        <w:r w:rsidR="00E145FA" w:rsidRPr="00A879DD">
          <w:rPr>
            <w:rStyle w:val="Hyperlink"/>
          </w:rPr>
          <w:t>What policy options have been considered?</w:t>
        </w:r>
        <w:r w:rsidR="00E145FA">
          <w:rPr>
            <w:webHidden/>
          </w:rPr>
          <w:tab/>
        </w:r>
        <w:r w:rsidR="00E145FA">
          <w:rPr>
            <w:webHidden/>
          </w:rPr>
          <w:fldChar w:fldCharType="begin"/>
        </w:r>
        <w:r w:rsidR="00E145FA">
          <w:rPr>
            <w:webHidden/>
          </w:rPr>
          <w:instrText xml:space="preserve"> PAGEREF _Toc155685982 \h </w:instrText>
        </w:r>
        <w:r w:rsidR="00E145FA">
          <w:rPr>
            <w:webHidden/>
          </w:rPr>
        </w:r>
        <w:r w:rsidR="00E145FA">
          <w:rPr>
            <w:webHidden/>
          </w:rPr>
          <w:fldChar w:fldCharType="separate"/>
        </w:r>
        <w:r w:rsidR="00487741">
          <w:rPr>
            <w:webHidden/>
          </w:rPr>
          <w:t>14</w:t>
        </w:r>
        <w:r w:rsidR="00E145FA">
          <w:rPr>
            <w:webHidden/>
          </w:rPr>
          <w:fldChar w:fldCharType="end"/>
        </w:r>
      </w:hyperlink>
    </w:p>
    <w:p w14:paraId="6EF0B262" w14:textId="3CAB36F6" w:rsidR="00E145FA" w:rsidRDefault="0065520A">
      <w:pPr>
        <w:pStyle w:val="TOC2"/>
        <w:rPr>
          <w:rFonts w:asciiTheme="minorHAnsi" w:eastAsiaTheme="minorEastAsia" w:hAnsiTheme="minorHAnsi" w:cstheme="minorBidi"/>
          <w:spacing w:val="0"/>
          <w:sz w:val="22"/>
          <w:szCs w:val="22"/>
        </w:rPr>
      </w:pPr>
      <w:hyperlink w:anchor="_Toc155685983" w:history="1">
        <w:r w:rsidR="00E145FA" w:rsidRPr="00A879DD">
          <w:rPr>
            <w:rStyle w:val="Hyperlink"/>
          </w:rPr>
          <w:t>Option 1 – Status quo</w:t>
        </w:r>
        <w:r w:rsidR="00E145FA">
          <w:rPr>
            <w:webHidden/>
          </w:rPr>
          <w:tab/>
        </w:r>
        <w:r w:rsidR="00E145FA">
          <w:rPr>
            <w:webHidden/>
          </w:rPr>
          <w:fldChar w:fldCharType="begin"/>
        </w:r>
        <w:r w:rsidR="00E145FA">
          <w:rPr>
            <w:webHidden/>
          </w:rPr>
          <w:instrText xml:space="preserve"> PAGEREF _Toc155685983 \h </w:instrText>
        </w:r>
        <w:r w:rsidR="00E145FA">
          <w:rPr>
            <w:webHidden/>
          </w:rPr>
        </w:r>
        <w:r w:rsidR="00E145FA">
          <w:rPr>
            <w:webHidden/>
          </w:rPr>
          <w:fldChar w:fldCharType="separate"/>
        </w:r>
        <w:r w:rsidR="00487741">
          <w:rPr>
            <w:webHidden/>
          </w:rPr>
          <w:t>14</w:t>
        </w:r>
        <w:r w:rsidR="00E145FA">
          <w:rPr>
            <w:webHidden/>
          </w:rPr>
          <w:fldChar w:fldCharType="end"/>
        </w:r>
      </w:hyperlink>
    </w:p>
    <w:p w14:paraId="22F84B1F" w14:textId="33A31B63" w:rsidR="00E145FA" w:rsidRDefault="0065520A">
      <w:pPr>
        <w:pStyle w:val="TOC2"/>
        <w:rPr>
          <w:rFonts w:asciiTheme="minorHAnsi" w:eastAsiaTheme="minorEastAsia" w:hAnsiTheme="minorHAnsi" w:cstheme="minorBidi"/>
          <w:spacing w:val="0"/>
          <w:sz w:val="22"/>
          <w:szCs w:val="22"/>
        </w:rPr>
      </w:pPr>
      <w:hyperlink w:anchor="_Toc155685984" w:history="1">
        <w:r w:rsidR="00E145FA" w:rsidRPr="00A879DD">
          <w:rPr>
            <w:rStyle w:val="Hyperlink"/>
          </w:rPr>
          <w:t>Option 2 – Direct regulation</w:t>
        </w:r>
        <w:r w:rsidR="00E145FA">
          <w:rPr>
            <w:webHidden/>
          </w:rPr>
          <w:tab/>
        </w:r>
        <w:r w:rsidR="00E145FA">
          <w:rPr>
            <w:webHidden/>
          </w:rPr>
          <w:fldChar w:fldCharType="begin"/>
        </w:r>
        <w:r w:rsidR="00E145FA">
          <w:rPr>
            <w:webHidden/>
          </w:rPr>
          <w:instrText xml:space="preserve"> PAGEREF _Toc155685984 \h </w:instrText>
        </w:r>
        <w:r w:rsidR="00E145FA">
          <w:rPr>
            <w:webHidden/>
          </w:rPr>
        </w:r>
        <w:r w:rsidR="00E145FA">
          <w:rPr>
            <w:webHidden/>
          </w:rPr>
          <w:fldChar w:fldCharType="separate"/>
        </w:r>
        <w:r w:rsidR="00487741">
          <w:rPr>
            <w:webHidden/>
          </w:rPr>
          <w:t>15</w:t>
        </w:r>
        <w:r w:rsidR="00E145FA">
          <w:rPr>
            <w:webHidden/>
          </w:rPr>
          <w:fldChar w:fldCharType="end"/>
        </w:r>
      </w:hyperlink>
    </w:p>
    <w:p w14:paraId="2A669EEF" w14:textId="03C7BAAE" w:rsidR="00E145FA" w:rsidRDefault="0065520A">
      <w:pPr>
        <w:pStyle w:val="TOC2"/>
        <w:rPr>
          <w:rFonts w:asciiTheme="minorHAnsi" w:eastAsiaTheme="minorEastAsia" w:hAnsiTheme="minorHAnsi" w:cstheme="minorBidi"/>
          <w:spacing w:val="0"/>
          <w:sz w:val="22"/>
          <w:szCs w:val="22"/>
        </w:rPr>
      </w:pPr>
      <w:hyperlink w:anchor="_Toc155685985" w:history="1">
        <w:r w:rsidR="00E145FA" w:rsidRPr="00A879DD">
          <w:rPr>
            <w:rStyle w:val="Hyperlink"/>
          </w:rPr>
          <w:t>Implementing the Direction</w:t>
        </w:r>
        <w:r w:rsidR="00E145FA">
          <w:rPr>
            <w:webHidden/>
          </w:rPr>
          <w:tab/>
        </w:r>
        <w:r w:rsidR="00E145FA">
          <w:rPr>
            <w:webHidden/>
          </w:rPr>
          <w:fldChar w:fldCharType="begin"/>
        </w:r>
        <w:r w:rsidR="00E145FA">
          <w:rPr>
            <w:webHidden/>
          </w:rPr>
          <w:instrText xml:space="preserve"> PAGEREF _Toc155685985 \h </w:instrText>
        </w:r>
        <w:r w:rsidR="00E145FA">
          <w:rPr>
            <w:webHidden/>
          </w:rPr>
        </w:r>
        <w:r w:rsidR="00E145FA">
          <w:rPr>
            <w:webHidden/>
          </w:rPr>
          <w:fldChar w:fldCharType="separate"/>
        </w:r>
        <w:r w:rsidR="00487741">
          <w:rPr>
            <w:webHidden/>
          </w:rPr>
          <w:t>15</w:t>
        </w:r>
        <w:r w:rsidR="00E145FA">
          <w:rPr>
            <w:webHidden/>
          </w:rPr>
          <w:fldChar w:fldCharType="end"/>
        </w:r>
      </w:hyperlink>
    </w:p>
    <w:p w14:paraId="3DEBF2EB" w14:textId="2983AC75" w:rsidR="00E145FA" w:rsidRDefault="0065520A">
      <w:pPr>
        <w:pStyle w:val="TOC2"/>
        <w:rPr>
          <w:rFonts w:asciiTheme="minorHAnsi" w:eastAsiaTheme="minorEastAsia" w:hAnsiTheme="minorHAnsi" w:cstheme="minorBidi"/>
          <w:spacing w:val="0"/>
          <w:sz w:val="22"/>
          <w:szCs w:val="22"/>
        </w:rPr>
      </w:pPr>
      <w:hyperlink w:anchor="_Toc155685986" w:history="1">
        <w:r w:rsidR="00E145FA" w:rsidRPr="00A879DD">
          <w:rPr>
            <w:rStyle w:val="Hyperlink"/>
          </w:rPr>
          <w:t>Option 2A – Outcomes-based (discretionary)</w:t>
        </w:r>
        <w:r w:rsidR="00E145FA">
          <w:rPr>
            <w:webHidden/>
          </w:rPr>
          <w:tab/>
        </w:r>
        <w:r w:rsidR="00E145FA">
          <w:rPr>
            <w:webHidden/>
          </w:rPr>
          <w:fldChar w:fldCharType="begin"/>
        </w:r>
        <w:r w:rsidR="00E145FA">
          <w:rPr>
            <w:webHidden/>
          </w:rPr>
          <w:instrText xml:space="preserve"> PAGEREF _Toc155685986 \h </w:instrText>
        </w:r>
        <w:r w:rsidR="00E145FA">
          <w:rPr>
            <w:webHidden/>
          </w:rPr>
        </w:r>
        <w:r w:rsidR="00E145FA">
          <w:rPr>
            <w:webHidden/>
          </w:rPr>
          <w:fldChar w:fldCharType="separate"/>
        </w:r>
        <w:r w:rsidR="00487741">
          <w:rPr>
            <w:webHidden/>
          </w:rPr>
          <w:t>16</w:t>
        </w:r>
        <w:r w:rsidR="00E145FA">
          <w:rPr>
            <w:webHidden/>
          </w:rPr>
          <w:fldChar w:fldCharType="end"/>
        </w:r>
      </w:hyperlink>
    </w:p>
    <w:p w14:paraId="1FD2EEC6" w14:textId="101EE9FF" w:rsidR="00E145FA" w:rsidRDefault="0065520A">
      <w:pPr>
        <w:pStyle w:val="TOC2"/>
        <w:rPr>
          <w:rFonts w:asciiTheme="minorHAnsi" w:eastAsiaTheme="minorEastAsia" w:hAnsiTheme="minorHAnsi" w:cstheme="minorBidi"/>
          <w:spacing w:val="0"/>
          <w:sz w:val="22"/>
          <w:szCs w:val="22"/>
        </w:rPr>
      </w:pPr>
      <w:hyperlink w:anchor="_Toc155685987" w:history="1">
        <w:r w:rsidR="00E145FA" w:rsidRPr="00A879DD">
          <w:rPr>
            <w:rStyle w:val="Hyperlink"/>
          </w:rPr>
          <w:t>Option 2B – Outcomes-based (enforceable)</w:t>
        </w:r>
        <w:r w:rsidR="00E145FA">
          <w:rPr>
            <w:webHidden/>
          </w:rPr>
          <w:tab/>
        </w:r>
        <w:r w:rsidR="00E145FA">
          <w:rPr>
            <w:webHidden/>
          </w:rPr>
          <w:fldChar w:fldCharType="begin"/>
        </w:r>
        <w:r w:rsidR="00E145FA">
          <w:rPr>
            <w:webHidden/>
          </w:rPr>
          <w:instrText xml:space="preserve"> PAGEREF _Toc155685987 \h </w:instrText>
        </w:r>
        <w:r w:rsidR="00E145FA">
          <w:rPr>
            <w:webHidden/>
          </w:rPr>
        </w:r>
        <w:r w:rsidR="00E145FA">
          <w:rPr>
            <w:webHidden/>
          </w:rPr>
          <w:fldChar w:fldCharType="separate"/>
        </w:r>
        <w:r w:rsidR="00487741">
          <w:rPr>
            <w:webHidden/>
          </w:rPr>
          <w:t>17</w:t>
        </w:r>
        <w:r w:rsidR="00E145FA">
          <w:rPr>
            <w:webHidden/>
          </w:rPr>
          <w:fldChar w:fldCharType="end"/>
        </w:r>
      </w:hyperlink>
    </w:p>
    <w:p w14:paraId="7A1EEDC1" w14:textId="3BE5802A" w:rsidR="00E145FA" w:rsidRDefault="0065520A">
      <w:pPr>
        <w:pStyle w:val="TOC1"/>
        <w:rPr>
          <w:rFonts w:asciiTheme="minorHAnsi" w:eastAsiaTheme="minorEastAsia" w:hAnsiTheme="minorHAnsi" w:cstheme="minorBidi"/>
          <w:b w:val="0"/>
          <w:spacing w:val="0"/>
          <w:sz w:val="22"/>
          <w:szCs w:val="22"/>
        </w:rPr>
      </w:pPr>
      <w:hyperlink w:anchor="_Toc155685988" w:history="1">
        <w:r w:rsidR="00E145FA" w:rsidRPr="00A879DD">
          <w:rPr>
            <w:rStyle w:val="Hyperlink"/>
          </w:rPr>
          <w:t>What is the likely net benefit of each option?</w:t>
        </w:r>
        <w:r w:rsidR="00E145FA">
          <w:rPr>
            <w:webHidden/>
          </w:rPr>
          <w:tab/>
        </w:r>
        <w:r w:rsidR="00E145FA">
          <w:rPr>
            <w:webHidden/>
          </w:rPr>
          <w:fldChar w:fldCharType="begin"/>
        </w:r>
        <w:r w:rsidR="00E145FA">
          <w:rPr>
            <w:webHidden/>
          </w:rPr>
          <w:instrText xml:space="preserve"> PAGEREF _Toc155685988 \h </w:instrText>
        </w:r>
        <w:r w:rsidR="00E145FA">
          <w:rPr>
            <w:webHidden/>
          </w:rPr>
        </w:r>
        <w:r w:rsidR="00E145FA">
          <w:rPr>
            <w:webHidden/>
          </w:rPr>
          <w:fldChar w:fldCharType="separate"/>
        </w:r>
        <w:r w:rsidR="00487741">
          <w:rPr>
            <w:webHidden/>
          </w:rPr>
          <w:t>18</w:t>
        </w:r>
        <w:r w:rsidR="00E145FA">
          <w:rPr>
            <w:webHidden/>
          </w:rPr>
          <w:fldChar w:fldCharType="end"/>
        </w:r>
      </w:hyperlink>
    </w:p>
    <w:p w14:paraId="0F93FE6D" w14:textId="055CE17B" w:rsidR="00E145FA" w:rsidRDefault="0065520A">
      <w:pPr>
        <w:pStyle w:val="TOC2"/>
        <w:rPr>
          <w:rFonts w:asciiTheme="minorHAnsi" w:eastAsiaTheme="minorEastAsia" w:hAnsiTheme="minorHAnsi" w:cstheme="minorBidi"/>
          <w:spacing w:val="0"/>
          <w:sz w:val="22"/>
          <w:szCs w:val="22"/>
        </w:rPr>
      </w:pPr>
      <w:hyperlink w:anchor="_Toc155685989" w:history="1">
        <w:r w:rsidR="00E145FA" w:rsidRPr="00A879DD">
          <w:rPr>
            <w:rStyle w:val="Hyperlink"/>
          </w:rPr>
          <w:t>Overview of options</w:t>
        </w:r>
        <w:r w:rsidR="00E145FA">
          <w:rPr>
            <w:webHidden/>
          </w:rPr>
          <w:tab/>
        </w:r>
        <w:r w:rsidR="00E145FA">
          <w:rPr>
            <w:webHidden/>
          </w:rPr>
          <w:fldChar w:fldCharType="begin"/>
        </w:r>
        <w:r w:rsidR="00E145FA">
          <w:rPr>
            <w:webHidden/>
          </w:rPr>
          <w:instrText xml:space="preserve"> PAGEREF _Toc155685989 \h </w:instrText>
        </w:r>
        <w:r w:rsidR="00E145FA">
          <w:rPr>
            <w:webHidden/>
          </w:rPr>
        </w:r>
        <w:r w:rsidR="00E145FA">
          <w:rPr>
            <w:webHidden/>
          </w:rPr>
          <w:fldChar w:fldCharType="separate"/>
        </w:r>
        <w:r w:rsidR="00487741">
          <w:rPr>
            <w:webHidden/>
          </w:rPr>
          <w:t>18</w:t>
        </w:r>
        <w:r w:rsidR="00E145FA">
          <w:rPr>
            <w:webHidden/>
          </w:rPr>
          <w:fldChar w:fldCharType="end"/>
        </w:r>
      </w:hyperlink>
    </w:p>
    <w:p w14:paraId="3B945212" w14:textId="23C9D811" w:rsidR="00E145FA" w:rsidRDefault="0065520A">
      <w:pPr>
        <w:pStyle w:val="TOC2"/>
        <w:rPr>
          <w:rFonts w:asciiTheme="minorHAnsi" w:eastAsiaTheme="minorEastAsia" w:hAnsiTheme="minorHAnsi" w:cstheme="minorBidi"/>
          <w:spacing w:val="0"/>
          <w:sz w:val="22"/>
          <w:szCs w:val="22"/>
        </w:rPr>
      </w:pPr>
      <w:hyperlink w:anchor="_Toc155685990" w:history="1">
        <w:r w:rsidR="00E145FA" w:rsidRPr="00A879DD">
          <w:rPr>
            <w:rStyle w:val="Hyperlink"/>
          </w:rPr>
          <w:t>Option 1 – Status quo</w:t>
        </w:r>
        <w:r w:rsidR="00E145FA">
          <w:rPr>
            <w:webHidden/>
          </w:rPr>
          <w:tab/>
        </w:r>
        <w:r w:rsidR="00E145FA">
          <w:rPr>
            <w:webHidden/>
          </w:rPr>
          <w:fldChar w:fldCharType="begin"/>
        </w:r>
        <w:r w:rsidR="00E145FA">
          <w:rPr>
            <w:webHidden/>
          </w:rPr>
          <w:instrText xml:space="preserve"> PAGEREF _Toc155685990 \h </w:instrText>
        </w:r>
        <w:r w:rsidR="00E145FA">
          <w:rPr>
            <w:webHidden/>
          </w:rPr>
        </w:r>
        <w:r w:rsidR="00E145FA">
          <w:rPr>
            <w:webHidden/>
          </w:rPr>
          <w:fldChar w:fldCharType="separate"/>
        </w:r>
        <w:r w:rsidR="00487741">
          <w:rPr>
            <w:webHidden/>
          </w:rPr>
          <w:t>19</w:t>
        </w:r>
        <w:r w:rsidR="00E145FA">
          <w:rPr>
            <w:webHidden/>
          </w:rPr>
          <w:fldChar w:fldCharType="end"/>
        </w:r>
      </w:hyperlink>
    </w:p>
    <w:p w14:paraId="441D5867" w14:textId="6F81B82A" w:rsidR="00E145FA" w:rsidRDefault="0065520A">
      <w:pPr>
        <w:pStyle w:val="TOC3"/>
        <w:rPr>
          <w:rFonts w:asciiTheme="minorHAnsi" w:eastAsiaTheme="minorEastAsia" w:hAnsiTheme="minorHAnsi" w:cstheme="minorBidi"/>
        </w:rPr>
      </w:pPr>
      <w:hyperlink w:anchor="_Toc155685991" w:history="1">
        <w:r w:rsidR="00E145FA" w:rsidRPr="00A879DD">
          <w:rPr>
            <w:rStyle w:val="Hyperlink"/>
          </w:rPr>
          <w:t>Benefits</w:t>
        </w:r>
        <w:r w:rsidR="00E145FA">
          <w:rPr>
            <w:webHidden/>
          </w:rPr>
          <w:tab/>
        </w:r>
        <w:r w:rsidR="00E145FA">
          <w:rPr>
            <w:webHidden/>
          </w:rPr>
          <w:fldChar w:fldCharType="begin"/>
        </w:r>
        <w:r w:rsidR="00E145FA">
          <w:rPr>
            <w:webHidden/>
          </w:rPr>
          <w:instrText xml:space="preserve"> PAGEREF _Toc155685991 \h </w:instrText>
        </w:r>
        <w:r w:rsidR="00E145FA">
          <w:rPr>
            <w:webHidden/>
          </w:rPr>
        </w:r>
        <w:r w:rsidR="00E145FA">
          <w:rPr>
            <w:webHidden/>
          </w:rPr>
          <w:fldChar w:fldCharType="separate"/>
        </w:r>
        <w:r w:rsidR="00487741">
          <w:rPr>
            <w:webHidden/>
          </w:rPr>
          <w:t>19</w:t>
        </w:r>
        <w:r w:rsidR="00E145FA">
          <w:rPr>
            <w:webHidden/>
          </w:rPr>
          <w:fldChar w:fldCharType="end"/>
        </w:r>
      </w:hyperlink>
    </w:p>
    <w:p w14:paraId="34D5356B" w14:textId="221CA0F2" w:rsidR="00E145FA" w:rsidRDefault="0065520A">
      <w:pPr>
        <w:pStyle w:val="TOC3"/>
        <w:rPr>
          <w:rFonts w:asciiTheme="minorHAnsi" w:eastAsiaTheme="minorEastAsia" w:hAnsiTheme="minorHAnsi" w:cstheme="minorBidi"/>
        </w:rPr>
      </w:pPr>
      <w:hyperlink w:anchor="_Toc155685992" w:history="1">
        <w:r w:rsidR="00E145FA" w:rsidRPr="00A879DD">
          <w:rPr>
            <w:rStyle w:val="Hyperlink"/>
          </w:rPr>
          <w:t>Costs</w:t>
        </w:r>
        <w:r w:rsidR="00E145FA">
          <w:rPr>
            <w:webHidden/>
          </w:rPr>
          <w:tab/>
        </w:r>
        <w:r w:rsidR="00E145FA">
          <w:rPr>
            <w:webHidden/>
          </w:rPr>
          <w:fldChar w:fldCharType="begin"/>
        </w:r>
        <w:r w:rsidR="00E145FA">
          <w:rPr>
            <w:webHidden/>
          </w:rPr>
          <w:instrText xml:space="preserve"> PAGEREF _Toc155685992 \h </w:instrText>
        </w:r>
        <w:r w:rsidR="00E145FA">
          <w:rPr>
            <w:webHidden/>
          </w:rPr>
        </w:r>
        <w:r w:rsidR="00E145FA">
          <w:rPr>
            <w:webHidden/>
          </w:rPr>
          <w:fldChar w:fldCharType="separate"/>
        </w:r>
        <w:r w:rsidR="00487741">
          <w:rPr>
            <w:webHidden/>
          </w:rPr>
          <w:t>19</w:t>
        </w:r>
        <w:r w:rsidR="00E145FA">
          <w:rPr>
            <w:webHidden/>
          </w:rPr>
          <w:fldChar w:fldCharType="end"/>
        </w:r>
      </w:hyperlink>
    </w:p>
    <w:p w14:paraId="726F2714" w14:textId="6706A59F" w:rsidR="00E145FA" w:rsidRDefault="0065520A">
      <w:pPr>
        <w:pStyle w:val="TOC3"/>
        <w:rPr>
          <w:rFonts w:asciiTheme="minorHAnsi" w:eastAsiaTheme="minorEastAsia" w:hAnsiTheme="minorHAnsi" w:cstheme="minorBidi"/>
        </w:rPr>
      </w:pPr>
      <w:hyperlink w:anchor="_Toc155685993" w:history="1">
        <w:r w:rsidR="00E145FA" w:rsidRPr="00A879DD">
          <w:rPr>
            <w:rStyle w:val="Hyperlink"/>
          </w:rPr>
          <w:t>Current disconnections that could have benefited from financial hardship arrangements</w:t>
        </w:r>
        <w:r w:rsidR="00E145FA">
          <w:rPr>
            <w:webHidden/>
          </w:rPr>
          <w:tab/>
        </w:r>
        <w:r w:rsidR="00E145FA">
          <w:rPr>
            <w:webHidden/>
          </w:rPr>
          <w:fldChar w:fldCharType="begin"/>
        </w:r>
        <w:r w:rsidR="00E145FA">
          <w:rPr>
            <w:webHidden/>
          </w:rPr>
          <w:instrText xml:space="preserve"> PAGEREF _Toc155685993 \h </w:instrText>
        </w:r>
        <w:r w:rsidR="00E145FA">
          <w:rPr>
            <w:webHidden/>
          </w:rPr>
        </w:r>
        <w:r w:rsidR="00E145FA">
          <w:rPr>
            <w:webHidden/>
          </w:rPr>
          <w:fldChar w:fldCharType="separate"/>
        </w:r>
        <w:r w:rsidR="00487741">
          <w:rPr>
            <w:webHidden/>
          </w:rPr>
          <w:t>20</w:t>
        </w:r>
        <w:r w:rsidR="00E145FA">
          <w:rPr>
            <w:webHidden/>
          </w:rPr>
          <w:fldChar w:fldCharType="end"/>
        </w:r>
      </w:hyperlink>
    </w:p>
    <w:p w14:paraId="2D3B28F9" w14:textId="76D4D7AF" w:rsidR="00E145FA" w:rsidRDefault="0065520A">
      <w:pPr>
        <w:pStyle w:val="TOC3"/>
        <w:rPr>
          <w:rFonts w:asciiTheme="minorHAnsi" w:eastAsiaTheme="minorEastAsia" w:hAnsiTheme="minorHAnsi" w:cstheme="minorBidi"/>
        </w:rPr>
      </w:pPr>
      <w:hyperlink w:anchor="_Toc155685994" w:history="1">
        <w:r w:rsidR="00E145FA" w:rsidRPr="00A879DD">
          <w:rPr>
            <w:rStyle w:val="Hyperlink"/>
          </w:rPr>
          <w:t>Current complaints due to financial hardship issues</w:t>
        </w:r>
        <w:r w:rsidR="00E145FA">
          <w:rPr>
            <w:webHidden/>
          </w:rPr>
          <w:tab/>
        </w:r>
        <w:r w:rsidR="00E145FA">
          <w:rPr>
            <w:webHidden/>
          </w:rPr>
          <w:fldChar w:fldCharType="begin"/>
        </w:r>
        <w:r w:rsidR="00E145FA">
          <w:rPr>
            <w:webHidden/>
          </w:rPr>
          <w:instrText xml:space="preserve"> PAGEREF _Toc155685994 \h </w:instrText>
        </w:r>
        <w:r w:rsidR="00E145FA">
          <w:rPr>
            <w:webHidden/>
          </w:rPr>
        </w:r>
        <w:r w:rsidR="00E145FA">
          <w:rPr>
            <w:webHidden/>
          </w:rPr>
          <w:fldChar w:fldCharType="separate"/>
        </w:r>
        <w:r w:rsidR="00487741">
          <w:rPr>
            <w:webHidden/>
          </w:rPr>
          <w:t>20</w:t>
        </w:r>
        <w:r w:rsidR="00E145FA">
          <w:rPr>
            <w:webHidden/>
          </w:rPr>
          <w:fldChar w:fldCharType="end"/>
        </w:r>
      </w:hyperlink>
    </w:p>
    <w:p w14:paraId="519F91ED" w14:textId="4B154BD4" w:rsidR="00E145FA" w:rsidRDefault="0065520A">
      <w:pPr>
        <w:pStyle w:val="TOC3"/>
        <w:rPr>
          <w:rFonts w:asciiTheme="minorHAnsi" w:eastAsiaTheme="minorEastAsia" w:hAnsiTheme="minorHAnsi" w:cstheme="minorBidi"/>
        </w:rPr>
      </w:pPr>
      <w:hyperlink w:anchor="_Toc155685995" w:history="1">
        <w:r w:rsidR="00E145FA" w:rsidRPr="00A879DD">
          <w:rPr>
            <w:rStyle w:val="Hyperlink"/>
          </w:rPr>
          <w:t>Current cost of compliance, complaints and reconnections</w:t>
        </w:r>
        <w:r w:rsidR="00E145FA">
          <w:rPr>
            <w:webHidden/>
          </w:rPr>
          <w:tab/>
        </w:r>
        <w:r w:rsidR="00E145FA">
          <w:rPr>
            <w:webHidden/>
          </w:rPr>
          <w:fldChar w:fldCharType="begin"/>
        </w:r>
        <w:r w:rsidR="00E145FA">
          <w:rPr>
            <w:webHidden/>
          </w:rPr>
          <w:instrText xml:space="preserve"> PAGEREF _Toc155685995 \h </w:instrText>
        </w:r>
        <w:r w:rsidR="00E145FA">
          <w:rPr>
            <w:webHidden/>
          </w:rPr>
        </w:r>
        <w:r w:rsidR="00E145FA">
          <w:rPr>
            <w:webHidden/>
          </w:rPr>
          <w:fldChar w:fldCharType="separate"/>
        </w:r>
        <w:r w:rsidR="00487741">
          <w:rPr>
            <w:webHidden/>
          </w:rPr>
          <w:t>20</w:t>
        </w:r>
        <w:r w:rsidR="00E145FA">
          <w:rPr>
            <w:webHidden/>
          </w:rPr>
          <w:fldChar w:fldCharType="end"/>
        </w:r>
      </w:hyperlink>
    </w:p>
    <w:p w14:paraId="71AE1726" w14:textId="0B1D2E94" w:rsidR="00E145FA" w:rsidRDefault="0065520A">
      <w:pPr>
        <w:pStyle w:val="TOC2"/>
        <w:rPr>
          <w:rFonts w:asciiTheme="minorHAnsi" w:eastAsiaTheme="minorEastAsia" w:hAnsiTheme="minorHAnsi" w:cstheme="minorBidi"/>
          <w:spacing w:val="0"/>
          <w:sz w:val="22"/>
          <w:szCs w:val="22"/>
        </w:rPr>
      </w:pPr>
      <w:hyperlink w:anchor="_Toc155685996" w:history="1">
        <w:r w:rsidR="00E145FA" w:rsidRPr="00A879DD">
          <w:rPr>
            <w:rStyle w:val="Hyperlink"/>
          </w:rPr>
          <w:t>Option 2A – Outcomes-based (discretionary)</w:t>
        </w:r>
        <w:r w:rsidR="00E145FA">
          <w:rPr>
            <w:webHidden/>
          </w:rPr>
          <w:tab/>
        </w:r>
        <w:r w:rsidR="00E145FA">
          <w:rPr>
            <w:webHidden/>
          </w:rPr>
          <w:fldChar w:fldCharType="begin"/>
        </w:r>
        <w:r w:rsidR="00E145FA">
          <w:rPr>
            <w:webHidden/>
          </w:rPr>
          <w:instrText xml:space="preserve"> PAGEREF _Toc155685996 \h </w:instrText>
        </w:r>
        <w:r w:rsidR="00E145FA">
          <w:rPr>
            <w:webHidden/>
          </w:rPr>
        </w:r>
        <w:r w:rsidR="00E145FA">
          <w:rPr>
            <w:webHidden/>
          </w:rPr>
          <w:fldChar w:fldCharType="separate"/>
        </w:r>
        <w:r w:rsidR="00487741">
          <w:rPr>
            <w:webHidden/>
          </w:rPr>
          <w:t>21</w:t>
        </w:r>
        <w:r w:rsidR="00E145FA">
          <w:rPr>
            <w:webHidden/>
          </w:rPr>
          <w:fldChar w:fldCharType="end"/>
        </w:r>
      </w:hyperlink>
    </w:p>
    <w:p w14:paraId="3EBAF5C8" w14:textId="7FAA4C15" w:rsidR="00E145FA" w:rsidRDefault="0065520A">
      <w:pPr>
        <w:pStyle w:val="TOC3"/>
        <w:rPr>
          <w:rFonts w:asciiTheme="minorHAnsi" w:eastAsiaTheme="minorEastAsia" w:hAnsiTheme="minorHAnsi" w:cstheme="minorBidi"/>
        </w:rPr>
      </w:pPr>
      <w:hyperlink w:anchor="_Toc155685997" w:history="1">
        <w:r w:rsidR="00E145FA" w:rsidRPr="00A879DD">
          <w:rPr>
            <w:rStyle w:val="Hyperlink"/>
          </w:rPr>
          <w:t>Benefits</w:t>
        </w:r>
        <w:r w:rsidR="00E145FA">
          <w:rPr>
            <w:webHidden/>
          </w:rPr>
          <w:tab/>
        </w:r>
        <w:r w:rsidR="00E145FA">
          <w:rPr>
            <w:webHidden/>
          </w:rPr>
          <w:fldChar w:fldCharType="begin"/>
        </w:r>
        <w:r w:rsidR="00E145FA">
          <w:rPr>
            <w:webHidden/>
          </w:rPr>
          <w:instrText xml:space="preserve"> PAGEREF _Toc155685997 \h </w:instrText>
        </w:r>
        <w:r w:rsidR="00E145FA">
          <w:rPr>
            <w:webHidden/>
          </w:rPr>
        </w:r>
        <w:r w:rsidR="00E145FA">
          <w:rPr>
            <w:webHidden/>
          </w:rPr>
          <w:fldChar w:fldCharType="separate"/>
        </w:r>
        <w:r w:rsidR="00487741">
          <w:rPr>
            <w:webHidden/>
          </w:rPr>
          <w:t>22</w:t>
        </w:r>
        <w:r w:rsidR="00E145FA">
          <w:rPr>
            <w:webHidden/>
          </w:rPr>
          <w:fldChar w:fldCharType="end"/>
        </w:r>
      </w:hyperlink>
    </w:p>
    <w:p w14:paraId="2573BF91" w14:textId="57AACE94" w:rsidR="00E145FA" w:rsidRDefault="0065520A">
      <w:pPr>
        <w:pStyle w:val="TOC3"/>
        <w:rPr>
          <w:rFonts w:asciiTheme="minorHAnsi" w:eastAsiaTheme="minorEastAsia" w:hAnsiTheme="minorHAnsi" w:cstheme="minorBidi"/>
        </w:rPr>
      </w:pPr>
      <w:hyperlink w:anchor="_Toc155685998" w:history="1">
        <w:r w:rsidR="00E145FA" w:rsidRPr="00A879DD">
          <w:rPr>
            <w:rStyle w:val="Hyperlink"/>
          </w:rPr>
          <w:t>Costs</w:t>
        </w:r>
        <w:r w:rsidR="00E145FA">
          <w:rPr>
            <w:webHidden/>
          </w:rPr>
          <w:tab/>
        </w:r>
        <w:r w:rsidR="00E145FA">
          <w:rPr>
            <w:webHidden/>
          </w:rPr>
          <w:fldChar w:fldCharType="begin"/>
        </w:r>
        <w:r w:rsidR="00E145FA">
          <w:rPr>
            <w:webHidden/>
          </w:rPr>
          <w:instrText xml:space="preserve"> PAGEREF _Toc155685998 \h </w:instrText>
        </w:r>
        <w:r w:rsidR="00E145FA">
          <w:rPr>
            <w:webHidden/>
          </w:rPr>
        </w:r>
        <w:r w:rsidR="00E145FA">
          <w:rPr>
            <w:webHidden/>
          </w:rPr>
          <w:fldChar w:fldCharType="separate"/>
        </w:r>
        <w:r w:rsidR="00487741">
          <w:rPr>
            <w:webHidden/>
          </w:rPr>
          <w:t>23</w:t>
        </w:r>
        <w:r w:rsidR="00E145FA">
          <w:rPr>
            <w:webHidden/>
          </w:rPr>
          <w:fldChar w:fldCharType="end"/>
        </w:r>
      </w:hyperlink>
    </w:p>
    <w:p w14:paraId="6488E335" w14:textId="047C7236" w:rsidR="00E145FA" w:rsidRDefault="0065520A">
      <w:pPr>
        <w:pStyle w:val="TOC2"/>
        <w:rPr>
          <w:rFonts w:asciiTheme="minorHAnsi" w:eastAsiaTheme="minorEastAsia" w:hAnsiTheme="minorHAnsi" w:cstheme="minorBidi"/>
          <w:spacing w:val="0"/>
          <w:sz w:val="22"/>
          <w:szCs w:val="22"/>
        </w:rPr>
      </w:pPr>
      <w:hyperlink w:anchor="_Toc155685999" w:history="1">
        <w:r w:rsidR="00E145FA" w:rsidRPr="00A879DD">
          <w:rPr>
            <w:rStyle w:val="Hyperlink"/>
          </w:rPr>
          <w:t>Option 2B – Outcomes-based (enforceable)</w:t>
        </w:r>
        <w:r w:rsidR="00E145FA">
          <w:rPr>
            <w:webHidden/>
          </w:rPr>
          <w:tab/>
        </w:r>
        <w:r w:rsidR="00E145FA">
          <w:rPr>
            <w:webHidden/>
          </w:rPr>
          <w:fldChar w:fldCharType="begin"/>
        </w:r>
        <w:r w:rsidR="00E145FA">
          <w:rPr>
            <w:webHidden/>
          </w:rPr>
          <w:instrText xml:space="preserve"> PAGEREF _Toc155685999 \h </w:instrText>
        </w:r>
        <w:r w:rsidR="00E145FA">
          <w:rPr>
            <w:webHidden/>
          </w:rPr>
        </w:r>
        <w:r w:rsidR="00E145FA">
          <w:rPr>
            <w:webHidden/>
          </w:rPr>
          <w:fldChar w:fldCharType="separate"/>
        </w:r>
        <w:r w:rsidR="00487741">
          <w:rPr>
            <w:webHidden/>
          </w:rPr>
          <w:t>25</w:t>
        </w:r>
        <w:r w:rsidR="00E145FA">
          <w:rPr>
            <w:webHidden/>
          </w:rPr>
          <w:fldChar w:fldCharType="end"/>
        </w:r>
      </w:hyperlink>
    </w:p>
    <w:p w14:paraId="728157AB" w14:textId="74C00A0B" w:rsidR="00E145FA" w:rsidRDefault="0065520A">
      <w:pPr>
        <w:pStyle w:val="TOC3"/>
        <w:rPr>
          <w:rFonts w:asciiTheme="minorHAnsi" w:eastAsiaTheme="minorEastAsia" w:hAnsiTheme="minorHAnsi" w:cstheme="minorBidi"/>
        </w:rPr>
      </w:pPr>
      <w:hyperlink w:anchor="_Toc155686000" w:history="1">
        <w:r w:rsidR="00E145FA" w:rsidRPr="00A879DD">
          <w:rPr>
            <w:rStyle w:val="Hyperlink"/>
          </w:rPr>
          <w:t>Benefits</w:t>
        </w:r>
        <w:r w:rsidR="00E145FA">
          <w:rPr>
            <w:webHidden/>
          </w:rPr>
          <w:tab/>
        </w:r>
        <w:r w:rsidR="00E145FA">
          <w:rPr>
            <w:webHidden/>
          </w:rPr>
          <w:fldChar w:fldCharType="begin"/>
        </w:r>
        <w:r w:rsidR="00E145FA">
          <w:rPr>
            <w:webHidden/>
          </w:rPr>
          <w:instrText xml:space="preserve"> PAGEREF _Toc155686000 \h </w:instrText>
        </w:r>
        <w:r w:rsidR="00E145FA">
          <w:rPr>
            <w:webHidden/>
          </w:rPr>
        </w:r>
        <w:r w:rsidR="00E145FA">
          <w:rPr>
            <w:webHidden/>
          </w:rPr>
          <w:fldChar w:fldCharType="separate"/>
        </w:r>
        <w:r w:rsidR="00487741">
          <w:rPr>
            <w:webHidden/>
          </w:rPr>
          <w:t>25</w:t>
        </w:r>
        <w:r w:rsidR="00E145FA">
          <w:rPr>
            <w:webHidden/>
          </w:rPr>
          <w:fldChar w:fldCharType="end"/>
        </w:r>
      </w:hyperlink>
    </w:p>
    <w:p w14:paraId="670D3F25" w14:textId="16178B88" w:rsidR="00E145FA" w:rsidRDefault="0065520A">
      <w:pPr>
        <w:pStyle w:val="TOC3"/>
        <w:rPr>
          <w:rFonts w:asciiTheme="minorHAnsi" w:eastAsiaTheme="minorEastAsia" w:hAnsiTheme="minorHAnsi" w:cstheme="minorBidi"/>
        </w:rPr>
      </w:pPr>
      <w:hyperlink w:anchor="_Toc155686001" w:history="1">
        <w:r w:rsidR="00E145FA" w:rsidRPr="00A879DD">
          <w:rPr>
            <w:rStyle w:val="Hyperlink"/>
          </w:rPr>
          <w:t>Costs</w:t>
        </w:r>
        <w:r w:rsidR="00E145FA">
          <w:rPr>
            <w:webHidden/>
          </w:rPr>
          <w:tab/>
        </w:r>
        <w:r w:rsidR="00E145FA">
          <w:rPr>
            <w:webHidden/>
          </w:rPr>
          <w:fldChar w:fldCharType="begin"/>
        </w:r>
        <w:r w:rsidR="00E145FA">
          <w:rPr>
            <w:webHidden/>
          </w:rPr>
          <w:instrText xml:space="preserve"> PAGEREF _Toc155686001 \h </w:instrText>
        </w:r>
        <w:r w:rsidR="00E145FA">
          <w:rPr>
            <w:webHidden/>
          </w:rPr>
        </w:r>
        <w:r w:rsidR="00E145FA">
          <w:rPr>
            <w:webHidden/>
          </w:rPr>
          <w:fldChar w:fldCharType="separate"/>
        </w:r>
        <w:r w:rsidR="00487741">
          <w:rPr>
            <w:webHidden/>
          </w:rPr>
          <w:t>26</w:t>
        </w:r>
        <w:r w:rsidR="00E145FA">
          <w:rPr>
            <w:webHidden/>
          </w:rPr>
          <w:fldChar w:fldCharType="end"/>
        </w:r>
      </w:hyperlink>
    </w:p>
    <w:p w14:paraId="023C4A62" w14:textId="61AB7DAB" w:rsidR="00E145FA" w:rsidRDefault="0065520A">
      <w:pPr>
        <w:pStyle w:val="TOC2"/>
        <w:rPr>
          <w:rFonts w:asciiTheme="minorHAnsi" w:eastAsiaTheme="minorEastAsia" w:hAnsiTheme="minorHAnsi" w:cstheme="minorBidi"/>
          <w:spacing w:val="0"/>
          <w:sz w:val="22"/>
          <w:szCs w:val="22"/>
        </w:rPr>
      </w:pPr>
      <w:hyperlink w:anchor="_Toc155686002" w:history="1">
        <w:r w:rsidR="00E145FA" w:rsidRPr="00A879DD">
          <w:rPr>
            <w:rStyle w:val="Hyperlink"/>
          </w:rPr>
          <w:t>Aggregation of costs and sensitivity analysis</w:t>
        </w:r>
        <w:r w:rsidR="00E145FA">
          <w:rPr>
            <w:webHidden/>
          </w:rPr>
          <w:tab/>
        </w:r>
        <w:r w:rsidR="00E145FA">
          <w:rPr>
            <w:webHidden/>
          </w:rPr>
          <w:fldChar w:fldCharType="begin"/>
        </w:r>
        <w:r w:rsidR="00E145FA">
          <w:rPr>
            <w:webHidden/>
          </w:rPr>
          <w:instrText xml:space="preserve"> PAGEREF _Toc155686002 \h </w:instrText>
        </w:r>
        <w:r w:rsidR="00E145FA">
          <w:rPr>
            <w:webHidden/>
          </w:rPr>
        </w:r>
        <w:r w:rsidR="00E145FA">
          <w:rPr>
            <w:webHidden/>
          </w:rPr>
          <w:fldChar w:fldCharType="separate"/>
        </w:r>
        <w:r w:rsidR="00487741">
          <w:rPr>
            <w:webHidden/>
          </w:rPr>
          <w:t>27</w:t>
        </w:r>
        <w:r w:rsidR="00E145FA">
          <w:rPr>
            <w:webHidden/>
          </w:rPr>
          <w:fldChar w:fldCharType="end"/>
        </w:r>
      </w:hyperlink>
    </w:p>
    <w:p w14:paraId="5DFE4035" w14:textId="1B1AC630" w:rsidR="00E145FA" w:rsidRDefault="0065520A">
      <w:pPr>
        <w:pStyle w:val="TOC3"/>
        <w:rPr>
          <w:rFonts w:asciiTheme="minorHAnsi" w:eastAsiaTheme="minorEastAsia" w:hAnsiTheme="minorHAnsi" w:cstheme="minorBidi"/>
        </w:rPr>
      </w:pPr>
      <w:hyperlink w:anchor="_Toc155686003" w:history="1">
        <w:r w:rsidR="00E145FA" w:rsidRPr="00A879DD">
          <w:rPr>
            <w:rStyle w:val="Hyperlink"/>
          </w:rPr>
          <w:t>Sensitivity analysis</w:t>
        </w:r>
        <w:r w:rsidR="00E145FA">
          <w:rPr>
            <w:webHidden/>
          </w:rPr>
          <w:tab/>
        </w:r>
        <w:r w:rsidR="00E145FA">
          <w:rPr>
            <w:webHidden/>
          </w:rPr>
          <w:fldChar w:fldCharType="begin"/>
        </w:r>
        <w:r w:rsidR="00E145FA">
          <w:rPr>
            <w:webHidden/>
          </w:rPr>
          <w:instrText xml:space="preserve"> PAGEREF _Toc155686003 \h </w:instrText>
        </w:r>
        <w:r w:rsidR="00E145FA">
          <w:rPr>
            <w:webHidden/>
          </w:rPr>
        </w:r>
        <w:r w:rsidR="00E145FA">
          <w:rPr>
            <w:webHidden/>
          </w:rPr>
          <w:fldChar w:fldCharType="separate"/>
        </w:r>
        <w:r w:rsidR="00487741">
          <w:rPr>
            <w:webHidden/>
          </w:rPr>
          <w:t>28</w:t>
        </w:r>
        <w:r w:rsidR="00E145FA">
          <w:rPr>
            <w:webHidden/>
          </w:rPr>
          <w:fldChar w:fldCharType="end"/>
        </w:r>
      </w:hyperlink>
    </w:p>
    <w:p w14:paraId="7DF20A58" w14:textId="13731FED" w:rsidR="00E145FA" w:rsidRDefault="0065520A">
      <w:pPr>
        <w:pStyle w:val="TOC2"/>
        <w:rPr>
          <w:rFonts w:asciiTheme="minorHAnsi" w:eastAsiaTheme="minorEastAsia" w:hAnsiTheme="minorHAnsi" w:cstheme="minorBidi"/>
          <w:spacing w:val="0"/>
          <w:sz w:val="22"/>
          <w:szCs w:val="22"/>
        </w:rPr>
      </w:pPr>
      <w:hyperlink w:anchor="_Toc155686004" w:history="1">
        <w:r w:rsidR="00E145FA" w:rsidRPr="00A879DD">
          <w:rPr>
            <w:rStyle w:val="Hyperlink"/>
          </w:rPr>
          <w:t>Regulatory burden measurement</w:t>
        </w:r>
        <w:r w:rsidR="00E145FA">
          <w:rPr>
            <w:webHidden/>
          </w:rPr>
          <w:tab/>
        </w:r>
        <w:r w:rsidR="00E145FA">
          <w:rPr>
            <w:webHidden/>
          </w:rPr>
          <w:fldChar w:fldCharType="begin"/>
        </w:r>
        <w:r w:rsidR="00E145FA">
          <w:rPr>
            <w:webHidden/>
          </w:rPr>
          <w:instrText xml:space="preserve"> PAGEREF _Toc155686004 \h </w:instrText>
        </w:r>
        <w:r w:rsidR="00E145FA">
          <w:rPr>
            <w:webHidden/>
          </w:rPr>
        </w:r>
        <w:r w:rsidR="00E145FA">
          <w:rPr>
            <w:webHidden/>
          </w:rPr>
          <w:fldChar w:fldCharType="separate"/>
        </w:r>
        <w:r w:rsidR="00487741">
          <w:rPr>
            <w:webHidden/>
          </w:rPr>
          <w:t>29</w:t>
        </w:r>
        <w:r w:rsidR="00E145FA">
          <w:rPr>
            <w:webHidden/>
          </w:rPr>
          <w:fldChar w:fldCharType="end"/>
        </w:r>
      </w:hyperlink>
    </w:p>
    <w:p w14:paraId="4983C1B0" w14:textId="67498A47" w:rsidR="00E145FA" w:rsidRDefault="0065520A">
      <w:pPr>
        <w:pStyle w:val="TOC1"/>
        <w:rPr>
          <w:rFonts w:asciiTheme="minorHAnsi" w:eastAsiaTheme="minorEastAsia" w:hAnsiTheme="minorHAnsi" w:cstheme="minorBidi"/>
          <w:b w:val="0"/>
          <w:spacing w:val="0"/>
          <w:sz w:val="22"/>
          <w:szCs w:val="22"/>
        </w:rPr>
      </w:pPr>
      <w:hyperlink w:anchor="_Toc155686005" w:history="1">
        <w:r w:rsidR="00E145FA" w:rsidRPr="00A879DD">
          <w:rPr>
            <w:rStyle w:val="Hyperlink"/>
          </w:rPr>
          <w:t>Who was consulted and what did they say?</w:t>
        </w:r>
        <w:r w:rsidR="00E145FA">
          <w:rPr>
            <w:webHidden/>
          </w:rPr>
          <w:tab/>
        </w:r>
        <w:r w:rsidR="00E145FA">
          <w:rPr>
            <w:webHidden/>
          </w:rPr>
          <w:fldChar w:fldCharType="begin"/>
        </w:r>
        <w:r w:rsidR="00E145FA">
          <w:rPr>
            <w:webHidden/>
          </w:rPr>
          <w:instrText xml:space="preserve"> PAGEREF _Toc155686005 \h </w:instrText>
        </w:r>
        <w:r w:rsidR="00E145FA">
          <w:rPr>
            <w:webHidden/>
          </w:rPr>
        </w:r>
        <w:r w:rsidR="00E145FA">
          <w:rPr>
            <w:webHidden/>
          </w:rPr>
          <w:fldChar w:fldCharType="separate"/>
        </w:r>
        <w:r w:rsidR="00487741">
          <w:rPr>
            <w:webHidden/>
          </w:rPr>
          <w:t>30</w:t>
        </w:r>
        <w:r w:rsidR="00E145FA">
          <w:rPr>
            <w:webHidden/>
          </w:rPr>
          <w:fldChar w:fldCharType="end"/>
        </w:r>
      </w:hyperlink>
    </w:p>
    <w:p w14:paraId="5EAA502E" w14:textId="68D04FD8" w:rsidR="00E145FA" w:rsidRDefault="0065520A">
      <w:pPr>
        <w:pStyle w:val="TOC2"/>
        <w:rPr>
          <w:rFonts w:asciiTheme="minorHAnsi" w:eastAsiaTheme="minorEastAsia" w:hAnsiTheme="minorHAnsi" w:cstheme="minorBidi"/>
          <w:spacing w:val="0"/>
          <w:sz w:val="22"/>
          <w:szCs w:val="22"/>
        </w:rPr>
      </w:pPr>
      <w:hyperlink w:anchor="_Toc155686006" w:history="1">
        <w:r w:rsidR="00E145FA" w:rsidRPr="00A879DD">
          <w:rPr>
            <w:rStyle w:val="Hyperlink"/>
          </w:rPr>
          <w:t>Consultation</w:t>
        </w:r>
        <w:r w:rsidR="00E145FA">
          <w:rPr>
            <w:webHidden/>
          </w:rPr>
          <w:tab/>
        </w:r>
        <w:r w:rsidR="00E145FA">
          <w:rPr>
            <w:webHidden/>
          </w:rPr>
          <w:fldChar w:fldCharType="begin"/>
        </w:r>
        <w:r w:rsidR="00E145FA">
          <w:rPr>
            <w:webHidden/>
          </w:rPr>
          <w:instrText xml:space="preserve"> PAGEREF _Toc155686006 \h </w:instrText>
        </w:r>
        <w:r w:rsidR="00E145FA">
          <w:rPr>
            <w:webHidden/>
          </w:rPr>
        </w:r>
        <w:r w:rsidR="00E145FA">
          <w:rPr>
            <w:webHidden/>
          </w:rPr>
          <w:fldChar w:fldCharType="separate"/>
        </w:r>
        <w:r w:rsidR="00487741">
          <w:rPr>
            <w:webHidden/>
          </w:rPr>
          <w:t>30</w:t>
        </w:r>
        <w:r w:rsidR="00E145FA">
          <w:rPr>
            <w:webHidden/>
          </w:rPr>
          <w:fldChar w:fldCharType="end"/>
        </w:r>
      </w:hyperlink>
    </w:p>
    <w:p w14:paraId="46D2ED58" w14:textId="63C127CB" w:rsidR="00E145FA" w:rsidRDefault="0065520A">
      <w:pPr>
        <w:pStyle w:val="TOC3"/>
        <w:rPr>
          <w:rFonts w:asciiTheme="minorHAnsi" w:eastAsiaTheme="minorEastAsia" w:hAnsiTheme="minorHAnsi" w:cstheme="minorBidi"/>
        </w:rPr>
      </w:pPr>
      <w:hyperlink w:anchor="_Toc155686007" w:history="1">
        <w:r w:rsidR="00E145FA" w:rsidRPr="00A879DD">
          <w:rPr>
            <w:rStyle w:val="Hyperlink"/>
          </w:rPr>
          <w:t>Consultation on draft Standard</w:t>
        </w:r>
        <w:r w:rsidR="00E145FA">
          <w:rPr>
            <w:webHidden/>
          </w:rPr>
          <w:tab/>
        </w:r>
        <w:r w:rsidR="00E145FA">
          <w:rPr>
            <w:webHidden/>
          </w:rPr>
          <w:fldChar w:fldCharType="begin"/>
        </w:r>
        <w:r w:rsidR="00E145FA">
          <w:rPr>
            <w:webHidden/>
          </w:rPr>
          <w:instrText xml:space="preserve"> PAGEREF _Toc155686007 \h </w:instrText>
        </w:r>
        <w:r w:rsidR="00E145FA">
          <w:rPr>
            <w:webHidden/>
          </w:rPr>
        </w:r>
        <w:r w:rsidR="00E145FA">
          <w:rPr>
            <w:webHidden/>
          </w:rPr>
          <w:fldChar w:fldCharType="separate"/>
        </w:r>
        <w:r w:rsidR="00487741">
          <w:rPr>
            <w:webHidden/>
          </w:rPr>
          <w:t>31</w:t>
        </w:r>
        <w:r w:rsidR="00E145FA">
          <w:rPr>
            <w:webHidden/>
          </w:rPr>
          <w:fldChar w:fldCharType="end"/>
        </w:r>
      </w:hyperlink>
    </w:p>
    <w:p w14:paraId="24E833BE" w14:textId="03DD2D35" w:rsidR="00E145FA" w:rsidRDefault="0065520A">
      <w:pPr>
        <w:pStyle w:val="TOC3"/>
        <w:rPr>
          <w:rFonts w:asciiTheme="minorHAnsi" w:eastAsiaTheme="minorEastAsia" w:hAnsiTheme="minorHAnsi" w:cstheme="minorBidi"/>
        </w:rPr>
      </w:pPr>
      <w:hyperlink w:anchor="_Toc155686008" w:history="1">
        <w:r w:rsidR="00E145FA" w:rsidRPr="00A879DD">
          <w:rPr>
            <w:rStyle w:val="Hyperlink"/>
          </w:rPr>
          <w:t>Summary of stakeholder feedback</w:t>
        </w:r>
        <w:r w:rsidR="00E145FA">
          <w:rPr>
            <w:webHidden/>
          </w:rPr>
          <w:tab/>
        </w:r>
        <w:r w:rsidR="00E145FA">
          <w:rPr>
            <w:webHidden/>
          </w:rPr>
          <w:fldChar w:fldCharType="begin"/>
        </w:r>
        <w:r w:rsidR="00E145FA">
          <w:rPr>
            <w:webHidden/>
          </w:rPr>
          <w:instrText xml:space="preserve"> PAGEREF _Toc155686008 \h </w:instrText>
        </w:r>
        <w:r w:rsidR="00E145FA">
          <w:rPr>
            <w:webHidden/>
          </w:rPr>
        </w:r>
        <w:r w:rsidR="00E145FA">
          <w:rPr>
            <w:webHidden/>
          </w:rPr>
          <w:fldChar w:fldCharType="separate"/>
        </w:r>
        <w:r w:rsidR="00487741">
          <w:rPr>
            <w:webHidden/>
          </w:rPr>
          <w:t>31</w:t>
        </w:r>
        <w:r w:rsidR="00E145FA">
          <w:rPr>
            <w:webHidden/>
          </w:rPr>
          <w:fldChar w:fldCharType="end"/>
        </w:r>
      </w:hyperlink>
    </w:p>
    <w:p w14:paraId="7B15D3A4" w14:textId="2AAD7DBF" w:rsidR="00E145FA" w:rsidRDefault="0065520A">
      <w:pPr>
        <w:pStyle w:val="TOC1"/>
        <w:rPr>
          <w:rFonts w:asciiTheme="minorHAnsi" w:eastAsiaTheme="minorEastAsia" w:hAnsiTheme="minorHAnsi" w:cstheme="minorBidi"/>
          <w:b w:val="0"/>
          <w:spacing w:val="0"/>
          <w:sz w:val="22"/>
          <w:szCs w:val="22"/>
        </w:rPr>
      </w:pPr>
      <w:hyperlink w:anchor="_Toc155686009" w:history="1">
        <w:r w:rsidR="00E145FA" w:rsidRPr="00A879DD">
          <w:rPr>
            <w:rStyle w:val="Hyperlink"/>
          </w:rPr>
          <w:t>What is the best option from those considered and how will it be implemented?</w:t>
        </w:r>
        <w:r w:rsidR="00E145FA">
          <w:rPr>
            <w:webHidden/>
          </w:rPr>
          <w:tab/>
        </w:r>
        <w:r w:rsidR="00E145FA">
          <w:rPr>
            <w:webHidden/>
          </w:rPr>
          <w:fldChar w:fldCharType="begin"/>
        </w:r>
        <w:r w:rsidR="00E145FA">
          <w:rPr>
            <w:webHidden/>
          </w:rPr>
          <w:instrText xml:space="preserve"> PAGEREF _Toc155686009 \h </w:instrText>
        </w:r>
        <w:r w:rsidR="00E145FA">
          <w:rPr>
            <w:webHidden/>
          </w:rPr>
        </w:r>
        <w:r w:rsidR="00E145FA">
          <w:rPr>
            <w:webHidden/>
          </w:rPr>
          <w:fldChar w:fldCharType="separate"/>
        </w:r>
        <w:r w:rsidR="00487741">
          <w:rPr>
            <w:webHidden/>
          </w:rPr>
          <w:t>33</w:t>
        </w:r>
        <w:r w:rsidR="00E145FA">
          <w:rPr>
            <w:webHidden/>
          </w:rPr>
          <w:fldChar w:fldCharType="end"/>
        </w:r>
      </w:hyperlink>
    </w:p>
    <w:p w14:paraId="0F652FB2" w14:textId="07864CAC" w:rsidR="00E145FA" w:rsidRDefault="0065520A">
      <w:pPr>
        <w:pStyle w:val="TOC2"/>
        <w:rPr>
          <w:rFonts w:asciiTheme="minorHAnsi" w:eastAsiaTheme="minorEastAsia" w:hAnsiTheme="minorHAnsi" w:cstheme="minorBidi"/>
          <w:spacing w:val="0"/>
          <w:sz w:val="22"/>
          <w:szCs w:val="22"/>
        </w:rPr>
      </w:pPr>
      <w:hyperlink w:anchor="_Toc155686010" w:history="1">
        <w:r w:rsidR="00E145FA" w:rsidRPr="00A879DD">
          <w:rPr>
            <w:rStyle w:val="Hyperlink"/>
          </w:rPr>
          <w:t>Status quo</w:t>
        </w:r>
        <w:r w:rsidR="00E145FA">
          <w:rPr>
            <w:webHidden/>
          </w:rPr>
          <w:tab/>
        </w:r>
        <w:r w:rsidR="00E145FA">
          <w:rPr>
            <w:webHidden/>
          </w:rPr>
          <w:fldChar w:fldCharType="begin"/>
        </w:r>
        <w:r w:rsidR="00E145FA">
          <w:rPr>
            <w:webHidden/>
          </w:rPr>
          <w:instrText xml:space="preserve"> PAGEREF _Toc155686010 \h </w:instrText>
        </w:r>
        <w:r w:rsidR="00E145FA">
          <w:rPr>
            <w:webHidden/>
          </w:rPr>
        </w:r>
        <w:r w:rsidR="00E145FA">
          <w:rPr>
            <w:webHidden/>
          </w:rPr>
          <w:fldChar w:fldCharType="separate"/>
        </w:r>
        <w:r w:rsidR="00487741">
          <w:rPr>
            <w:webHidden/>
          </w:rPr>
          <w:t>33</w:t>
        </w:r>
        <w:r w:rsidR="00E145FA">
          <w:rPr>
            <w:webHidden/>
          </w:rPr>
          <w:fldChar w:fldCharType="end"/>
        </w:r>
      </w:hyperlink>
    </w:p>
    <w:p w14:paraId="37E36F8B" w14:textId="52E4B360" w:rsidR="00E145FA" w:rsidRDefault="0065520A">
      <w:pPr>
        <w:pStyle w:val="TOC2"/>
        <w:rPr>
          <w:rFonts w:asciiTheme="minorHAnsi" w:eastAsiaTheme="minorEastAsia" w:hAnsiTheme="minorHAnsi" w:cstheme="minorBidi"/>
          <w:spacing w:val="0"/>
          <w:sz w:val="22"/>
          <w:szCs w:val="22"/>
        </w:rPr>
      </w:pPr>
      <w:hyperlink w:anchor="_Toc155686011" w:history="1">
        <w:r w:rsidR="00E145FA" w:rsidRPr="00A879DD">
          <w:rPr>
            <w:rStyle w:val="Hyperlink"/>
          </w:rPr>
          <w:t>Implementation</w:t>
        </w:r>
        <w:r w:rsidR="00E145FA">
          <w:rPr>
            <w:webHidden/>
          </w:rPr>
          <w:tab/>
        </w:r>
        <w:r w:rsidR="00E145FA">
          <w:rPr>
            <w:webHidden/>
          </w:rPr>
          <w:fldChar w:fldCharType="begin"/>
        </w:r>
        <w:r w:rsidR="00E145FA">
          <w:rPr>
            <w:webHidden/>
          </w:rPr>
          <w:instrText xml:space="preserve"> PAGEREF _Toc155686011 \h </w:instrText>
        </w:r>
        <w:r w:rsidR="00E145FA">
          <w:rPr>
            <w:webHidden/>
          </w:rPr>
        </w:r>
        <w:r w:rsidR="00E145FA">
          <w:rPr>
            <w:webHidden/>
          </w:rPr>
          <w:fldChar w:fldCharType="separate"/>
        </w:r>
        <w:r w:rsidR="00487741">
          <w:rPr>
            <w:webHidden/>
          </w:rPr>
          <w:t>34</w:t>
        </w:r>
        <w:r w:rsidR="00E145FA">
          <w:rPr>
            <w:webHidden/>
          </w:rPr>
          <w:fldChar w:fldCharType="end"/>
        </w:r>
      </w:hyperlink>
    </w:p>
    <w:p w14:paraId="2B3B03F6" w14:textId="7DFDB7AA" w:rsidR="00E145FA" w:rsidRDefault="0065520A">
      <w:pPr>
        <w:pStyle w:val="TOC3"/>
        <w:rPr>
          <w:rFonts w:asciiTheme="minorHAnsi" w:eastAsiaTheme="minorEastAsia" w:hAnsiTheme="minorHAnsi" w:cstheme="minorBidi"/>
        </w:rPr>
      </w:pPr>
      <w:hyperlink w:anchor="_Toc155686012" w:history="1">
        <w:r w:rsidR="00E145FA" w:rsidRPr="00A879DD">
          <w:rPr>
            <w:rStyle w:val="Hyperlink"/>
          </w:rPr>
          <w:t>Engagement to support implementation</w:t>
        </w:r>
        <w:r w:rsidR="00E145FA">
          <w:rPr>
            <w:webHidden/>
          </w:rPr>
          <w:tab/>
        </w:r>
        <w:r w:rsidR="00E145FA">
          <w:rPr>
            <w:webHidden/>
          </w:rPr>
          <w:fldChar w:fldCharType="begin"/>
        </w:r>
        <w:r w:rsidR="00E145FA">
          <w:rPr>
            <w:webHidden/>
          </w:rPr>
          <w:instrText xml:space="preserve"> PAGEREF _Toc155686012 \h </w:instrText>
        </w:r>
        <w:r w:rsidR="00E145FA">
          <w:rPr>
            <w:webHidden/>
          </w:rPr>
        </w:r>
        <w:r w:rsidR="00E145FA">
          <w:rPr>
            <w:webHidden/>
          </w:rPr>
          <w:fldChar w:fldCharType="separate"/>
        </w:r>
        <w:r w:rsidR="00487741">
          <w:rPr>
            <w:webHidden/>
          </w:rPr>
          <w:t>34</w:t>
        </w:r>
        <w:r w:rsidR="00E145FA">
          <w:rPr>
            <w:webHidden/>
          </w:rPr>
          <w:fldChar w:fldCharType="end"/>
        </w:r>
      </w:hyperlink>
    </w:p>
    <w:p w14:paraId="1213AD64" w14:textId="0A993684" w:rsidR="00E145FA" w:rsidRDefault="0065520A">
      <w:pPr>
        <w:pStyle w:val="TOC3"/>
        <w:rPr>
          <w:rFonts w:asciiTheme="minorHAnsi" w:eastAsiaTheme="minorEastAsia" w:hAnsiTheme="minorHAnsi" w:cstheme="minorBidi"/>
        </w:rPr>
      </w:pPr>
      <w:hyperlink w:anchor="_Toc155686013" w:history="1">
        <w:r w:rsidR="00E145FA" w:rsidRPr="00A879DD">
          <w:rPr>
            <w:rStyle w:val="Hyperlink"/>
          </w:rPr>
          <w:t>Education campaign</w:t>
        </w:r>
        <w:r w:rsidR="00E145FA">
          <w:rPr>
            <w:webHidden/>
          </w:rPr>
          <w:tab/>
        </w:r>
        <w:r w:rsidR="00E145FA">
          <w:rPr>
            <w:webHidden/>
          </w:rPr>
          <w:fldChar w:fldCharType="begin"/>
        </w:r>
        <w:r w:rsidR="00E145FA">
          <w:rPr>
            <w:webHidden/>
          </w:rPr>
          <w:instrText xml:space="preserve"> PAGEREF _Toc155686013 \h </w:instrText>
        </w:r>
        <w:r w:rsidR="00E145FA">
          <w:rPr>
            <w:webHidden/>
          </w:rPr>
        </w:r>
        <w:r w:rsidR="00E145FA">
          <w:rPr>
            <w:webHidden/>
          </w:rPr>
          <w:fldChar w:fldCharType="separate"/>
        </w:r>
        <w:r w:rsidR="00487741">
          <w:rPr>
            <w:webHidden/>
          </w:rPr>
          <w:t>34</w:t>
        </w:r>
        <w:r w:rsidR="00E145FA">
          <w:rPr>
            <w:webHidden/>
          </w:rPr>
          <w:fldChar w:fldCharType="end"/>
        </w:r>
      </w:hyperlink>
    </w:p>
    <w:p w14:paraId="17EF9193" w14:textId="25DD9A88" w:rsidR="00E145FA" w:rsidRDefault="0065520A">
      <w:pPr>
        <w:pStyle w:val="TOC1"/>
        <w:rPr>
          <w:rFonts w:asciiTheme="minorHAnsi" w:eastAsiaTheme="minorEastAsia" w:hAnsiTheme="minorHAnsi" w:cstheme="minorBidi"/>
          <w:b w:val="0"/>
          <w:spacing w:val="0"/>
          <w:sz w:val="22"/>
          <w:szCs w:val="22"/>
        </w:rPr>
      </w:pPr>
      <w:hyperlink w:anchor="_Toc155686014" w:history="1">
        <w:r w:rsidR="00E145FA" w:rsidRPr="00A879DD">
          <w:rPr>
            <w:rStyle w:val="Hyperlink"/>
          </w:rPr>
          <w:t>How will you evaluate your chosen option against the success metrics?</w:t>
        </w:r>
        <w:r w:rsidR="00E145FA">
          <w:rPr>
            <w:webHidden/>
          </w:rPr>
          <w:tab/>
        </w:r>
        <w:r w:rsidR="00E145FA">
          <w:rPr>
            <w:webHidden/>
          </w:rPr>
          <w:fldChar w:fldCharType="begin"/>
        </w:r>
        <w:r w:rsidR="00E145FA">
          <w:rPr>
            <w:webHidden/>
          </w:rPr>
          <w:instrText xml:space="preserve"> PAGEREF _Toc155686014 \h </w:instrText>
        </w:r>
        <w:r w:rsidR="00E145FA">
          <w:rPr>
            <w:webHidden/>
          </w:rPr>
        </w:r>
        <w:r w:rsidR="00E145FA">
          <w:rPr>
            <w:webHidden/>
          </w:rPr>
          <w:fldChar w:fldCharType="separate"/>
        </w:r>
        <w:r w:rsidR="00487741">
          <w:rPr>
            <w:webHidden/>
          </w:rPr>
          <w:t>36</w:t>
        </w:r>
        <w:r w:rsidR="00E145FA">
          <w:rPr>
            <w:webHidden/>
          </w:rPr>
          <w:fldChar w:fldCharType="end"/>
        </w:r>
      </w:hyperlink>
    </w:p>
    <w:p w14:paraId="5CB06960" w14:textId="28521A9B" w:rsidR="00E145FA" w:rsidRDefault="0065520A">
      <w:pPr>
        <w:pStyle w:val="TOC1"/>
        <w:rPr>
          <w:rFonts w:asciiTheme="minorHAnsi" w:eastAsiaTheme="minorEastAsia" w:hAnsiTheme="minorHAnsi" w:cstheme="minorBidi"/>
          <w:b w:val="0"/>
          <w:spacing w:val="0"/>
          <w:sz w:val="22"/>
          <w:szCs w:val="22"/>
        </w:rPr>
      </w:pPr>
      <w:hyperlink w:anchor="_Toc155686015" w:history="1">
        <w:r w:rsidR="00E145FA" w:rsidRPr="00A879DD">
          <w:rPr>
            <w:rStyle w:val="Hyperlink"/>
          </w:rPr>
          <w:t>Appendix A: Costs and benefits inputs and data</w:t>
        </w:r>
        <w:r w:rsidR="00E145FA">
          <w:rPr>
            <w:webHidden/>
          </w:rPr>
          <w:tab/>
        </w:r>
        <w:r w:rsidR="00E145FA">
          <w:rPr>
            <w:webHidden/>
          </w:rPr>
          <w:fldChar w:fldCharType="begin"/>
        </w:r>
        <w:r w:rsidR="00E145FA">
          <w:rPr>
            <w:webHidden/>
          </w:rPr>
          <w:instrText xml:space="preserve"> PAGEREF _Toc155686015 \h </w:instrText>
        </w:r>
        <w:r w:rsidR="00E145FA">
          <w:rPr>
            <w:webHidden/>
          </w:rPr>
        </w:r>
        <w:r w:rsidR="00E145FA">
          <w:rPr>
            <w:webHidden/>
          </w:rPr>
          <w:fldChar w:fldCharType="separate"/>
        </w:r>
        <w:r w:rsidR="00487741">
          <w:rPr>
            <w:webHidden/>
          </w:rPr>
          <w:t>38</w:t>
        </w:r>
        <w:r w:rsidR="00E145FA">
          <w:rPr>
            <w:webHidden/>
          </w:rPr>
          <w:fldChar w:fldCharType="end"/>
        </w:r>
      </w:hyperlink>
    </w:p>
    <w:p w14:paraId="76C771D2" w14:textId="180B9A0D" w:rsidR="00E145FA" w:rsidRDefault="0065520A">
      <w:pPr>
        <w:pStyle w:val="TOC2"/>
        <w:rPr>
          <w:rFonts w:asciiTheme="minorHAnsi" w:eastAsiaTheme="minorEastAsia" w:hAnsiTheme="minorHAnsi" w:cstheme="minorBidi"/>
          <w:spacing w:val="0"/>
          <w:sz w:val="22"/>
          <w:szCs w:val="22"/>
        </w:rPr>
      </w:pPr>
      <w:hyperlink w:anchor="_Toc155686016" w:history="1">
        <w:r w:rsidR="00E145FA" w:rsidRPr="00A879DD">
          <w:rPr>
            <w:rStyle w:val="Hyperlink"/>
          </w:rPr>
          <w:t>Summary list of identified costs and benefits</w:t>
        </w:r>
        <w:r w:rsidR="00E145FA">
          <w:rPr>
            <w:webHidden/>
          </w:rPr>
          <w:tab/>
        </w:r>
        <w:r w:rsidR="00E145FA">
          <w:rPr>
            <w:webHidden/>
          </w:rPr>
          <w:fldChar w:fldCharType="begin"/>
        </w:r>
        <w:r w:rsidR="00E145FA">
          <w:rPr>
            <w:webHidden/>
          </w:rPr>
          <w:instrText xml:space="preserve"> PAGEREF _Toc155686016 \h </w:instrText>
        </w:r>
        <w:r w:rsidR="00E145FA">
          <w:rPr>
            <w:webHidden/>
          </w:rPr>
        </w:r>
        <w:r w:rsidR="00E145FA">
          <w:rPr>
            <w:webHidden/>
          </w:rPr>
          <w:fldChar w:fldCharType="separate"/>
        </w:r>
        <w:r w:rsidR="00487741">
          <w:rPr>
            <w:webHidden/>
          </w:rPr>
          <w:t>38</w:t>
        </w:r>
        <w:r w:rsidR="00E145FA">
          <w:rPr>
            <w:webHidden/>
          </w:rPr>
          <w:fldChar w:fldCharType="end"/>
        </w:r>
      </w:hyperlink>
    </w:p>
    <w:p w14:paraId="5C667F59" w14:textId="3E46EC4E" w:rsidR="00E145FA" w:rsidRDefault="0065520A">
      <w:pPr>
        <w:pStyle w:val="TOC2"/>
        <w:rPr>
          <w:rFonts w:asciiTheme="minorHAnsi" w:eastAsiaTheme="minorEastAsia" w:hAnsiTheme="minorHAnsi" w:cstheme="minorBidi"/>
          <w:spacing w:val="0"/>
          <w:sz w:val="22"/>
          <w:szCs w:val="22"/>
        </w:rPr>
      </w:pPr>
      <w:hyperlink w:anchor="_Toc155686017" w:history="1">
        <w:r w:rsidR="00E145FA" w:rsidRPr="00A879DD">
          <w:rPr>
            <w:rStyle w:val="Hyperlink"/>
          </w:rPr>
          <w:t>Summary of costs and benefits for cost model</w:t>
        </w:r>
        <w:r w:rsidR="00E145FA">
          <w:rPr>
            <w:webHidden/>
          </w:rPr>
          <w:tab/>
        </w:r>
        <w:r w:rsidR="00E145FA">
          <w:rPr>
            <w:webHidden/>
          </w:rPr>
          <w:fldChar w:fldCharType="begin"/>
        </w:r>
        <w:r w:rsidR="00E145FA">
          <w:rPr>
            <w:webHidden/>
          </w:rPr>
          <w:instrText xml:space="preserve"> PAGEREF _Toc155686017 \h </w:instrText>
        </w:r>
        <w:r w:rsidR="00E145FA">
          <w:rPr>
            <w:webHidden/>
          </w:rPr>
        </w:r>
        <w:r w:rsidR="00E145FA">
          <w:rPr>
            <w:webHidden/>
          </w:rPr>
          <w:fldChar w:fldCharType="separate"/>
        </w:r>
        <w:r w:rsidR="00487741">
          <w:rPr>
            <w:webHidden/>
          </w:rPr>
          <w:t>40</w:t>
        </w:r>
        <w:r w:rsidR="00E145FA">
          <w:rPr>
            <w:webHidden/>
          </w:rPr>
          <w:fldChar w:fldCharType="end"/>
        </w:r>
      </w:hyperlink>
    </w:p>
    <w:p w14:paraId="63304F20" w14:textId="13579DF7" w:rsidR="00E145FA" w:rsidRDefault="0065520A">
      <w:pPr>
        <w:pStyle w:val="TOC2"/>
        <w:rPr>
          <w:rFonts w:asciiTheme="minorHAnsi" w:eastAsiaTheme="minorEastAsia" w:hAnsiTheme="minorHAnsi" w:cstheme="minorBidi"/>
          <w:spacing w:val="0"/>
          <w:sz w:val="22"/>
          <w:szCs w:val="22"/>
        </w:rPr>
      </w:pPr>
      <w:hyperlink w:anchor="_Toc155686018" w:history="1">
        <w:r w:rsidR="00E145FA" w:rsidRPr="00A879DD">
          <w:rPr>
            <w:rStyle w:val="Hyperlink"/>
          </w:rPr>
          <w:t>CSP costs</w:t>
        </w:r>
        <w:r w:rsidR="00E145FA">
          <w:rPr>
            <w:webHidden/>
          </w:rPr>
          <w:tab/>
        </w:r>
        <w:r w:rsidR="00E145FA">
          <w:rPr>
            <w:webHidden/>
          </w:rPr>
          <w:fldChar w:fldCharType="begin"/>
        </w:r>
        <w:r w:rsidR="00E145FA">
          <w:rPr>
            <w:webHidden/>
          </w:rPr>
          <w:instrText xml:space="preserve"> PAGEREF _Toc155686018 \h </w:instrText>
        </w:r>
        <w:r w:rsidR="00E145FA">
          <w:rPr>
            <w:webHidden/>
          </w:rPr>
        </w:r>
        <w:r w:rsidR="00E145FA">
          <w:rPr>
            <w:webHidden/>
          </w:rPr>
          <w:fldChar w:fldCharType="separate"/>
        </w:r>
        <w:r w:rsidR="00487741">
          <w:rPr>
            <w:webHidden/>
          </w:rPr>
          <w:t>42</w:t>
        </w:r>
        <w:r w:rsidR="00E145FA">
          <w:rPr>
            <w:webHidden/>
          </w:rPr>
          <w:fldChar w:fldCharType="end"/>
        </w:r>
      </w:hyperlink>
    </w:p>
    <w:p w14:paraId="610ED2B7" w14:textId="4F5857A4" w:rsidR="00573DDE" w:rsidRPr="000D76E0" w:rsidRDefault="00573DDE" w:rsidP="00573DDE">
      <w:pPr>
        <w:rPr>
          <w:rFonts w:cs="Arial"/>
        </w:rPr>
        <w:sectPr w:rsidR="00573DDE" w:rsidRPr="000D76E0" w:rsidSect="00083B2C">
          <w:headerReference w:type="even" r:id="rId21"/>
          <w:headerReference w:type="default" r:id="rId22"/>
          <w:footerReference w:type="even" r:id="rId23"/>
          <w:footerReference w:type="default" r:id="rId24"/>
          <w:footerReference w:type="first" r:id="rId25"/>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10B6A6F3" w14:textId="77777777" w:rsidR="00573DDE" w:rsidRPr="0032397E" w:rsidRDefault="00573DDE" w:rsidP="00E84393">
      <w:pPr>
        <w:pStyle w:val="Heading1"/>
        <w:spacing w:after="240"/>
      </w:pPr>
      <w:bookmarkStart w:id="2" w:name="_Toc32833676"/>
      <w:bookmarkStart w:id="3" w:name="_Toc32833733"/>
      <w:bookmarkStart w:id="4" w:name="_Toc32833806"/>
      <w:bookmarkStart w:id="5" w:name="_Toc155685971"/>
      <w:bookmarkStart w:id="6" w:name="_Hlk29457115"/>
      <w:bookmarkStart w:id="7" w:name="_Toc298924672"/>
      <w:bookmarkStart w:id="8" w:name="_Toc300909555"/>
      <w:bookmarkStart w:id="9" w:name="_Toc348105636"/>
      <w:r>
        <w:lastRenderedPageBreak/>
        <w:t>Introduction</w:t>
      </w:r>
      <w:bookmarkEnd w:id="2"/>
      <w:bookmarkEnd w:id="3"/>
      <w:bookmarkEnd w:id="4"/>
      <w:bookmarkEnd w:id="5"/>
    </w:p>
    <w:bookmarkEnd w:id="6"/>
    <w:p w14:paraId="53F4D847" w14:textId="05AE5AFC" w:rsidR="00022237" w:rsidRPr="00D57514" w:rsidRDefault="00D57514" w:rsidP="00573DDE">
      <w:pPr>
        <w:pStyle w:val="Paragraph"/>
        <w:rPr>
          <w:szCs w:val="20"/>
        </w:rPr>
      </w:pPr>
      <w:r>
        <w:rPr>
          <w:color w:val="000000"/>
          <w:szCs w:val="20"/>
        </w:rPr>
        <w:t xml:space="preserve">The </w:t>
      </w:r>
      <w:r w:rsidRPr="00D57514">
        <w:rPr>
          <w:color w:val="000000"/>
          <w:szCs w:val="20"/>
        </w:rPr>
        <w:t xml:space="preserve">Australian Government is committed to ensuring telecommunications customers facing financial hardship receive </w:t>
      </w:r>
      <w:r w:rsidR="007F12BD">
        <w:rPr>
          <w:color w:val="000000"/>
          <w:szCs w:val="20"/>
        </w:rPr>
        <w:t>the necessary</w:t>
      </w:r>
      <w:r w:rsidRPr="00D57514">
        <w:rPr>
          <w:color w:val="000000"/>
          <w:szCs w:val="20"/>
        </w:rPr>
        <w:t xml:space="preserve"> information and support, recogni</w:t>
      </w:r>
      <w:r>
        <w:rPr>
          <w:color w:val="000000"/>
          <w:szCs w:val="20"/>
        </w:rPr>
        <w:t>s</w:t>
      </w:r>
      <w:r w:rsidRPr="00D57514">
        <w:rPr>
          <w:color w:val="000000"/>
          <w:szCs w:val="20"/>
        </w:rPr>
        <w:t xml:space="preserve">ing the essential nature of telecommunications services in today's society. Access to reliable and affordable phone and internet services is crucial for work, education, health, entertainment, social connection, and government services. </w:t>
      </w:r>
    </w:p>
    <w:p w14:paraId="23E02DED" w14:textId="3BCDDD30" w:rsidR="00226CFE" w:rsidRDefault="00573DDE" w:rsidP="00573DDE">
      <w:pPr>
        <w:pStyle w:val="FootnoteText"/>
        <w:spacing w:after="240"/>
        <w:rPr>
          <w:rFonts w:cs="Arial"/>
          <w:sz w:val="20"/>
          <w:szCs w:val="20"/>
        </w:rPr>
      </w:pPr>
      <w:r w:rsidRPr="00DC46C7">
        <w:rPr>
          <w:sz w:val="20"/>
          <w:szCs w:val="20"/>
        </w:rPr>
        <w:t xml:space="preserve">There is evidence that the current safeguards for consumers facing financial difficulty in the </w:t>
      </w:r>
      <w:hyperlink r:id="rId26" w:history="1">
        <w:r w:rsidRPr="001D3571">
          <w:rPr>
            <w:rStyle w:val="Hyperlink"/>
            <w:rFonts w:cs="Arial"/>
            <w:i/>
            <w:iCs/>
            <w:sz w:val="20"/>
            <w:szCs w:val="20"/>
          </w:rPr>
          <w:t xml:space="preserve">Telecommunications Consumer Protection Code </w:t>
        </w:r>
        <w:r w:rsidRPr="001B07DA">
          <w:rPr>
            <w:rStyle w:val="Hyperlink"/>
            <w:rFonts w:cs="Arial"/>
            <w:sz w:val="20"/>
            <w:szCs w:val="20"/>
          </w:rPr>
          <w:t>C628:2019</w:t>
        </w:r>
      </w:hyperlink>
      <w:r>
        <w:rPr>
          <w:rStyle w:val="Hyperlink"/>
          <w:rFonts w:cs="Arial"/>
          <w:sz w:val="20"/>
          <w:szCs w:val="20"/>
        </w:rPr>
        <w:t xml:space="preserve"> </w:t>
      </w:r>
      <w:r w:rsidRPr="00DC46C7">
        <w:rPr>
          <w:sz w:val="20"/>
          <w:szCs w:val="20"/>
        </w:rPr>
        <w:t xml:space="preserve">(the TCP Code) are not </w:t>
      </w:r>
      <w:r w:rsidR="00DC5181">
        <w:rPr>
          <w:sz w:val="20"/>
          <w:szCs w:val="20"/>
        </w:rPr>
        <w:t>providing</w:t>
      </w:r>
      <w:r w:rsidRPr="00DC46C7">
        <w:rPr>
          <w:sz w:val="20"/>
          <w:szCs w:val="20"/>
        </w:rPr>
        <w:t xml:space="preserve"> sufficient protections. The ACMA’s </w:t>
      </w:r>
      <w:hyperlink r:id="rId27" w:history="1">
        <w:r w:rsidRPr="001D3571">
          <w:rPr>
            <w:rStyle w:val="Hyperlink"/>
            <w:rFonts w:cs="Arial"/>
            <w:i/>
            <w:iCs/>
            <w:sz w:val="20"/>
            <w:szCs w:val="20"/>
          </w:rPr>
          <w:t>Financial hardship in the telco sector: Keeping the customer connected</w:t>
        </w:r>
      </w:hyperlink>
      <w:r w:rsidRPr="00F242AA">
        <w:rPr>
          <w:rFonts w:cs="Arial"/>
          <w:sz w:val="20"/>
          <w:szCs w:val="20"/>
        </w:rPr>
        <w:t xml:space="preserve"> </w:t>
      </w:r>
      <w:r w:rsidR="00CD02CC">
        <w:rPr>
          <w:rFonts w:cs="Arial"/>
          <w:sz w:val="20"/>
          <w:szCs w:val="20"/>
        </w:rPr>
        <w:t xml:space="preserve">report </w:t>
      </w:r>
      <w:r w:rsidR="00035D02">
        <w:rPr>
          <w:rFonts w:cs="Arial"/>
          <w:color w:val="000000"/>
          <w:sz w:val="20"/>
          <w:szCs w:val="20"/>
        </w:rPr>
        <w:t>uncovered</w:t>
      </w:r>
      <w:r w:rsidR="00832EC2" w:rsidRPr="003908D3">
        <w:rPr>
          <w:rFonts w:cs="Arial"/>
          <w:color w:val="000000"/>
          <w:sz w:val="20"/>
          <w:szCs w:val="20"/>
        </w:rPr>
        <w:t xml:space="preserve"> significant rates of financial hardship among telecommunications consumers. </w:t>
      </w:r>
      <w:r w:rsidR="00035D02">
        <w:rPr>
          <w:rFonts w:cs="Arial"/>
          <w:color w:val="000000"/>
          <w:sz w:val="20"/>
          <w:szCs w:val="20"/>
        </w:rPr>
        <w:t>However</w:t>
      </w:r>
      <w:r w:rsidR="00832EC2" w:rsidRPr="003908D3">
        <w:rPr>
          <w:rFonts w:cs="Arial"/>
          <w:color w:val="000000"/>
          <w:sz w:val="20"/>
          <w:szCs w:val="20"/>
        </w:rPr>
        <w:t xml:space="preserve">, </w:t>
      </w:r>
      <w:r w:rsidR="00035D02">
        <w:rPr>
          <w:rFonts w:cs="Arial"/>
          <w:color w:val="000000"/>
          <w:sz w:val="20"/>
          <w:szCs w:val="20"/>
        </w:rPr>
        <w:t xml:space="preserve">only </w:t>
      </w:r>
      <w:r w:rsidR="00832EC2" w:rsidRPr="003908D3">
        <w:rPr>
          <w:rFonts w:cs="Arial"/>
          <w:color w:val="000000"/>
          <w:sz w:val="20"/>
          <w:szCs w:val="20"/>
        </w:rPr>
        <w:t>a small proportion of affected customers receive formal hardship support.</w:t>
      </w:r>
      <w:r w:rsidRPr="003908D3">
        <w:rPr>
          <w:rFonts w:cs="Arial"/>
          <w:sz w:val="20"/>
          <w:szCs w:val="20"/>
        </w:rPr>
        <w:t xml:space="preserve"> </w:t>
      </w:r>
    </w:p>
    <w:p w14:paraId="280EA27E" w14:textId="4B565CAE" w:rsidR="00226CFE" w:rsidRPr="005D0ED9" w:rsidRDefault="00F14235" w:rsidP="00BD57C1">
      <w:pPr>
        <w:pStyle w:val="FootnoteText"/>
        <w:spacing w:after="240"/>
        <w:rPr>
          <w:rFonts w:cs="Arial"/>
          <w:sz w:val="20"/>
          <w:szCs w:val="20"/>
        </w:rPr>
      </w:pPr>
      <w:r>
        <w:rPr>
          <w:rFonts w:cs="Arial"/>
          <w:color w:val="000000"/>
          <w:sz w:val="20"/>
          <w:szCs w:val="20"/>
        </w:rPr>
        <w:t xml:space="preserve">As </w:t>
      </w:r>
      <w:r w:rsidR="007430FD">
        <w:rPr>
          <w:rFonts w:cs="Arial"/>
          <w:color w:val="000000"/>
          <w:sz w:val="20"/>
          <w:szCs w:val="20"/>
        </w:rPr>
        <w:t xml:space="preserve">at </w:t>
      </w:r>
      <w:r w:rsidR="00511CED">
        <w:rPr>
          <w:rFonts w:cs="Arial"/>
          <w:color w:val="000000"/>
          <w:sz w:val="20"/>
          <w:szCs w:val="20"/>
        </w:rPr>
        <w:t>30 June 2022, i</w:t>
      </w:r>
      <w:r w:rsidR="00226CFE" w:rsidRPr="005D0ED9">
        <w:rPr>
          <w:rFonts w:cs="Arial"/>
          <w:color w:val="000000"/>
          <w:sz w:val="20"/>
          <w:szCs w:val="20"/>
        </w:rPr>
        <w:t xml:space="preserve">ndustry data from major </w:t>
      </w:r>
      <w:r w:rsidR="00192AA1">
        <w:rPr>
          <w:rFonts w:cs="Arial"/>
          <w:color w:val="000000"/>
          <w:sz w:val="20"/>
          <w:szCs w:val="20"/>
        </w:rPr>
        <w:t>carriage services providers (CSPs)</w:t>
      </w:r>
      <w:r w:rsidR="00226CFE" w:rsidRPr="005D0ED9">
        <w:rPr>
          <w:rFonts w:cs="Arial"/>
          <w:color w:val="000000"/>
          <w:sz w:val="20"/>
          <w:szCs w:val="20"/>
        </w:rPr>
        <w:t xml:space="preserve"> reported 4,388 residential financial hardship customers</w:t>
      </w:r>
      <w:r w:rsidR="005D0ED9">
        <w:rPr>
          <w:rStyle w:val="FootnoteReference"/>
          <w:rFonts w:cs="Arial"/>
          <w:sz w:val="20"/>
          <w:szCs w:val="20"/>
        </w:rPr>
        <w:footnoteReference w:id="2"/>
      </w:r>
      <w:r w:rsidR="00226CFE" w:rsidRPr="005D0ED9">
        <w:rPr>
          <w:rFonts w:cs="Arial"/>
          <w:color w:val="000000"/>
          <w:sz w:val="20"/>
          <w:szCs w:val="20"/>
        </w:rPr>
        <w:t xml:space="preserve">, </w:t>
      </w:r>
      <w:r w:rsidR="00511CED">
        <w:rPr>
          <w:rFonts w:cs="Arial"/>
          <w:color w:val="000000"/>
          <w:sz w:val="20"/>
          <w:szCs w:val="20"/>
        </w:rPr>
        <w:t>in contrast</w:t>
      </w:r>
      <w:r w:rsidR="00226CFE" w:rsidRPr="005D0ED9">
        <w:rPr>
          <w:rFonts w:cs="Arial"/>
          <w:color w:val="000000"/>
          <w:sz w:val="20"/>
          <w:szCs w:val="20"/>
        </w:rPr>
        <w:t xml:space="preserve"> </w:t>
      </w:r>
      <w:r w:rsidR="00511CED">
        <w:rPr>
          <w:rFonts w:cs="Arial"/>
          <w:color w:val="000000"/>
          <w:sz w:val="20"/>
          <w:szCs w:val="20"/>
        </w:rPr>
        <w:t>to</w:t>
      </w:r>
      <w:r w:rsidR="00226CFE" w:rsidRPr="005D0ED9">
        <w:rPr>
          <w:rFonts w:cs="Arial"/>
          <w:color w:val="000000"/>
          <w:sz w:val="20"/>
          <w:szCs w:val="20"/>
        </w:rPr>
        <w:t xml:space="preserve"> an estimated 2.4 million Australian adults </w:t>
      </w:r>
      <w:r w:rsidR="00E92E32">
        <w:rPr>
          <w:rFonts w:cs="Arial"/>
          <w:sz w:val="20"/>
          <w:szCs w:val="20"/>
        </w:rPr>
        <w:t>facing</w:t>
      </w:r>
      <w:r w:rsidR="00184845" w:rsidRPr="009614C0">
        <w:rPr>
          <w:rFonts w:cs="Arial"/>
          <w:sz w:val="20"/>
          <w:szCs w:val="20"/>
        </w:rPr>
        <w:t xml:space="preserve"> financial difficulty or concerned about their telco bill</w:t>
      </w:r>
      <w:r w:rsidR="00184845">
        <w:rPr>
          <w:rFonts w:cs="Arial"/>
          <w:sz w:val="20"/>
          <w:szCs w:val="20"/>
        </w:rPr>
        <w:t xml:space="preserve"> </w:t>
      </w:r>
      <w:r w:rsidR="00226CFE" w:rsidRPr="005D0ED9">
        <w:rPr>
          <w:rFonts w:cs="Arial"/>
          <w:color w:val="000000"/>
          <w:sz w:val="20"/>
          <w:szCs w:val="20"/>
        </w:rPr>
        <w:t>in the preceding 12 months.</w:t>
      </w:r>
      <w:r w:rsidR="00184845">
        <w:rPr>
          <w:rStyle w:val="FootnoteReference"/>
          <w:rFonts w:cs="Arial"/>
          <w:sz w:val="20"/>
          <w:szCs w:val="20"/>
        </w:rPr>
        <w:footnoteReference w:id="3"/>
      </w:r>
      <w:r w:rsidR="00041E12">
        <w:rPr>
          <w:rFonts w:cs="Arial"/>
          <w:color w:val="000000"/>
          <w:sz w:val="20"/>
          <w:szCs w:val="20"/>
        </w:rPr>
        <w:t xml:space="preserve"> </w:t>
      </w:r>
      <w:r w:rsidR="00041E12" w:rsidRPr="00041E12">
        <w:rPr>
          <w:rFonts w:cs="Arial"/>
          <w:color w:val="000000"/>
          <w:sz w:val="20"/>
          <w:szCs w:val="20"/>
        </w:rPr>
        <w:t>Further, industry data during FY2022 indicated that 237,166 residential customers had their services disconnected due to non-payment of their bills.</w:t>
      </w:r>
      <w:r w:rsidR="00BD57C1">
        <w:rPr>
          <w:rStyle w:val="FootnoteReference"/>
          <w:rFonts w:cs="Arial"/>
          <w:color w:val="000000"/>
          <w:sz w:val="20"/>
          <w:szCs w:val="20"/>
        </w:rPr>
        <w:footnoteReference w:id="4"/>
      </w:r>
      <w:r w:rsidR="002F0830">
        <w:rPr>
          <w:rFonts w:cs="Arial"/>
          <w:color w:val="000000"/>
          <w:sz w:val="20"/>
          <w:szCs w:val="20"/>
        </w:rPr>
        <w:t xml:space="preserve"> </w:t>
      </w:r>
      <w:r w:rsidR="00041E12" w:rsidRPr="00041E12">
        <w:rPr>
          <w:rFonts w:cs="Arial"/>
          <w:color w:val="000000"/>
          <w:sz w:val="20"/>
          <w:szCs w:val="20"/>
        </w:rPr>
        <w:t>Customers on a formal financial hardship program are afforded protection from credit management action.</w:t>
      </w:r>
    </w:p>
    <w:p w14:paraId="26C874BE" w14:textId="1D0D231A" w:rsidR="00233FDF" w:rsidRPr="00233FDF" w:rsidRDefault="004F28CD" w:rsidP="00573DDE">
      <w:pPr>
        <w:pStyle w:val="FootnoteText"/>
        <w:spacing w:after="240"/>
        <w:rPr>
          <w:rFonts w:cs="Arial"/>
          <w:sz w:val="20"/>
          <w:szCs w:val="20"/>
        </w:rPr>
      </w:pPr>
      <w:r w:rsidRPr="00233FDF">
        <w:rPr>
          <w:rFonts w:cs="Arial"/>
          <w:sz w:val="20"/>
          <w:szCs w:val="20"/>
        </w:rPr>
        <w:t>Furthermore, t</w:t>
      </w:r>
      <w:r w:rsidR="009614C0" w:rsidRPr="00233FDF">
        <w:rPr>
          <w:rFonts w:cs="Arial"/>
          <w:sz w:val="20"/>
          <w:szCs w:val="20"/>
        </w:rPr>
        <w:t xml:space="preserve">he Financial Hardship </w:t>
      </w:r>
      <w:r w:rsidR="00083B2C">
        <w:rPr>
          <w:rFonts w:cs="Arial"/>
          <w:sz w:val="20"/>
          <w:szCs w:val="20"/>
        </w:rPr>
        <w:t>r</w:t>
      </w:r>
      <w:r w:rsidR="009614C0" w:rsidRPr="00233FDF">
        <w:rPr>
          <w:rFonts w:cs="Arial"/>
          <w:sz w:val="20"/>
          <w:szCs w:val="20"/>
        </w:rPr>
        <w:t>eport</w:t>
      </w:r>
      <w:r w:rsidR="00573DDE" w:rsidRPr="00233FDF">
        <w:rPr>
          <w:rFonts w:cs="Arial"/>
          <w:sz w:val="20"/>
          <w:szCs w:val="20"/>
        </w:rPr>
        <w:t xml:space="preserve"> </w:t>
      </w:r>
      <w:r w:rsidR="007C2B89" w:rsidRPr="00233FDF">
        <w:rPr>
          <w:rFonts w:cs="Arial"/>
          <w:sz w:val="20"/>
          <w:szCs w:val="20"/>
        </w:rPr>
        <w:t xml:space="preserve">highlighted that existing financial hardship support arrangements, when accessed, were neither flexible nor tailored enough to meet individual consumer circumstances. </w:t>
      </w:r>
      <w:r w:rsidR="00233FDF" w:rsidRPr="00233FDF">
        <w:rPr>
          <w:rFonts w:cs="Arial"/>
          <w:sz w:val="20"/>
          <w:szCs w:val="20"/>
        </w:rPr>
        <w:t xml:space="preserve">It also highlighted the </w:t>
      </w:r>
      <w:r w:rsidR="007C2B89" w:rsidRPr="00233FDF">
        <w:rPr>
          <w:rFonts w:cs="Arial"/>
          <w:sz w:val="20"/>
          <w:szCs w:val="20"/>
        </w:rPr>
        <w:t xml:space="preserve">need for CSPs to </w:t>
      </w:r>
      <w:r w:rsidR="00233FDF" w:rsidRPr="00233FDF">
        <w:rPr>
          <w:rFonts w:cs="Arial"/>
          <w:sz w:val="20"/>
          <w:szCs w:val="20"/>
        </w:rPr>
        <w:t xml:space="preserve">do more to </w:t>
      </w:r>
      <w:r w:rsidR="007C2B89" w:rsidRPr="00233FDF">
        <w:rPr>
          <w:rFonts w:cs="Arial"/>
          <w:sz w:val="20"/>
          <w:szCs w:val="20"/>
        </w:rPr>
        <w:t>proactively engage and assist customers in need</w:t>
      </w:r>
      <w:r w:rsidR="00233FDF" w:rsidRPr="00233FDF">
        <w:rPr>
          <w:rFonts w:cs="Arial"/>
          <w:sz w:val="20"/>
          <w:szCs w:val="20"/>
        </w:rPr>
        <w:t>.</w:t>
      </w:r>
    </w:p>
    <w:p w14:paraId="374E8A29" w14:textId="61937870" w:rsidR="00050C54" w:rsidRDefault="00573DDE" w:rsidP="00573DDE">
      <w:pPr>
        <w:pStyle w:val="CommentText"/>
        <w:spacing w:line="240" w:lineRule="atLeast"/>
        <w:rPr>
          <w:rFonts w:cs="Arial"/>
        </w:rPr>
      </w:pPr>
      <w:r w:rsidRPr="00A73EDA">
        <w:rPr>
          <w:rFonts w:cs="Arial"/>
        </w:rPr>
        <w:t xml:space="preserve">The ACMA’s findings align with </w:t>
      </w:r>
      <w:r w:rsidR="00BE3861">
        <w:rPr>
          <w:rFonts w:cs="Arial"/>
        </w:rPr>
        <w:t>concerns</w:t>
      </w:r>
      <w:r w:rsidRPr="00A73EDA">
        <w:rPr>
          <w:rFonts w:cs="Arial"/>
        </w:rPr>
        <w:t xml:space="preserve"> raised in </w:t>
      </w:r>
      <w:r w:rsidR="001035C9">
        <w:rPr>
          <w:rFonts w:cs="Arial"/>
        </w:rPr>
        <w:t xml:space="preserve">the </w:t>
      </w:r>
      <w:r w:rsidRPr="00A73EDA">
        <w:rPr>
          <w:rFonts w:cs="Arial"/>
        </w:rPr>
        <w:t xml:space="preserve">Telecommunications Industry Ombudsman (TIO) report </w:t>
      </w:r>
      <w:r w:rsidRPr="00A73EDA">
        <w:rPr>
          <w:rFonts w:cs="Arial"/>
          <w:i/>
          <w:iCs/>
        </w:rPr>
        <w:t>A time for change – Three years of systemic investigations in review</w:t>
      </w:r>
      <w:r w:rsidRPr="00A73EDA">
        <w:rPr>
          <w:rStyle w:val="FootnoteReference"/>
          <w:rFonts w:cs="Arial"/>
        </w:rPr>
        <w:footnoteReference w:id="5"/>
      </w:r>
      <w:r w:rsidRPr="00A73EDA">
        <w:rPr>
          <w:rFonts w:cs="Arial"/>
        </w:rPr>
        <w:t xml:space="preserve"> and submissions to the current TCP Code</w:t>
      </w:r>
      <w:r w:rsidR="00BE3861">
        <w:rPr>
          <w:rFonts w:cs="Arial"/>
        </w:rPr>
        <w:t xml:space="preserve"> review</w:t>
      </w:r>
      <w:r w:rsidRPr="00A73EDA">
        <w:rPr>
          <w:rFonts w:cs="Arial"/>
        </w:rPr>
        <w:t xml:space="preserve">. </w:t>
      </w:r>
    </w:p>
    <w:p w14:paraId="6E6F3114" w14:textId="113061CF" w:rsidR="00573DDE" w:rsidRPr="00A73EDA" w:rsidRDefault="00050C54" w:rsidP="00573DDE">
      <w:pPr>
        <w:pStyle w:val="CommentText"/>
        <w:spacing w:line="240" w:lineRule="atLeast"/>
        <w:rPr>
          <w:rFonts w:cs="Arial"/>
        </w:rPr>
      </w:pPr>
      <w:r>
        <w:rPr>
          <w:rFonts w:cs="Arial"/>
        </w:rPr>
        <w:t>This information, t</w:t>
      </w:r>
      <w:r w:rsidR="00573DDE" w:rsidRPr="00A73EDA">
        <w:rPr>
          <w:rFonts w:cs="Arial"/>
        </w:rPr>
        <w:t>ogether with feedback from consumer groups and advocates over an extended period</w:t>
      </w:r>
      <w:r>
        <w:rPr>
          <w:rFonts w:cs="Arial"/>
        </w:rPr>
        <w:t>,</w:t>
      </w:r>
      <w:r w:rsidR="00573DDE" w:rsidRPr="00A73EDA">
        <w:rPr>
          <w:rFonts w:cs="Arial"/>
        </w:rPr>
        <w:t xml:space="preserve"> show that the current financial hardship rules in the TCP Code are not working effectively to support consumer</w:t>
      </w:r>
      <w:r w:rsidR="00596299">
        <w:rPr>
          <w:rFonts w:cs="Arial"/>
        </w:rPr>
        <w:t>s</w:t>
      </w:r>
      <w:r>
        <w:rPr>
          <w:rFonts w:cs="Arial"/>
        </w:rPr>
        <w:t xml:space="preserve"> experiencing vulnerability</w:t>
      </w:r>
      <w:r w:rsidR="00573DDE" w:rsidRPr="00A73EDA">
        <w:rPr>
          <w:rFonts w:cs="Arial"/>
        </w:rPr>
        <w:t>.</w:t>
      </w:r>
      <w:r w:rsidR="006740FE">
        <w:rPr>
          <w:rFonts w:cs="Arial"/>
        </w:rPr>
        <w:t xml:space="preserve"> </w:t>
      </w:r>
    </w:p>
    <w:p w14:paraId="3ABAB6BD" w14:textId="05A80D49" w:rsidR="00573DDE" w:rsidRPr="00A73EDA" w:rsidRDefault="002D5770" w:rsidP="00573DDE">
      <w:pPr>
        <w:pStyle w:val="Paragraph"/>
      </w:pPr>
      <w:r>
        <w:t xml:space="preserve">In response, the Minister for </w:t>
      </w:r>
      <w:r w:rsidR="00C155BC">
        <w:t xml:space="preserve">Communications </w:t>
      </w:r>
      <w:r w:rsidR="00573DDE" w:rsidRPr="00A73EDA">
        <w:t>directed</w:t>
      </w:r>
      <w:r w:rsidR="00573DDE" w:rsidRPr="00A73EDA">
        <w:rPr>
          <w:rStyle w:val="FootnoteReference"/>
        </w:rPr>
        <w:footnoteReference w:id="6"/>
      </w:r>
      <w:r w:rsidR="00573DDE" w:rsidRPr="00A73EDA">
        <w:t xml:space="preserve"> the ACMA</w:t>
      </w:r>
      <w:r w:rsidR="00C155BC">
        <w:t xml:space="preserve"> on 6 September 2023</w:t>
      </w:r>
      <w:r w:rsidR="00573DDE" w:rsidRPr="00A73EDA">
        <w:t xml:space="preserve"> to make an industry standard </w:t>
      </w:r>
      <w:r w:rsidR="001035C9">
        <w:t>(the Standard)</w:t>
      </w:r>
      <w:r w:rsidR="001035C9" w:rsidRPr="00A73EDA">
        <w:t xml:space="preserve"> </w:t>
      </w:r>
      <w:r w:rsidR="00573DDE" w:rsidRPr="00A73EDA">
        <w:t>requiring CSPs deal</w:t>
      </w:r>
      <w:r w:rsidR="002E5827">
        <w:t>ing</w:t>
      </w:r>
      <w:r w:rsidR="00573DDE" w:rsidRPr="00A73EDA">
        <w:t xml:space="preserve"> with residential, small business and not-for profit customers to provide appropriate information and support to telecommunications customers experiencing financial hardship</w:t>
      </w:r>
      <w:r w:rsidR="00573DDE">
        <w:t xml:space="preserve"> </w:t>
      </w:r>
      <w:r w:rsidR="001035C9">
        <w:t>.</w:t>
      </w:r>
    </w:p>
    <w:p w14:paraId="28014ED9" w14:textId="39C161FD" w:rsidR="00573DDE" w:rsidRPr="00CA6C65" w:rsidRDefault="00573DDE" w:rsidP="00A8003C">
      <w:pPr>
        <w:pStyle w:val="Paragraph"/>
        <w:widowControl w:val="0"/>
        <w:rPr>
          <w:szCs w:val="20"/>
        </w:rPr>
      </w:pPr>
      <w:r w:rsidRPr="00A73EDA">
        <w:t xml:space="preserve">The </w:t>
      </w:r>
      <w:r w:rsidR="001B07DA">
        <w:t>m</w:t>
      </w:r>
      <w:r w:rsidRPr="00A73EDA">
        <w:t xml:space="preserve">inister’s </w:t>
      </w:r>
      <w:r w:rsidR="001035C9">
        <w:t>direction</w:t>
      </w:r>
      <w:r w:rsidR="001035C9" w:rsidRPr="00A73EDA">
        <w:t xml:space="preserve"> </w:t>
      </w:r>
      <w:r w:rsidR="005415B4">
        <w:t>acknowledges the challenges</w:t>
      </w:r>
      <w:r w:rsidRPr="00A73EDA">
        <w:t xml:space="preserve"> consumers </w:t>
      </w:r>
      <w:r w:rsidR="005415B4">
        <w:t xml:space="preserve">face </w:t>
      </w:r>
      <w:r w:rsidRPr="00A73EDA">
        <w:t>in accessing financial support when need</w:t>
      </w:r>
      <w:r w:rsidR="008E616B">
        <w:t>ed</w:t>
      </w:r>
      <w:r w:rsidR="00050C54">
        <w:t xml:space="preserve">. </w:t>
      </w:r>
      <w:r w:rsidR="00D87BA2">
        <w:t xml:space="preserve">The </w:t>
      </w:r>
      <w:r>
        <w:t>Standard</w:t>
      </w:r>
      <w:r w:rsidRPr="00A73EDA">
        <w:t xml:space="preserve"> </w:t>
      </w:r>
      <w:r w:rsidR="00701271">
        <w:t>aims to enhance</w:t>
      </w:r>
      <w:r w:rsidRPr="00A73EDA">
        <w:t xml:space="preserve"> </w:t>
      </w:r>
      <w:r w:rsidR="00701271">
        <w:t>protections</w:t>
      </w:r>
      <w:r w:rsidRPr="00A73EDA">
        <w:t xml:space="preserve"> for </w:t>
      </w:r>
      <w:r w:rsidR="00D87BA2">
        <w:t xml:space="preserve">these </w:t>
      </w:r>
      <w:r w:rsidRPr="00A73EDA">
        <w:t>consumers</w:t>
      </w:r>
      <w:r w:rsidRPr="00CA6C65">
        <w:rPr>
          <w:szCs w:val="20"/>
        </w:rPr>
        <w:t xml:space="preserve">, </w:t>
      </w:r>
      <w:r w:rsidR="00D65C7F" w:rsidRPr="00CA6C65">
        <w:rPr>
          <w:color w:val="000000"/>
          <w:szCs w:val="20"/>
        </w:rPr>
        <w:t xml:space="preserve">ensuring that </w:t>
      </w:r>
      <w:r w:rsidR="00D87BA2">
        <w:rPr>
          <w:color w:val="000000"/>
          <w:szCs w:val="20"/>
        </w:rPr>
        <w:t xml:space="preserve">all </w:t>
      </w:r>
      <w:r w:rsidR="00D65C7F" w:rsidRPr="00CA6C65">
        <w:rPr>
          <w:color w:val="000000"/>
          <w:szCs w:val="20"/>
        </w:rPr>
        <w:t xml:space="preserve">Australians can stay connected to </w:t>
      </w:r>
      <w:r w:rsidR="001035C9">
        <w:rPr>
          <w:color w:val="000000"/>
          <w:szCs w:val="20"/>
        </w:rPr>
        <w:t xml:space="preserve">increasingly </w:t>
      </w:r>
      <w:r w:rsidR="00D65C7F" w:rsidRPr="00CA6C65">
        <w:rPr>
          <w:color w:val="000000"/>
          <w:szCs w:val="20"/>
        </w:rPr>
        <w:t>essential telecommunications services and receive necessary assistance.</w:t>
      </w:r>
    </w:p>
    <w:p w14:paraId="553A9AAC" w14:textId="77777777" w:rsidR="00573DDE" w:rsidRPr="00317FE4" w:rsidRDefault="00573DDE" w:rsidP="00317FE4">
      <w:pPr>
        <w:pStyle w:val="Heading1"/>
      </w:pPr>
      <w:bookmarkStart w:id="10" w:name="_Toc32833677"/>
      <w:bookmarkStart w:id="11" w:name="_Toc32833734"/>
      <w:bookmarkStart w:id="12" w:name="_Toc32833807"/>
      <w:bookmarkStart w:id="13" w:name="_Toc155685972"/>
      <w:r w:rsidRPr="00317FE4">
        <w:lastRenderedPageBreak/>
        <w:t>Regulatory setting</w:t>
      </w:r>
      <w:bookmarkEnd w:id="10"/>
      <w:bookmarkEnd w:id="11"/>
      <w:bookmarkEnd w:id="12"/>
      <w:bookmarkEnd w:id="13"/>
    </w:p>
    <w:p w14:paraId="444C8908" w14:textId="4B72AD8D" w:rsidR="00573DDE" w:rsidRDefault="00573DDE" w:rsidP="001B07DA">
      <w:pPr>
        <w:pStyle w:val="Paragraph"/>
      </w:pPr>
      <w:r>
        <w:t>The ACMA is</w:t>
      </w:r>
      <w:r w:rsidRPr="008B5193">
        <w:t xml:space="preserve"> an independent Commonwealth statutory authority</w:t>
      </w:r>
      <w:r w:rsidR="00D87BA2">
        <w:t xml:space="preserve"> that</w:t>
      </w:r>
      <w:r w:rsidRPr="008B5193">
        <w:t xml:space="preserve"> regulate</w:t>
      </w:r>
      <w:r w:rsidR="00D87BA2">
        <w:t>s</w:t>
      </w:r>
      <w:r w:rsidRPr="008B5193">
        <w:t xml:space="preserve"> communications and media services in Australia to maximise the economic and social benefits for </w:t>
      </w:r>
      <w:r w:rsidR="00DF50D4">
        <w:t>the nation</w:t>
      </w:r>
      <w:r w:rsidRPr="008B5193">
        <w:t>.</w:t>
      </w:r>
      <w:r>
        <w:t xml:space="preserve"> This includes regulating telecommunications providers.</w:t>
      </w:r>
    </w:p>
    <w:p w14:paraId="5ECC6C99" w14:textId="697F3B2D" w:rsidR="00573DDE" w:rsidRPr="00B55549" w:rsidRDefault="00804950" w:rsidP="001B07DA">
      <w:pPr>
        <w:pStyle w:val="Paragraph"/>
        <w:rPr>
          <w:color w:val="000000"/>
          <w:szCs w:val="20"/>
        </w:rPr>
      </w:pPr>
      <w:r>
        <w:t>The regulatory framework encompasses</w:t>
      </w:r>
      <w:r w:rsidR="00573DDE" w:rsidRPr="007516D7">
        <w:t xml:space="preserve"> </w:t>
      </w:r>
      <w:r w:rsidR="001B07DA">
        <w:t>4</w:t>
      </w:r>
      <w:r w:rsidR="00573DDE" w:rsidRPr="007516D7">
        <w:t xml:space="preserve"> principal </w:t>
      </w:r>
      <w:r w:rsidR="001B07DA">
        <w:t>A</w:t>
      </w:r>
      <w:r w:rsidR="00573DDE" w:rsidRPr="007516D7">
        <w:t>cts</w:t>
      </w:r>
      <w:r w:rsidR="001B07DA">
        <w:t xml:space="preserve"> </w:t>
      </w:r>
      <w:r w:rsidR="001B07DA" w:rsidRPr="001B07DA">
        <w:t xml:space="preserve">– </w:t>
      </w:r>
      <w:r w:rsidR="00573DDE" w:rsidRPr="001B07DA">
        <w:t>th</w:t>
      </w:r>
      <w:r w:rsidR="00573DDE" w:rsidRPr="007516D7">
        <w:t xml:space="preserve">e </w:t>
      </w:r>
      <w:r w:rsidR="00573DDE" w:rsidRPr="001B07DA">
        <w:rPr>
          <w:i/>
          <w:iCs/>
        </w:rPr>
        <w:t>Radiocommunications Act 1992</w:t>
      </w:r>
      <w:r w:rsidR="00573DDE" w:rsidRPr="007516D7">
        <w:t xml:space="preserve">, </w:t>
      </w:r>
      <w:r w:rsidR="001B07DA">
        <w:t xml:space="preserve">the </w:t>
      </w:r>
      <w:r w:rsidR="00573DDE" w:rsidRPr="001B07DA">
        <w:rPr>
          <w:i/>
          <w:iCs/>
        </w:rPr>
        <w:t>Telecommunications (Consumer Protection and Service Standards) Act 1999</w:t>
      </w:r>
      <w:r w:rsidR="00573DDE" w:rsidRPr="007516D7">
        <w:t xml:space="preserve">, </w:t>
      </w:r>
      <w:r w:rsidR="001B07DA">
        <w:t xml:space="preserve">the </w:t>
      </w:r>
      <w:r w:rsidR="00573DDE" w:rsidRPr="001B07DA">
        <w:rPr>
          <w:i/>
          <w:iCs/>
        </w:rPr>
        <w:t>Broadcasting Services Act 1992</w:t>
      </w:r>
      <w:r w:rsidR="00573DDE" w:rsidRPr="007516D7">
        <w:t xml:space="preserve"> </w:t>
      </w:r>
      <w:r w:rsidR="00573DDE" w:rsidRPr="00A6787E">
        <w:t>and the</w:t>
      </w:r>
      <w:r w:rsidR="00573DDE" w:rsidRPr="007516D7">
        <w:t xml:space="preserve"> </w:t>
      </w:r>
      <w:hyperlink r:id="rId28" w:history="1">
        <w:r w:rsidR="00DB68F1" w:rsidRPr="00202798">
          <w:rPr>
            <w:rStyle w:val="Hyperlink"/>
            <w:i/>
            <w:iCs/>
          </w:rPr>
          <w:t>Telecommunications Act 1997</w:t>
        </w:r>
      </w:hyperlink>
      <w:r w:rsidR="00573DDE">
        <w:t xml:space="preserve"> </w:t>
      </w:r>
      <w:r w:rsidR="00573DDE" w:rsidRPr="006F698D">
        <w:t>(the</w:t>
      </w:r>
      <w:r w:rsidR="00573DDE">
        <w:t xml:space="preserve"> Telco</w:t>
      </w:r>
      <w:r w:rsidR="00573DDE" w:rsidRPr="007516D7">
        <w:t xml:space="preserve"> Act</w:t>
      </w:r>
      <w:r w:rsidR="00573DDE">
        <w:t>)</w:t>
      </w:r>
      <w:r w:rsidR="00573DDE" w:rsidRPr="007516D7">
        <w:t>.</w:t>
      </w:r>
      <w:r w:rsidR="00573DDE">
        <w:t xml:space="preserve"> </w:t>
      </w:r>
      <w:r w:rsidR="00A47332">
        <w:t xml:space="preserve">Additionally, the ACMA </w:t>
      </w:r>
      <w:r w:rsidR="00A47332">
        <w:rPr>
          <w:color w:val="000000"/>
          <w:szCs w:val="20"/>
        </w:rPr>
        <w:t>has</w:t>
      </w:r>
      <w:r w:rsidR="00573DDE" w:rsidRPr="008E6D9A">
        <w:rPr>
          <w:color w:val="000000"/>
          <w:szCs w:val="20"/>
        </w:rPr>
        <w:t xml:space="preserve"> responsibilities under the </w:t>
      </w:r>
      <w:r w:rsidR="00573DDE" w:rsidRPr="001B07DA">
        <w:rPr>
          <w:i/>
          <w:iCs/>
          <w:color w:val="000000"/>
          <w:szCs w:val="20"/>
        </w:rPr>
        <w:t>Interactive Gambling Act 2001</w:t>
      </w:r>
      <w:r w:rsidR="00573DDE" w:rsidRPr="008E6D9A">
        <w:rPr>
          <w:color w:val="000000"/>
          <w:szCs w:val="20"/>
        </w:rPr>
        <w:t xml:space="preserve">, the </w:t>
      </w:r>
      <w:r w:rsidR="00573DDE" w:rsidRPr="001B07DA">
        <w:rPr>
          <w:i/>
          <w:iCs/>
          <w:color w:val="000000"/>
          <w:szCs w:val="20"/>
        </w:rPr>
        <w:t>Spam Act 2003</w:t>
      </w:r>
      <w:r w:rsidR="00573DDE" w:rsidRPr="008E6D9A">
        <w:rPr>
          <w:color w:val="000000"/>
          <w:szCs w:val="20"/>
        </w:rPr>
        <w:t xml:space="preserve"> and the </w:t>
      </w:r>
      <w:r w:rsidR="00573DDE" w:rsidRPr="001B07DA">
        <w:rPr>
          <w:i/>
          <w:iCs/>
          <w:color w:val="000000"/>
          <w:szCs w:val="20"/>
        </w:rPr>
        <w:t>Do Not Call Register Act 200</w:t>
      </w:r>
      <w:r w:rsidR="00573DDE" w:rsidRPr="008E6D9A">
        <w:rPr>
          <w:color w:val="000000"/>
          <w:szCs w:val="20"/>
        </w:rPr>
        <w:t>6.</w:t>
      </w:r>
    </w:p>
    <w:p w14:paraId="636F1614" w14:textId="77777777" w:rsidR="00573DDE" w:rsidRPr="00317FE4" w:rsidRDefault="00573DDE" w:rsidP="009E3CF9">
      <w:pPr>
        <w:pStyle w:val="Heading2"/>
      </w:pPr>
      <w:bookmarkStart w:id="14" w:name="_Toc155685973"/>
      <w:r w:rsidRPr="00317FE4">
        <w:t>Current protections for financial hardship</w:t>
      </w:r>
      <w:bookmarkEnd w:id="14"/>
    </w:p>
    <w:p w14:paraId="37AED7B4" w14:textId="5BF1F52A" w:rsidR="00573DDE" w:rsidRDefault="00980812" w:rsidP="00573DDE">
      <w:pPr>
        <w:pStyle w:val="Paragraph"/>
      </w:pPr>
      <w:r>
        <w:t xml:space="preserve">Within this regulatory framework, </w:t>
      </w:r>
      <w:r w:rsidR="00573DDE">
        <w:t xml:space="preserve">CSPs are required to comply with a range of telco-specific rules in the TCP Code that provides consumer safeguards in the areas of sales, service and contracts, billing, credit and debt management and changing suppliers. </w:t>
      </w:r>
    </w:p>
    <w:p w14:paraId="4995F772" w14:textId="39F575E4" w:rsidR="00573DDE" w:rsidRDefault="00573DDE" w:rsidP="00573DDE">
      <w:pPr>
        <w:pStyle w:val="Paragraph"/>
      </w:pPr>
      <w:r>
        <w:t>Financial hardship rules</w:t>
      </w:r>
      <w:r w:rsidR="00EF7C9C">
        <w:t xml:space="preserve"> </w:t>
      </w:r>
      <w:r>
        <w:t xml:space="preserve">set out in Chapter 7 of the TCP Code </w:t>
      </w:r>
      <w:r w:rsidR="006F448D">
        <w:t xml:space="preserve">require </w:t>
      </w:r>
      <w:r>
        <w:t xml:space="preserve">CSPs </w:t>
      </w:r>
      <w:r w:rsidR="006F448D">
        <w:t>to</w:t>
      </w:r>
      <w:r>
        <w:t xml:space="preserve"> provide access to financial hardship assistance</w:t>
      </w:r>
      <w:r w:rsidR="006F448D">
        <w:t xml:space="preserve">. This includes the provision of easily accessible financial </w:t>
      </w:r>
      <w:r>
        <w:t>hardship policies and</w:t>
      </w:r>
      <w:r w:rsidR="00427D32">
        <w:t xml:space="preserve"> options enabling </w:t>
      </w:r>
      <w:r w:rsidR="00A706AC">
        <w:t xml:space="preserve">consumers </w:t>
      </w:r>
      <w:r>
        <w:t xml:space="preserve">to stay connected </w:t>
      </w:r>
      <w:r w:rsidR="00A706AC">
        <w:t>while</w:t>
      </w:r>
      <w:r>
        <w:t xml:space="preserve"> meet</w:t>
      </w:r>
      <w:r w:rsidR="00A706AC">
        <w:t>ing</w:t>
      </w:r>
      <w:r>
        <w:t xml:space="preserve"> financial obligations.</w:t>
      </w:r>
    </w:p>
    <w:p w14:paraId="1942AF33" w14:textId="76AB284B" w:rsidR="00573DDE" w:rsidRDefault="00573DDE" w:rsidP="00573DDE">
      <w:pPr>
        <w:pStyle w:val="Paragraph"/>
      </w:pPr>
      <w:r>
        <w:t xml:space="preserve">There are other general obligations in the TCP Code applicable to financial hardship, including credit management obligations </w:t>
      </w:r>
      <w:r w:rsidDel="00B2221F">
        <w:t>relating to customer</w:t>
      </w:r>
      <w:r>
        <w:t>s</w:t>
      </w:r>
      <w:r w:rsidDel="00B2221F">
        <w:t xml:space="preserve"> experiencing financial hardship </w:t>
      </w:r>
      <w:r>
        <w:t>in Chapter 6.</w:t>
      </w:r>
    </w:p>
    <w:p w14:paraId="2E4808C0" w14:textId="1C08589E" w:rsidR="00573DDE" w:rsidRDefault="00573DDE" w:rsidP="00573DDE">
      <w:pPr>
        <w:pStyle w:val="Heading4"/>
        <w:keepNext/>
        <w:keepLines/>
        <w:spacing w:before="0" w:after="240"/>
        <w:rPr>
          <w:b w:val="0"/>
          <w:bCs/>
          <w:i w:val="0"/>
          <w:iCs/>
          <w:lang w:val="x-none"/>
        </w:rPr>
      </w:pPr>
      <w:r w:rsidRPr="00E5012C">
        <w:rPr>
          <w:b w:val="0"/>
          <w:bCs/>
          <w:i w:val="0"/>
          <w:iCs/>
          <w:lang w:val="en-US"/>
        </w:rPr>
        <w:t xml:space="preserve">The TCP Code </w:t>
      </w:r>
      <w:r w:rsidR="00267D6F">
        <w:rPr>
          <w:b w:val="0"/>
          <w:bCs/>
          <w:i w:val="0"/>
          <w:iCs/>
          <w:lang w:val="en-US"/>
        </w:rPr>
        <w:t>was</w:t>
      </w:r>
      <w:r w:rsidR="00267D6F" w:rsidRPr="00E5012C">
        <w:rPr>
          <w:b w:val="0"/>
          <w:bCs/>
          <w:i w:val="0"/>
          <w:iCs/>
          <w:lang w:val="en-US"/>
        </w:rPr>
        <w:t xml:space="preserve"> </w:t>
      </w:r>
      <w:r w:rsidR="0042398E">
        <w:rPr>
          <w:b w:val="0"/>
          <w:bCs/>
          <w:i w:val="0"/>
          <w:iCs/>
          <w:lang w:val="en-US"/>
        </w:rPr>
        <w:t>developed</w:t>
      </w:r>
      <w:r w:rsidR="0042398E" w:rsidRPr="00E5012C">
        <w:rPr>
          <w:b w:val="0"/>
          <w:bCs/>
          <w:i w:val="0"/>
          <w:iCs/>
          <w:lang w:val="en-US"/>
        </w:rPr>
        <w:t xml:space="preserve"> </w:t>
      </w:r>
      <w:r w:rsidRPr="00E5012C">
        <w:rPr>
          <w:b w:val="0"/>
          <w:bCs/>
          <w:i w:val="0"/>
          <w:iCs/>
          <w:lang w:val="en-US"/>
        </w:rPr>
        <w:t xml:space="preserve">by </w:t>
      </w:r>
      <w:r w:rsidRPr="00E5012C">
        <w:rPr>
          <w:b w:val="0"/>
          <w:bCs/>
          <w:i w:val="0"/>
          <w:iCs/>
          <w:lang w:val="x-none"/>
        </w:rPr>
        <w:t>Communications Alliance, the peak industry body for the telecommunications sector</w:t>
      </w:r>
      <w:r w:rsidR="0042398E">
        <w:rPr>
          <w:b w:val="0"/>
          <w:bCs/>
          <w:i w:val="0"/>
          <w:iCs/>
        </w:rPr>
        <w:t>, for registration by the ACMA</w:t>
      </w:r>
      <w:r w:rsidRPr="00E5012C">
        <w:rPr>
          <w:b w:val="0"/>
          <w:bCs/>
          <w:i w:val="0"/>
          <w:iCs/>
          <w:lang w:val="en-US"/>
        </w:rPr>
        <w:t xml:space="preserve">. </w:t>
      </w:r>
      <w:r w:rsidRPr="00E5012C">
        <w:rPr>
          <w:b w:val="0"/>
          <w:bCs/>
          <w:i w:val="0"/>
          <w:iCs/>
          <w:lang w:val="x-none"/>
        </w:rPr>
        <w:t xml:space="preserve">The </w:t>
      </w:r>
      <w:r w:rsidRPr="00E5012C">
        <w:rPr>
          <w:b w:val="0"/>
          <w:bCs/>
          <w:i w:val="0"/>
          <w:iCs/>
          <w:lang w:val="en-US"/>
        </w:rPr>
        <w:t xml:space="preserve">TCP </w:t>
      </w:r>
      <w:r w:rsidRPr="00E5012C">
        <w:rPr>
          <w:b w:val="0"/>
          <w:bCs/>
          <w:i w:val="0"/>
          <w:iCs/>
          <w:lang w:val="x-none"/>
        </w:rPr>
        <w:t xml:space="preserve">Code is under review </w:t>
      </w:r>
      <w:r w:rsidR="0042398E">
        <w:rPr>
          <w:b w:val="0"/>
          <w:bCs/>
          <w:i w:val="0"/>
          <w:iCs/>
        </w:rPr>
        <w:t xml:space="preserve">at the time of this assessment </w:t>
      </w:r>
      <w:r w:rsidRPr="00E5012C">
        <w:rPr>
          <w:b w:val="0"/>
          <w:bCs/>
          <w:i w:val="0"/>
          <w:iCs/>
          <w:lang w:val="x-none"/>
        </w:rPr>
        <w:t>(</w:t>
      </w:r>
      <w:r w:rsidR="0042398E">
        <w:rPr>
          <w:b w:val="0"/>
          <w:bCs/>
          <w:i w:val="0"/>
          <w:iCs/>
        </w:rPr>
        <w:t xml:space="preserve">and is </w:t>
      </w:r>
      <w:r w:rsidRPr="00E5012C">
        <w:rPr>
          <w:b w:val="0"/>
          <w:bCs/>
          <w:i w:val="0"/>
          <w:iCs/>
          <w:lang w:val="x-none"/>
        </w:rPr>
        <w:t xml:space="preserve">due for completion in </w:t>
      </w:r>
      <w:r w:rsidRPr="00E5012C">
        <w:rPr>
          <w:b w:val="0"/>
          <w:bCs/>
          <w:i w:val="0"/>
          <w:iCs/>
          <w:lang w:val="en-US"/>
        </w:rPr>
        <w:t>mid-to-</w:t>
      </w:r>
      <w:r w:rsidRPr="00E5012C">
        <w:rPr>
          <w:b w:val="0"/>
          <w:bCs/>
          <w:i w:val="0"/>
          <w:iCs/>
          <w:lang w:val="x-none"/>
        </w:rPr>
        <w:t xml:space="preserve">late 2024). </w:t>
      </w:r>
    </w:p>
    <w:p w14:paraId="1C8483B2" w14:textId="77777777" w:rsidR="00573DDE" w:rsidRPr="00AA2E32" w:rsidRDefault="00573DDE" w:rsidP="00317FE4">
      <w:pPr>
        <w:pStyle w:val="Heading2"/>
      </w:pPr>
      <w:bookmarkStart w:id="15" w:name="_Toc155685974"/>
      <w:r w:rsidRPr="00AA2E32">
        <w:t>Regu</w:t>
      </w:r>
      <w:r>
        <w:t>l</w:t>
      </w:r>
      <w:r w:rsidRPr="00AA2E32">
        <w:t>atory framework</w:t>
      </w:r>
      <w:bookmarkEnd w:id="15"/>
    </w:p>
    <w:p w14:paraId="22BD0441" w14:textId="0AA7B04E" w:rsidR="00573DDE" w:rsidRPr="00050FB2" w:rsidRDefault="0042398E" w:rsidP="00573DDE">
      <w:pPr>
        <w:pStyle w:val="Paragraph"/>
        <w:keepNext/>
        <w:keepLines/>
        <w:rPr>
          <w:bCs/>
          <w:iCs/>
        </w:rPr>
      </w:pPr>
      <w:r w:rsidRPr="00050FB2">
        <w:rPr>
          <w:bCs/>
          <w:iCs/>
        </w:rPr>
        <w:t xml:space="preserve">Under Part 6 of the </w:t>
      </w:r>
      <w:r>
        <w:rPr>
          <w:bCs/>
          <w:iCs/>
        </w:rPr>
        <w:t>Telco</w:t>
      </w:r>
      <w:r w:rsidRPr="00050FB2">
        <w:rPr>
          <w:bCs/>
          <w:iCs/>
        </w:rPr>
        <w:t xml:space="preserve"> Act, the options available </w:t>
      </w:r>
      <w:r>
        <w:rPr>
          <w:bCs/>
          <w:iCs/>
        </w:rPr>
        <w:t xml:space="preserve">to the ACMA </w:t>
      </w:r>
      <w:r w:rsidRPr="00050FB2">
        <w:rPr>
          <w:bCs/>
          <w:iCs/>
        </w:rPr>
        <w:t xml:space="preserve">to make obligations enforceable are either </w:t>
      </w:r>
      <w:r>
        <w:rPr>
          <w:bCs/>
          <w:iCs/>
        </w:rPr>
        <w:t xml:space="preserve">via </w:t>
      </w:r>
      <w:r w:rsidRPr="00050FB2">
        <w:rPr>
          <w:bCs/>
          <w:iCs/>
        </w:rPr>
        <w:t>a</w:t>
      </w:r>
      <w:r>
        <w:rPr>
          <w:bCs/>
          <w:iCs/>
        </w:rPr>
        <w:t xml:space="preserve"> registered</w:t>
      </w:r>
      <w:r w:rsidRPr="00050FB2">
        <w:rPr>
          <w:bCs/>
          <w:iCs/>
        </w:rPr>
        <w:t xml:space="preserve"> industry code or an industry standard.</w:t>
      </w:r>
      <w:r w:rsidRPr="00050FB2">
        <w:rPr>
          <w:rStyle w:val="FootnoteReference"/>
          <w:bCs/>
          <w:iCs/>
        </w:rPr>
        <w:footnoteReference w:id="7"/>
      </w:r>
      <w:r>
        <w:rPr>
          <w:bCs/>
          <w:iCs/>
        </w:rPr>
        <w:t xml:space="preserve"> </w:t>
      </w:r>
    </w:p>
    <w:p w14:paraId="4858FB1E" w14:textId="684BE792" w:rsidR="00573DDE" w:rsidRPr="00050FB2" w:rsidRDefault="00573DDE" w:rsidP="00573DDE">
      <w:pPr>
        <w:pStyle w:val="Paragraph"/>
        <w:rPr>
          <w:bCs/>
          <w:iCs/>
        </w:rPr>
      </w:pPr>
      <w:r>
        <w:rPr>
          <w:bCs/>
          <w:iCs/>
        </w:rPr>
        <w:t>The ACMA</w:t>
      </w:r>
      <w:r w:rsidRPr="00050FB2">
        <w:rPr>
          <w:bCs/>
          <w:iCs/>
        </w:rPr>
        <w:t xml:space="preserve"> may call for an industry code to be made providing certain threshold conditions are met or register an industry code if submitted by a body representing the industry (if certain matters are satisfied). </w:t>
      </w:r>
      <w:r w:rsidR="0042398E">
        <w:rPr>
          <w:bCs/>
          <w:iCs/>
        </w:rPr>
        <w:t>The ACMA</w:t>
      </w:r>
      <w:r w:rsidRPr="00050FB2">
        <w:rPr>
          <w:bCs/>
          <w:iCs/>
        </w:rPr>
        <w:t xml:space="preserve"> may determine a standard where a code has been called for and not provided, where a code fails, or, where </w:t>
      </w:r>
      <w:r w:rsidR="0042398E">
        <w:rPr>
          <w:bCs/>
          <w:iCs/>
        </w:rPr>
        <w:t>the ACMA is</w:t>
      </w:r>
      <w:r w:rsidRPr="00050FB2">
        <w:rPr>
          <w:bCs/>
          <w:iCs/>
        </w:rPr>
        <w:t xml:space="preserve"> directed to </w:t>
      </w:r>
      <w:r w:rsidR="0042398E">
        <w:rPr>
          <w:bCs/>
          <w:iCs/>
        </w:rPr>
        <w:t>do so</w:t>
      </w:r>
      <w:r w:rsidRPr="00050FB2">
        <w:rPr>
          <w:bCs/>
          <w:iCs/>
        </w:rPr>
        <w:t xml:space="preserve"> by the minister administering the </w:t>
      </w:r>
      <w:r>
        <w:rPr>
          <w:bCs/>
          <w:iCs/>
        </w:rPr>
        <w:t>Telco</w:t>
      </w:r>
      <w:r w:rsidRPr="00050FB2">
        <w:rPr>
          <w:bCs/>
          <w:iCs/>
        </w:rPr>
        <w:t xml:space="preserve"> Act.</w:t>
      </w:r>
    </w:p>
    <w:p w14:paraId="18A68F02" w14:textId="233C2258" w:rsidR="00573DDE" w:rsidRPr="00050FB2" w:rsidRDefault="00573DDE" w:rsidP="00573DDE">
      <w:pPr>
        <w:pStyle w:val="Paragraph"/>
        <w:rPr>
          <w:bCs/>
          <w:iCs/>
        </w:rPr>
      </w:pPr>
      <w:r>
        <w:rPr>
          <w:bCs/>
          <w:iCs/>
        </w:rPr>
        <w:t>Ob</w:t>
      </w:r>
      <w:r w:rsidRPr="00050FB2">
        <w:rPr>
          <w:bCs/>
          <w:iCs/>
        </w:rPr>
        <w:t xml:space="preserve">ligations </w:t>
      </w:r>
      <w:r w:rsidR="0042398E">
        <w:rPr>
          <w:bCs/>
          <w:iCs/>
        </w:rPr>
        <w:t>contained in</w:t>
      </w:r>
      <w:r w:rsidRPr="00050FB2">
        <w:rPr>
          <w:bCs/>
          <w:iCs/>
        </w:rPr>
        <w:t xml:space="preserve"> an industry code provide the ACMA with initial enforcement powers to give formal warnings or directions to comply with the code. Civil penalties can then be pursued through the Federal Court or an infringement notice issued if a direction to comply is then breached (under Part 31 of the </w:t>
      </w:r>
      <w:r>
        <w:rPr>
          <w:bCs/>
          <w:iCs/>
        </w:rPr>
        <w:t>Telco</w:t>
      </w:r>
      <w:r w:rsidRPr="00050FB2">
        <w:rPr>
          <w:bCs/>
          <w:iCs/>
        </w:rPr>
        <w:t xml:space="preserve"> Act). If an industry code proves deficient</w:t>
      </w:r>
      <w:r w:rsidR="0042398E">
        <w:rPr>
          <w:bCs/>
          <w:iCs/>
        </w:rPr>
        <w:t xml:space="preserve"> or is not developed by industry</w:t>
      </w:r>
      <w:r w:rsidRPr="00050FB2">
        <w:rPr>
          <w:bCs/>
          <w:iCs/>
        </w:rPr>
        <w:t xml:space="preserve">, then an industry standard </w:t>
      </w:r>
      <w:r w:rsidR="0042398E">
        <w:rPr>
          <w:bCs/>
          <w:iCs/>
        </w:rPr>
        <w:t>can</w:t>
      </w:r>
      <w:r w:rsidR="0042398E" w:rsidRPr="00050FB2">
        <w:rPr>
          <w:bCs/>
          <w:iCs/>
        </w:rPr>
        <w:t xml:space="preserve"> </w:t>
      </w:r>
      <w:r w:rsidRPr="00050FB2">
        <w:rPr>
          <w:bCs/>
          <w:iCs/>
        </w:rPr>
        <w:t>be considered (section 125)</w:t>
      </w:r>
      <w:r w:rsidR="0042398E">
        <w:rPr>
          <w:bCs/>
          <w:iCs/>
        </w:rPr>
        <w:t>. If directed</w:t>
      </w:r>
      <w:r w:rsidRPr="00050FB2">
        <w:rPr>
          <w:bCs/>
          <w:iCs/>
        </w:rPr>
        <w:t xml:space="preserve"> </w:t>
      </w:r>
      <w:r w:rsidR="0042398E">
        <w:rPr>
          <w:bCs/>
          <w:iCs/>
        </w:rPr>
        <w:t xml:space="preserve">by the </w:t>
      </w:r>
      <w:r w:rsidR="001B07DA">
        <w:rPr>
          <w:bCs/>
          <w:iCs/>
        </w:rPr>
        <w:t>m</w:t>
      </w:r>
      <w:r w:rsidR="0042398E">
        <w:rPr>
          <w:bCs/>
          <w:iCs/>
        </w:rPr>
        <w:t>inister, the ACMA must make a standard</w:t>
      </w:r>
      <w:r w:rsidRPr="00050FB2">
        <w:rPr>
          <w:bCs/>
          <w:iCs/>
        </w:rPr>
        <w:t xml:space="preserve"> (subsection 125AA (4) of the </w:t>
      </w:r>
      <w:r>
        <w:rPr>
          <w:bCs/>
          <w:iCs/>
        </w:rPr>
        <w:t>Telco</w:t>
      </w:r>
      <w:r w:rsidRPr="00050FB2">
        <w:rPr>
          <w:bCs/>
          <w:iCs/>
        </w:rPr>
        <w:t xml:space="preserve"> Act</w:t>
      </w:r>
      <w:r w:rsidR="0042398E">
        <w:rPr>
          <w:bCs/>
          <w:iCs/>
        </w:rPr>
        <w:t>)</w:t>
      </w:r>
      <w:r w:rsidRPr="00050FB2">
        <w:rPr>
          <w:bCs/>
          <w:iCs/>
        </w:rPr>
        <w:t>.</w:t>
      </w:r>
    </w:p>
    <w:p w14:paraId="48C902CA" w14:textId="0399A4EF" w:rsidR="00573DDE" w:rsidRPr="00050FB2" w:rsidRDefault="00573DDE" w:rsidP="00573DDE">
      <w:r>
        <w:lastRenderedPageBreak/>
        <w:t xml:space="preserve">The ACMA and the </w:t>
      </w:r>
      <w:r w:rsidR="001B07DA">
        <w:t>m</w:t>
      </w:r>
      <w:r>
        <w:t xml:space="preserve">inister </w:t>
      </w:r>
      <w:r w:rsidRPr="00050FB2">
        <w:t xml:space="preserve">also </w:t>
      </w:r>
      <w:r>
        <w:t>ha</w:t>
      </w:r>
      <w:r w:rsidR="00EC571E">
        <w:t>ve</w:t>
      </w:r>
      <w:r w:rsidRPr="00050FB2">
        <w:t xml:space="preserve"> powers to make a service provider determination under section 99</w:t>
      </w:r>
      <w:r>
        <w:t xml:space="preserve"> and section 99(1A) </w:t>
      </w:r>
      <w:r w:rsidRPr="00050FB2">
        <w:t xml:space="preserve">of the </w:t>
      </w:r>
      <w:r>
        <w:t>Telco</w:t>
      </w:r>
      <w:r w:rsidRPr="00050FB2">
        <w:t xml:space="preserve"> Act</w:t>
      </w:r>
      <w:r>
        <w:t xml:space="preserve"> respectively</w:t>
      </w:r>
      <w:r w:rsidRPr="00050FB2">
        <w:t xml:space="preserve"> that applies to certain service providers in relation to the interests of customers.</w:t>
      </w:r>
    </w:p>
    <w:p w14:paraId="627CC8A9" w14:textId="77777777" w:rsidR="00573DDE" w:rsidRPr="00050FB2" w:rsidRDefault="00573DDE" w:rsidP="00573DDE">
      <w:pPr>
        <w:pStyle w:val="Paragraphbeforelist"/>
      </w:pPr>
      <w:r w:rsidRPr="00050FB2">
        <w:t>If a standard</w:t>
      </w:r>
      <w:r>
        <w:t xml:space="preserve"> or service provider determination</w:t>
      </w:r>
      <w:r w:rsidRPr="00050FB2">
        <w:t xml:space="preserve"> is contravened, the ACMA may:</w:t>
      </w:r>
    </w:p>
    <w:p w14:paraId="682AEDF5" w14:textId="77777777" w:rsidR="00573DDE" w:rsidRPr="00050FB2" w:rsidRDefault="00573DDE" w:rsidP="00573DDE">
      <w:pPr>
        <w:pStyle w:val="ListBullet"/>
        <w:tabs>
          <w:tab w:val="num" w:pos="295"/>
        </w:tabs>
        <w:ind w:left="295" w:hanging="295"/>
      </w:pPr>
      <w:r w:rsidRPr="00050FB2">
        <w:t>issue a formal warning</w:t>
      </w:r>
    </w:p>
    <w:p w14:paraId="51F7C5CA" w14:textId="77777777" w:rsidR="00573DDE" w:rsidRPr="00050FB2" w:rsidRDefault="00573DDE" w:rsidP="00573DDE">
      <w:pPr>
        <w:pStyle w:val="ListBullet"/>
        <w:tabs>
          <w:tab w:val="num" w:pos="295"/>
        </w:tabs>
        <w:ind w:left="295" w:hanging="295"/>
      </w:pPr>
      <w:r w:rsidRPr="00050FB2">
        <w:t>give a remedial direction</w:t>
      </w:r>
    </w:p>
    <w:p w14:paraId="296BC4E7" w14:textId="77777777" w:rsidR="00573DDE" w:rsidRPr="00050FB2" w:rsidRDefault="00573DDE" w:rsidP="00573DDE">
      <w:pPr>
        <w:pStyle w:val="ListBullet"/>
        <w:tabs>
          <w:tab w:val="num" w:pos="295"/>
        </w:tabs>
        <w:ind w:left="295" w:hanging="295"/>
      </w:pPr>
      <w:r w:rsidRPr="00050FB2">
        <w:t>accept an enforceable undertaking</w:t>
      </w:r>
    </w:p>
    <w:p w14:paraId="266DA8B0" w14:textId="77777777" w:rsidR="00573DDE" w:rsidRPr="00050FB2" w:rsidRDefault="00573DDE" w:rsidP="00573DDE">
      <w:pPr>
        <w:pStyle w:val="ListBullet"/>
        <w:tabs>
          <w:tab w:val="num" w:pos="295"/>
        </w:tabs>
        <w:ind w:left="295" w:hanging="295"/>
      </w:pPr>
      <w:r w:rsidRPr="00050FB2">
        <w:t>give an infringement notice</w:t>
      </w:r>
    </w:p>
    <w:p w14:paraId="57ED2873" w14:textId="77777777" w:rsidR="00573DDE" w:rsidRPr="00050FB2" w:rsidRDefault="00573DDE" w:rsidP="00573DDE">
      <w:pPr>
        <w:pStyle w:val="ListBullet"/>
        <w:tabs>
          <w:tab w:val="num" w:pos="295"/>
        </w:tabs>
        <w:ind w:left="295" w:hanging="295"/>
      </w:pPr>
      <w:r w:rsidRPr="00050FB2">
        <w:t xml:space="preserve">seek an injunction in the Federal Court </w:t>
      </w:r>
      <w:r>
        <w:t>to</w:t>
      </w:r>
      <w:r w:rsidRPr="00050FB2">
        <w:t xml:space="preserve"> compel the person to act or refrain from acting in a particular way</w:t>
      </w:r>
    </w:p>
    <w:p w14:paraId="4035ACAD" w14:textId="77777777" w:rsidR="00573DDE" w:rsidRPr="00050FB2" w:rsidRDefault="00573DDE" w:rsidP="00573DDE">
      <w:pPr>
        <w:pStyle w:val="ListBulletLast"/>
        <w:tabs>
          <w:tab w:val="num" w:pos="295"/>
        </w:tabs>
        <w:ind w:left="295" w:hanging="295"/>
      </w:pPr>
      <w:r w:rsidRPr="00050FB2">
        <w:t>seek civil penalties via Federal Court proceedings (up to $50,000 for a person and $250,000 for a body corporate per contravention).</w:t>
      </w:r>
    </w:p>
    <w:p w14:paraId="662E4E13" w14:textId="77777777" w:rsidR="00573DDE" w:rsidRPr="00317FE4" w:rsidRDefault="00573DDE" w:rsidP="00317FE4">
      <w:pPr>
        <w:pStyle w:val="Heading2"/>
      </w:pPr>
      <w:bookmarkStart w:id="16" w:name="_Toc155685975"/>
      <w:r w:rsidRPr="00317FE4">
        <w:t>Reporting and compliance</w:t>
      </w:r>
      <w:bookmarkEnd w:id="16"/>
    </w:p>
    <w:p w14:paraId="197617F4" w14:textId="734ED841" w:rsidR="00573DDE" w:rsidRDefault="00573DDE" w:rsidP="00317FE4">
      <w:pPr>
        <w:pStyle w:val="Paragraphbeforelist"/>
      </w:pPr>
      <w:r>
        <w:t>The ACMA enforces compliance with telecommunications regulations. Protecting vulnerable customers, including those experiencing financial hardship is one of the ACMA’s 2023-24 compliance priorities</w:t>
      </w:r>
      <w:r>
        <w:rPr>
          <w:rStyle w:val="FootnoteReference"/>
        </w:rPr>
        <w:footnoteReference w:id="8"/>
      </w:r>
      <w:r>
        <w:t xml:space="preserve">. It was also an ACMA compliance priority in </w:t>
      </w:r>
      <w:r w:rsidR="007B5360">
        <w:t>2022–23</w:t>
      </w:r>
      <w:r>
        <w:t xml:space="preserve">. </w:t>
      </w:r>
      <w:r w:rsidR="00D91A97">
        <w:t>Under this</w:t>
      </w:r>
      <w:r>
        <w:t xml:space="preserve"> priority</w:t>
      </w:r>
      <w:r w:rsidR="00D91A97">
        <w:t>, the ACMA</w:t>
      </w:r>
      <w:r>
        <w:t xml:space="preserve"> focuses on protecting telecommunications customers experiencing financial hardship and making sure providers of telecommunications services comply with their obligations, especially those relating to the disconnection of services. It has involved the following activities: </w:t>
      </w:r>
    </w:p>
    <w:p w14:paraId="6281B871" w14:textId="77777777" w:rsidR="00573DDE" w:rsidRPr="00AF2010" w:rsidRDefault="00573DDE" w:rsidP="00096F4B">
      <w:pPr>
        <w:pStyle w:val="ListBullet"/>
        <w:tabs>
          <w:tab w:val="num" w:pos="295"/>
        </w:tabs>
        <w:ind w:left="295" w:hanging="295"/>
      </w:pPr>
      <w:r w:rsidRPr="00AF2010">
        <w:t>research to better understand the consumer experience</w:t>
      </w:r>
    </w:p>
    <w:p w14:paraId="258DA7DC" w14:textId="591E0169" w:rsidR="00573DDE" w:rsidRPr="00AF2010" w:rsidRDefault="00573DDE" w:rsidP="00096F4B">
      <w:pPr>
        <w:pStyle w:val="ListBullet"/>
        <w:tabs>
          <w:tab w:val="num" w:pos="295"/>
        </w:tabs>
        <w:ind w:left="295" w:hanging="295"/>
      </w:pPr>
      <w:r w:rsidRPr="00AF2010">
        <w:t xml:space="preserve">industry information to better understand </w:t>
      </w:r>
      <w:r w:rsidR="007942AD">
        <w:t>CSP</w:t>
      </w:r>
      <w:r w:rsidRPr="00AF2010">
        <w:t xml:space="preserve"> practices when dealing with customers experiencing financial hardship </w:t>
      </w:r>
    </w:p>
    <w:p w14:paraId="466D7079" w14:textId="77777777" w:rsidR="00573DDE" w:rsidRPr="00AF2010" w:rsidRDefault="00573DDE" w:rsidP="00096F4B">
      <w:pPr>
        <w:pStyle w:val="ListBullet"/>
        <w:tabs>
          <w:tab w:val="num" w:pos="295"/>
        </w:tabs>
        <w:ind w:left="295" w:hanging="295"/>
      </w:pPr>
      <w:r w:rsidRPr="00AF2010">
        <w:t>an audit of compliance with rules related to financial hardship and disconnection in the TCP Code</w:t>
      </w:r>
    </w:p>
    <w:p w14:paraId="6F80ABB8" w14:textId="77777777" w:rsidR="00573DDE" w:rsidRPr="00AF2010" w:rsidRDefault="00573DDE" w:rsidP="00096F4B">
      <w:pPr>
        <w:pStyle w:val="ListBullet"/>
        <w:tabs>
          <w:tab w:val="num" w:pos="295"/>
        </w:tabs>
        <w:ind w:left="295" w:hanging="295"/>
      </w:pPr>
      <w:r>
        <w:t>investigating and t</w:t>
      </w:r>
      <w:r w:rsidRPr="00AF2010">
        <w:t>aking action against 8 CSPs</w:t>
      </w:r>
      <w:r w:rsidRPr="00BD5EAC">
        <w:rPr>
          <w:vertAlign w:val="superscript"/>
        </w:rPr>
        <w:footnoteReference w:id="9"/>
      </w:r>
      <w:r w:rsidRPr="00AF2010">
        <w:t xml:space="preserve"> after they failed to provide adequate safeguards that would help customers avoid service restrictions, suspensions or disconnections</w:t>
      </w:r>
    </w:p>
    <w:p w14:paraId="3648A2E9" w14:textId="4F6D9F11" w:rsidR="00573DDE" w:rsidRPr="00D91A97" w:rsidRDefault="00573DDE" w:rsidP="00096F4B">
      <w:pPr>
        <w:pStyle w:val="ListBullet"/>
        <w:tabs>
          <w:tab w:val="num" w:pos="295"/>
        </w:tabs>
        <w:spacing w:after="240"/>
        <w:ind w:left="295" w:hanging="295"/>
      </w:pPr>
      <w:r w:rsidRPr="00D91A97">
        <w:t xml:space="preserve">an education campaign </w:t>
      </w:r>
      <w:r w:rsidR="009F6DEC" w:rsidRPr="00D91A97">
        <w:t xml:space="preserve">aiming </w:t>
      </w:r>
      <w:r w:rsidRPr="00D91A97">
        <w:t>to raise consumer awareness of financial hardship programs and protections</w:t>
      </w:r>
      <w:r w:rsidRPr="00BD5EAC">
        <w:rPr>
          <w:vertAlign w:val="subscript"/>
        </w:rPr>
        <w:footnoteReference w:id="10"/>
      </w:r>
      <w:r w:rsidRPr="00D91A97">
        <w:t>.</w:t>
      </w:r>
    </w:p>
    <w:p w14:paraId="1B9EA23C" w14:textId="073C5369" w:rsidR="00573DDE" w:rsidRPr="00364BAB" w:rsidRDefault="00573DDE" w:rsidP="00573DDE">
      <w:r w:rsidRPr="00364BAB">
        <w:t>Four years ago,</w:t>
      </w:r>
      <w:r w:rsidR="00716143">
        <w:t xml:space="preserve"> the ACMA initiated annual </w:t>
      </w:r>
      <w:r w:rsidR="00716143" w:rsidRPr="00B32E74">
        <w:rPr>
          <w:i/>
          <w:iCs/>
        </w:rPr>
        <w:t>State of Play</w:t>
      </w:r>
      <w:r w:rsidR="00716143" w:rsidRPr="00364BAB">
        <w:t xml:space="preserve"> re</w:t>
      </w:r>
      <w:r w:rsidR="00716143" w:rsidRPr="00083B2C">
        <w:t>ports</w:t>
      </w:r>
      <w:r w:rsidR="00716143" w:rsidRPr="00083B2C">
        <w:rPr>
          <w:rStyle w:val="FootnoteReference"/>
        </w:rPr>
        <w:footnoteReference w:id="11"/>
      </w:r>
      <w:r w:rsidR="00716143" w:rsidRPr="00083B2C">
        <w:t>, hig</w:t>
      </w:r>
      <w:r w:rsidR="00716143">
        <w:t>hlighting</w:t>
      </w:r>
      <w:r w:rsidRPr="00364BAB">
        <w:t xml:space="preserve"> the importance of financial hardship in the </w:t>
      </w:r>
      <w:r w:rsidR="004A1D33" w:rsidRPr="00364BAB">
        <w:t>telecommunications</w:t>
      </w:r>
      <w:r w:rsidRPr="00364BAB">
        <w:t xml:space="preserve"> sector</w:t>
      </w:r>
      <w:r w:rsidR="00716143">
        <w:t xml:space="preserve">. </w:t>
      </w:r>
      <w:r w:rsidRPr="00364BAB">
        <w:t>Informed by research, compliance activities and industry reporting, the</w:t>
      </w:r>
      <w:r>
        <w:t xml:space="preserve"> Financial Hardship </w:t>
      </w:r>
      <w:r w:rsidR="00083B2C">
        <w:t>r</w:t>
      </w:r>
      <w:r>
        <w:t xml:space="preserve">eport </w:t>
      </w:r>
      <w:r w:rsidRPr="00364BAB">
        <w:t xml:space="preserve">built on this previous work to determine whether safeguards are providing appropriate support to consumers in vulnerable circumstances. </w:t>
      </w:r>
    </w:p>
    <w:p w14:paraId="577516C0" w14:textId="39461FB1" w:rsidR="00905A01" w:rsidRPr="007514EA" w:rsidRDefault="00573DDE" w:rsidP="007514EA">
      <w:pPr>
        <w:rPr>
          <w:rFonts w:cs="Arial"/>
          <w:szCs w:val="20"/>
        </w:rPr>
      </w:pPr>
      <w:r w:rsidRPr="00C2218E">
        <w:rPr>
          <w:szCs w:val="20"/>
        </w:rPr>
        <w:t xml:space="preserve">The Financial Hardship </w:t>
      </w:r>
      <w:r w:rsidR="00083B2C">
        <w:rPr>
          <w:szCs w:val="20"/>
        </w:rPr>
        <w:t>r</w:t>
      </w:r>
      <w:r w:rsidRPr="00C2218E">
        <w:rPr>
          <w:szCs w:val="20"/>
        </w:rPr>
        <w:t xml:space="preserve">eport complements the ACMA’s </w:t>
      </w:r>
      <w:hyperlink r:id="rId29" w:history="1">
        <w:r w:rsidR="00C2218E" w:rsidRPr="00C2218E">
          <w:rPr>
            <w:rStyle w:val="Hyperlink"/>
            <w:szCs w:val="20"/>
          </w:rPr>
          <w:t xml:space="preserve">Consumer vulnerability: expectations for the telecommunications industry </w:t>
        </w:r>
      </w:hyperlink>
      <w:r w:rsidR="00B738B9" w:rsidRPr="00B738B9">
        <w:rPr>
          <w:szCs w:val="20"/>
        </w:rPr>
        <w:t>(S</w:t>
      </w:r>
      <w:r w:rsidRPr="00B738B9">
        <w:rPr>
          <w:szCs w:val="20"/>
        </w:rPr>
        <w:t>tatement of Expectation</w:t>
      </w:r>
      <w:r w:rsidR="00C2218E" w:rsidRPr="00B738B9">
        <w:rPr>
          <w:szCs w:val="20"/>
        </w:rPr>
        <w:t>s</w:t>
      </w:r>
      <w:r w:rsidR="00905A01" w:rsidRPr="00B738B9">
        <w:rPr>
          <w:szCs w:val="20"/>
        </w:rPr>
        <w:t>)</w:t>
      </w:r>
      <w:r w:rsidR="005A1281">
        <w:rPr>
          <w:szCs w:val="20"/>
        </w:rPr>
        <w:t>, released in May 2022</w:t>
      </w:r>
      <w:r w:rsidR="00B3180D" w:rsidRPr="00411D66">
        <w:rPr>
          <w:rFonts w:cs="Arial"/>
          <w:szCs w:val="20"/>
        </w:rPr>
        <w:t xml:space="preserve">, which </w:t>
      </w:r>
      <w:r w:rsidR="00411D66" w:rsidRPr="00411D66">
        <w:rPr>
          <w:rFonts w:cs="Arial"/>
          <w:szCs w:val="20"/>
        </w:rPr>
        <w:t xml:space="preserve">sets </w:t>
      </w:r>
      <w:r w:rsidR="002D2544">
        <w:rPr>
          <w:rFonts w:cs="Arial"/>
          <w:szCs w:val="20"/>
        </w:rPr>
        <w:t>out detailed expectations</w:t>
      </w:r>
      <w:r w:rsidR="00411D66" w:rsidRPr="00411D66">
        <w:rPr>
          <w:rFonts w:cs="Arial"/>
          <w:szCs w:val="20"/>
        </w:rPr>
        <w:t xml:space="preserve"> for CSPs dealing with consumers experiencing vulnerability, covering all </w:t>
      </w:r>
      <w:r w:rsidR="00411D66" w:rsidRPr="007514EA">
        <w:t>aspects</w:t>
      </w:r>
      <w:r w:rsidR="00411D66" w:rsidRPr="00411D66">
        <w:rPr>
          <w:rFonts w:cs="Arial"/>
          <w:szCs w:val="20"/>
        </w:rPr>
        <w:t xml:space="preserve"> of customer interaction, including financial hardship support.</w:t>
      </w:r>
    </w:p>
    <w:p w14:paraId="51604791" w14:textId="58740DA7" w:rsidR="00092188" w:rsidRDefault="00092188" w:rsidP="00EA25C8">
      <w:pPr>
        <w:pStyle w:val="Paragraph"/>
        <w:rPr>
          <w:szCs w:val="20"/>
        </w:rPr>
      </w:pPr>
      <w:r>
        <w:lastRenderedPageBreak/>
        <w:t xml:space="preserve">The ACMA also released a </w:t>
      </w:r>
      <w:r w:rsidR="00A97167">
        <w:t xml:space="preserve">related </w:t>
      </w:r>
      <w:r>
        <w:t>position paper for the telecommunications sector in July 2023,</w:t>
      </w:r>
      <w:r w:rsidR="00773AF8">
        <w:t xml:space="preserve"> </w:t>
      </w:r>
      <w:hyperlink r:id="rId30" w:history="1">
        <w:r w:rsidR="0095602A" w:rsidRPr="009C40BC">
          <w:rPr>
            <w:rStyle w:val="Hyperlink"/>
            <w:i/>
            <w:iCs/>
          </w:rPr>
          <w:t>What consumers want – Consumer expectations for telecommunications safeguards</w:t>
        </w:r>
      </w:hyperlink>
      <w:r w:rsidR="0095602A" w:rsidRPr="00602FCE">
        <w:t xml:space="preserve"> </w:t>
      </w:r>
      <w:r w:rsidR="0095602A">
        <w:t>(What C</w:t>
      </w:r>
      <w:r w:rsidR="0095602A" w:rsidRPr="00E83EEF">
        <w:rPr>
          <w:szCs w:val="20"/>
        </w:rPr>
        <w:t>onsumers Want paper)</w:t>
      </w:r>
      <w:r w:rsidR="00E83EEF" w:rsidRPr="00E83EEF">
        <w:rPr>
          <w:szCs w:val="20"/>
        </w:rPr>
        <w:t xml:space="preserve">, </w:t>
      </w:r>
      <w:r w:rsidR="00BC379B" w:rsidRPr="00E83EEF">
        <w:rPr>
          <w:szCs w:val="20"/>
        </w:rPr>
        <w:t>evaluating the effectiveness of the TCP Code in providing consumer safeguards. The paper identified areas, including financial difficulty, where substantial improvements are needed to meet consumer expectations</w:t>
      </w:r>
      <w:r w:rsidRPr="00E83EEF">
        <w:rPr>
          <w:szCs w:val="20"/>
        </w:rPr>
        <w:t>.</w:t>
      </w:r>
    </w:p>
    <w:p w14:paraId="2F651D7B" w14:textId="222CDE67" w:rsidR="00952F1B" w:rsidRDefault="00952F1B" w:rsidP="00952F1B">
      <w:r>
        <w:t>T</w:t>
      </w:r>
      <w:r w:rsidRPr="00E21DBC">
        <w:t xml:space="preserve">he ACMA </w:t>
      </w:r>
      <w:r>
        <w:t xml:space="preserve">convenes the </w:t>
      </w:r>
      <w:hyperlink r:id="rId31" w:history="1">
        <w:r w:rsidRPr="000F2E41">
          <w:rPr>
            <w:rStyle w:val="Hyperlink"/>
          </w:rPr>
          <w:t>Consumer Consultative Forum</w:t>
        </w:r>
      </w:hyperlink>
      <w:r>
        <w:t xml:space="preserve"> (</w:t>
      </w:r>
      <w:r w:rsidRPr="00E21DBC">
        <w:t>CCF</w:t>
      </w:r>
      <w:r>
        <w:t>)</w:t>
      </w:r>
      <w:r w:rsidRPr="00E21DBC">
        <w:t xml:space="preserve"> under</w:t>
      </w:r>
      <w:r>
        <w:t xml:space="preserve"> </w:t>
      </w:r>
      <w:r w:rsidRPr="00E21DBC">
        <w:t xml:space="preserve">section 59 of the </w:t>
      </w:r>
      <w:r w:rsidRPr="00A8110E">
        <w:rPr>
          <w:i/>
          <w:iCs/>
        </w:rPr>
        <w:t>Australian Communications and Media Authority Act 2005</w:t>
      </w:r>
      <w:r w:rsidR="00FD5C7D">
        <w:t xml:space="preserve">. It is </w:t>
      </w:r>
      <w:r>
        <w:t>a key advisory group that brings together consumer organisations, the tel</w:t>
      </w:r>
      <w:r w:rsidR="00D84A4D">
        <w:t>e</w:t>
      </w:r>
      <w:r>
        <w:t>co</w:t>
      </w:r>
      <w:r w:rsidR="00FD5C7D">
        <w:t>mmunications</w:t>
      </w:r>
      <w:r>
        <w:t xml:space="preserve"> industry and government to examine issues affecting telecommunications users.</w:t>
      </w:r>
      <w:r w:rsidR="002D2544">
        <w:t xml:space="preserve"> The views and feedback from representatives have informed the ACMA publications noted above, and the development of the </w:t>
      </w:r>
      <w:r w:rsidR="001035C9">
        <w:t>S</w:t>
      </w:r>
      <w:r w:rsidR="002D2544">
        <w:t>tandard.</w:t>
      </w:r>
    </w:p>
    <w:p w14:paraId="2EBA33B8" w14:textId="34B9783D" w:rsidR="009C041B" w:rsidRDefault="00380EFD" w:rsidP="00573DDE">
      <w:r>
        <w:t xml:space="preserve">Other key </w:t>
      </w:r>
      <w:r w:rsidR="009C041B">
        <w:t xml:space="preserve">agencies with relevant </w:t>
      </w:r>
      <w:r w:rsidR="002C2DEB">
        <w:t xml:space="preserve">regulatory </w:t>
      </w:r>
      <w:r w:rsidR="009C041B">
        <w:t xml:space="preserve">responsibilities </w:t>
      </w:r>
      <w:r w:rsidR="002C2DEB">
        <w:t>include</w:t>
      </w:r>
      <w:r w:rsidR="007B2D26">
        <w:t xml:space="preserve">s the </w:t>
      </w:r>
      <w:r w:rsidR="00065C6B">
        <w:t xml:space="preserve">Australian Competition and Consumer Commission (the ACCC) </w:t>
      </w:r>
      <w:r w:rsidR="007B2D26">
        <w:t xml:space="preserve">as the Commonwealth </w:t>
      </w:r>
      <w:r w:rsidR="000A4DC9">
        <w:t>competition and consumer regulator and the TIO</w:t>
      </w:r>
      <w:r w:rsidR="00065C6B">
        <w:t>.</w:t>
      </w:r>
    </w:p>
    <w:p w14:paraId="6132DE29" w14:textId="746F9AA6" w:rsidR="00573DDE" w:rsidRPr="00CC29CB" w:rsidRDefault="00573DDE" w:rsidP="00CC29CB">
      <w:pPr>
        <w:rPr>
          <w:rFonts w:cs="Arial"/>
          <w:szCs w:val="20"/>
          <w:shd w:val="clear" w:color="auto" w:fill="FFFFFF"/>
        </w:rPr>
      </w:pPr>
      <w:r w:rsidRPr="003D02F3">
        <w:t>The TIO provides a free and independent resolution service for small business and individual consumers</w:t>
      </w:r>
      <w:r w:rsidRPr="003D02F3">
        <w:rPr>
          <w:szCs w:val="20"/>
        </w:rPr>
        <w:t xml:space="preserve"> </w:t>
      </w:r>
      <w:r w:rsidRPr="003D02F3">
        <w:rPr>
          <w:rFonts w:cs="Arial"/>
          <w:szCs w:val="20"/>
          <w:shd w:val="clear" w:color="auto" w:fill="FFFFFF"/>
        </w:rPr>
        <w:t xml:space="preserve">who have been unable to resolve their complaint with a phone or internet service provider. </w:t>
      </w:r>
      <w:r w:rsidRPr="003D02F3">
        <w:rPr>
          <w:szCs w:val="20"/>
          <w:shd w:val="clear" w:color="auto" w:fill="FFFFFF"/>
        </w:rPr>
        <w:t xml:space="preserve">The TIO </w:t>
      </w:r>
      <w:r w:rsidR="003F73A5">
        <w:rPr>
          <w:szCs w:val="20"/>
          <w:shd w:val="clear" w:color="auto" w:fill="FFFFFF"/>
        </w:rPr>
        <w:t xml:space="preserve">also </w:t>
      </w:r>
      <w:r w:rsidRPr="003D02F3">
        <w:rPr>
          <w:szCs w:val="20"/>
          <w:shd w:val="clear" w:color="auto" w:fill="FFFFFF"/>
        </w:rPr>
        <w:t>collects and rev</w:t>
      </w:r>
      <w:r w:rsidRPr="00E04794">
        <w:rPr>
          <w:rFonts w:cs="Arial"/>
          <w:szCs w:val="20"/>
          <w:shd w:val="clear" w:color="auto" w:fill="FFFFFF"/>
        </w:rPr>
        <w:t>iews complaint</w:t>
      </w:r>
      <w:r w:rsidR="00CC29CB" w:rsidRPr="00E04794">
        <w:rPr>
          <w:rFonts w:cs="Arial"/>
          <w:szCs w:val="20"/>
          <w:shd w:val="clear" w:color="auto" w:fill="FFFFFF"/>
        </w:rPr>
        <w:t xml:space="preserve"> data</w:t>
      </w:r>
      <w:r w:rsidR="003F73A5" w:rsidRPr="00E04794">
        <w:rPr>
          <w:rFonts w:cs="Arial"/>
          <w:szCs w:val="20"/>
          <w:shd w:val="clear" w:color="auto" w:fill="FFFFFF"/>
        </w:rPr>
        <w:t>,</w:t>
      </w:r>
      <w:r w:rsidR="003F73A5" w:rsidRPr="00E04794">
        <w:rPr>
          <w:rFonts w:cs="Arial"/>
          <w:szCs w:val="20"/>
        </w:rPr>
        <w:t xml:space="preserve"> offering insights into industry trends and systemic issues</w:t>
      </w:r>
      <w:r w:rsidRPr="00E04794">
        <w:rPr>
          <w:rFonts w:cs="Arial"/>
          <w:szCs w:val="20"/>
          <w:shd w:val="clear" w:color="auto" w:fill="FFFFFF"/>
        </w:rPr>
        <w:t xml:space="preserve">. </w:t>
      </w:r>
    </w:p>
    <w:p w14:paraId="1D5A488C" w14:textId="5751877E" w:rsidR="00573DDE" w:rsidRDefault="00573DDE" w:rsidP="00573DDE">
      <w:r>
        <w:t xml:space="preserve">The ACCC is responsible for monitoring and enforcing compliance with the Australian Consumer Law (ACL). Businesses operating in the telecommunications industry are </w:t>
      </w:r>
      <w:r w:rsidR="001D54A5">
        <w:t>subject</w:t>
      </w:r>
      <w:r>
        <w:t xml:space="preserve"> to the economy-wide provisions set out in the ACL.</w:t>
      </w:r>
      <w:r w:rsidR="002F01E6">
        <w:t xml:space="preserve"> </w:t>
      </w:r>
      <w:r>
        <w:t xml:space="preserve">The ACCC has taken enforcement action against a number of telecommunications suppliers in response to misleading and deceptive conduct, as well as in response to unconscionable conduct. </w:t>
      </w:r>
    </w:p>
    <w:p w14:paraId="6370792D" w14:textId="16A206B6" w:rsidR="00573DDE" w:rsidRDefault="00573DDE" w:rsidP="001B07DA">
      <w:r>
        <w:t xml:space="preserve">Consumer groups and advocates </w:t>
      </w:r>
      <w:r w:rsidR="00CC237B">
        <w:t>actively participate</w:t>
      </w:r>
      <w:r>
        <w:t xml:space="preserve"> in representing the interests of consumers and highlighting potential deficiencies in the current regulatory framework. One such example is research by the Australian Communications Consumer Action Network (ACCAN) and the Public Interest Advocacy Centre (PIAC).</w:t>
      </w:r>
      <w:r>
        <w:rPr>
          <w:rStyle w:val="FootnoteReference"/>
        </w:rPr>
        <w:footnoteReference w:id="12"/>
      </w:r>
    </w:p>
    <w:p w14:paraId="6CE5A4A3" w14:textId="77777777" w:rsidR="00573DDE" w:rsidRDefault="00573DDE" w:rsidP="00573DDE">
      <w:pPr>
        <w:pStyle w:val="Heading1"/>
      </w:pPr>
      <w:bookmarkStart w:id="17" w:name="_Toc32833680"/>
      <w:bookmarkStart w:id="18" w:name="_Toc32833737"/>
      <w:bookmarkStart w:id="19" w:name="_Toc32833810"/>
      <w:bookmarkStart w:id="20" w:name="_Toc155685976"/>
      <w:r>
        <w:lastRenderedPageBreak/>
        <w:t>What is the policy problem?</w:t>
      </w:r>
      <w:bookmarkEnd w:id="17"/>
      <w:bookmarkEnd w:id="18"/>
      <w:bookmarkEnd w:id="19"/>
      <w:bookmarkEnd w:id="20"/>
    </w:p>
    <w:p w14:paraId="17AB449E" w14:textId="1095AE71" w:rsidR="007E2835" w:rsidRPr="00E827DF" w:rsidRDefault="00573DDE" w:rsidP="00317FE4">
      <w:pPr>
        <w:pStyle w:val="Heading2"/>
      </w:pPr>
      <w:bookmarkStart w:id="21" w:name="_Toc155685977"/>
      <w:r>
        <w:t>Changing environment</w:t>
      </w:r>
      <w:bookmarkEnd w:id="21"/>
      <w:r>
        <w:t xml:space="preserve"> </w:t>
      </w:r>
    </w:p>
    <w:p w14:paraId="1C758DEF" w14:textId="4AE10C58" w:rsidR="00D621BA" w:rsidRDefault="002E443D" w:rsidP="001B07DA">
      <w:pPr>
        <w:pStyle w:val="Paragraph"/>
      </w:pPr>
      <w:r>
        <w:t>In consideration of the Government’s commitment to ensuring Australians struggling with the cost</w:t>
      </w:r>
      <w:r w:rsidR="003D7BFD">
        <w:t>-</w:t>
      </w:r>
      <w:r>
        <w:t>of</w:t>
      </w:r>
      <w:r w:rsidR="003D7BFD">
        <w:t>-</w:t>
      </w:r>
      <w:r>
        <w:t>living have access to appropriate safeguards, the Minister for Communications decided to elevate financial hardship obligations to direct regulation</w:t>
      </w:r>
      <w:r w:rsidR="00746108">
        <w:t xml:space="preserve"> </w:t>
      </w:r>
      <w:r w:rsidR="003D7BFD">
        <w:t>so that appropriate support is provided to telecommunications customers to ensure they stay connected</w:t>
      </w:r>
      <w:r>
        <w:t>.</w:t>
      </w:r>
      <w:r w:rsidR="00746108">
        <w:rPr>
          <w:rStyle w:val="FootnoteReference"/>
        </w:rPr>
        <w:footnoteReference w:id="13"/>
      </w:r>
      <w:r>
        <w:t xml:space="preserve"> </w:t>
      </w:r>
      <w:r w:rsidR="00EC7BC0">
        <w:t xml:space="preserve">On </w:t>
      </w:r>
      <w:r w:rsidR="00E91AE1">
        <w:t>6</w:t>
      </w:r>
      <w:r w:rsidR="00EC7BC0">
        <w:t xml:space="preserve"> September 2023</w:t>
      </w:r>
      <w:r w:rsidR="003433AF">
        <w:t>,</w:t>
      </w:r>
      <w:r w:rsidR="00EC7BC0">
        <w:t xml:space="preserve"> the </w:t>
      </w:r>
      <w:r w:rsidR="001B07DA">
        <w:t>m</w:t>
      </w:r>
      <w:r w:rsidR="00EC7BC0">
        <w:t xml:space="preserve">inister </w:t>
      </w:r>
      <w:r w:rsidR="00E91AE1">
        <w:t>directed</w:t>
      </w:r>
      <w:r w:rsidR="00FB3698">
        <w:rPr>
          <w:rStyle w:val="FootnoteReference"/>
        </w:rPr>
        <w:footnoteReference w:id="14"/>
      </w:r>
      <w:r>
        <w:t xml:space="preserve"> the ACMA to make </w:t>
      </w:r>
      <w:r w:rsidR="00D621BA">
        <w:t>an industry standard which addresses requirements set out in the Telecommunications (Financial Hardship Industry Standard) Direction 2023.</w:t>
      </w:r>
    </w:p>
    <w:p w14:paraId="3BB65326" w14:textId="4F0621A9" w:rsidR="001035C9" w:rsidRDefault="007E2835" w:rsidP="001B07DA">
      <w:pPr>
        <w:pStyle w:val="Paragraph"/>
      </w:pPr>
      <w:r w:rsidRPr="00E827DF">
        <w:t>Telecommunications</w:t>
      </w:r>
      <w:r w:rsidR="001D54A5">
        <w:t xml:space="preserve"> services are</w:t>
      </w:r>
      <w:r w:rsidRPr="00E827DF">
        <w:t xml:space="preserve"> </w:t>
      </w:r>
      <w:r w:rsidR="001035C9">
        <w:t xml:space="preserve">increasingly </w:t>
      </w:r>
      <w:r w:rsidRPr="00E827DF">
        <w:t xml:space="preserve">essential for work, education, health, and </w:t>
      </w:r>
      <w:r w:rsidR="001D54A5">
        <w:t xml:space="preserve">access to </w:t>
      </w:r>
      <w:r w:rsidRPr="00E827DF">
        <w:t>government services</w:t>
      </w:r>
      <w:r w:rsidR="001D54A5">
        <w:t>. They</w:t>
      </w:r>
      <w:r w:rsidRPr="00E827DF">
        <w:t xml:space="preserve"> ha</w:t>
      </w:r>
      <w:r w:rsidR="001D54A5">
        <w:t>ve</w:t>
      </w:r>
      <w:r w:rsidRPr="00E827DF">
        <w:t xml:space="preserve"> </w:t>
      </w:r>
      <w:r w:rsidR="00F11DCB">
        <w:t>evolved</w:t>
      </w:r>
      <w:r w:rsidRPr="00E827DF">
        <w:t xml:space="preserve"> significant</w:t>
      </w:r>
      <w:r w:rsidR="00F11DCB">
        <w:t xml:space="preserve">ly since </w:t>
      </w:r>
      <w:r w:rsidRPr="00E827DF">
        <w:t xml:space="preserve">the introduction of the </w:t>
      </w:r>
      <w:r w:rsidR="00F11DCB">
        <w:t xml:space="preserve">Telco </w:t>
      </w:r>
      <w:r w:rsidRPr="00E827DF">
        <w:t>Act</w:t>
      </w:r>
      <w:r w:rsidR="00F11DCB">
        <w:t xml:space="preserve"> </w:t>
      </w:r>
      <w:r w:rsidRPr="00E827DF">
        <w:t>in 1997</w:t>
      </w:r>
      <w:r w:rsidR="00FD43D5">
        <w:t>.</w:t>
      </w:r>
      <w:r w:rsidR="00B94BFE">
        <w:t xml:space="preserve"> </w:t>
      </w:r>
      <w:r w:rsidR="00FF2E35">
        <w:t xml:space="preserve">Their use has also accelerated significantly since the </w:t>
      </w:r>
      <w:r w:rsidR="001035C9">
        <w:t>TCP Code was registered in 2019</w:t>
      </w:r>
      <w:r w:rsidR="00FF2E35">
        <w:t>, supporting more Australians than ever to work from home and enjoy an enormous array of online entertainment services.</w:t>
      </w:r>
      <w:r w:rsidR="001035C9">
        <w:t xml:space="preserve"> </w:t>
      </w:r>
    </w:p>
    <w:p w14:paraId="4F7B17A7" w14:textId="5D12E733" w:rsidR="00573DDE" w:rsidRPr="00036BD3" w:rsidRDefault="000E6CDD" w:rsidP="00317FE4">
      <w:pPr>
        <w:pStyle w:val="Paragraphbeforelist"/>
        <w:rPr>
          <w:szCs w:val="20"/>
        </w:rPr>
      </w:pPr>
      <w:r>
        <w:t xml:space="preserve">The </w:t>
      </w:r>
      <w:r w:rsidR="00E60145">
        <w:t xml:space="preserve">low </w:t>
      </w:r>
      <w:r w:rsidR="00294A02">
        <w:t xml:space="preserve">entry </w:t>
      </w:r>
      <w:r w:rsidR="00E60145">
        <w:t xml:space="preserve">barrier </w:t>
      </w:r>
      <w:r w:rsidR="001D54A5">
        <w:t xml:space="preserve">to the market </w:t>
      </w:r>
      <w:r w:rsidR="00294A02">
        <w:t>has fostered</w:t>
      </w:r>
      <w:r w:rsidR="00E60145">
        <w:t xml:space="preserve"> a large and diverse </w:t>
      </w:r>
      <w:r w:rsidR="001D54A5">
        <w:t xml:space="preserve">sector </w:t>
      </w:r>
      <w:r w:rsidR="00E60145">
        <w:t>for the supply of telecommunications services.</w:t>
      </w:r>
      <w:r w:rsidR="00E40D44">
        <w:t xml:space="preserve"> A</w:t>
      </w:r>
      <w:r w:rsidR="00C8276A">
        <w:t>s</w:t>
      </w:r>
      <w:r w:rsidR="00E40D44">
        <w:t xml:space="preserve"> </w:t>
      </w:r>
      <w:r w:rsidR="00FF1B4A">
        <w:t>of</w:t>
      </w:r>
      <w:r w:rsidR="00E40D44">
        <w:t xml:space="preserve"> 30 June 2023, there were 1,686 TIO members</w:t>
      </w:r>
      <w:r w:rsidR="00AC7E88">
        <w:rPr>
          <w:rStyle w:val="FootnoteReference"/>
          <w:rFonts w:cstheme="minorHAnsi"/>
          <w:color w:val="000000"/>
        </w:rPr>
        <w:footnoteReference w:id="15"/>
      </w:r>
      <w:r w:rsidR="00AC7E88">
        <w:t>, noting</w:t>
      </w:r>
      <w:r w:rsidR="00E40D44">
        <w:t xml:space="preserve"> </w:t>
      </w:r>
      <w:r w:rsidR="00AC7E88">
        <w:t>c</w:t>
      </w:r>
      <w:r w:rsidR="00E02668">
        <w:t xml:space="preserve">arriers and </w:t>
      </w:r>
      <w:r w:rsidR="00ED43DD">
        <w:t>eligible CSPs must join the TIO Scheme.</w:t>
      </w:r>
      <w:r w:rsidR="009749BA">
        <w:t xml:space="preserve"> Based on data submitted to the ACMA </w:t>
      </w:r>
      <w:r w:rsidR="009B4C9F">
        <w:t xml:space="preserve">at 30 June 2023 </w:t>
      </w:r>
      <w:r w:rsidR="009749BA">
        <w:t xml:space="preserve">under the Telecommunications (Consumer Complaints) Record-Keeping Rules 2018, </w:t>
      </w:r>
      <w:r w:rsidR="00E4724E">
        <w:t>33 CSPs had</w:t>
      </w:r>
      <w:r w:rsidR="009749BA">
        <w:t xml:space="preserve"> at least 30,000 services in operation</w:t>
      </w:r>
      <w:r w:rsidR="00E4724E">
        <w:t xml:space="preserve">. Of </w:t>
      </w:r>
      <w:r w:rsidR="00B46AD3" w:rsidRPr="00036BD3">
        <w:rPr>
          <w:szCs w:val="20"/>
        </w:rPr>
        <w:t>the</w:t>
      </w:r>
      <w:r w:rsidR="006E69F4">
        <w:rPr>
          <w:szCs w:val="20"/>
        </w:rPr>
        <w:t>se</w:t>
      </w:r>
      <w:r w:rsidR="00E4724E" w:rsidRPr="00036BD3">
        <w:rPr>
          <w:szCs w:val="20"/>
        </w:rPr>
        <w:t xml:space="preserve"> 33 CSPs:</w:t>
      </w:r>
    </w:p>
    <w:p w14:paraId="7D13BAB6" w14:textId="547362C5" w:rsidR="00B46AD3" w:rsidRPr="00036BD3" w:rsidRDefault="00B46AD3" w:rsidP="00083B2C">
      <w:pPr>
        <w:pStyle w:val="Bulletlevel1"/>
      </w:pPr>
      <w:r w:rsidRPr="00036BD3">
        <w:t xml:space="preserve">9 </w:t>
      </w:r>
      <w:r w:rsidR="00FF34F8">
        <w:t>CSPs</w:t>
      </w:r>
      <w:r w:rsidRPr="00036BD3">
        <w:t xml:space="preserve"> make up over 90% of the market share, all of which have at least 700,000 services in operation.</w:t>
      </w:r>
    </w:p>
    <w:p w14:paraId="4CBE691C" w14:textId="2BC9ED67" w:rsidR="007018BC" w:rsidRPr="00036BD3" w:rsidRDefault="00B46AD3" w:rsidP="00083B2C">
      <w:pPr>
        <w:pStyle w:val="Bulletlevel1last"/>
      </w:pPr>
      <w:r w:rsidRPr="00036BD3">
        <w:t xml:space="preserve">14 </w:t>
      </w:r>
      <w:r w:rsidR="00083B2C">
        <w:t>p</w:t>
      </w:r>
      <w:r w:rsidRPr="00036BD3">
        <w:t>roviders make up over 95% of the market share</w:t>
      </w:r>
      <w:r w:rsidR="00F27D33">
        <w:t>,</w:t>
      </w:r>
      <w:r w:rsidRPr="00036BD3">
        <w:t xml:space="preserve"> all of which have at least 250,000 services in operation.</w:t>
      </w:r>
    </w:p>
    <w:p w14:paraId="404734D7" w14:textId="54A1F898" w:rsidR="00573DDE" w:rsidRDefault="00573DDE" w:rsidP="00573DDE">
      <w:pPr>
        <w:pStyle w:val="Paragraph"/>
      </w:pPr>
      <w:r>
        <w:t xml:space="preserve">Consumers are also </w:t>
      </w:r>
      <w:r w:rsidR="001D54A5">
        <w:t>currently</w:t>
      </w:r>
      <w:r>
        <w:t xml:space="preserve"> facing a challenging economic environment as the cost-of-living has risen sharply over the past 18 months – inflation has increased, interest rates have risen and wages have not kept pace.</w:t>
      </w:r>
      <w:r>
        <w:rPr>
          <w:rStyle w:val="FootnoteReference"/>
        </w:rPr>
        <w:footnoteReference w:id="16"/>
      </w:r>
      <w:r>
        <w:t xml:space="preserve"> </w:t>
      </w:r>
    </w:p>
    <w:p w14:paraId="34710503" w14:textId="1A07C158" w:rsidR="00036C34" w:rsidRDefault="009B1FDB" w:rsidP="00573DDE">
      <w:pPr>
        <w:pStyle w:val="Paragraph"/>
        <w:rPr>
          <w:lang w:val="en-US"/>
        </w:rPr>
      </w:pPr>
      <w:r>
        <w:rPr>
          <w:lang w:val="en-US"/>
        </w:rPr>
        <w:t>C</w:t>
      </w:r>
      <w:r w:rsidR="00573DDE">
        <w:rPr>
          <w:lang w:val="en-US"/>
        </w:rPr>
        <w:t>urrent cost</w:t>
      </w:r>
      <w:r w:rsidR="00706890">
        <w:rPr>
          <w:lang w:val="en-US"/>
        </w:rPr>
        <w:t>-</w:t>
      </w:r>
      <w:r w:rsidR="00573DDE">
        <w:rPr>
          <w:lang w:val="en-US"/>
        </w:rPr>
        <w:t>of</w:t>
      </w:r>
      <w:r w:rsidR="00706890">
        <w:rPr>
          <w:lang w:val="en-US"/>
        </w:rPr>
        <w:t>-</w:t>
      </w:r>
      <w:r w:rsidR="00573DDE">
        <w:rPr>
          <w:lang w:val="en-US"/>
        </w:rPr>
        <w:t xml:space="preserve">living </w:t>
      </w:r>
      <w:r>
        <w:rPr>
          <w:lang w:val="en-US"/>
        </w:rPr>
        <w:t>pressures have</w:t>
      </w:r>
      <w:r w:rsidR="00573DDE">
        <w:rPr>
          <w:lang w:val="en-US"/>
        </w:rPr>
        <w:t xml:space="preserve"> </w:t>
      </w:r>
      <w:r w:rsidR="001D54A5">
        <w:rPr>
          <w:lang w:val="en-US"/>
        </w:rPr>
        <w:t xml:space="preserve">further </w:t>
      </w:r>
      <w:r w:rsidR="00573DDE">
        <w:rPr>
          <w:lang w:val="en-US"/>
        </w:rPr>
        <w:t>highlighted the need to ensure appropriate support is available to consumers who are experiencing financial stress and hardship</w:t>
      </w:r>
      <w:r w:rsidR="00573DDE">
        <w:t xml:space="preserve">. While telecommunications may not be a main contributor to the increased cost of living, </w:t>
      </w:r>
      <w:r w:rsidR="00573DDE" w:rsidRPr="00472652">
        <w:rPr>
          <w:lang w:val="en-US"/>
        </w:rPr>
        <w:t xml:space="preserve">it is </w:t>
      </w:r>
      <w:r w:rsidR="00EA4DCF">
        <w:rPr>
          <w:lang w:val="en-US"/>
        </w:rPr>
        <w:t>crucial</w:t>
      </w:r>
      <w:r w:rsidR="00573DDE" w:rsidRPr="00472652">
        <w:rPr>
          <w:lang w:val="en-US"/>
        </w:rPr>
        <w:t xml:space="preserve"> that consumers </w:t>
      </w:r>
      <w:r w:rsidR="00573DDE">
        <w:rPr>
          <w:lang w:val="en-US"/>
        </w:rPr>
        <w:t>experiencing hardship</w:t>
      </w:r>
      <w:r w:rsidR="00573DDE" w:rsidRPr="00472652">
        <w:rPr>
          <w:lang w:val="en-US"/>
        </w:rPr>
        <w:t xml:space="preserve"> stay connected </w:t>
      </w:r>
      <w:r>
        <w:rPr>
          <w:lang w:val="en-US"/>
        </w:rPr>
        <w:t>these</w:t>
      </w:r>
      <w:r w:rsidR="00573DDE" w:rsidRPr="00472652">
        <w:rPr>
          <w:lang w:val="en-US"/>
        </w:rPr>
        <w:t xml:space="preserve"> services.</w:t>
      </w:r>
    </w:p>
    <w:p w14:paraId="38F944D4" w14:textId="23BF08A8" w:rsidR="0099521A" w:rsidRDefault="0099521A" w:rsidP="0099521A">
      <w:pPr>
        <w:pStyle w:val="Heading2"/>
      </w:pPr>
      <w:bookmarkStart w:id="22" w:name="_Toc155685978"/>
      <w:r>
        <w:t xml:space="preserve">Financial </w:t>
      </w:r>
      <w:r w:rsidR="009E3CF9">
        <w:t>h</w:t>
      </w:r>
      <w:r>
        <w:t>ardship</w:t>
      </w:r>
      <w:bookmarkEnd w:id="22"/>
      <w:r>
        <w:t xml:space="preserve"> </w:t>
      </w:r>
    </w:p>
    <w:p w14:paraId="4DD257CD" w14:textId="77777777" w:rsidR="0099521A" w:rsidRDefault="0099521A" w:rsidP="0099521A">
      <w:pPr>
        <w:pStyle w:val="Paragraph"/>
      </w:pPr>
      <w:r>
        <w:t xml:space="preserve">Financial pressures can happen to anyone, at any time and for many reasons, including loss of income, illness, family or domestic violence, natural disasters, or more recently the COVID-19 pandemic and increased cost-of-living pressures. Some groups within the community are also more likely to be in financial hardship, including those who are victims of domestic violence, those living with a disability (either </w:t>
      </w:r>
      <w:r>
        <w:lastRenderedPageBreak/>
        <w:t>themselves or someone within their household), low-income households, those with low levels of financial literacy, or those that may have inadvertently signed up to a service or product without understanding the terms and conditions.</w:t>
      </w:r>
    </w:p>
    <w:p w14:paraId="197F24B3" w14:textId="77777777" w:rsidR="0099521A" w:rsidRDefault="0099521A" w:rsidP="0099521A">
      <w:pPr>
        <w:pStyle w:val="Paragraph"/>
      </w:pPr>
      <w:r>
        <w:t>Financial hardship in the telecommunications sector can range from temporary stress to a longer-term issue, and the extent of the hardship varies. It may be linked with financial hardship in other aspects of the consumer’s finances or just be related to one or more telco services.</w:t>
      </w:r>
    </w:p>
    <w:p w14:paraId="141775F7" w14:textId="50BCEC77" w:rsidR="00617357" w:rsidRPr="004B30CA" w:rsidRDefault="00617357" w:rsidP="00317FE4">
      <w:pPr>
        <w:pStyle w:val="Heading3"/>
        <w:rPr>
          <w:lang w:val="en-US"/>
        </w:rPr>
      </w:pPr>
      <w:bookmarkStart w:id="23" w:name="_Toc155685979"/>
      <w:r w:rsidRPr="004B30CA">
        <w:rPr>
          <w:lang w:val="en-US"/>
        </w:rPr>
        <w:t xml:space="preserve">Insufficient </w:t>
      </w:r>
      <w:r w:rsidR="004B30CA">
        <w:rPr>
          <w:lang w:val="en-US"/>
        </w:rPr>
        <w:t xml:space="preserve">financial hardship </w:t>
      </w:r>
      <w:r w:rsidRPr="004B30CA">
        <w:rPr>
          <w:lang w:val="en-US"/>
        </w:rPr>
        <w:t>protections</w:t>
      </w:r>
      <w:bookmarkEnd w:id="23"/>
    </w:p>
    <w:p w14:paraId="5B2A7AED" w14:textId="523A92E1" w:rsidR="00137749" w:rsidRPr="003159CD" w:rsidRDefault="00054053" w:rsidP="00317FE4">
      <w:pPr>
        <w:pStyle w:val="Paragraphbeforelist"/>
        <w:rPr>
          <w:lang w:val="en-US"/>
        </w:rPr>
      </w:pPr>
      <w:r>
        <w:rPr>
          <w:lang w:val="en-US"/>
        </w:rPr>
        <w:t xml:space="preserve">Despite </w:t>
      </w:r>
      <w:r w:rsidR="008277BE">
        <w:rPr>
          <w:lang w:val="en-US"/>
        </w:rPr>
        <w:t xml:space="preserve">the essential nature of </w:t>
      </w:r>
      <w:r>
        <w:rPr>
          <w:lang w:val="en-US"/>
        </w:rPr>
        <w:t>telecommunications</w:t>
      </w:r>
      <w:r w:rsidR="00BB7286">
        <w:rPr>
          <w:lang w:val="en-US"/>
        </w:rPr>
        <w:t xml:space="preserve">, evidence indicates that current safeguards do not adequately </w:t>
      </w:r>
      <w:r w:rsidR="0095561B">
        <w:rPr>
          <w:lang w:val="en-US"/>
        </w:rPr>
        <w:t>protect consumers facing financial difficult</w:t>
      </w:r>
      <w:r w:rsidR="006E7CA6">
        <w:rPr>
          <w:lang w:val="en-US"/>
        </w:rPr>
        <w:t>ies</w:t>
      </w:r>
      <w:r w:rsidR="0095561B">
        <w:rPr>
          <w:lang w:val="en-US"/>
        </w:rPr>
        <w:t xml:space="preserve">. </w:t>
      </w:r>
      <w:r w:rsidR="004B30CA">
        <w:rPr>
          <w:lang w:val="en-US"/>
        </w:rPr>
        <w:t>T</w:t>
      </w:r>
      <w:r w:rsidR="009270BE">
        <w:t xml:space="preserve">he ACMA’s </w:t>
      </w:r>
      <w:r w:rsidR="009270BE" w:rsidRPr="00665BE4">
        <w:t xml:space="preserve">Financial Hardship </w:t>
      </w:r>
      <w:r w:rsidR="00083B2C">
        <w:t>r</w:t>
      </w:r>
      <w:r w:rsidR="009270BE" w:rsidRPr="00665BE4">
        <w:t>eport</w:t>
      </w:r>
      <w:r w:rsidR="009270BE">
        <w:t xml:space="preserve"> and associated research</w:t>
      </w:r>
      <w:r w:rsidR="009270BE">
        <w:rPr>
          <w:rStyle w:val="FootnoteReference"/>
        </w:rPr>
        <w:footnoteReference w:id="17"/>
      </w:r>
      <w:r w:rsidR="009270BE">
        <w:t xml:space="preserve"> </w:t>
      </w:r>
      <w:r w:rsidR="000676EB">
        <w:t>found</w:t>
      </w:r>
      <w:r w:rsidR="009270BE">
        <w:t>:</w:t>
      </w:r>
    </w:p>
    <w:p w14:paraId="500603BA" w14:textId="7EF49EB0" w:rsidR="001257A3" w:rsidRPr="00C73B55" w:rsidRDefault="00573DDE" w:rsidP="00083B2C">
      <w:pPr>
        <w:pStyle w:val="Bulletlevel1"/>
      </w:pPr>
      <w:r w:rsidRPr="00F14481">
        <w:rPr>
          <w:lang w:val="en-US"/>
        </w:rPr>
        <w:t xml:space="preserve">The rates of </w:t>
      </w:r>
      <w:r w:rsidR="001410F2">
        <w:rPr>
          <w:lang w:val="en-US"/>
        </w:rPr>
        <w:t xml:space="preserve">telco </w:t>
      </w:r>
      <w:r w:rsidRPr="00F14481">
        <w:rPr>
          <w:lang w:val="en-US"/>
        </w:rPr>
        <w:t xml:space="preserve">financial hardship are </w:t>
      </w:r>
      <w:r w:rsidR="00BB1A6D">
        <w:rPr>
          <w:lang w:val="en-US"/>
        </w:rPr>
        <w:t>significant</w:t>
      </w:r>
      <w:r w:rsidR="005D067C">
        <w:rPr>
          <w:lang w:val="en-US"/>
        </w:rPr>
        <w:t>,</w:t>
      </w:r>
      <w:r w:rsidRPr="00F14481">
        <w:rPr>
          <w:lang w:val="en-US"/>
        </w:rPr>
        <w:t xml:space="preserve"> </w:t>
      </w:r>
      <w:r w:rsidR="004A74F0">
        <w:rPr>
          <w:lang w:val="en-US"/>
        </w:rPr>
        <w:t>yet</w:t>
      </w:r>
      <w:r w:rsidRPr="00F14481">
        <w:rPr>
          <w:lang w:val="en-US"/>
        </w:rPr>
        <w:t xml:space="preserve"> only a small proportion of customers receive formal hardship support. </w:t>
      </w:r>
      <w:r w:rsidRPr="00F14481">
        <w:t>25% of Australians had experienced payment difficulty or concerns in the previous 12 months for at least one of their essential services</w:t>
      </w:r>
      <w:r w:rsidR="009057D1">
        <w:t xml:space="preserve"> bills (telco, energy</w:t>
      </w:r>
      <w:r w:rsidR="00886AA3">
        <w:t>, water)</w:t>
      </w:r>
      <w:r w:rsidRPr="00F14481">
        <w:t xml:space="preserve"> and 48% of those had difficulty with their telco bills</w:t>
      </w:r>
      <w:r w:rsidR="009C035C">
        <w:t xml:space="preserve">. This represents just under 2.4 million Australian adults in financial difficulty or concern </w:t>
      </w:r>
      <w:r w:rsidR="000067F8">
        <w:t>for their telco bill in that period.</w:t>
      </w:r>
      <w:r w:rsidR="00536B24">
        <w:t xml:space="preserve"> In contrast,</w:t>
      </w:r>
      <w:r w:rsidRPr="00F14481">
        <w:t xml:space="preserve"> industry data from the main telcos reported only 4,388 residential financial hardship customers as at 30 June 2022. This represents 0.03% of all residential customers.</w:t>
      </w:r>
      <w:r w:rsidR="00FC5838">
        <w:rPr>
          <w:rStyle w:val="FootnoteReference"/>
          <w:szCs w:val="20"/>
        </w:rPr>
        <w:footnoteReference w:id="18"/>
      </w:r>
    </w:p>
    <w:p w14:paraId="0C27DF0A" w14:textId="27BD3FFD" w:rsidR="00406864" w:rsidRDefault="00573DDE" w:rsidP="00083B2C">
      <w:pPr>
        <w:pStyle w:val="Bulletlevel1"/>
      </w:pPr>
      <w:r w:rsidRPr="00F14481">
        <w:rPr>
          <w:lang w:val="en-US"/>
        </w:rPr>
        <w:t xml:space="preserve">Industry </w:t>
      </w:r>
      <w:r w:rsidR="000564E1">
        <w:rPr>
          <w:lang w:val="en-US"/>
        </w:rPr>
        <w:t>requirements</w:t>
      </w:r>
      <w:r w:rsidRPr="00F14481">
        <w:rPr>
          <w:lang w:val="en-US"/>
        </w:rPr>
        <w:t xml:space="preserve"> to inform customers about hardship arrangements </w:t>
      </w:r>
      <w:r w:rsidR="000564E1">
        <w:rPr>
          <w:lang w:val="en-US"/>
        </w:rPr>
        <w:t xml:space="preserve">often go unnoticed, with </w:t>
      </w:r>
      <w:r w:rsidR="000564E1">
        <w:t>o</w:t>
      </w:r>
      <w:r w:rsidRPr="00F14481">
        <w:t xml:space="preserve">nly 57% of the general adult population and 64% of those who experienced financial hardship </w:t>
      </w:r>
      <w:r w:rsidR="007F0117">
        <w:t>aware</w:t>
      </w:r>
      <w:r w:rsidRPr="00F14481">
        <w:t xml:space="preserve"> they could contact their telco for help</w:t>
      </w:r>
      <w:r w:rsidR="000E2448">
        <w:t xml:space="preserve"> managing the </w:t>
      </w:r>
      <w:r w:rsidR="00822691">
        <w:t>payment of bills due to financial difficulties.</w:t>
      </w:r>
      <w:r w:rsidR="000448B4">
        <w:t xml:space="preserve"> </w:t>
      </w:r>
      <w:r w:rsidR="000448B4" w:rsidRPr="0089424D">
        <w:t xml:space="preserve">Telcos </w:t>
      </w:r>
      <w:r w:rsidR="00406864" w:rsidRPr="0089424D">
        <w:t xml:space="preserve">are required to have financial hardship policies that are easy to find and access. While the 11 </w:t>
      </w:r>
      <w:r w:rsidR="0089424D" w:rsidRPr="0089424D">
        <w:t xml:space="preserve">major </w:t>
      </w:r>
      <w:r w:rsidR="00406864" w:rsidRPr="0089424D">
        <w:t>telcos we sought information from confirmed that they publish financial hardship policies on their websites, extensive navigation on their websites to access financial hardship policies</w:t>
      </w:r>
      <w:r w:rsidR="00AB1AAB" w:rsidRPr="0089424D">
        <w:t xml:space="preserve"> was required for 10 of these 11 </w:t>
      </w:r>
      <w:r w:rsidR="00706606">
        <w:t>CSPs</w:t>
      </w:r>
      <w:r w:rsidR="00AB1AAB" w:rsidRPr="0089424D">
        <w:t>.</w:t>
      </w:r>
    </w:p>
    <w:p w14:paraId="77D3218D" w14:textId="2673C5B4" w:rsidR="00573DDE" w:rsidRPr="003D56CF" w:rsidRDefault="00573DDE" w:rsidP="00083B2C">
      <w:pPr>
        <w:pStyle w:val="Bulletlevel1"/>
        <w:rPr>
          <w:lang w:val="en-US"/>
        </w:rPr>
      </w:pPr>
      <w:r w:rsidRPr="00F14481">
        <w:t>During 2021–22, a total of 237,166 residential customers had their services disconnected due to non-payment. Of those, only 834 were reported by the main telcos as financial hardship customers.</w:t>
      </w:r>
      <w:r w:rsidR="00A3496F">
        <w:t xml:space="preserve"> CSPs </w:t>
      </w:r>
      <w:r w:rsidR="00E7165C">
        <w:t xml:space="preserve">may also disconnect customers when they are not able to be contacted – during </w:t>
      </w:r>
      <w:r w:rsidR="007B5360">
        <w:t>2021–22</w:t>
      </w:r>
      <w:r w:rsidR="00E7165C">
        <w:t xml:space="preserve">, a total </w:t>
      </w:r>
      <w:r w:rsidR="00724A0A">
        <w:t>of 169,262 residential customers had their services disconnected due to being uncontactable. Of those, 1,293 were financial hardship customers.</w:t>
      </w:r>
    </w:p>
    <w:p w14:paraId="1C0CA3D7" w14:textId="46B0F342" w:rsidR="003D56CF" w:rsidRPr="003D56CF" w:rsidRDefault="003D56CF" w:rsidP="00083B2C">
      <w:pPr>
        <w:pStyle w:val="Bulletlevel1"/>
      </w:pPr>
      <w:r w:rsidRPr="00F14481">
        <w:t xml:space="preserve">Short disconnection timeframes </w:t>
      </w:r>
      <w:r>
        <w:t>offer little room for</w:t>
      </w:r>
      <w:r w:rsidRPr="00F14481">
        <w:t xml:space="preserve"> consumer</w:t>
      </w:r>
      <w:r>
        <w:t>s</w:t>
      </w:r>
      <w:r w:rsidRPr="00F14481">
        <w:t xml:space="preserve"> to resolve issue</w:t>
      </w:r>
      <w:r>
        <w:t>s</w:t>
      </w:r>
      <w:r w:rsidRPr="00F14481">
        <w:t xml:space="preserve"> before having their communications cut of</w:t>
      </w:r>
      <w:r>
        <w:t xml:space="preserve">f. </w:t>
      </w:r>
      <w:r w:rsidRPr="00375FC7">
        <w:t xml:space="preserve">Given that telecommunications is </w:t>
      </w:r>
      <w:r w:rsidR="00886849">
        <w:t xml:space="preserve">increasingly </w:t>
      </w:r>
      <w:r w:rsidRPr="00375FC7">
        <w:t xml:space="preserve">an essential service, </w:t>
      </w:r>
      <w:r w:rsidR="00B50919">
        <w:t>CSPs</w:t>
      </w:r>
      <w:r w:rsidRPr="00375FC7">
        <w:t xml:space="preserve"> should contact customers well in advance of disconnection with messages that clearly state the consequences of disconnection and afford customers sufficient time between sending the disconnection notice and the actual disconnection to seek financial assistance or make alternative arrangements.</w:t>
      </w:r>
      <w:r w:rsidR="00476D88">
        <w:t xml:space="preserve"> Research participants noted </w:t>
      </w:r>
      <w:r w:rsidR="009A768E">
        <w:t>the effect of disconnection were significant on many aspects of everyday life.</w:t>
      </w:r>
    </w:p>
    <w:p w14:paraId="79BB1415" w14:textId="687AD8D2" w:rsidR="00573DDE" w:rsidRPr="00F14481" w:rsidRDefault="00573DDE" w:rsidP="00083B2C">
      <w:pPr>
        <w:pStyle w:val="Bulletlevel1"/>
      </w:pPr>
      <w:r w:rsidRPr="00F14481">
        <w:t>Telcos are not sufficiently proactive in engaging with consumers struggling to pay their bills, with human contact even less likely</w:t>
      </w:r>
      <w:r w:rsidR="005554C3">
        <w:t>.</w:t>
      </w:r>
      <w:r w:rsidR="00DB3198">
        <w:t xml:space="preserve"> </w:t>
      </w:r>
      <w:r w:rsidR="00106329" w:rsidRPr="00364890">
        <w:t>Ten of the 11 providers we sought information from reported to us that they proactively identify customers who may be experiencing financial difficulty. However, consumers who had financial difficulties or concerns with their telco bills reported it was rare for telcos to initiate contact, especially human contact, in relation to potential financial hardship.</w:t>
      </w:r>
    </w:p>
    <w:p w14:paraId="18FE5F32" w14:textId="61BF8BF9" w:rsidR="00573DDE" w:rsidRPr="00F14481" w:rsidRDefault="00573DDE" w:rsidP="00083B2C">
      <w:pPr>
        <w:pStyle w:val="Bulletlevel1"/>
      </w:pPr>
      <w:r w:rsidRPr="00F14481">
        <w:lastRenderedPageBreak/>
        <w:t>Financial hardship arrangements are often inflexible and not personally tailored to individual circumstances</w:t>
      </w:r>
      <w:r w:rsidR="00142494">
        <w:t xml:space="preserve">. </w:t>
      </w:r>
      <w:r w:rsidR="00857621" w:rsidRPr="008D0DB4">
        <w:t>Telco providers were also generally seen as being less well-equipped with fewer options available, and less flexible than other essential services, particularly electricity providers, when dealing with customers in financial hardship</w:t>
      </w:r>
      <w:r w:rsidR="008D0DB4" w:rsidRPr="008D0DB4">
        <w:t>.</w:t>
      </w:r>
    </w:p>
    <w:p w14:paraId="72AA32E3" w14:textId="440CCAD4" w:rsidR="00E700AF" w:rsidRPr="00E700AF" w:rsidRDefault="00573DDE" w:rsidP="007B5360">
      <w:pPr>
        <w:pStyle w:val="Bulletlevel1"/>
        <w:spacing w:after="240"/>
      </w:pPr>
      <w:r w:rsidRPr="00F14481">
        <w:t>Inflexible payment option, with a focus on direct debit, compound</w:t>
      </w:r>
      <w:r w:rsidR="00F739CE">
        <w:t>s</w:t>
      </w:r>
      <w:r w:rsidRPr="00F14481">
        <w:t xml:space="preserve"> financial difficult</w:t>
      </w:r>
      <w:r w:rsidR="00F739CE">
        <w:t>ies</w:t>
      </w:r>
      <w:r w:rsidRPr="00F14481">
        <w:t xml:space="preserve"> faced by consumers</w:t>
      </w:r>
      <w:r w:rsidR="00FC08C6">
        <w:t>.</w:t>
      </w:r>
      <w:r w:rsidR="00A97E11">
        <w:t xml:space="preserve"> There was a general </w:t>
      </w:r>
      <w:r w:rsidR="008171DB">
        <w:t xml:space="preserve">view </w:t>
      </w:r>
      <w:r w:rsidR="00A97E11">
        <w:t xml:space="preserve">from research participants </w:t>
      </w:r>
      <w:r w:rsidR="001D2229">
        <w:t>that direct debit was a convenient method of payment in perfect and predictable circumstances, but was more problematic at times of financial difficulty</w:t>
      </w:r>
      <w:r w:rsidR="00963A8E">
        <w:t>, adding to stress and incurring extra fees.</w:t>
      </w:r>
      <w:r w:rsidR="006E315F">
        <w:t xml:space="preserve"> </w:t>
      </w:r>
      <w:r w:rsidR="00CD4FE6">
        <w:t>Research participants also reported feeling frustrated that the telco did not provide any forewarning that they would be referred to a debt collection service</w:t>
      </w:r>
      <w:r w:rsidR="008620AB">
        <w:t xml:space="preserve"> and </w:t>
      </w:r>
      <w:r w:rsidR="00EB6151">
        <w:t xml:space="preserve">that </w:t>
      </w:r>
      <w:r w:rsidR="00266D7A">
        <w:t xml:space="preserve">debt collection made </w:t>
      </w:r>
      <w:r w:rsidR="00411052">
        <w:t>them</w:t>
      </w:r>
      <w:r w:rsidR="00266D7A">
        <w:t xml:space="preserve"> feel </w:t>
      </w:r>
      <w:r w:rsidR="000A7560">
        <w:t>intimidated or stressed.</w:t>
      </w:r>
    </w:p>
    <w:p w14:paraId="7B9EBEAD" w14:textId="6A9FCD71" w:rsidR="003239FC" w:rsidRDefault="007F2E14" w:rsidP="00317FE4">
      <w:pPr>
        <w:pStyle w:val="Paragraphbeforelist"/>
      </w:pPr>
      <w:r>
        <w:t>The</w:t>
      </w:r>
      <w:r w:rsidR="003957AB">
        <w:t xml:space="preserve">se </w:t>
      </w:r>
      <w:r>
        <w:t xml:space="preserve">identified issues can have </w:t>
      </w:r>
      <w:r w:rsidR="0099521A">
        <w:t xml:space="preserve">a </w:t>
      </w:r>
      <w:r>
        <w:t xml:space="preserve">profound impact on consumers facing </w:t>
      </w:r>
      <w:r w:rsidR="004E7150">
        <w:t>financial hardship</w:t>
      </w:r>
      <w:r w:rsidR="004132C1">
        <w:t>, including</w:t>
      </w:r>
      <w:r w:rsidR="004E7150">
        <w:t>:</w:t>
      </w:r>
    </w:p>
    <w:p w14:paraId="16994B00" w14:textId="77777777" w:rsidR="004132C1" w:rsidRPr="006204A2" w:rsidRDefault="004132C1" w:rsidP="00083B2C">
      <w:pPr>
        <w:pStyle w:val="Bulletlevel1"/>
      </w:pPr>
      <w:r w:rsidRPr="00A4584D">
        <w:t>service disconnection which affects communications, opportunities and digital inclusion.</w:t>
      </w:r>
    </w:p>
    <w:p w14:paraId="11DF074F" w14:textId="00DDD65E" w:rsidR="004132C1" w:rsidRPr="006204A2" w:rsidRDefault="004132C1" w:rsidP="00083B2C">
      <w:pPr>
        <w:pStyle w:val="Bulletlevel1"/>
      </w:pPr>
      <w:r w:rsidRPr="00A4584D">
        <w:t>increased stress and anxiety due to financial difficulties and potential loss</w:t>
      </w:r>
      <w:r w:rsidR="001E188C" w:rsidRPr="00A4584D">
        <w:t xml:space="preserve"> of essential services</w:t>
      </w:r>
    </w:p>
    <w:p w14:paraId="3428200A" w14:textId="0B67AC3C" w:rsidR="004132C1" w:rsidRPr="006204A2" w:rsidRDefault="004132C1" w:rsidP="00083B2C">
      <w:pPr>
        <w:pStyle w:val="Bulletlevel1"/>
      </w:pPr>
      <w:r w:rsidRPr="00A4584D">
        <w:t xml:space="preserve">negative credit consequences impacting access to </w:t>
      </w:r>
      <w:r w:rsidR="00704024" w:rsidRPr="00A4584D">
        <w:t xml:space="preserve">other </w:t>
      </w:r>
      <w:r w:rsidRPr="00A4584D">
        <w:t>essential services and financial products</w:t>
      </w:r>
    </w:p>
    <w:p w14:paraId="0261FE45" w14:textId="3EAE5FAD" w:rsidR="004132C1" w:rsidRPr="006204A2" w:rsidRDefault="00A6364D" w:rsidP="00083B2C">
      <w:pPr>
        <w:pStyle w:val="Bulletlevel1"/>
      </w:pPr>
      <w:r w:rsidRPr="00A4584D">
        <w:t>s</w:t>
      </w:r>
      <w:r w:rsidR="004132C1" w:rsidRPr="00A4584D">
        <w:t>ocial exclusion limiting participation in online activities</w:t>
      </w:r>
    </w:p>
    <w:p w14:paraId="15FE2A8C" w14:textId="0A87DAD3" w:rsidR="003D7C59" w:rsidRPr="006204A2" w:rsidRDefault="00A6364D" w:rsidP="00083B2C">
      <w:pPr>
        <w:pStyle w:val="Bulletlevel1last"/>
      </w:pPr>
      <w:r w:rsidRPr="00A4584D">
        <w:t>v</w:t>
      </w:r>
      <w:r w:rsidR="00C93556" w:rsidRPr="00A4584D">
        <w:t xml:space="preserve">ulnerable </w:t>
      </w:r>
      <w:r w:rsidR="001F4F09" w:rsidRPr="00A4584D">
        <w:t>g</w:t>
      </w:r>
      <w:r w:rsidR="00C93556" w:rsidRPr="00A4584D">
        <w:t>roup</w:t>
      </w:r>
      <w:r w:rsidR="003D7C59" w:rsidRPr="00A4584D">
        <w:t>s</w:t>
      </w:r>
      <w:r w:rsidR="00EF0B2A" w:rsidRPr="00A4584D">
        <w:t xml:space="preserve"> such as l</w:t>
      </w:r>
      <w:r w:rsidR="003D7C59" w:rsidRPr="00A4584D">
        <w:t xml:space="preserve">ow-income households, </w:t>
      </w:r>
      <w:r w:rsidR="00EF0B2A" w:rsidRPr="00A4584D">
        <w:t xml:space="preserve">the </w:t>
      </w:r>
      <w:r w:rsidR="003D7C59" w:rsidRPr="00A4584D">
        <w:t>elderly, those facing health challenges</w:t>
      </w:r>
      <w:r w:rsidR="005B44D4" w:rsidRPr="00A4584D">
        <w:t xml:space="preserve"> and victims of domestic violence may be more </w:t>
      </w:r>
      <w:r w:rsidR="003D7C59" w:rsidRPr="00A4584D">
        <w:t xml:space="preserve">adversely impacted. </w:t>
      </w:r>
    </w:p>
    <w:p w14:paraId="189DB98A" w14:textId="77777777" w:rsidR="00630F67" w:rsidRDefault="00927742" w:rsidP="00C25618">
      <w:pPr>
        <w:pStyle w:val="Paragraph"/>
        <w:rPr>
          <w:szCs w:val="20"/>
        </w:rPr>
      </w:pPr>
      <w:r>
        <w:rPr>
          <w:szCs w:val="20"/>
        </w:rPr>
        <w:t xml:space="preserve">Conversely, </w:t>
      </w:r>
      <w:r w:rsidR="007302E4">
        <w:rPr>
          <w:szCs w:val="20"/>
        </w:rPr>
        <w:t xml:space="preserve">providing appropriate </w:t>
      </w:r>
      <w:r w:rsidR="0045397E">
        <w:rPr>
          <w:szCs w:val="20"/>
        </w:rPr>
        <w:t xml:space="preserve">financial support </w:t>
      </w:r>
      <w:r w:rsidR="001D54A5">
        <w:rPr>
          <w:szCs w:val="20"/>
        </w:rPr>
        <w:t xml:space="preserve">can </w:t>
      </w:r>
      <w:r w:rsidR="0045397E">
        <w:rPr>
          <w:szCs w:val="20"/>
        </w:rPr>
        <w:t>yield far-reaching benefits for consumers in nee</w:t>
      </w:r>
      <w:r w:rsidR="00095E3E">
        <w:rPr>
          <w:szCs w:val="20"/>
        </w:rPr>
        <w:t>d</w:t>
      </w:r>
      <w:r w:rsidR="0056107A">
        <w:rPr>
          <w:szCs w:val="20"/>
        </w:rPr>
        <w:t xml:space="preserve">. </w:t>
      </w:r>
      <w:r w:rsidR="00186E42">
        <w:rPr>
          <w:szCs w:val="20"/>
        </w:rPr>
        <w:t xml:space="preserve">Recognising </w:t>
      </w:r>
      <w:r w:rsidR="001D54A5">
        <w:rPr>
          <w:szCs w:val="20"/>
        </w:rPr>
        <w:t xml:space="preserve">the essential nature of </w:t>
      </w:r>
      <w:r w:rsidR="00186E42">
        <w:rPr>
          <w:szCs w:val="20"/>
        </w:rPr>
        <w:t>telecommunications service</w:t>
      </w:r>
      <w:r w:rsidR="001D54A5">
        <w:rPr>
          <w:szCs w:val="20"/>
        </w:rPr>
        <w:t>s</w:t>
      </w:r>
      <w:r w:rsidR="00186E42">
        <w:rPr>
          <w:szCs w:val="20"/>
        </w:rPr>
        <w:t>, it enable</w:t>
      </w:r>
      <w:r w:rsidR="00CC7A58">
        <w:rPr>
          <w:szCs w:val="20"/>
        </w:rPr>
        <w:t>s</w:t>
      </w:r>
      <w:r w:rsidR="00186E42">
        <w:rPr>
          <w:szCs w:val="20"/>
        </w:rPr>
        <w:t xml:space="preserve"> </w:t>
      </w:r>
      <w:r w:rsidR="00CC7A58">
        <w:rPr>
          <w:szCs w:val="20"/>
        </w:rPr>
        <w:t>them to engage</w:t>
      </w:r>
      <w:r w:rsidR="00EF31B2">
        <w:rPr>
          <w:szCs w:val="20"/>
        </w:rPr>
        <w:t xml:space="preserve"> in a broad range </w:t>
      </w:r>
      <w:r w:rsidR="00C534F2">
        <w:rPr>
          <w:szCs w:val="20"/>
        </w:rPr>
        <w:t>of activities</w:t>
      </w:r>
      <w:r w:rsidR="00CC7A58">
        <w:rPr>
          <w:szCs w:val="20"/>
        </w:rPr>
        <w:t xml:space="preserve">, </w:t>
      </w:r>
      <w:r w:rsidR="00C534F2">
        <w:rPr>
          <w:szCs w:val="20"/>
        </w:rPr>
        <w:t>incl</w:t>
      </w:r>
      <w:r w:rsidR="00B9258B">
        <w:rPr>
          <w:szCs w:val="20"/>
        </w:rPr>
        <w:t>ud</w:t>
      </w:r>
      <w:r w:rsidR="00C534F2">
        <w:rPr>
          <w:szCs w:val="20"/>
        </w:rPr>
        <w:t>ing work and education</w:t>
      </w:r>
      <w:r w:rsidR="00CC7A58">
        <w:rPr>
          <w:szCs w:val="20"/>
        </w:rPr>
        <w:t xml:space="preserve">. </w:t>
      </w:r>
      <w:r w:rsidR="00630F67">
        <w:rPr>
          <w:szCs w:val="20"/>
        </w:rPr>
        <w:t xml:space="preserve">Moreover, it facilitates access to various services such as health and government support. </w:t>
      </w:r>
    </w:p>
    <w:p w14:paraId="0B5C062C" w14:textId="64C3AC13" w:rsidR="00A326BD" w:rsidRDefault="00F53E38" w:rsidP="00C25618">
      <w:pPr>
        <w:pStyle w:val="Paragraph"/>
        <w:rPr>
          <w:szCs w:val="20"/>
        </w:rPr>
      </w:pPr>
      <w:r>
        <w:rPr>
          <w:szCs w:val="20"/>
        </w:rPr>
        <w:t>On a fundamental level, access to telecommunications services serves as the gateway to participation in the digital realm. Digital exclusion arises when individuals lack the means to connect to these services and acquire the necessary devices for access. This exclusion, manifesting in various forms, directly correlates with adverse outcomes, such as compromised health, diminished life expectancy</w:t>
      </w:r>
      <w:r w:rsidR="009E5452">
        <w:rPr>
          <w:szCs w:val="20"/>
        </w:rPr>
        <w:t>, increased loneliness</w:t>
      </w:r>
      <w:r w:rsidR="003F303F">
        <w:rPr>
          <w:szCs w:val="20"/>
        </w:rPr>
        <w:t>,</w:t>
      </w:r>
      <w:r w:rsidR="009E5452">
        <w:rPr>
          <w:szCs w:val="20"/>
        </w:rPr>
        <w:t xml:space="preserve"> social isolation and </w:t>
      </w:r>
      <w:r>
        <w:rPr>
          <w:szCs w:val="20"/>
        </w:rPr>
        <w:t xml:space="preserve">limited access to crucial resources like employment </w:t>
      </w:r>
      <w:r w:rsidR="009E5452">
        <w:rPr>
          <w:szCs w:val="20"/>
        </w:rPr>
        <w:t>and education</w:t>
      </w:r>
      <w:r w:rsidR="00515078">
        <w:rPr>
          <w:szCs w:val="20"/>
        </w:rPr>
        <w:t>.</w:t>
      </w:r>
      <w:r w:rsidR="00515078">
        <w:rPr>
          <w:rStyle w:val="FootnoteReference"/>
          <w:szCs w:val="20"/>
        </w:rPr>
        <w:footnoteReference w:id="19"/>
      </w:r>
      <w:r w:rsidR="0035459A">
        <w:rPr>
          <w:szCs w:val="20"/>
        </w:rPr>
        <w:t xml:space="preserve"> </w:t>
      </w:r>
      <w:r w:rsidR="000709CB">
        <w:rPr>
          <w:szCs w:val="20"/>
        </w:rPr>
        <w:t>Digital exclusion is connected with an inability to participate fully in economic</w:t>
      </w:r>
      <w:r w:rsidR="00FB70BA">
        <w:rPr>
          <w:szCs w:val="20"/>
        </w:rPr>
        <w:t>, social and civic life, presenting and compounding barriers to education, work and vital services.</w:t>
      </w:r>
      <w:r w:rsidR="00604454">
        <w:rPr>
          <w:rStyle w:val="FootnoteReference"/>
          <w:szCs w:val="20"/>
        </w:rPr>
        <w:footnoteReference w:id="20"/>
      </w:r>
      <w:r w:rsidR="0099768C">
        <w:rPr>
          <w:szCs w:val="20"/>
        </w:rPr>
        <w:t xml:space="preserve"> </w:t>
      </w:r>
    </w:p>
    <w:p w14:paraId="65C4DC97" w14:textId="2C21A9D1" w:rsidR="00C25618" w:rsidRPr="001F4F09" w:rsidRDefault="005A233C" w:rsidP="00C25618">
      <w:pPr>
        <w:pStyle w:val="Paragraph"/>
        <w:rPr>
          <w:szCs w:val="20"/>
        </w:rPr>
      </w:pPr>
      <w:r>
        <w:rPr>
          <w:szCs w:val="20"/>
        </w:rPr>
        <w:t xml:space="preserve">In its submission to the </w:t>
      </w:r>
      <w:r w:rsidR="00145176">
        <w:rPr>
          <w:szCs w:val="20"/>
        </w:rPr>
        <w:t xml:space="preserve">ACMA’s consultation </w:t>
      </w:r>
      <w:r w:rsidR="00F11630">
        <w:rPr>
          <w:szCs w:val="20"/>
        </w:rPr>
        <w:t>the</w:t>
      </w:r>
      <w:r w:rsidR="00145176">
        <w:rPr>
          <w:szCs w:val="20"/>
        </w:rPr>
        <w:t xml:space="preserve"> Statement of Expectations, Relationships Australia </w:t>
      </w:r>
      <w:r w:rsidR="00E6367E">
        <w:rPr>
          <w:szCs w:val="20"/>
        </w:rPr>
        <w:t xml:space="preserve">details the importance of digital inclusion being </w:t>
      </w:r>
      <w:r w:rsidR="00A66B2C">
        <w:rPr>
          <w:szCs w:val="20"/>
        </w:rPr>
        <w:t xml:space="preserve">a critical enabler of social inclusion </w:t>
      </w:r>
      <w:r w:rsidR="00730696">
        <w:rPr>
          <w:szCs w:val="20"/>
        </w:rPr>
        <w:t xml:space="preserve">and connection </w:t>
      </w:r>
      <w:r w:rsidR="008A4351">
        <w:rPr>
          <w:szCs w:val="20"/>
        </w:rPr>
        <w:t xml:space="preserve">and preventative against loneliness and its </w:t>
      </w:r>
      <w:r w:rsidR="00267D6F">
        <w:rPr>
          <w:szCs w:val="20"/>
        </w:rPr>
        <w:t>adverse effects</w:t>
      </w:r>
      <w:r w:rsidR="008A4351">
        <w:rPr>
          <w:szCs w:val="20"/>
        </w:rPr>
        <w:t xml:space="preserve"> on physical and mental health.</w:t>
      </w:r>
      <w:r w:rsidR="00554041">
        <w:rPr>
          <w:rStyle w:val="FootnoteReference"/>
          <w:szCs w:val="20"/>
        </w:rPr>
        <w:footnoteReference w:id="21"/>
      </w:r>
    </w:p>
    <w:p w14:paraId="2FE45C17" w14:textId="77777777" w:rsidR="00573DDE" w:rsidRDefault="00573DDE" w:rsidP="00083B2C">
      <w:pPr>
        <w:pStyle w:val="Heading2"/>
        <w:keepLines/>
      </w:pPr>
      <w:bookmarkStart w:id="24" w:name="_Toc155685980"/>
      <w:r>
        <w:lastRenderedPageBreak/>
        <w:t>Addressing the gaps</w:t>
      </w:r>
      <w:bookmarkEnd w:id="24"/>
    </w:p>
    <w:p w14:paraId="66ADB86B" w14:textId="227C75DE" w:rsidR="00573DDE" w:rsidRDefault="00096F4B" w:rsidP="00083B2C">
      <w:pPr>
        <w:pStyle w:val="Paragraphbeforelist"/>
        <w:keepNext/>
        <w:keepLines/>
      </w:pPr>
      <w:r>
        <w:t>There are gaps in the f</w:t>
      </w:r>
      <w:r w:rsidR="00573DDE">
        <w:t xml:space="preserve">inancial hardship rules </w:t>
      </w:r>
      <w:r w:rsidR="005B3343">
        <w:t>in</w:t>
      </w:r>
      <w:r w:rsidR="00573DDE">
        <w:t xml:space="preserve"> the TCP Code</w:t>
      </w:r>
      <w:r w:rsidR="005B3343">
        <w:t xml:space="preserve"> </w:t>
      </w:r>
      <w:r w:rsidR="00880580">
        <w:t xml:space="preserve">in </w:t>
      </w:r>
      <w:r w:rsidR="004E1F84">
        <w:t>th</w:t>
      </w:r>
      <w:r w:rsidR="004359B7">
        <w:t>e</w:t>
      </w:r>
      <w:r w:rsidR="004E1F84">
        <w:t xml:space="preserve"> way they </w:t>
      </w:r>
      <w:r w:rsidR="00880580">
        <w:t>operat</w:t>
      </w:r>
      <w:r w:rsidR="004E1F84">
        <w:t>e and provide protections to consumers in need</w:t>
      </w:r>
      <w:r w:rsidR="00573DDE">
        <w:t xml:space="preserve">. These gaps and supporting evidence are detailed in the What Consumers Want </w:t>
      </w:r>
      <w:r w:rsidR="00343B2C">
        <w:t>p</w:t>
      </w:r>
      <w:r w:rsidR="00573DDE">
        <w:t xml:space="preserve">aper and the Financial Hardship </w:t>
      </w:r>
      <w:r w:rsidR="00083B2C">
        <w:t>r</w:t>
      </w:r>
      <w:r w:rsidR="00573DDE">
        <w:t>eport and include:</w:t>
      </w:r>
    </w:p>
    <w:p w14:paraId="45928124" w14:textId="77777777" w:rsidR="00974E80" w:rsidRPr="002D70AE" w:rsidRDefault="00974E80" w:rsidP="00083B2C">
      <w:pPr>
        <w:pStyle w:val="Bulletlevel1"/>
        <w:keepNext/>
        <w:keepLines/>
        <w:rPr>
          <w:szCs w:val="20"/>
        </w:rPr>
      </w:pPr>
      <w:r w:rsidRPr="002D70AE">
        <w:rPr>
          <w:szCs w:val="20"/>
        </w:rPr>
        <w:t>Narrow definition of ‘financial hardship’.</w:t>
      </w:r>
      <w:r>
        <w:rPr>
          <w:szCs w:val="20"/>
        </w:rPr>
        <w:t xml:space="preserve"> </w:t>
      </w:r>
      <w:r>
        <w:t>The ACMA is aware that telcos offer some additional forms of ‘financial assistance’, but these sit outside of the TCP Code definition.</w:t>
      </w:r>
    </w:p>
    <w:p w14:paraId="2071213D" w14:textId="782DEB1D" w:rsidR="00974E80" w:rsidRPr="002D70AE" w:rsidRDefault="00974E80" w:rsidP="00083B2C">
      <w:pPr>
        <w:pStyle w:val="Bulletlevel1"/>
      </w:pPr>
      <w:r w:rsidRPr="002D70AE">
        <w:t xml:space="preserve">Financial assistance, including payment plans and extensions to pay, are frequently </w:t>
      </w:r>
      <w:r w:rsidR="00286546">
        <w:t>outside of</w:t>
      </w:r>
      <w:r w:rsidRPr="002D70AE">
        <w:t xml:space="preserve"> formal financial hardship programs, negating TCP Code protections such as preventing credit management action against customer in financial hardship.</w:t>
      </w:r>
    </w:p>
    <w:p w14:paraId="2F14EEDD" w14:textId="77777777" w:rsidR="00974E80" w:rsidRPr="002D70AE" w:rsidRDefault="00974E80" w:rsidP="00083B2C">
      <w:pPr>
        <w:pStyle w:val="Bulletlevel1"/>
      </w:pPr>
      <w:r w:rsidRPr="002D70AE">
        <w:t>Timeframes for CSPs to notify customers of impending disconnection, suspension or restriction of services are too short and, in some cases, are not being complied with.</w:t>
      </w:r>
    </w:p>
    <w:p w14:paraId="511C559F" w14:textId="77777777" w:rsidR="00974E80" w:rsidRPr="002D70AE" w:rsidRDefault="00974E80" w:rsidP="00083B2C">
      <w:pPr>
        <w:pStyle w:val="Bulletlevel1"/>
      </w:pPr>
      <w:r w:rsidRPr="002D70AE">
        <w:t xml:space="preserve">Low levels of consumer awareness about telecommunications financial assistance. </w:t>
      </w:r>
    </w:p>
    <w:p w14:paraId="470D9D96" w14:textId="77777777" w:rsidR="00974E80" w:rsidRPr="002D70AE" w:rsidRDefault="00974E80" w:rsidP="00083B2C">
      <w:pPr>
        <w:pStyle w:val="Bulletlevel1"/>
      </w:pPr>
      <w:r w:rsidRPr="002D70AE">
        <w:t>A lack of consistency across industry in assessing eligibility for financial hardship assistance.</w:t>
      </w:r>
    </w:p>
    <w:p w14:paraId="706361C0" w14:textId="77777777" w:rsidR="00974E80" w:rsidRDefault="00974E80" w:rsidP="00083B2C">
      <w:pPr>
        <w:pStyle w:val="Bulletlevel1"/>
      </w:pPr>
      <w:r w:rsidRPr="002D70AE">
        <w:t>A lack of flexibility in some financial hardship arrangements that does not account for a consumer’s individual circumstances.</w:t>
      </w:r>
    </w:p>
    <w:p w14:paraId="2FA9EFEC" w14:textId="77777777" w:rsidR="00974E80" w:rsidRDefault="00974E80" w:rsidP="00083B2C">
      <w:pPr>
        <w:pStyle w:val="Bulletlevel1"/>
      </w:pPr>
      <w:r>
        <w:t>Difficulties with enforcing some of the existing financial hardship provisions in the TCP Code due to poor drafting.</w:t>
      </w:r>
    </w:p>
    <w:p w14:paraId="2565FD3D" w14:textId="77777777" w:rsidR="00974E80" w:rsidRPr="002D70AE" w:rsidRDefault="00974E80" w:rsidP="00083B2C">
      <w:pPr>
        <w:pStyle w:val="Bulletlevel1"/>
        <w:rPr>
          <w:szCs w:val="20"/>
        </w:rPr>
      </w:pPr>
      <w:r>
        <w:t>The TCP Code does not prescribe what factors should be considered in assessing a customer’s eligibility for financial hardship assistance or what staff training would be appropriate in these circumstances.</w:t>
      </w:r>
    </w:p>
    <w:p w14:paraId="54B0D218" w14:textId="77777777" w:rsidR="00974E80" w:rsidRPr="002D70AE" w:rsidRDefault="00974E80" w:rsidP="00083B2C">
      <w:pPr>
        <w:pStyle w:val="Bulletlevel1last"/>
      </w:pPr>
      <w:r w:rsidRPr="002D70AE">
        <w:t>Limited enforcement options under the TCP Code – a formal warning or a direction to comply. More serious action can only be taken after a CSP breaches a direction to comply</w:t>
      </w:r>
      <w:r>
        <w:t xml:space="preserve"> (meaning a second or repeated contravention)</w:t>
      </w:r>
      <w:r w:rsidRPr="002D70AE">
        <w:t>.</w:t>
      </w:r>
    </w:p>
    <w:p w14:paraId="53D1A8BD" w14:textId="7E0CE681" w:rsidR="00EC3C8C" w:rsidRDefault="00573DDE" w:rsidP="00317FE4">
      <w:pPr>
        <w:pStyle w:val="Paragraphbeforelist"/>
      </w:pPr>
      <w:r w:rsidRPr="00237056">
        <w:t xml:space="preserve">The ACMA’s findings </w:t>
      </w:r>
      <w:r w:rsidR="00E700AF">
        <w:t>are</w:t>
      </w:r>
      <w:r w:rsidR="00EC3C8C">
        <w:t xml:space="preserve"> further supported by:</w:t>
      </w:r>
    </w:p>
    <w:p w14:paraId="35844C37" w14:textId="77777777" w:rsidR="00AD6CDE" w:rsidRPr="0024585D" w:rsidRDefault="00573DDE" w:rsidP="00083B2C">
      <w:pPr>
        <w:pStyle w:val="Bulletlevel1"/>
        <w:rPr>
          <w:i/>
        </w:rPr>
      </w:pPr>
      <w:r w:rsidRPr="00237056">
        <w:t xml:space="preserve">the TIO’s </w:t>
      </w:r>
      <w:r w:rsidR="00AD6CDE">
        <w:t xml:space="preserve">June 2023 </w:t>
      </w:r>
      <w:r w:rsidRPr="00237056">
        <w:rPr>
          <w:lang w:val="en-US"/>
        </w:rPr>
        <w:t xml:space="preserve">report </w:t>
      </w:r>
      <w:r w:rsidRPr="00237056">
        <w:rPr>
          <w:i/>
          <w:iCs/>
        </w:rPr>
        <w:t>A time for change – Three years of systemic investigations in review</w:t>
      </w:r>
      <w:r w:rsidRPr="00237056">
        <w:rPr>
          <w:rStyle w:val="FootnoteReference"/>
        </w:rPr>
        <w:t xml:space="preserve"> </w:t>
      </w:r>
      <w:r w:rsidRPr="00237056">
        <w:rPr>
          <w:rStyle w:val="FootnoteReference"/>
        </w:rPr>
        <w:footnoteReference w:id="22"/>
      </w:r>
      <w:r w:rsidRPr="00237056">
        <w:t xml:space="preserve">, </w:t>
      </w:r>
      <w:r w:rsidR="00AD6CDE" w:rsidRPr="0024585D">
        <w:t xml:space="preserve">which </w:t>
      </w:r>
      <w:r w:rsidR="00AD6CDE" w:rsidRPr="002401AD">
        <w:t>made</w:t>
      </w:r>
      <w:r w:rsidR="00AD6CDE" w:rsidRPr="0024585D">
        <w:rPr>
          <w:i/>
          <w:iCs/>
        </w:rPr>
        <w:t xml:space="preserve"> </w:t>
      </w:r>
      <w:r w:rsidR="00AD6CDE" w:rsidRPr="0024585D">
        <w:t>recommendations where the telecommunications regulatory framework and industry could evolve to provide better protection for consumers who are vulnerable, including:</w:t>
      </w:r>
    </w:p>
    <w:p w14:paraId="2F6CAC7A" w14:textId="29F302C0" w:rsidR="00AD6CDE" w:rsidRPr="0024585D" w:rsidRDefault="0082768A" w:rsidP="00096F4B">
      <w:pPr>
        <w:pStyle w:val="Bulletlevel2"/>
        <w:tabs>
          <w:tab w:val="clear" w:pos="845"/>
          <w:tab w:val="num" w:pos="1389"/>
        </w:tabs>
        <w:ind w:left="970"/>
      </w:pPr>
      <w:r>
        <w:t>t</w:t>
      </w:r>
      <w:r w:rsidR="00AD6CDE" w:rsidRPr="0024585D">
        <w:t>elcos need to do more to reduce barriers for consumers seeking help</w:t>
      </w:r>
    </w:p>
    <w:p w14:paraId="77219DA2" w14:textId="6DF09504" w:rsidR="00AD6CDE" w:rsidRPr="0024585D" w:rsidRDefault="0082768A" w:rsidP="00096F4B">
      <w:pPr>
        <w:pStyle w:val="Bulletlevel2"/>
        <w:tabs>
          <w:tab w:val="clear" w:pos="845"/>
          <w:tab w:val="num" w:pos="1389"/>
        </w:tabs>
        <w:ind w:left="970"/>
      </w:pPr>
      <w:r>
        <w:t>i</w:t>
      </w:r>
      <w:r w:rsidR="00AD6CDE" w:rsidRPr="0024585D">
        <w:t>mproved regulation would help reduce unexpected debt and financial hardship</w:t>
      </w:r>
    </w:p>
    <w:p w14:paraId="5FA93D78" w14:textId="0B543794" w:rsidR="00AD6CDE" w:rsidRPr="0024585D" w:rsidRDefault="0082768A" w:rsidP="00096F4B">
      <w:pPr>
        <w:pStyle w:val="Bulletlevel2"/>
        <w:tabs>
          <w:tab w:val="clear" w:pos="845"/>
          <w:tab w:val="num" w:pos="1389"/>
        </w:tabs>
        <w:ind w:left="970"/>
      </w:pPr>
      <w:r>
        <w:t>d</w:t>
      </w:r>
      <w:r w:rsidR="00AD6CDE" w:rsidRPr="0024585D">
        <w:t>irect regulation should play a primary role in protecting consumers that are vulnerable.</w:t>
      </w:r>
    </w:p>
    <w:p w14:paraId="3C8F0E90" w14:textId="2629B200" w:rsidR="005C3579" w:rsidRPr="005C3579" w:rsidRDefault="002A0451" w:rsidP="00083B2C">
      <w:pPr>
        <w:pStyle w:val="Bulletlevel1"/>
        <w:rPr>
          <w:i/>
        </w:rPr>
      </w:pPr>
      <w:r>
        <w:t>the TIO’s April 2023 report Thematic Review: Our financial hardship complaints 2021 - 223</w:t>
      </w:r>
      <w:r w:rsidR="00A32FA7">
        <w:rPr>
          <w:rStyle w:val="FootnoteReference"/>
          <w:iCs/>
        </w:rPr>
        <w:footnoteReference w:id="23"/>
      </w:r>
      <w:r w:rsidR="00A32FA7">
        <w:t xml:space="preserve"> which provide</w:t>
      </w:r>
      <w:r w:rsidR="00FB748F">
        <w:t xml:space="preserve">s an overview </w:t>
      </w:r>
      <w:r w:rsidR="00C6464B">
        <w:t xml:space="preserve">of complaints received about financial hardship between 1 April 2021 and 31 March 2023 and </w:t>
      </w:r>
      <w:r w:rsidR="00434D94">
        <w:t>provided</w:t>
      </w:r>
      <w:r w:rsidR="004A3A84">
        <w:t xml:space="preserve"> case stud</w:t>
      </w:r>
      <w:r w:rsidR="00434D94">
        <w:t xml:space="preserve">ies </w:t>
      </w:r>
      <w:r w:rsidR="004C394C">
        <w:t>illustrat</w:t>
      </w:r>
      <w:r w:rsidR="00A91960">
        <w:t>i</w:t>
      </w:r>
      <w:r w:rsidR="004C394C">
        <w:t>ng</w:t>
      </w:r>
      <w:r w:rsidR="00434D94">
        <w:t xml:space="preserve"> some of the issues customers </w:t>
      </w:r>
      <w:r w:rsidR="00693AF3">
        <w:t xml:space="preserve">in </w:t>
      </w:r>
      <w:r w:rsidR="00434D94">
        <w:t>financial hardship</w:t>
      </w:r>
      <w:r w:rsidR="00693AF3">
        <w:t xml:space="preserve"> experienced</w:t>
      </w:r>
      <w:r w:rsidR="00434D94">
        <w:t>. This included</w:t>
      </w:r>
      <w:r w:rsidR="004A3A84">
        <w:t xml:space="preserve"> a situation where a customer who became seriously ill and was not ab</w:t>
      </w:r>
      <w:r w:rsidR="00BF245C">
        <w:t>l</w:t>
      </w:r>
      <w:r w:rsidR="004A3A84">
        <w:t>e to work was not offered a reasonable payment arrangement</w:t>
      </w:r>
      <w:r w:rsidR="00693AF3">
        <w:t>, and anothe</w:t>
      </w:r>
      <w:r w:rsidR="000C339B">
        <w:t xml:space="preserve">r where </w:t>
      </w:r>
      <w:r w:rsidR="00701035">
        <w:t xml:space="preserve">a pensioner customer was unable to reach her telco to ask for </w:t>
      </w:r>
      <w:r w:rsidR="004C394C">
        <w:t>financial assistance.</w:t>
      </w:r>
      <w:r w:rsidR="00C6464B">
        <w:t xml:space="preserve"> </w:t>
      </w:r>
    </w:p>
    <w:p w14:paraId="360D31A5" w14:textId="38953D33" w:rsidR="00ED67B6" w:rsidRPr="00E85BE8" w:rsidRDefault="00AD6CDE" w:rsidP="00083B2C">
      <w:pPr>
        <w:pStyle w:val="Bulletlevel1"/>
        <w:rPr>
          <w:i/>
        </w:rPr>
      </w:pPr>
      <w:r>
        <w:lastRenderedPageBreak/>
        <w:t xml:space="preserve">recent ACMA action against 8 </w:t>
      </w:r>
      <w:r w:rsidR="00E85BE8">
        <w:t>CSPs</w:t>
      </w:r>
      <w:r>
        <w:t xml:space="preserve"> for failure to provide adequate notice for service restrictions, suspensions or disconnections and failure to provide information about financial hardship policies</w:t>
      </w:r>
      <w:r w:rsidR="006E7632">
        <w:rPr>
          <w:rStyle w:val="FootnoteReference"/>
        </w:rPr>
        <w:footnoteReference w:id="24"/>
      </w:r>
      <w:r w:rsidR="00E85BE8">
        <w:t xml:space="preserve"> and action </w:t>
      </w:r>
      <w:r w:rsidR="00ED67B6">
        <w:t xml:space="preserve">against a CSP </w:t>
      </w:r>
      <w:r w:rsidR="0032486B">
        <w:t xml:space="preserve">for </w:t>
      </w:r>
      <w:r w:rsidR="0023178A">
        <w:t xml:space="preserve">breaching the requirement </w:t>
      </w:r>
      <w:r w:rsidR="00A86D82">
        <w:t xml:space="preserve">to suspend credit management </w:t>
      </w:r>
      <w:r w:rsidR="00800971">
        <w:t>activity for 70 financial hardship customers between Aug</w:t>
      </w:r>
      <w:r w:rsidR="00E85BE8">
        <w:t>u</w:t>
      </w:r>
      <w:r w:rsidR="00800971">
        <w:t>st 2019 and April 2022.</w:t>
      </w:r>
      <w:r w:rsidR="00582F2C">
        <w:rPr>
          <w:rStyle w:val="FootnoteReference"/>
        </w:rPr>
        <w:footnoteReference w:id="25"/>
      </w:r>
    </w:p>
    <w:p w14:paraId="7D6A2373" w14:textId="193C1BE6" w:rsidR="003C7F1A" w:rsidRPr="00954448" w:rsidRDefault="00573DDE" w:rsidP="00083B2C">
      <w:pPr>
        <w:pStyle w:val="Bulletlevel1"/>
        <w:rPr>
          <w:i/>
          <w:iCs/>
        </w:rPr>
      </w:pPr>
      <w:r w:rsidRPr="00AD6CDE">
        <w:t xml:space="preserve">reports and research by other organisations including </w:t>
      </w:r>
      <w:r w:rsidR="001B1983">
        <w:t>research by the ACCAN and the PIAC</w:t>
      </w:r>
      <w:r w:rsidR="001B1983">
        <w:rPr>
          <w:rStyle w:val="FootnoteReference"/>
        </w:rPr>
        <w:footnoteReference w:id="26"/>
      </w:r>
      <w:r w:rsidR="001B1983">
        <w:t xml:space="preserve"> into how consumers experience their billing arrangements, which found that some of the payment options offered by CSPs are not suitable for people in vulnerable circumstances</w:t>
      </w:r>
      <w:r w:rsidR="00833CB9">
        <w:t>.</w:t>
      </w:r>
    </w:p>
    <w:p w14:paraId="30B41D7F" w14:textId="72BBD671" w:rsidR="00954448" w:rsidRPr="00954448" w:rsidRDefault="00954448" w:rsidP="00083B2C">
      <w:pPr>
        <w:pStyle w:val="Bulletlevel1last"/>
        <w:rPr>
          <w:i/>
          <w:iCs/>
        </w:rPr>
      </w:pPr>
      <w:r w:rsidRPr="00AD6CDE">
        <w:t>submissions to the current review of the TCP Code</w:t>
      </w:r>
      <w:r>
        <w:rPr>
          <w:rStyle w:val="FootnoteReference"/>
        </w:rPr>
        <w:footnoteReference w:id="27"/>
      </w:r>
      <w:r w:rsidRPr="00AD6CDE">
        <w:t xml:space="preserve"> by the TIO</w:t>
      </w:r>
      <w:r w:rsidRPr="00237056">
        <w:rPr>
          <w:rStyle w:val="FootnoteReference"/>
        </w:rPr>
        <w:footnoteReference w:id="28"/>
      </w:r>
      <w:r w:rsidRPr="00AD6CDE">
        <w:t xml:space="preserve">, the </w:t>
      </w:r>
      <w:r w:rsidRPr="00AD6CDE">
        <w:rPr>
          <w:lang w:val="x-none"/>
        </w:rPr>
        <w:t>ACCC</w:t>
      </w:r>
      <w:r w:rsidRPr="00237056">
        <w:rPr>
          <w:rStyle w:val="FootnoteReference"/>
        </w:rPr>
        <w:footnoteReference w:id="29"/>
      </w:r>
      <w:r w:rsidRPr="00AD6CDE">
        <w:t xml:space="preserve"> and </w:t>
      </w:r>
      <w:r w:rsidRPr="00AD6CDE">
        <w:rPr>
          <w:lang w:val="x-none"/>
        </w:rPr>
        <w:t>ACCAN</w:t>
      </w:r>
      <w:r w:rsidR="009E3CF9">
        <w:t>.</w:t>
      </w:r>
      <w:r w:rsidRPr="00237056">
        <w:rPr>
          <w:rStyle w:val="FootnoteReference"/>
          <w:lang w:val="x-none"/>
        </w:rPr>
        <w:footnoteReference w:id="30"/>
      </w:r>
    </w:p>
    <w:p w14:paraId="651EE1DB" w14:textId="23F731C2" w:rsidR="003C7F1A" w:rsidRDefault="003C7F1A" w:rsidP="003C7F1A">
      <w:pPr>
        <w:pStyle w:val="Paragraph"/>
      </w:pPr>
      <w:r>
        <w:t>Feedback from current consumer representatives</w:t>
      </w:r>
      <w:r w:rsidR="007D04A0">
        <w:rPr>
          <w:rStyle w:val="FootnoteReference"/>
        </w:rPr>
        <w:footnoteReference w:id="31"/>
      </w:r>
      <w:r w:rsidR="00335BBF">
        <w:t xml:space="preserve"> </w:t>
      </w:r>
      <w:r w:rsidR="00096F4B">
        <w:t xml:space="preserve">of </w:t>
      </w:r>
      <w:r w:rsidR="00335BBF">
        <w:t>the ACMA’s CCF</w:t>
      </w:r>
      <w:r w:rsidRPr="00E21DBC">
        <w:t xml:space="preserve"> has </w:t>
      </w:r>
      <w:r w:rsidR="00B73905">
        <w:t xml:space="preserve">also </w:t>
      </w:r>
      <w:r>
        <w:t>emphasised</w:t>
      </w:r>
      <w:r w:rsidRPr="00E21DBC">
        <w:t xml:space="preserve"> the need for more robust </w:t>
      </w:r>
      <w:r>
        <w:t>financial hardship</w:t>
      </w:r>
      <w:r w:rsidRPr="00E21DBC">
        <w:t xml:space="preserve"> protections</w:t>
      </w:r>
      <w:r>
        <w:t xml:space="preserve"> beyond those afforded by th</w:t>
      </w:r>
      <w:r w:rsidR="00AD0981">
        <w:t xml:space="preserve">e </w:t>
      </w:r>
      <w:r>
        <w:t>TCP Code</w:t>
      </w:r>
      <w:r w:rsidR="006568B8">
        <w:t xml:space="preserve">, and </w:t>
      </w:r>
      <w:r>
        <w:t>accord</w:t>
      </w:r>
      <w:r w:rsidR="006568B8">
        <w:t>s</w:t>
      </w:r>
      <w:r>
        <w:t xml:space="preserve"> with feedback received during development of </w:t>
      </w:r>
      <w:r w:rsidR="002E1A98">
        <w:t xml:space="preserve">the ACMA’s </w:t>
      </w:r>
      <w:r>
        <w:t>Statement of</w:t>
      </w:r>
      <w:r w:rsidR="006568B8">
        <w:t xml:space="preserve"> Expectations</w:t>
      </w:r>
      <w:r>
        <w:t>.</w:t>
      </w:r>
    </w:p>
    <w:p w14:paraId="752E7D43" w14:textId="7D6A429D" w:rsidR="00573DDE" w:rsidRDefault="00573DDE" w:rsidP="00573DDE">
      <w:pPr>
        <w:pStyle w:val="CommentText"/>
        <w:spacing w:line="240" w:lineRule="atLeast"/>
        <w:rPr>
          <w:rFonts w:cs="Arial"/>
          <w:color w:val="212529"/>
        </w:rPr>
      </w:pPr>
      <w:r w:rsidRPr="00237056">
        <w:rPr>
          <w:rFonts w:cs="Arial"/>
        </w:rPr>
        <w:t>This, together with feedback from consumer groups and advocates over an extended period</w:t>
      </w:r>
      <w:r w:rsidR="00614420">
        <w:rPr>
          <w:rFonts w:cs="Arial"/>
        </w:rPr>
        <w:t xml:space="preserve">, </w:t>
      </w:r>
      <w:r w:rsidR="00615700">
        <w:rPr>
          <w:rFonts w:cs="Arial"/>
        </w:rPr>
        <w:t>emp</w:t>
      </w:r>
      <w:r w:rsidR="007570C7">
        <w:rPr>
          <w:rFonts w:cs="Arial"/>
        </w:rPr>
        <w:t>h</w:t>
      </w:r>
      <w:r w:rsidR="00615700">
        <w:rPr>
          <w:rFonts w:cs="Arial"/>
        </w:rPr>
        <w:t xml:space="preserve">asises the inadequacy </w:t>
      </w:r>
      <w:r w:rsidR="007570C7">
        <w:rPr>
          <w:rFonts w:cs="Arial"/>
        </w:rPr>
        <w:t>of current financial hardship rules</w:t>
      </w:r>
      <w:r>
        <w:rPr>
          <w:rFonts w:cs="Arial"/>
          <w:color w:val="212529"/>
        </w:rPr>
        <w:t>.</w:t>
      </w:r>
      <w:r w:rsidR="00713283">
        <w:rPr>
          <w:rStyle w:val="FootnoteReference"/>
          <w:rFonts w:cs="Arial"/>
          <w:color w:val="212529"/>
        </w:rPr>
        <w:footnoteReference w:id="32"/>
      </w:r>
      <w:r w:rsidR="00614420">
        <w:rPr>
          <w:rFonts w:cs="Arial"/>
          <w:color w:val="212529"/>
        </w:rPr>
        <w:t xml:space="preserve"> </w:t>
      </w:r>
    </w:p>
    <w:p w14:paraId="718B9138" w14:textId="77777777" w:rsidR="00F373AE" w:rsidRPr="002B7B46" w:rsidRDefault="00F373AE" w:rsidP="00F373AE">
      <w:pPr>
        <w:rPr>
          <w:rFonts w:cs="Arial"/>
          <w:szCs w:val="20"/>
        </w:rPr>
      </w:pPr>
      <w:r w:rsidRPr="002B7B46">
        <w:rPr>
          <w:rFonts w:cs="Arial"/>
          <w:szCs w:val="20"/>
        </w:rPr>
        <w:t xml:space="preserve">In </w:t>
      </w:r>
      <w:r>
        <w:rPr>
          <w:rFonts w:cs="Arial"/>
          <w:szCs w:val="20"/>
        </w:rPr>
        <w:t>examining</w:t>
      </w:r>
      <w:r w:rsidRPr="002B7B46">
        <w:rPr>
          <w:rFonts w:cs="Arial"/>
          <w:szCs w:val="20"/>
        </w:rPr>
        <w:t xml:space="preserve"> the </w:t>
      </w:r>
      <w:r>
        <w:rPr>
          <w:rFonts w:cs="Arial"/>
          <w:szCs w:val="20"/>
        </w:rPr>
        <w:t>regulatory</w:t>
      </w:r>
      <w:r w:rsidRPr="002B7B46">
        <w:rPr>
          <w:rFonts w:cs="Arial"/>
          <w:szCs w:val="20"/>
        </w:rPr>
        <w:t xml:space="preserve"> landscape surrounding financial hardship </w:t>
      </w:r>
      <w:r>
        <w:rPr>
          <w:rFonts w:cs="Arial"/>
          <w:szCs w:val="20"/>
        </w:rPr>
        <w:t>with</w:t>
      </w:r>
      <w:r w:rsidRPr="002B7B46">
        <w:rPr>
          <w:rFonts w:cs="Arial"/>
          <w:szCs w:val="20"/>
        </w:rPr>
        <w:t xml:space="preserve">in the telecommunications sector, the ACMA </w:t>
      </w:r>
      <w:r>
        <w:rPr>
          <w:rFonts w:cs="Arial"/>
          <w:szCs w:val="20"/>
        </w:rPr>
        <w:t>investigated</w:t>
      </w:r>
      <w:r w:rsidRPr="002B7B46">
        <w:rPr>
          <w:rFonts w:cs="Arial"/>
          <w:szCs w:val="20"/>
        </w:rPr>
        <w:t xml:space="preserve"> measures </w:t>
      </w:r>
      <w:r>
        <w:rPr>
          <w:rFonts w:cs="Arial"/>
          <w:szCs w:val="20"/>
        </w:rPr>
        <w:t>adopted</w:t>
      </w:r>
      <w:r w:rsidRPr="002B7B46">
        <w:rPr>
          <w:rFonts w:cs="Arial"/>
          <w:szCs w:val="20"/>
        </w:rPr>
        <w:t xml:space="preserve"> by other countries</w:t>
      </w:r>
      <w:r>
        <w:rPr>
          <w:rFonts w:cs="Arial"/>
          <w:szCs w:val="20"/>
        </w:rPr>
        <w:t xml:space="preserve"> and sectors</w:t>
      </w:r>
      <w:r w:rsidRPr="002B7B46">
        <w:rPr>
          <w:rFonts w:cs="Arial"/>
          <w:szCs w:val="20"/>
        </w:rPr>
        <w:t xml:space="preserve"> to </w:t>
      </w:r>
      <w:r>
        <w:rPr>
          <w:rFonts w:cs="Arial"/>
          <w:szCs w:val="20"/>
        </w:rPr>
        <w:t>address</w:t>
      </w:r>
      <w:r w:rsidRPr="002B7B46">
        <w:rPr>
          <w:rFonts w:cs="Arial"/>
          <w:szCs w:val="20"/>
        </w:rPr>
        <w:t xml:space="preserve"> similar challenges. </w:t>
      </w:r>
    </w:p>
    <w:p w14:paraId="124F1871" w14:textId="38DAA4F6" w:rsidR="00F373AE" w:rsidRPr="002B7B46" w:rsidRDefault="00F373AE" w:rsidP="00F373AE">
      <w:pPr>
        <w:pStyle w:val="Paragraph"/>
      </w:pPr>
      <w:r>
        <w:t xml:space="preserve">This involved a comprehensive </w:t>
      </w:r>
      <w:r w:rsidRPr="00057B3F">
        <w:t xml:space="preserve">comparative study </w:t>
      </w:r>
      <w:r>
        <w:t xml:space="preserve">conducted in early 2023, </w:t>
      </w:r>
      <w:r>
        <w:rPr>
          <w:szCs w:val="20"/>
        </w:rPr>
        <w:t>focusing on</w:t>
      </w:r>
      <w:r w:rsidRPr="00167215">
        <w:rPr>
          <w:szCs w:val="20"/>
        </w:rPr>
        <w:t xml:space="preserve"> telecommunications consumer protection frameworks in Canada, the United Kingdom (UK)</w:t>
      </w:r>
      <w:r w:rsidR="000A5172">
        <w:rPr>
          <w:szCs w:val="20"/>
        </w:rPr>
        <w:t xml:space="preserve"> and</w:t>
      </w:r>
      <w:r w:rsidR="005B5303">
        <w:rPr>
          <w:szCs w:val="20"/>
        </w:rPr>
        <w:t xml:space="preserve"> </w:t>
      </w:r>
      <w:r w:rsidRPr="00167215">
        <w:rPr>
          <w:szCs w:val="20"/>
        </w:rPr>
        <w:t>New Zealand (NZ)</w:t>
      </w:r>
      <w:r>
        <w:rPr>
          <w:szCs w:val="20"/>
        </w:rPr>
        <w:t>. The study</w:t>
      </w:r>
      <w:r w:rsidRPr="00167215">
        <w:rPr>
          <w:szCs w:val="20"/>
        </w:rPr>
        <w:t xml:space="preserve"> </w:t>
      </w:r>
      <w:r>
        <w:rPr>
          <w:szCs w:val="20"/>
        </w:rPr>
        <w:t xml:space="preserve">examined the </w:t>
      </w:r>
      <w:r w:rsidRPr="00167215">
        <w:rPr>
          <w:szCs w:val="20"/>
        </w:rPr>
        <w:t xml:space="preserve">regulatory measures in place </w:t>
      </w:r>
      <w:r>
        <w:rPr>
          <w:szCs w:val="20"/>
        </w:rPr>
        <w:t xml:space="preserve">to help </w:t>
      </w:r>
      <w:r w:rsidRPr="00167215">
        <w:rPr>
          <w:szCs w:val="20"/>
        </w:rPr>
        <w:t xml:space="preserve">consumers facing financial stress and assist </w:t>
      </w:r>
      <w:r>
        <w:rPr>
          <w:szCs w:val="20"/>
        </w:rPr>
        <w:t>them in staying</w:t>
      </w:r>
      <w:r w:rsidRPr="00167215">
        <w:rPr>
          <w:szCs w:val="20"/>
        </w:rPr>
        <w:t xml:space="preserve"> connected</w:t>
      </w:r>
      <w:r>
        <w:rPr>
          <w:szCs w:val="20"/>
        </w:rPr>
        <w:t xml:space="preserve">. </w:t>
      </w:r>
      <w:r w:rsidRPr="00167215">
        <w:rPr>
          <w:szCs w:val="20"/>
        </w:rPr>
        <w:t xml:space="preserve">Building on </w:t>
      </w:r>
      <w:r>
        <w:rPr>
          <w:szCs w:val="20"/>
        </w:rPr>
        <w:t>previous</w:t>
      </w:r>
      <w:r w:rsidRPr="00167215">
        <w:rPr>
          <w:szCs w:val="20"/>
        </w:rPr>
        <w:t xml:space="preserve"> research</w:t>
      </w:r>
      <w:r>
        <w:rPr>
          <w:rStyle w:val="FootnoteReference"/>
          <w:szCs w:val="20"/>
        </w:rPr>
        <w:footnoteReference w:id="33"/>
      </w:r>
      <w:r w:rsidRPr="00167215">
        <w:rPr>
          <w:szCs w:val="20"/>
        </w:rPr>
        <w:t>, the ACMA</w:t>
      </w:r>
      <w:r>
        <w:rPr>
          <w:szCs w:val="20"/>
        </w:rPr>
        <w:t xml:space="preserve"> concentrated on </w:t>
      </w:r>
      <w:r w:rsidRPr="00167215">
        <w:rPr>
          <w:szCs w:val="20"/>
        </w:rPr>
        <w:t xml:space="preserve">practical measures </w:t>
      </w:r>
      <w:r>
        <w:rPr>
          <w:szCs w:val="20"/>
        </w:rPr>
        <w:t xml:space="preserve">in place </w:t>
      </w:r>
      <w:r w:rsidRPr="00167215">
        <w:rPr>
          <w:szCs w:val="20"/>
        </w:rPr>
        <w:t>in other sectors and jurisdictions</w:t>
      </w:r>
      <w:r>
        <w:rPr>
          <w:szCs w:val="20"/>
        </w:rPr>
        <w:t>.</w:t>
      </w:r>
    </w:p>
    <w:p w14:paraId="43A90C0F" w14:textId="6BC45541" w:rsidR="00E067BC" w:rsidRPr="00237056" w:rsidRDefault="00F373AE" w:rsidP="00573DDE">
      <w:pPr>
        <w:pStyle w:val="CommentText"/>
        <w:spacing w:line="240" w:lineRule="atLeast"/>
        <w:rPr>
          <w:rFonts w:cs="Arial"/>
        </w:rPr>
      </w:pPr>
      <w:r w:rsidRPr="003B7929">
        <w:rPr>
          <w:rFonts w:cs="Arial"/>
        </w:rPr>
        <w:t xml:space="preserve">The comparative study highlighted that the UK's regulatory framework, overseen by </w:t>
      </w:r>
      <w:r w:rsidR="004354C1">
        <w:rPr>
          <w:rFonts w:cs="Arial"/>
        </w:rPr>
        <w:t xml:space="preserve">the UK regulator </w:t>
      </w:r>
      <w:r w:rsidRPr="003B7929">
        <w:rPr>
          <w:rFonts w:cs="Arial"/>
        </w:rPr>
        <w:t xml:space="preserve">Ofcom, surpasses that of the TCP Code. The UK's measures, enshrined in law and regulation rather than an industry code, include clear guidelines on financial assistance. Notably, the UK framework boasts a streamlined process for assessing financial hardship customers, with the regulator expecting individuals experiencing payment difficulties to be treated as vulnerable customers, triggering a range of additional supportive measures. The TCP Code is also surpassed by the NZ </w:t>
      </w:r>
      <w:r w:rsidRPr="003B7929">
        <w:rPr>
          <w:rFonts w:cs="Arial"/>
        </w:rPr>
        <w:lastRenderedPageBreak/>
        <w:t xml:space="preserve">and Canada consumer protections for managing customers facing disconnection due to non-payment and the associated timeframes. </w:t>
      </w:r>
      <w:r w:rsidR="001F4BEF">
        <w:rPr>
          <w:rFonts w:cs="Arial"/>
        </w:rPr>
        <w:t xml:space="preserve">Both countries </w:t>
      </w:r>
      <w:r w:rsidR="006F167E">
        <w:rPr>
          <w:rFonts w:cs="Arial"/>
        </w:rPr>
        <w:t>require</w:t>
      </w:r>
      <w:r w:rsidR="001F4BEF">
        <w:rPr>
          <w:rFonts w:cs="Arial"/>
        </w:rPr>
        <w:t xml:space="preserve"> longer timeframes before disconnection can occur and NZ steps out </w:t>
      </w:r>
      <w:r w:rsidR="001F4BEF">
        <w:t>a process diagram within their telco disconnection code.</w:t>
      </w:r>
      <w:r w:rsidR="001F4BEF">
        <w:rPr>
          <w:rStyle w:val="FootnoteReference"/>
        </w:rPr>
        <w:footnoteReference w:id="34"/>
      </w:r>
      <w:r w:rsidR="005B5303">
        <w:t xml:space="preserve"> </w:t>
      </w:r>
      <w:r w:rsidR="006E2526" w:rsidRPr="008F076C">
        <w:rPr>
          <w:rFonts w:cs="Arial"/>
        </w:rPr>
        <w:t xml:space="preserve">Comparison with other </w:t>
      </w:r>
      <w:r w:rsidR="003E12D1">
        <w:rPr>
          <w:rFonts w:cs="Arial"/>
        </w:rPr>
        <w:t xml:space="preserve">sectors offering </w:t>
      </w:r>
      <w:r w:rsidR="006E2526" w:rsidRPr="008F076C">
        <w:rPr>
          <w:rFonts w:cs="Arial"/>
        </w:rPr>
        <w:t>essential service</w:t>
      </w:r>
      <w:r w:rsidR="003E12D1">
        <w:rPr>
          <w:rFonts w:cs="Arial"/>
        </w:rPr>
        <w:t>s</w:t>
      </w:r>
      <w:r w:rsidR="006E2526" w:rsidRPr="008F076C">
        <w:rPr>
          <w:rFonts w:cs="Arial"/>
        </w:rPr>
        <w:t xml:space="preserve">, such as electricity and gas, </w:t>
      </w:r>
      <w:r w:rsidR="005647C6">
        <w:rPr>
          <w:rFonts w:cs="Arial"/>
        </w:rPr>
        <w:t xml:space="preserve">further </w:t>
      </w:r>
      <w:r w:rsidR="006E2526" w:rsidRPr="008F076C">
        <w:rPr>
          <w:rFonts w:cs="Arial"/>
        </w:rPr>
        <w:t xml:space="preserve">highlights the need for a more </w:t>
      </w:r>
      <w:r w:rsidR="00A5592F">
        <w:rPr>
          <w:rFonts w:cs="Arial"/>
        </w:rPr>
        <w:t>clearly</w:t>
      </w:r>
      <w:r w:rsidR="006E2526" w:rsidRPr="008F076C">
        <w:rPr>
          <w:rFonts w:cs="Arial"/>
        </w:rPr>
        <w:t xml:space="preserve"> enforceable framework in the telecommunications sector. In the sale and supply of electricity and gas, the National Energy Customer Framework (NECF) establishes a robust regulatory structure, including the National Energy</w:t>
      </w:r>
      <w:r w:rsidR="006E2526" w:rsidRPr="0043725F">
        <w:rPr>
          <w:rFonts w:cs="Arial"/>
        </w:rPr>
        <w:t xml:space="preserve"> Retail Law, Rules, and Regulations. The Australian Energy Regulator (AER) enforces compliance, backed by strong regulatory penalties applicable from the first breach.</w:t>
      </w:r>
    </w:p>
    <w:p w14:paraId="13885A85" w14:textId="386E0660" w:rsidR="00573DDE" w:rsidRDefault="00573DDE" w:rsidP="00573DDE">
      <w:pPr>
        <w:pStyle w:val="Paragraph"/>
        <w:rPr>
          <w:szCs w:val="20"/>
        </w:rPr>
      </w:pPr>
      <w:r>
        <w:t xml:space="preserve">Considering the identified gaps in existing rules, cost-of-living pressures and the essential </w:t>
      </w:r>
      <w:r w:rsidR="0097761E">
        <w:t>nature of</w:t>
      </w:r>
      <w:r>
        <w:t xml:space="preserve"> telecommunications </w:t>
      </w:r>
      <w:r w:rsidRPr="00215BF1">
        <w:rPr>
          <w:szCs w:val="20"/>
        </w:rPr>
        <w:t>services</w:t>
      </w:r>
      <w:r w:rsidR="008F715A">
        <w:rPr>
          <w:szCs w:val="20"/>
        </w:rPr>
        <w:t xml:space="preserve">, </w:t>
      </w:r>
      <w:r w:rsidRPr="00215BF1">
        <w:rPr>
          <w:szCs w:val="20"/>
        </w:rPr>
        <w:t xml:space="preserve">the </w:t>
      </w:r>
      <w:r w:rsidR="001B07DA">
        <w:rPr>
          <w:szCs w:val="20"/>
        </w:rPr>
        <w:t>m</w:t>
      </w:r>
      <w:r w:rsidRPr="00215BF1">
        <w:rPr>
          <w:szCs w:val="20"/>
        </w:rPr>
        <w:t xml:space="preserve">inister directed the ACMA </w:t>
      </w:r>
      <w:r w:rsidR="00A65458">
        <w:rPr>
          <w:szCs w:val="20"/>
        </w:rPr>
        <w:t xml:space="preserve">on </w:t>
      </w:r>
      <w:r w:rsidR="0000722E">
        <w:rPr>
          <w:szCs w:val="20"/>
        </w:rPr>
        <w:t xml:space="preserve">6 September 2023 </w:t>
      </w:r>
      <w:r w:rsidRPr="00215BF1">
        <w:rPr>
          <w:szCs w:val="20"/>
        </w:rPr>
        <w:t xml:space="preserve">to make an industry standard requiring CSPs to provide appropriate information and support to telecommunications customers experiencing financial hardship. </w:t>
      </w:r>
    </w:p>
    <w:p w14:paraId="751E9C66" w14:textId="1D6AF93A" w:rsidR="00573DDE" w:rsidRDefault="00573DDE" w:rsidP="00573DDE">
      <w:pPr>
        <w:pStyle w:val="Paragraph"/>
      </w:pPr>
      <w:r w:rsidRPr="00215BF1">
        <w:rPr>
          <w:szCs w:val="20"/>
        </w:rPr>
        <w:t xml:space="preserve">The </w:t>
      </w:r>
      <w:r w:rsidR="00F8345E">
        <w:rPr>
          <w:szCs w:val="20"/>
        </w:rPr>
        <w:t>aim</w:t>
      </w:r>
      <w:r w:rsidRPr="00215BF1">
        <w:rPr>
          <w:szCs w:val="20"/>
        </w:rPr>
        <w:t xml:space="preserve"> is to </w:t>
      </w:r>
      <w:r w:rsidR="00F8345E">
        <w:rPr>
          <w:szCs w:val="20"/>
        </w:rPr>
        <w:t>strengthen</w:t>
      </w:r>
      <w:r w:rsidRPr="00215BF1">
        <w:rPr>
          <w:szCs w:val="20"/>
        </w:rPr>
        <w:t xml:space="preserve"> safeguards for consumers in vulnerable circumstances, </w:t>
      </w:r>
      <w:r w:rsidR="0097761E">
        <w:rPr>
          <w:szCs w:val="20"/>
        </w:rPr>
        <w:t xml:space="preserve">including </w:t>
      </w:r>
      <w:r w:rsidRPr="00215BF1">
        <w:rPr>
          <w:szCs w:val="20"/>
        </w:rPr>
        <w:t xml:space="preserve">Australians struggling with the increased cost of living, </w:t>
      </w:r>
      <w:r w:rsidR="0097761E">
        <w:rPr>
          <w:szCs w:val="20"/>
        </w:rPr>
        <w:t>so</w:t>
      </w:r>
      <w:r w:rsidRPr="00215BF1">
        <w:rPr>
          <w:szCs w:val="20"/>
        </w:rPr>
        <w:t xml:space="preserve"> they stay connected and receive the </w:t>
      </w:r>
      <w:r w:rsidR="007E2BB8">
        <w:rPr>
          <w:szCs w:val="20"/>
        </w:rPr>
        <w:t xml:space="preserve">necessary </w:t>
      </w:r>
      <w:r w:rsidRPr="00215BF1">
        <w:rPr>
          <w:szCs w:val="20"/>
        </w:rPr>
        <w:t>assistance</w:t>
      </w:r>
      <w:r>
        <w:t xml:space="preserve">. </w:t>
      </w:r>
      <w:r w:rsidR="00AA7CD0">
        <w:t xml:space="preserve">Direct regulation </w:t>
      </w:r>
      <w:r>
        <w:t xml:space="preserve">will also </w:t>
      </w:r>
      <w:r w:rsidR="00BC4AAC">
        <w:t>facilitate more effective</w:t>
      </w:r>
      <w:r>
        <w:t xml:space="preserve"> enforcement of rules governing CSPs assist</w:t>
      </w:r>
      <w:r w:rsidR="00A65458">
        <w:t xml:space="preserve">ance to </w:t>
      </w:r>
      <w:r>
        <w:t>consumers experiencing financial hardship.</w:t>
      </w:r>
    </w:p>
    <w:p w14:paraId="0C3B6D2E" w14:textId="438CD4BA" w:rsidR="00573DDE" w:rsidRDefault="00573DDE" w:rsidP="00573DDE">
      <w:pPr>
        <w:pStyle w:val="Heading1"/>
      </w:pPr>
      <w:bookmarkStart w:id="25" w:name="_Toc32833686"/>
      <w:bookmarkStart w:id="26" w:name="_Toc32833741"/>
      <w:bookmarkStart w:id="27" w:name="_Toc32833814"/>
      <w:bookmarkStart w:id="28" w:name="_Toc155685981"/>
      <w:r>
        <w:lastRenderedPageBreak/>
        <w:t>Why is government action needed?</w:t>
      </w:r>
      <w:bookmarkEnd w:id="25"/>
      <w:bookmarkEnd w:id="26"/>
      <w:bookmarkEnd w:id="27"/>
      <w:bookmarkEnd w:id="28"/>
    </w:p>
    <w:p w14:paraId="0189831B" w14:textId="0A8F6717" w:rsidR="00573DDE" w:rsidRDefault="00573DDE" w:rsidP="00CC1140">
      <w:pPr>
        <w:pStyle w:val="Paragraph"/>
        <w:rPr>
          <w:lang w:val="en-US"/>
        </w:rPr>
      </w:pPr>
      <w:r>
        <w:rPr>
          <w:lang w:val="en-US"/>
        </w:rPr>
        <w:t xml:space="preserve">Research and evidence confirm </w:t>
      </w:r>
      <w:r w:rsidR="00C5763C">
        <w:rPr>
          <w:lang w:val="en-US"/>
        </w:rPr>
        <w:t xml:space="preserve">there is </w:t>
      </w:r>
      <w:r>
        <w:rPr>
          <w:lang w:val="en-US"/>
        </w:rPr>
        <w:t>a problem with customers experiencing financial hardship being provided with adequate and appropriate support and staying connected to a service which is essential to everyday life, including for social and economic participation.</w:t>
      </w:r>
    </w:p>
    <w:p w14:paraId="656F5218" w14:textId="1CB78C10" w:rsidR="00573DDE" w:rsidRPr="00E3240A" w:rsidRDefault="00573DDE" w:rsidP="00CC1140">
      <w:pPr>
        <w:pStyle w:val="Paragraph"/>
      </w:pPr>
      <w:r>
        <w:t xml:space="preserve">It is essential </w:t>
      </w:r>
      <w:r w:rsidR="005C7875">
        <w:t>to have</w:t>
      </w:r>
      <w:r>
        <w:t xml:space="preserve"> contemporary telecommunications industry obligations and consumer protections that are appropriate for </w:t>
      </w:r>
      <w:r w:rsidR="00366731">
        <w:t>the</w:t>
      </w:r>
      <w:r>
        <w:t xml:space="preserve"> current environment</w:t>
      </w:r>
      <w:r w:rsidR="005C7875">
        <w:t>. These regulation</w:t>
      </w:r>
      <w:r w:rsidR="00DB6D04">
        <w:t xml:space="preserve">s should </w:t>
      </w:r>
      <w:r>
        <w:t>enable and support all Australians, regardless of their individual circumstances, to access and use telecommunications services.</w:t>
      </w:r>
      <w:r w:rsidR="00857937">
        <w:t xml:space="preserve"> </w:t>
      </w:r>
      <w:r>
        <w:t>The type of regulation and the tools to enforce compliance,</w:t>
      </w:r>
      <w:r w:rsidR="00857937">
        <w:t xml:space="preserve"> if necessary</w:t>
      </w:r>
      <w:r w:rsidR="0023057C">
        <w:t>,</w:t>
      </w:r>
      <w:r>
        <w:t xml:space="preserve"> should also match the importance that telecommunications services play in Australians’ lives.</w:t>
      </w:r>
    </w:p>
    <w:p w14:paraId="7AAD52C5" w14:textId="6A24CD4A" w:rsidR="00573DDE" w:rsidRDefault="00573DDE" w:rsidP="00CC1140">
      <w:pPr>
        <w:pStyle w:val="Paragraph"/>
        <w:rPr>
          <w:lang w:val="en-US"/>
        </w:rPr>
      </w:pPr>
      <w:r>
        <w:rPr>
          <w:lang w:val="en-US"/>
        </w:rPr>
        <w:t xml:space="preserve">Industry has been </w:t>
      </w:r>
      <w:r w:rsidR="00AE003D">
        <w:rPr>
          <w:lang w:val="en-US"/>
        </w:rPr>
        <w:t xml:space="preserve">made aware </w:t>
      </w:r>
      <w:r>
        <w:rPr>
          <w:lang w:val="en-US"/>
        </w:rPr>
        <w:t>for some time that protecting vulnerable consumers, including those experiencing financial hardship, is a priority and that the TCP Code is not operating to adequately protect consumers. ACMA research and reports over the past 4 years, and from a range of other key stakeholders, including submissions to the TCP Code review</w:t>
      </w:r>
      <w:r w:rsidR="00AE003D">
        <w:rPr>
          <w:lang w:val="en-US"/>
        </w:rPr>
        <w:t>,</w:t>
      </w:r>
      <w:r>
        <w:rPr>
          <w:lang w:val="en-US"/>
        </w:rPr>
        <w:t xml:space="preserve"> confirm financial hardship is a significant problem and indicates that stronger measures are required to meet reasonable consumer expectations. </w:t>
      </w:r>
    </w:p>
    <w:p w14:paraId="664D553D" w14:textId="0E7C60F5" w:rsidR="00573DDE" w:rsidRDefault="00573DDE" w:rsidP="00CC1140">
      <w:pPr>
        <w:pStyle w:val="Paragraph"/>
        <w:rPr>
          <w:szCs w:val="20"/>
        </w:rPr>
      </w:pPr>
      <w:r>
        <w:rPr>
          <w:lang w:val="en-US"/>
        </w:rPr>
        <w:t xml:space="preserve">The </w:t>
      </w:r>
      <w:r w:rsidRPr="007541F2">
        <w:rPr>
          <w:szCs w:val="20"/>
          <w:lang w:val="en-US"/>
        </w:rPr>
        <w:t>ACMA has actively pursu</w:t>
      </w:r>
      <w:r w:rsidR="00143342">
        <w:rPr>
          <w:szCs w:val="20"/>
          <w:lang w:val="en-US"/>
        </w:rPr>
        <w:t>ed</w:t>
      </w:r>
      <w:r w:rsidRPr="007541F2">
        <w:rPr>
          <w:szCs w:val="20"/>
          <w:lang w:val="en-US"/>
        </w:rPr>
        <w:t xml:space="preserve"> </w:t>
      </w:r>
      <w:r w:rsidR="00201872">
        <w:rPr>
          <w:szCs w:val="20"/>
          <w:lang w:val="en-US"/>
        </w:rPr>
        <w:t xml:space="preserve">sector </w:t>
      </w:r>
      <w:r w:rsidRPr="007541F2">
        <w:rPr>
          <w:szCs w:val="20"/>
        </w:rPr>
        <w:t xml:space="preserve">improvements for </w:t>
      </w:r>
      <w:r w:rsidR="00CA414A">
        <w:rPr>
          <w:szCs w:val="20"/>
        </w:rPr>
        <w:t xml:space="preserve">over </w:t>
      </w:r>
      <w:r w:rsidRPr="007541F2">
        <w:rPr>
          <w:szCs w:val="20"/>
        </w:rPr>
        <w:t xml:space="preserve">a year, setting out </w:t>
      </w:r>
      <w:r w:rsidR="00AE003D">
        <w:rPr>
          <w:szCs w:val="20"/>
        </w:rPr>
        <w:t>a</w:t>
      </w:r>
      <w:r w:rsidR="00AE003D" w:rsidRPr="007541F2">
        <w:rPr>
          <w:szCs w:val="20"/>
        </w:rPr>
        <w:t xml:space="preserve"> </w:t>
      </w:r>
      <w:r w:rsidR="00AE003D">
        <w:rPr>
          <w:szCs w:val="20"/>
        </w:rPr>
        <w:t>S</w:t>
      </w:r>
      <w:r w:rsidRPr="007541F2">
        <w:rPr>
          <w:szCs w:val="20"/>
        </w:rPr>
        <w:t xml:space="preserve">tatement of </w:t>
      </w:r>
      <w:r w:rsidR="00AE003D">
        <w:rPr>
          <w:szCs w:val="20"/>
        </w:rPr>
        <w:t>E</w:t>
      </w:r>
      <w:r w:rsidRPr="007541F2">
        <w:rPr>
          <w:szCs w:val="20"/>
        </w:rPr>
        <w:t>xpectations in May 2022</w:t>
      </w:r>
      <w:r>
        <w:rPr>
          <w:szCs w:val="20"/>
        </w:rPr>
        <w:t xml:space="preserve"> and </w:t>
      </w:r>
      <w:r w:rsidR="00AE003D">
        <w:rPr>
          <w:szCs w:val="20"/>
        </w:rPr>
        <w:t xml:space="preserve">the </w:t>
      </w:r>
      <w:r>
        <w:rPr>
          <w:szCs w:val="20"/>
        </w:rPr>
        <w:t>What Consumers Want position paper in July 2023</w:t>
      </w:r>
      <w:r w:rsidRPr="007541F2">
        <w:rPr>
          <w:szCs w:val="20"/>
        </w:rPr>
        <w:t>.</w:t>
      </w:r>
      <w:r>
        <w:rPr>
          <w:szCs w:val="20"/>
        </w:rPr>
        <w:t xml:space="preserve"> </w:t>
      </w:r>
      <w:r w:rsidRPr="005817CE">
        <w:rPr>
          <w:szCs w:val="20"/>
        </w:rPr>
        <w:t>The TIO, ACCC and consumer groups</w:t>
      </w:r>
      <w:r>
        <w:rPr>
          <w:szCs w:val="20"/>
        </w:rPr>
        <w:t xml:space="preserve"> such as ACCAN</w:t>
      </w:r>
      <w:r w:rsidRPr="005817CE">
        <w:rPr>
          <w:szCs w:val="20"/>
        </w:rPr>
        <w:t xml:space="preserve"> have </w:t>
      </w:r>
      <w:r w:rsidR="00AE003D">
        <w:rPr>
          <w:szCs w:val="20"/>
        </w:rPr>
        <w:t xml:space="preserve">also </w:t>
      </w:r>
      <w:r w:rsidR="00FA013F">
        <w:rPr>
          <w:szCs w:val="20"/>
        </w:rPr>
        <w:t>called</w:t>
      </w:r>
      <w:r w:rsidRPr="005817CE">
        <w:rPr>
          <w:szCs w:val="20"/>
        </w:rPr>
        <w:t xml:space="preserve"> for action for some time</w:t>
      </w:r>
      <w:r>
        <w:rPr>
          <w:szCs w:val="20"/>
        </w:rPr>
        <w:t xml:space="preserve">. </w:t>
      </w:r>
    </w:p>
    <w:p w14:paraId="77881B77" w14:textId="058A28C6" w:rsidR="00573DDE" w:rsidRPr="00D162C7" w:rsidRDefault="00573DDE" w:rsidP="00CC1140">
      <w:pPr>
        <w:pStyle w:val="Paragraph"/>
      </w:pPr>
      <w:r w:rsidRPr="00575DAE">
        <w:t xml:space="preserve">The co-regulatory framework </w:t>
      </w:r>
      <w:r w:rsidR="006C7F17">
        <w:t>offers</w:t>
      </w:r>
      <w:r w:rsidRPr="00575DAE">
        <w:t xml:space="preserve"> industry the </w:t>
      </w:r>
      <w:r w:rsidR="006C7F17">
        <w:t>opportunity</w:t>
      </w:r>
      <w:r w:rsidRPr="00575DAE">
        <w:t xml:space="preserve"> to address consumer concerns but </w:t>
      </w:r>
      <w:r w:rsidR="002A60DC">
        <w:t>it</w:t>
      </w:r>
      <w:r>
        <w:t xml:space="preserve"> has</w:t>
      </w:r>
      <w:r w:rsidR="00A4584D">
        <w:t xml:space="preserve"> not adequately done so</w:t>
      </w:r>
      <w:r>
        <w:t>.</w:t>
      </w:r>
      <w:r w:rsidR="00D345D4">
        <w:t xml:space="preserve"> </w:t>
      </w:r>
      <w:r w:rsidRPr="00EC3F5F">
        <w:rPr>
          <w:iCs/>
        </w:rPr>
        <w:t xml:space="preserve">The </w:t>
      </w:r>
      <w:r w:rsidR="00AE003D">
        <w:rPr>
          <w:iCs/>
        </w:rPr>
        <w:t xml:space="preserve">current review of the </w:t>
      </w:r>
      <w:r w:rsidRPr="00EC3F5F">
        <w:rPr>
          <w:iCs/>
          <w:lang w:val="en-US"/>
        </w:rPr>
        <w:t xml:space="preserve">TCP </w:t>
      </w:r>
      <w:r w:rsidRPr="00EC3F5F">
        <w:rPr>
          <w:iCs/>
        </w:rPr>
        <w:t>Code</w:t>
      </w:r>
      <w:r w:rsidR="00040C0C">
        <w:rPr>
          <w:iCs/>
        </w:rPr>
        <w:t xml:space="preserve">, </w:t>
      </w:r>
      <w:r w:rsidRPr="00EC3F5F">
        <w:rPr>
          <w:iCs/>
        </w:rPr>
        <w:t xml:space="preserve">due for completion in </w:t>
      </w:r>
      <w:r w:rsidRPr="00EC3F5F">
        <w:rPr>
          <w:iCs/>
          <w:lang w:val="en-US"/>
        </w:rPr>
        <w:t>mid</w:t>
      </w:r>
      <w:r>
        <w:rPr>
          <w:iCs/>
          <w:lang w:val="en-US"/>
        </w:rPr>
        <w:t xml:space="preserve"> </w:t>
      </w:r>
      <w:r w:rsidRPr="00EC3F5F">
        <w:rPr>
          <w:iCs/>
          <w:lang w:val="en-US"/>
        </w:rPr>
        <w:t>to</w:t>
      </w:r>
      <w:r>
        <w:rPr>
          <w:iCs/>
          <w:lang w:val="en-US"/>
        </w:rPr>
        <w:t xml:space="preserve"> </w:t>
      </w:r>
      <w:r w:rsidRPr="00EC3F5F">
        <w:rPr>
          <w:iCs/>
        </w:rPr>
        <w:t>late 2024</w:t>
      </w:r>
      <w:r w:rsidR="00040C0C">
        <w:rPr>
          <w:iCs/>
        </w:rPr>
        <w:t xml:space="preserve">, has </w:t>
      </w:r>
      <w:r w:rsidR="009C4547">
        <w:rPr>
          <w:iCs/>
        </w:rPr>
        <w:t xml:space="preserve">again </w:t>
      </w:r>
      <w:r w:rsidR="00040C0C">
        <w:rPr>
          <w:iCs/>
        </w:rPr>
        <w:t>prompted calls for direct regulation from non-industry stakeholders</w:t>
      </w:r>
      <w:r w:rsidRPr="00EC3F5F">
        <w:rPr>
          <w:iCs/>
        </w:rPr>
        <w:t>.</w:t>
      </w:r>
      <w:r w:rsidR="00D162C7">
        <w:rPr>
          <w:iCs/>
        </w:rPr>
        <w:t xml:space="preserve"> </w:t>
      </w:r>
      <w:r>
        <w:rPr>
          <w:rFonts w:eastAsiaTheme="minorHAnsi"/>
          <w:color w:val="000000" w:themeColor="text1"/>
        </w:rPr>
        <w:t>This view has been expressed consistently over some time and has been reiterated in several submissions to the Communications Alliance discussion paper on the review of the TCP Code,</w:t>
      </w:r>
      <w:r>
        <w:rPr>
          <w:rStyle w:val="FootnoteReference"/>
          <w:rFonts w:eastAsiaTheme="minorHAnsi"/>
          <w:color w:val="000000" w:themeColor="text1"/>
        </w:rPr>
        <w:footnoteReference w:id="35"/>
      </w:r>
      <w:r>
        <w:rPr>
          <w:rFonts w:eastAsiaTheme="minorHAnsi"/>
          <w:color w:val="000000" w:themeColor="text1"/>
        </w:rPr>
        <w:t xml:space="preserve"> including from the </w:t>
      </w:r>
      <w:r w:rsidRPr="00C13E64">
        <w:rPr>
          <w:color w:val="212529"/>
        </w:rPr>
        <w:t>TIO</w:t>
      </w:r>
      <w:r w:rsidRPr="00C13E64">
        <w:rPr>
          <w:rStyle w:val="FootnoteReference"/>
          <w:color w:val="212529"/>
        </w:rPr>
        <w:footnoteReference w:id="36"/>
      </w:r>
      <w:r w:rsidRPr="00C13E64">
        <w:rPr>
          <w:color w:val="212529"/>
        </w:rPr>
        <w:t xml:space="preserve">, the </w:t>
      </w:r>
      <w:r w:rsidRPr="00C13E64">
        <w:rPr>
          <w:rFonts w:eastAsiaTheme="minorHAnsi"/>
          <w:color w:val="000000" w:themeColor="text1"/>
        </w:rPr>
        <w:t>ACCC</w:t>
      </w:r>
      <w:r w:rsidRPr="00C13E64">
        <w:rPr>
          <w:rStyle w:val="FootnoteReference"/>
          <w:color w:val="212529"/>
        </w:rPr>
        <w:footnoteReference w:id="37"/>
      </w:r>
      <w:r w:rsidRPr="00C13E64">
        <w:rPr>
          <w:color w:val="212529"/>
        </w:rPr>
        <w:t xml:space="preserve"> and </w:t>
      </w:r>
      <w:r w:rsidRPr="00C13E64">
        <w:rPr>
          <w:rFonts w:eastAsiaTheme="minorHAnsi"/>
          <w:color w:val="000000" w:themeColor="text1"/>
        </w:rPr>
        <w:t>ACCAN</w:t>
      </w:r>
      <w:r w:rsidRPr="00C13E64">
        <w:rPr>
          <w:rStyle w:val="FootnoteReference"/>
          <w:rFonts w:eastAsiaTheme="minorHAnsi"/>
          <w:color w:val="000000" w:themeColor="text1"/>
          <w:lang w:val="x-none"/>
        </w:rPr>
        <w:footnoteReference w:id="38"/>
      </w:r>
      <w:r w:rsidRPr="00C13E64">
        <w:rPr>
          <w:rFonts w:eastAsiaTheme="minorHAnsi"/>
          <w:color w:val="000000" w:themeColor="text1"/>
        </w:rPr>
        <w:t>.</w:t>
      </w:r>
    </w:p>
    <w:p w14:paraId="1F0293F8" w14:textId="2A69E136" w:rsidR="00A87D74" w:rsidRDefault="00573DDE" w:rsidP="00CC1140">
      <w:pPr>
        <w:pStyle w:val="Paragraph"/>
        <w:rPr>
          <w:shd w:val="clear" w:color="auto" w:fill="FFFFFF"/>
        </w:rPr>
      </w:pPr>
      <w:r w:rsidRPr="00E65316">
        <w:t>ACCAN</w:t>
      </w:r>
      <w:r w:rsidR="00081DB4">
        <w:t xml:space="preserve">’s </w:t>
      </w:r>
      <w:r w:rsidRPr="00E65316">
        <w:rPr>
          <w:shd w:val="clear" w:color="auto" w:fill="FFFFFF"/>
        </w:rPr>
        <w:t>engagement with consumers, consumer representatives, peak bodies, and consumer groups has elicited a common view that the TCP Code provides inadequate consumer protections</w:t>
      </w:r>
      <w:r w:rsidR="00AE003D">
        <w:rPr>
          <w:shd w:val="clear" w:color="auto" w:fill="FFFFFF"/>
        </w:rPr>
        <w:t xml:space="preserve">. Further, that </w:t>
      </w:r>
      <w:r w:rsidR="005C10F3">
        <w:rPr>
          <w:shd w:val="clear" w:color="auto" w:fill="FFFFFF"/>
        </w:rPr>
        <w:t xml:space="preserve">direct regulation drafted by </w:t>
      </w:r>
      <w:r w:rsidR="00E310A9">
        <w:rPr>
          <w:shd w:val="clear" w:color="auto" w:fill="FFFFFF"/>
        </w:rPr>
        <w:t xml:space="preserve">government </w:t>
      </w:r>
      <w:r w:rsidR="00AE003D">
        <w:rPr>
          <w:shd w:val="clear" w:color="auto" w:fill="FFFFFF"/>
        </w:rPr>
        <w:t>is</w:t>
      </w:r>
      <w:r w:rsidR="00E310A9">
        <w:rPr>
          <w:shd w:val="clear" w:color="auto" w:fill="FFFFFF"/>
        </w:rPr>
        <w:t xml:space="preserve"> necessary.</w:t>
      </w:r>
      <w:r w:rsidR="004E2588">
        <w:rPr>
          <w:shd w:val="clear" w:color="auto" w:fill="FFFFFF"/>
        </w:rPr>
        <w:t xml:space="preserve"> </w:t>
      </w:r>
    </w:p>
    <w:p w14:paraId="70E0B2D2" w14:textId="46D22C42" w:rsidR="00573DDE" w:rsidRPr="004E2588" w:rsidRDefault="00573DDE" w:rsidP="00CC1140">
      <w:pPr>
        <w:pStyle w:val="Paragraph"/>
        <w:rPr>
          <w:szCs w:val="20"/>
          <w:shd w:val="clear" w:color="auto" w:fill="FFFFFF"/>
        </w:rPr>
      </w:pPr>
      <w:r w:rsidRPr="003C3A36">
        <w:t xml:space="preserve">The ACCC flagged the limitations of the regulatory framework that hinder the ACMA’s ability to enforce or improve the TCP Code, and that it is not confident the code review process will result in beneficial outcomes for consumers. </w:t>
      </w:r>
      <w:r w:rsidR="00901BD6">
        <w:t>It</w:t>
      </w:r>
      <w:r w:rsidRPr="003C3A36">
        <w:t xml:space="preserve"> </w:t>
      </w:r>
      <w:r w:rsidR="00417B47" w:rsidRPr="003C3A36">
        <w:t>supports</w:t>
      </w:r>
      <w:r w:rsidRPr="003C3A36">
        <w:t xml:space="preserve"> exploring other regulatory solutions, including setting out telecommunications consumer protections in a </w:t>
      </w:r>
      <w:r w:rsidR="00AE003D">
        <w:t>s</w:t>
      </w:r>
      <w:r w:rsidRPr="003C3A36">
        <w:t>tandard.</w:t>
      </w:r>
    </w:p>
    <w:p w14:paraId="646BEA63" w14:textId="7C9081A7" w:rsidR="00573DDE" w:rsidRPr="00C13E64" w:rsidRDefault="00713283" w:rsidP="00CC1140">
      <w:pPr>
        <w:pStyle w:val="Paragraph"/>
      </w:pPr>
      <w:r>
        <w:lastRenderedPageBreak/>
        <w:t>The TIO’s submission to the TCP Code review e</w:t>
      </w:r>
      <w:r w:rsidR="00573DDE" w:rsidRPr="00C13E64">
        <w:t>cho</w:t>
      </w:r>
      <w:r>
        <w:t>ed</w:t>
      </w:r>
      <w:r w:rsidR="00573DDE" w:rsidRPr="00C13E64">
        <w:t xml:space="preserve"> </w:t>
      </w:r>
      <w:r w:rsidR="00F84E75">
        <w:t>its</w:t>
      </w:r>
      <w:r w:rsidR="00573DDE" w:rsidRPr="00C13E64">
        <w:t xml:space="preserve"> submission to Part C of the Consumer Safeguards Review</w:t>
      </w:r>
      <w:r w:rsidR="00573DDE">
        <w:rPr>
          <w:rStyle w:val="FootnoteReference"/>
          <w:szCs w:val="20"/>
        </w:rPr>
        <w:footnoteReference w:id="39"/>
      </w:r>
      <w:r w:rsidR="00573DDE" w:rsidRPr="00C13E64">
        <w:t xml:space="preserve">, </w:t>
      </w:r>
      <w:r w:rsidR="00AF6199">
        <w:t>again</w:t>
      </w:r>
      <w:r w:rsidR="00573DDE" w:rsidRPr="00C13E64">
        <w:t xml:space="preserve"> call</w:t>
      </w:r>
      <w:r>
        <w:t>ing</w:t>
      </w:r>
      <w:r w:rsidR="00573DDE" w:rsidRPr="00C13E64">
        <w:t xml:space="preserve"> for essential consumer protections to be included in </w:t>
      </w:r>
      <w:r>
        <w:t xml:space="preserve">directly enforceable </w:t>
      </w:r>
      <w:r w:rsidR="00573DDE" w:rsidRPr="00C13E64">
        <w:t xml:space="preserve">rules made by government and regulators rather than </w:t>
      </w:r>
      <w:r w:rsidR="00085299">
        <w:t xml:space="preserve">made </w:t>
      </w:r>
      <w:r w:rsidR="00573DDE" w:rsidRPr="00C13E64">
        <w:t>by an industry representative body</w:t>
      </w:r>
      <w:r w:rsidR="008A2037">
        <w:t xml:space="preserve"> to </w:t>
      </w:r>
      <w:r w:rsidR="00573DDE" w:rsidRPr="00C13E64">
        <w:t>create better outcomes for both consumers and the industr</w:t>
      </w:r>
      <w:r w:rsidR="008A2037">
        <w:t>y.</w:t>
      </w:r>
    </w:p>
    <w:p w14:paraId="7F928BB7" w14:textId="4EE08E52" w:rsidR="00573DDE" w:rsidRPr="00D815D0" w:rsidRDefault="00573DDE" w:rsidP="00CC1140">
      <w:pPr>
        <w:pStyle w:val="Paragraphbeforelist"/>
      </w:pPr>
      <w:r w:rsidRPr="00C13E64">
        <w:t xml:space="preserve">Direct regulation is considered necessary </w:t>
      </w:r>
      <w:r w:rsidR="00180277">
        <w:t>for several</w:t>
      </w:r>
      <w:r w:rsidRPr="00C13E64">
        <w:t xml:space="preserve"> reasons</w:t>
      </w:r>
      <w:r w:rsidR="00574644">
        <w:t>, including that it</w:t>
      </w:r>
      <w:r w:rsidRPr="00C13E64">
        <w:t>:</w:t>
      </w:r>
    </w:p>
    <w:p w14:paraId="7FB083D2" w14:textId="2314404D" w:rsidR="00573DDE" w:rsidRPr="00140E65" w:rsidRDefault="00573DDE" w:rsidP="00653C4C">
      <w:pPr>
        <w:pStyle w:val="Bulletlevel1"/>
      </w:pPr>
      <w:r w:rsidRPr="00D349B7">
        <w:t>addresses the serious nature of the harms involved by supporting</w:t>
      </w:r>
      <w:r w:rsidR="00140E65">
        <w:t xml:space="preserve"> </w:t>
      </w:r>
      <w:r w:rsidRPr="00140E65">
        <w:t>direct regulatory intervention</w:t>
      </w:r>
      <w:r w:rsidR="00140E65">
        <w:t xml:space="preserve"> and serving </w:t>
      </w:r>
      <w:r w:rsidRPr="00140E65">
        <w:t xml:space="preserve">specific and general deterrence </w:t>
      </w:r>
      <w:r w:rsidR="00140E65">
        <w:t xml:space="preserve">through </w:t>
      </w:r>
      <w:r w:rsidRPr="00140E65">
        <w:t>strong</w:t>
      </w:r>
      <w:r w:rsidR="00140E65">
        <w:t>, immediately available</w:t>
      </w:r>
      <w:r w:rsidRPr="00140E65">
        <w:t xml:space="preserve"> enforcement action </w:t>
      </w:r>
    </w:p>
    <w:p w14:paraId="31BDFAF6" w14:textId="1D3EC488" w:rsidR="00573DDE" w:rsidRPr="00D815D0" w:rsidRDefault="00690424" w:rsidP="00653C4C">
      <w:pPr>
        <w:pStyle w:val="Bulletlevel1"/>
      </w:pPr>
      <w:r>
        <w:t xml:space="preserve">enables </w:t>
      </w:r>
      <w:r w:rsidR="00704D10">
        <w:t>the</w:t>
      </w:r>
      <w:r w:rsidR="00573DDE" w:rsidRPr="00D815D0">
        <w:t xml:space="preserve"> ACMA to directly design robust </w:t>
      </w:r>
      <w:r w:rsidR="00573DDE">
        <w:t xml:space="preserve">and clear </w:t>
      </w:r>
      <w:r w:rsidR="00573DDE" w:rsidRPr="00D815D0">
        <w:t xml:space="preserve">enforceable obligations </w:t>
      </w:r>
    </w:p>
    <w:p w14:paraId="605189F4" w14:textId="0F365FC8" w:rsidR="00573DDE" w:rsidRDefault="00573DDE" w:rsidP="00653C4C">
      <w:pPr>
        <w:pStyle w:val="Bulletlevel1"/>
      </w:pPr>
      <w:r>
        <w:t>a</w:t>
      </w:r>
      <w:r w:rsidRPr="00D815D0">
        <w:t>llow</w:t>
      </w:r>
      <w:r w:rsidR="00D9359C">
        <w:t>s</w:t>
      </w:r>
      <w:r w:rsidRPr="00D815D0">
        <w:t xml:space="preserve"> adequate </w:t>
      </w:r>
      <w:r>
        <w:t xml:space="preserve">and effective </w:t>
      </w:r>
      <w:r w:rsidRPr="00D815D0">
        <w:t>consumer protections to be</w:t>
      </w:r>
      <w:r>
        <w:t xml:space="preserve"> put</w:t>
      </w:r>
      <w:r w:rsidRPr="00D815D0">
        <w:t xml:space="preserve"> in place more quickly</w:t>
      </w:r>
      <w:r>
        <w:t xml:space="preserve">, </w:t>
      </w:r>
      <w:r w:rsidR="008050E0">
        <w:t>considering</w:t>
      </w:r>
      <w:r>
        <w:t xml:space="preserve"> </w:t>
      </w:r>
      <w:r w:rsidR="008050E0">
        <w:t>industry’s</w:t>
      </w:r>
      <w:r w:rsidRPr="00402CDC">
        <w:t xml:space="preserve"> significant </w:t>
      </w:r>
      <w:r w:rsidR="008050E0">
        <w:t>time</w:t>
      </w:r>
      <w:r w:rsidRPr="00402CDC">
        <w:t xml:space="preserve"> to address the issue </w:t>
      </w:r>
    </w:p>
    <w:p w14:paraId="332646A2" w14:textId="7A64D192" w:rsidR="00573DDE" w:rsidRDefault="00573DDE" w:rsidP="00653C4C">
      <w:pPr>
        <w:pStyle w:val="Bulletlevel1"/>
      </w:pPr>
      <w:r w:rsidRPr="00D655E4">
        <w:t>provides the strongest incentive to achiev</w:t>
      </w:r>
      <w:r w:rsidR="00BE1AAB">
        <w:t>e</w:t>
      </w:r>
      <w:r w:rsidRPr="00D655E4">
        <w:t xml:space="preserve"> the best outcome for the Australian community</w:t>
      </w:r>
    </w:p>
    <w:p w14:paraId="1863CBE1" w14:textId="572A840D" w:rsidR="00CB7CA3" w:rsidRPr="00CB7CA3" w:rsidRDefault="00CB7CA3" w:rsidP="00653C4C">
      <w:pPr>
        <w:pStyle w:val="Bulletlevel1last"/>
      </w:pPr>
      <w:r w:rsidRPr="00CB7CA3">
        <w:t>recognise</w:t>
      </w:r>
      <w:r w:rsidR="00574644">
        <w:t>s</w:t>
      </w:r>
      <w:r w:rsidRPr="00CB7CA3">
        <w:t xml:space="preserve"> the </w:t>
      </w:r>
      <w:r w:rsidR="00574644" w:rsidRPr="00CB7CA3">
        <w:t>essential</w:t>
      </w:r>
      <w:r w:rsidR="00574644">
        <w:t xml:space="preserve"> nature </w:t>
      </w:r>
      <w:r w:rsidRPr="00CB7CA3">
        <w:t>of phone and internet services for Australian consumers.</w:t>
      </w:r>
    </w:p>
    <w:p w14:paraId="5E708B64" w14:textId="02BA152A" w:rsidR="00573DDE" w:rsidRDefault="00573DDE" w:rsidP="00573DDE">
      <w:r>
        <w:t xml:space="preserve">The </w:t>
      </w:r>
      <w:r w:rsidR="001B07DA">
        <w:t>m</w:t>
      </w:r>
      <w:r>
        <w:t xml:space="preserve">inister’s decision to direct the ACMA to make an industry standard on financial hardship was considered necessary to address the identified policy problems and to ensure appropriate support is available through directly enforceable rules made as soon as possible. If government did not intervene and deferred to the TCP Code review process, new rules would not be in place until later in 2024 at the earliest. </w:t>
      </w:r>
    </w:p>
    <w:p w14:paraId="725A2B59" w14:textId="77777777" w:rsidR="002B6607" w:rsidRDefault="002B6607" w:rsidP="002B6607">
      <w:pPr>
        <w:pStyle w:val="Paragraph"/>
      </w:pPr>
      <w:r w:rsidRPr="00215BF1">
        <w:rPr>
          <w:szCs w:val="20"/>
        </w:rPr>
        <w:t xml:space="preserve">The </w:t>
      </w:r>
      <w:r>
        <w:rPr>
          <w:szCs w:val="20"/>
        </w:rPr>
        <w:t>objective of government action</w:t>
      </w:r>
      <w:r w:rsidRPr="00215BF1">
        <w:rPr>
          <w:szCs w:val="20"/>
        </w:rPr>
        <w:t xml:space="preserve"> is to </w:t>
      </w:r>
      <w:r>
        <w:rPr>
          <w:szCs w:val="20"/>
        </w:rPr>
        <w:t>strengthen</w:t>
      </w:r>
      <w:r w:rsidRPr="00215BF1">
        <w:rPr>
          <w:szCs w:val="20"/>
        </w:rPr>
        <w:t xml:space="preserve"> safeguards for consumers in vulnerable circumstances and Australians struggling with the increased cost of living, </w:t>
      </w:r>
      <w:r>
        <w:rPr>
          <w:szCs w:val="20"/>
        </w:rPr>
        <w:t>so</w:t>
      </w:r>
      <w:r w:rsidRPr="00215BF1">
        <w:rPr>
          <w:szCs w:val="20"/>
        </w:rPr>
        <w:t xml:space="preserve"> they are</w:t>
      </w:r>
      <w:r>
        <w:rPr>
          <w:szCs w:val="20"/>
        </w:rPr>
        <w:t xml:space="preserve"> </w:t>
      </w:r>
      <w:r w:rsidRPr="00215BF1">
        <w:rPr>
          <w:szCs w:val="20"/>
        </w:rPr>
        <w:t>able to receive the assistance</w:t>
      </w:r>
      <w:r>
        <w:t xml:space="preserve"> they need</w:t>
      </w:r>
      <w:r w:rsidRPr="0097761E">
        <w:rPr>
          <w:szCs w:val="20"/>
        </w:rPr>
        <w:t xml:space="preserve"> </w:t>
      </w:r>
      <w:r>
        <w:rPr>
          <w:szCs w:val="20"/>
        </w:rPr>
        <w:t xml:space="preserve">to </w:t>
      </w:r>
      <w:r w:rsidRPr="00215BF1">
        <w:rPr>
          <w:szCs w:val="20"/>
        </w:rPr>
        <w:t>stay connected</w:t>
      </w:r>
      <w:r>
        <w:t xml:space="preserve">. </w:t>
      </w:r>
    </w:p>
    <w:p w14:paraId="083DD95D" w14:textId="77777777" w:rsidR="002B6607" w:rsidRPr="00062B3C" w:rsidRDefault="002B6607" w:rsidP="002B6607">
      <w:pPr>
        <w:pStyle w:val="Paragraphbeforelist"/>
        <w:rPr>
          <w:lang w:val="en-US"/>
        </w:rPr>
      </w:pPr>
      <w:r w:rsidRPr="00062B3C">
        <w:rPr>
          <w:lang w:val="en-US"/>
        </w:rPr>
        <w:t xml:space="preserve">The objectives of </w:t>
      </w:r>
      <w:r>
        <w:rPr>
          <w:lang w:val="en-US"/>
        </w:rPr>
        <w:t xml:space="preserve">the Direction, </w:t>
      </w:r>
      <w:r w:rsidRPr="00062B3C">
        <w:rPr>
          <w:lang w:val="en-US"/>
        </w:rPr>
        <w:t>as set out in clause 7, are:</w:t>
      </w:r>
    </w:p>
    <w:p w14:paraId="47C88B25" w14:textId="77777777" w:rsidR="002B6607" w:rsidRPr="00062B3C" w:rsidRDefault="002B6607" w:rsidP="00083B2C">
      <w:pPr>
        <w:pStyle w:val="Bulletlevel1"/>
      </w:pPr>
      <w:r>
        <w:t xml:space="preserve">Promotion of financial hardship policies – ensure </w:t>
      </w:r>
      <w:r w:rsidRPr="00062B3C">
        <w:t xml:space="preserve">CSPs promote their financial hardship policies and information about assistance for customers who are, or may be, experiencing financial hardship, and that the policies and information can be easily found and accessed by customers and potential customers </w:t>
      </w:r>
    </w:p>
    <w:p w14:paraId="738ED36B" w14:textId="77777777" w:rsidR="002B6607" w:rsidRPr="00062B3C" w:rsidRDefault="002B6607" w:rsidP="00083B2C">
      <w:pPr>
        <w:pStyle w:val="Bulletlevel1"/>
      </w:pPr>
      <w:r>
        <w:t>Early identification and assistance - require</w:t>
      </w:r>
      <w:r w:rsidRPr="00062B3C">
        <w:t xml:space="preserve"> CSPs</w:t>
      </w:r>
      <w:r>
        <w:t xml:space="preserve"> to</w:t>
      </w:r>
      <w:r w:rsidRPr="00062B3C">
        <w:t xml:space="preserve"> identify customers who may be experiencing financial hardship early and </w:t>
      </w:r>
      <w:r>
        <w:t xml:space="preserve">provide </w:t>
      </w:r>
      <w:r w:rsidRPr="00062B3C">
        <w:t>assist</w:t>
      </w:r>
      <w:r>
        <w:t>ance to</w:t>
      </w:r>
      <w:r w:rsidRPr="00062B3C">
        <w:t xml:space="preserve"> those customers</w:t>
      </w:r>
    </w:p>
    <w:p w14:paraId="4951ACED" w14:textId="77777777" w:rsidR="002B6607" w:rsidRPr="00062B3C" w:rsidRDefault="002B6607" w:rsidP="00083B2C">
      <w:pPr>
        <w:pStyle w:val="Bulletlevel1"/>
      </w:pPr>
      <w:r>
        <w:t>Appropriate eligibility criteria - ensure</w:t>
      </w:r>
      <w:r w:rsidRPr="00062B3C">
        <w:t xml:space="preserve"> CSPs’ eligibility criteria and assessment processes related to financial hardship assistance have appropriate regard to the essential nature of carriage services</w:t>
      </w:r>
    </w:p>
    <w:p w14:paraId="5D63E014" w14:textId="77777777" w:rsidR="002B6607" w:rsidRPr="00062B3C" w:rsidRDefault="002B6607" w:rsidP="00083B2C">
      <w:pPr>
        <w:pStyle w:val="Bulletlevel1"/>
      </w:pPr>
      <w:r>
        <w:t>Tailored assistance – ensure</w:t>
      </w:r>
      <w:r w:rsidRPr="00062B3C">
        <w:t xml:space="preserve"> customers who are experiencing financial hardship receive adequate, appropriate and tailored assistance to manage their payment obligations and associated debts</w:t>
      </w:r>
    </w:p>
    <w:p w14:paraId="5B985341" w14:textId="77777777" w:rsidR="002B6607" w:rsidRPr="009836BD" w:rsidRDefault="002B6607" w:rsidP="00083B2C">
      <w:pPr>
        <w:pStyle w:val="Bulletlevel1last"/>
      </w:pPr>
      <w:r>
        <w:t>Prioritising connection - ensure</w:t>
      </w:r>
      <w:r w:rsidRPr="00062B3C">
        <w:t xml:space="preserve"> any credit management action taken by CSPs in relation to customers who are experiencing financial hardship prioritise</w:t>
      </w:r>
      <w:r>
        <w:t>s</w:t>
      </w:r>
      <w:r w:rsidRPr="00062B3C">
        <w:t xml:space="preserve"> keeping customers connected to appropriate services and only use disconnection as a measure of last resort. </w:t>
      </w:r>
    </w:p>
    <w:p w14:paraId="0FCFFDD5" w14:textId="2A572E0A" w:rsidR="002B6607" w:rsidRDefault="002B6607" w:rsidP="00C91798">
      <w:pPr>
        <w:pStyle w:val="Paragraph"/>
      </w:pPr>
      <w:r>
        <w:t>Implementation of an industry standard will also facilitate more effective enforcement of rules governing CSPs assistance to consumers experiencing financial hardship.</w:t>
      </w:r>
    </w:p>
    <w:p w14:paraId="050C2FBB" w14:textId="46AA6456" w:rsidR="005148F2" w:rsidRDefault="008B641B" w:rsidP="00573DDE">
      <w:pPr>
        <w:rPr>
          <w:rFonts w:cs="Arial"/>
          <w:szCs w:val="20"/>
        </w:rPr>
      </w:pPr>
      <w:r w:rsidRPr="008B641B">
        <w:rPr>
          <w:rFonts w:cs="Arial"/>
          <w:szCs w:val="20"/>
        </w:rPr>
        <w:lastRenderedPageBreak/>
        <w:t>Potential barriers and risks associated with government intervention</w:t>
      </w:r>
      <w:r w:rsidR="00A279C5">
        <w:rPr>
          <w:rFonts w:cs="Arial"/>
          <w:szCs w:val="20"/>
        </w:rPr>
        <w:t xml:space="preserve"> could hinder </w:t>
      </w:r>
      <w:r w:rsidR="0004483D">
        <w:rPr>
          <w:rFonts w:cs="Arial"/>
          <w:szCs w:val="20"/>
        </w:rPr>
        <w:t>the successful achievement of stated objectives.</w:t>
      </w:r>
      <w:r w:rsidRPr="008B641B">
        <w:rPr>
          <w:rFonts w:cs="Arial"/>
          <w:szCs w:val="20"/>
        </w:rPr>
        <w:t xml:space="preserve"> </w:t>
      </w:r>
      <w:r w:rsidR="0004483D">
        <w:rPr>
          <w:rFonts w:cs="Arial"/>
          <w:szCs w:val="20"/>
        </w:rPr>
        <w:t xml:space="preserve">One challenge lies in </w:t>
      </w:r>
      <w:r w:rsidR="00E05127">
        <w:rPr>
          <w:rFonts w:cs="Arial"/>
          <w:szCs w:val="20"/>
        </w:rPr>
        <w:t xml:space="preserve">potential </w:t>
      </w:r>
      <w:r w:rsidRPr="008B641B">
        <w:rPr>
          <w:rFonts w:cs="Arial"/>
          <w:szCs w:val="20"/>
        </w:rPr>
        <w:t xml:space="preserve">industry </w:t>
      </w:r>
      <w:r w:rsidR="00BC2BD2">
        <w:rPr>
          <w:rFonts w:cs="Arial"/>
          <w:szCs w:val="20"/>
        </w:rPr>
        <w:t>opposition</w:t>
      </w:r>
      <w:r w:rsidR="00E05127">
        <w:rPr>
          <w:rFonts w:cs="Arial"/>
          <w:szCs w:val="20"/>
        </w:rPr>
        <w:t xml:space="preserve"> to the proposed regulatory changes.</w:t>
      </w:r>
      <w:r w:rsidR="0065620F">
        <w:rPr>
          <w:rFonts w:cs="Arial"/>
          <w:szCs w:val="20"/>
        </w:rPr>
        <w:t xml:space="preserve"> The telecommunications sector, as a dynamic and competitive industry, may express concern about </w:t>
      </w:r>
      <w:r w:rsidR="00966299">
        <w:rPr>
          <w:rFonts w:cs="Arial"/>
          <w:szCs w:val="20"/>
        </w:rPr>
        <w:t xml:space="preserve">an </w:t>
      </w:r>
      <w:r w:rsidR="0065620F">
        <w:rPr>
          <w:rFonts w:cs="Arial"/>
          <w:szCs w:val="20"/>
        </w:rPr>
        <w:t>additional</w:t>
      </w:r>
      <w:r w:rsidR="00966299">
        <w:rPr>
          <w:rFonts w:cs="Arial"/>
          <w:szCs w:val="20"/>
        </w:rPr>
        <w:t xml:space="preserve"> regulatory burden and its impact on operational flexibility. </w:t>
      </w:r>
      <w:r w:rsidR="00944452">
        <w:rPr>
          <w:rFonts w:cs="Arial"/>
          <w:szCs w:val="20"/>
        </w:rPr>
        <w:t>T</w:t>
      </w:r>
      <w:r w:rsidR="00744306">
        <w:rPr>
          <w:rFonts w:cs="Arial"/>
          <w:szCs w:val="20"/>
        </w:rPr>
        <w:t xml:space="preserve">he </w:t>
      </w:r>
      <w:r w:rsidRPr="008B641B">
        <w:rPr>
          <w:rFonts w:cs="Arial"/>
          <w:szCs w:val="20"/>
        </w:rPr>
        <w:t>complexity</w:t>
      </w:r>
      <w:r w:rsidR="00744306">
        <w:rPr>
          <w:rFonts w:cs="Arial"/>
          <w:szCs w:val="20"/>
        </w:rPr>
        <w:t xml:space="preserve"> involved</w:t>
      </w:r>
      <w:r w:rsidRPr="008B641B">
        <w:rPr>
          <w:rFonts w:cs="Arial"/>
          <w:szCs w:val="20"/>
        </w:rPr>
        <w:t xml:space="preserve"> in designing and implementing effective regulation</w:t>
      </w:r>
      <w:r w:rsidR="00071F61">
        <w:rPr>
          <w:rFonts w:cs="Arial"/>
          <w:szCs w:val="20"/>
        </w:rPr>
        <w:t xml:space="preserve">s within a rapidly evolving technological landscape poses a risk. </w:t>
      </w:r>
    </w:p>
    <w:p w14:paraId="3CC5E937" w14:textId="270D64B1" w:rsidR="006C7BC3" w:rsidRPr="005B5303" w:rsidRDefault="0077098D" w:rsidP="00573DDE">
      <w:pPr>
        <w:rPr>
          <w:rFonts w:cs="Arial"/>
          <w:szCs w:val="20"/>
        </w:rPr>
      </w:pPr>
      <w:r>
        <w:rPr>
          <w:rFonts w:cs="Arial"/>
          <w:szCs w:val="20"/>
        </w:rPr>
        <w:t xml:space="preserve">To address these challenges, the ACMA </w:t>
      </w:r>
      <w:r w:rsidR="00383672">
        <w:rPr>
          <w:rFonts w:cs="Arial"/>
          <w:szCs w:val="20"/>
        </w:rPr>
        <w:t xml:space="preserve">has </w:t>
      </w:r>
      <w:r w:rsidR="00D21E90">
        <w:rPr>
          <w:rFonts w:cs="Arial"/>
          <w:szCs w:val="20"/>
        </w:rPr>
        <w:t>consulted widely in developing this Standard.</w:t>
      </w:r>
      <w:r w:rsidR="00402792">
        <w:rPr>
          <w:rFonts w:cs="Arial"/>
          <w:szCs w:val="20"/>
        </w:rPr>
        <w:t xml:space="preserve"> </w:t>
      </w:r>
      <w:r w:rsidR="00A63E1E" w:rsidRPr="005B5303">
        <w:rPr>
          <w:rFonts w:cs="Arial"/>
          <w:szCs w:val="20"/>
        </w:rPr>
        <w:t>C</w:t>
      </w:r>
      <w:r w:rsidR="00FD32E4" w:rsidRPr="005B5303">
        <w:rPr>
          <w:rFonts w:cs="Arial"/>
          <w:szCs w:val="20"/>
        </w:rPr>
        <w:t>onsultation and engagement with industry stakeholders ha</w:t>
      </w:r>
      <w:r w:rsidR="00D21E90" w:rsidRPr="005B5303">
        <w:rPr>
          <w:rFonts w:cs="Arial"/>
          <w:szCs w:val="20"/>
        </w:rPr>
        <w:t>s</w:t>
      </w:r>
      <w:r w:rsidR="00FD32E4" w:rsidRPr="005B5303">
        <w:rPr>
          <w:rFonts w:cs="Arial"/>
          <w:szCs w:val="20"/>
        </w:rPr>
        <w:t xml:space="preserve"> been integral in understanding and addressing concerns, fostering a collaborative approach to </w:t>
      </w:r>
      <w:r w:rsidR="00D21E90" w:rsidRPr="005B5303">
        <w:rPr>
          <w:rFonts w:cs="Arial"/>
          <w:szCs w:val="20"/>
        </w:rPr>
        <w:t xml:space="preserve">these </w:t>
      </w:r>
      <w:r w:rsidR="00FD32E4" w:rsidRPr="005B5303">
        <w:rPr>
          <w:rFonts w:cs="Arial"/>
          <w:szCs w:val="20"/>
        </w:rPr>
        <w:t xml:space="preserve">regulatory changes. </w:t>
      </w:r>
      <w:r w:rsidR="00D21E90" w:rsidRPr="005B5303">
        <w:rPr>
          <w:rFonts w:cs="Arial"/>
          <w:szCs w:val="20"/>
        </w:rPr>
        <w:t xml:space="preserve">Industry was well informed and contributed constructively. </w:t>
      </w:r>
      <w:r w:rsidR="00FD32E4" w:rsidRPr="005B5303">
        <w:rPr>
          <w:rFonts w:cs="Arial"/>
          <w:szCs w:val="20"/>
        </w:rPr>
        <w:t>The ACMA's extensive research and experience also serve</w:t>
      </w:r>
      <w:r w:rsidR="00D21E90" w:rsidRPr="005B5303">
        <w:rPr>
          <w:rFonts w:cs="Arial"/>
          <w:szCs w:val="20"/>
        </w:rPr>
        <w:t>d</w:t>
      </w:r>
      <w:r w:rsidR="00FD32E4" w:rsidRPr="005B5303">
        <w:rPr>
          <w:rFonts w:cs="Arial"/>
          <w:szCs w:val="20"/>
        </w:rPr>
        <w:t xml:space="preserve"> as valuable resources in navigating the complexities of regulatory design and implementation.</w:t>
      </w:r>
      <w:r w:rsidR="00DA3A52" w:rsidRPr="005B5303">
        <w:rPr>
          <w:rFonts w:cs="Arial"/>
          <w:szCs w:val="20"/>
        </w:rPr>
        <w:t xml:space="preserve"> </w:t>
      </w:r>
    </w:p>
    <w:p w14:paraId="1EBDBA48" w14:textId="3DEE37D6" w:rsidR="00204EF6" w:rsidRPr="00857708" w:rsidRDefault="0000360F" w:rsidP="00573DDE">
      <w:pPr>
        <w:rPr>
          <w:rFonts w:cs="Arial"/>
          <w:szCs w:val="20"/>
          <w:lang w:val="en-US"/>
        </w:rPr>
      </w:pPr>
      <w:r>
        <w:rPr>
          <w:rFonts w:cs="Arial"/>
          <w:szCs w:val="20"/>
        </w:rPr>
        <w:t xml:space="preserve">By proactively identifying potential barriers and implementing targeted strategies to mitigate risks, </w:t>
      </w:r>
      <w:r w:rsidR="001219C3" w:rsidRPr="00857708">
        <w:rPr>
          <w:rFonts w:cs="Arial"/>
          <w:szCs w:val="20"/>
        </w:rPr>
        <w:t>the government</w:t>
      </w:r>
      <w:r w:rsidR="00CC429D">
        <w:rPr>
          <w:rFonts w:cs="Arial"/>
          <w:szCs w:val="20"/>
        </w:rPr>
        <w:t xml:space="preserve"> aims to enhance the</w:t>
      </w:r>
      <w:r w:rsidR="00E93B1A">
        <w:rPr>
          <w:rFonts w:cs="Arial"/>
          <w:szCs w:val="20"/>
        </w:rPr>
        <w:t xml:space="preserve"> likelihood of success</w:t>
      </w:r>
      <w:r w:rsidR="002E7F15">
        <w:rPr>
          <w:rFonts w:cs="Arial"/>
          <w:szCs w:val="20"/>
        </w:rPr>
        <w:t xml:space="preserve">ful intervention in addressing financial hardship in the telecommunications sector. </w:t>
      </w:r>
    </w:p>
    <w:p w14:paraId="0C820FA9" w14:textId="49BF368B" w:rsidR="00573DDE" w:rsidRPr="00C65D07" w:rsidRDefault="00573DDE" w:rsidP="007514EA">
      <w:pPr>
        <w:pStyle w:val="Paragraphbeforelist"/>
      </w:pPr>
      <w:r w:rsidRPr="00C65D07">
        <w:t>Success will be measured by the following:</w:t>
      </w:r>
    </w:p>
    <w:p w14:paraId="269CFFF8" w14:textId="5A02C987" w:rsidR="00573DDE" w:rsidRDefault="00D02799" w:rsidP="00083B2C">
      <w:pPr>
        <w:pStyle w:val="Bulletlevel1"/>
      </w:pPr>
      <w:r>
        <w:t>I</w:t>
      </w:r>
      <w:r w:rsidR="00573DDE" w:rsidRPr="00C65D07">
        <w:t>ncreased rates of financial hardship arrangements across the industry (compared to the number of customers experiencing hardship)</w:t>
      </w:r>
      <w:r w:rsidR="00E11CE0">
        <w:t xml:space="preserve">. </w:t>
      </w:r>
      <w:r w:rsidR="00283984">
        <w:t>Industry data from the mai</w:t>
      </w:r>
      <w:r w:rsidR="00F51A14">
        <w:t>n</w:t>
      </w:r>
      <w:r w:rsidR="00283984">
        <w:t xml:space="preserve"> telcos</w:t>
      </w:r>
      <w:r w:rsidR="00F929BA">
        <w:t xml:space="preserve"> (representing more than 80% of the market)</w:t>
      </w:r>
      <w:r w:rsidR="00283984">
        <w:t xml:space="preserve"> reported 4,388 residential financial hardship customers </w:t>
      </w:r>
      <w:r w:rsidR="00ED6F7D">
        <w:t xml:space="preserve">as </w:t>
      </w:r>
      <w:r w:rsidR="001656A2">
        <w:t>of</w:t>
      </w:r>
      <w:r w:rsidR="00ED6F7D">
        <w:t xml:space="preserve"> 30 June 2022</w:t>
      </w:r>
      <w:r w:rsidR="00F51A14">
        <w:t>, representing only 0.03% of all residential customers.</w:t>
      </w:r>
      <w:r w:rsidR="001A31BA">
        <w:t xml:space="preserve"> </w:t>
      </w:r>
    </w:p>
    <w:p w14:paraId="3E19F4B5" w14:textId="6531614A" w:rsidR="009E0645" w:rsidRDefault="00D02799" w:rsidP="00083B2C">
      <w:pPr>
        <w:pStyle w:val="Bulletlevel1"/>
      </w:pPr>
      <w:r>
        <w:t>I</w:t>
      </w:r>
      <w:r w:rsidR="009E0645" w:rsidRPr="00C65D07">
        <w:t xml:space="preserve">ncreased consumer awareness that financial hardship support is available from </w:t>
      </w:r>
      <w:r w:rsidR="007766BF">
        <w:t>CSPs</w:t>
      </w:r>
      <w:r w:rsidR="001656A2">
        <w:t xml:space="preserve">. </w:t>
      </w:r>
      <w:r w:rsidR="00123D3C">
        <w:t>Our May 2023</w:t>
      </w:r>
      <w:r w:rsidR="001961B5">
        <w:t xml:space="preserve"> </w:t>
      </w:r>
      <w:r w:rsidR="00123D3C">
        <w:t>c</w:t>
      </w:r>
      <w:r w:rsidR="001656A2">
        <w:t>onsumer research</w:t>
      </w:r>
      <w:r w:rsidR="001961B5">
        <w:t xml:space="preserve"> found that only 57% of the general Australian adult populatio</w:t>
      </w:r>
      <w:r w:rsidR="003C3695">
        <w:t xml:space="preserve">n, and 64% of those who experienced a financial hardship </w:t>
      </w:r>
      <w:r w:rsidR="00481E53">
        <w:t xml:space="preserve">situation in the past 12 months reported they were aware they could contact their telco provider for </w:t>
      </w:r>
      <w:r w:rsidR="003D525D">
        <w:t>financial hardship assistance</w:t>
      </w:r>
      <w:r w:rsidR="00C50DA4">
        <w:t>.</w:t>
      </w:r>
    </w:p>
    <w:p w14:paraId="4B9E120F" w14:textId="51AA6A7A" w:rsidR="00C50DA4" w:rsidRDefault="00123D3C" w:rsidP="00083B2C">
      <w:pPr>
        <w:pStyle w:val="Bulletlevel1"/>
      </w:pPr>
      <w:r>
        <w:t>C</w:t>
      </w:r>
      <w:r w:rsidR="00C50DA4" w:rsidRPr="00C65D07">
        <w:t>lear access to information about available financial hardship support from providers</w:t>
      </w:r>
      <w:r w:rsidR="00C50DA4">
        <w:t xml:space="preserve">. </w:t>
      </w:r>
      <w:r w:rsidR="00D53B95">
        <w:t>A</w:t>
      </w:r>
      <w:r>
        <w:t>s</w:t>
      </w:r>
      <w:r w:rsidR="00D53B95">
        <w:t xml:space="preserve"> of June 2022</w:t>
      </w:r>
      <w:r w:rsidR="0094338B">
        <w:t xml:space="preserve">, all but one </w:t>
      </w:r>
      <w:r w:rsidR="00D53B95">
        <w:t xml:space="preserve">of the main telcos </w:t>
      </w:r>
      <w:r w:rsidR="0094338B">
        <w:t xml:space="preserve">required </w:t>
      </w:r>
      <w:r w:rsidR="005D588E">
        <w:t xml:space="preserve">extensive navigation on their websites to access financial hardship policies as of </w:t>
      </w:r>
      <w:r w:rsidR="00B537C5">
        <w:t xml:space="preserve">30 </w:t>
      </w:r>
      <w:r w:rsidR="005D588E">
        <w:t>June 2022.</w:t>
      </w:r>
      <w:r w:rsidR="00FB7687">
        <w:t xml:space="preserve"> </w:t>
      </w:r>
    </w:p>
    <w:p w14:paraId="598A98EE" w14:textId="14526C68" w:rsidR="00662404" w:rsidRPr="00662404" w:rsidRDefault="00123D3C" w:rsidP="00083B2C">
      <w:pPr>
        <w:pStyle w:val="Bulletlevel1"/>
      </w:pPr>
      <w:r>
        <w:t>D</w:t>
      </w:r>
      <w:r w:rsidR="00662404" w:rsidRPr="00C65D07">
        <w:t xml:space="preserve">ecrease in the number </w:t>
      </w:r>
      <w:r w:rsidR="004775B9">
        <w:t xml:space="preserve">of </w:t>
      </w:r>
      <w:r w:rsidR="00662404" w:rsidRPr="00C65D07">
        <w:t>customers disconnected while in financial hardship</w:t>
      </w:r>
      <w:r w:rsidR="00662404">
        <w:t>.</w:t>
      </w:r>
      <w:r w:rsidR="00BA011F" w:rsidRPr="00BA011F">
        <w:t xml:space="preserve"> </w:t>
      </w:r>
      <w:r w:rsidR="00BA011F" w:rsidRPr="00F14481">
        <w:t>During 2021–22, a total of 237,166 residential customers had their services disconnected due to non-payment. Of those, only 834 were reported by the main telcos as financial hardship customers</w:t>
      </w:r>
      <w:r>
        <w:t>.</w:t>
      </w:r>
    </w:p>
    <w:p w14:paraId="533DB6E3" w14:textId="3E9E7EA4" w:rsidR="00FE5FAC" w:rsidRDefault="00FE5FAC" w:rsidP="00083B2C">
      <w:pPr>
        <w:pStyle w:val="Bulletlevel1"/>
      </w:pPr>
      <w:r>
        <w:t xml:space="preserve">Reduced complaints </w:t>
      </w:r>
      <w:r w:rsidR="00D721BF">
        <w:t xml:space="preserve">received by the TIO from consumers experiencing financial hardship </w:t>
      </w:r>
      <w:r w:rsidR="002D5B65">
        <w:t xml:space="preserve">and </w:t>
      </w:r>
      <w:r w:rsidR="00BD2091">
        <w:t xml:space="preserve">their provider </w:t>
      </w:r>
      <w:r w:rsidR="002D5B65">
        <w:t xml:space="preserve">did </w:t>
      </w:r>
      <w:r w:rsidR="00BD2091">
        <w:t xml:space="preserve">not </w:t>
      </w:r>
      <w:r w:rsidR="00273D10">
        <w:t>give</w:t>
      </w:r>
      <w:r w:rsidR="00BD2091">
        <w:t xml:space="preserve"> appropriate help</w:t>
      </w:r>
      <w:r w:rsidR="00273D10">
        <w:t xml:space="preserve">. </w:t>
      </w:r>
      <w:r w:rsidR="00273D10" w:rsidRPr="00D02799">
        <w:t xml:space="preserve">Between 1 April 2021 and 31 March 2023, the TIO received over 3,000 </w:t>
      </w:r>
      <w:r w:rsidR="00273D10">
        <w:t xml:space="preserve">such </w:t>
      </w:r>
      <w:r w:rsidR="00273D10" w:rsidRPr="00D02799">
        <w:t>complaints</w:t>
      </w:r>
      <w:r w:rsidR="00273D10">
        <w:t>.</w:t>
      </w:r>
    </w:p>
    <w:p w14:paraId="4539F764" w14:textId="0360CEB5" w:rsidR="00215893" w:rsidRPr="007514EA" w:rsidRDefault="00273D10" w:rsidP="00083B2C">
      <w:pPr>
        <w:pStyle w:val="Bulletlevel1last"/>
      </w:pPr>
      <w:r>
        <w:t>F</w:t>
      </w:r>
      <w:r w:rsidR="00573DDE" w:rsidRPr="00C65D07">
        <w:t>eedback from consumer groups and community organisations that consumers have been able to access appropriate financial hardship assistance</w:t>
      </w:r>
      <w:r w:rsidR="005D588E">
        <w:t>.</w:t>
      </w:r>
      <w:r w:rsidR="0055131F">
        <w:t xml:space="preserve"> </w:t>
      </w:r>
    </w:p>
    <w:p w14:paraId="688E9F55" w14:textId="77777777" w:rsidR="00573DDE" w:rsidRDefault="00573DDE" w:rsidP="00573DDE">
      <w:pPr>
        <w:pStyle w:val="Heading1"/>
      </w:pPr>
      <w:bookmarkStart w:id="29" w:name="_Toc32833688"/>
      <w:bookmarkStart w:id="30" w:name="_Toc32833743"/>
      <w:bookmarkStart w:id="31" w:name="_Toc32833816"/>
      <w:bookmarkStart w:id="32" w:name="_Toc155685982"/>
      <w:bookmarkStart w:id="33" w:name="_Hlk29987546"/>
      <w:r>
        <w:lastRenderedPageBreak/>
        <w:t>What policy options have been considered?</w:t>
      </w:r>
      <w:bookmarkEnd w:id="29"/>
      <w:bookmarkEnd w:id="30"/>
      <w:bookmarkEnd w:id="31"/>
      <w:bookmarkEnd w:id="32"/>
    </w:p>
    <w:p w14:paraId="125A2FD3" w14:textId="4D4BD416" w:rsidR="00573DDE" w:rsidRDefault="005436C5" w:rsidP="00573DDE">
      <w:pPr>
        <w:pStyle w:val="Heading2"/>
      </w:pPr>
      <w:bookmarkStart w:id="34" w:name="_Toc32833689"/>
      <w:bookmarkStart w:id="35" w:name="_Toc32833744"/>
      <w:bookmarkStart w:id="36" w:name="_Toc32833817"/>
      <w:bookmarkStart w:id="37" w:name="_Toc155685983"/>
      <w:r>
        <w:t xml:space="preserve">Option 1 </w:t>
      </w:r>
      <w:r w:rsidR="00CC1140">
        <w:t>–</w:t>
      </w:r>
      <w:r>
        <w:t xml:space="preserve"> </w:t>
      </w:r>
      <w:r w:rsidR="00573DDE">
        <w:t>Status quo</w:t>
      </w:r>
      <w:bookmarkEnd w:id="34"/>
      <w:bookmarkEnd w:id="35"/>
      <w:bookmarkEnd w:id="36"/>
      <w:bookmarkEnd w:id="37"/>
      <w:r w:rsidR="00573DDE">
        <w:t xml:space="preserve"> </w:t>
      </w:r>
    </w:p>
    <w:p w14:paraId="28E96847" w14:textId="323D86EB" w:rsidR="00573DDE" w:rsidRDefault="00573DDE" w:rsidP="00573DDE">
      <w:r>
        <w:t xml:space="preserve">The government </w:t>
      </w:r>
      <w:r w:rsidR="0023605E">
        <w:t>retains</w:t>
      </w:r>
      <w:r>
        <w:t xml:space="preserve"> the status quo</w:t>
      </w:r>
      <w:r w:rsidR="0023605E">
        <w:t xml:space="preserve">, refraining from introducing new </w:t>
      </w:r>
      <w:r>
        <w:t>regulation</w:t>
      </w:r>
      <w:r w:rsidR="0023605E">
        <w:t>,</w:t>
      </w:r>
      <w:r>
        <w:t xml:space="preserve"> </w:t>
      </w:r>
      <w:r w:rsidR="004B2888">
        <w:t>relying</w:t>
      </w:r>
      <w:r>
        <w:t xml:space="preserve"> </w:t>
      </w:r>
      <w:r w:rsidR="004644A9">
        <w:t>on</w:t>
      </w:r>
      <w:r>
        <w:t xml:space="preserve"> the current </w:t>
      </w:r>
      <w:r w:rsidR="00C81E63">
        <w:t>TCP Code</w:t>
      </w:r>
      <w:r>
        <w:t xml:space="preserve"> review by Communications Alliance</w:t>
      </w:r>
      <w:r w:rsidR="004644A9">
        <w:t xml:space="preserve"> to address financial hardship issues</w:t>
      </w:r>
      <w:r>
        <w:t xml:space="preserve">. </w:t>
      </w:r>
    </w:p>
    <w:p w14:paraId="1D522F3B" w14:textId="63D80B12" w:rsidR="00573DDE" w:rsidRPr="008C1933" w:rsidRDefault="00573DDE" w:rsidP="00573DDE">
      <w:pPr>
        <w:rPr>
          <w:lang w:val="en-US"/>
        </w:rPr>
      </w:pPr>
      <w:r>
        <w:rPr>
          <w:lang w:val="en-US"/>
        </w:rPr>
        <w:t>T</w:t>
      </w:r>
      <w:r w:rsidRPr="00DB1EA0">
        <w:rPr>
          <w:lang w:val="en-US"/>
        </w:rPr>
        <w:t>he ACMA</w:t>
      </w:r>
      <w:r>
        <w:rPr>
          <w:lang w:val="en-US"/>
        </w:rPr>
        <w:t>’</w:t>
      </w:r>
      <w:r w:rsidRPr="00083B2C">
        <w:rPr>
          <w:lang w:val="en-US"/>
        </w:rPr>
        <w:t>s</w:t>
      </w:r>
      <w:r w:rsidRPr="00083B2C">
        <w:rPr>
          <w:i/>
          <w:lang w:val="en-US"/>
        </w:rPr>
        <w:t xml:space="preserve"> </w:t>
      </w:r>
      <w:r w:rsidRPr="00083B2C">
        <w:rPr>
          <w:iCs/>
          <w:lang w:val="en-US"/>
        </w:rPr>
        <w:t>What Consumers Want pap</w:t>
      </w:r>
      <w:r w:rsidRPr="004F62E2">
        <w:rPr>
          <w:iCs/>
          <w:lang w:val="en-US"/>
        </w:rPr>
        <w:t>e</w:t>
      </w:r>
      <w:r>
        <w:rPr>
          <w:iCs/>
          <w:lang w:val="en-US"/>
        </w:rPr>
        <w:t>r</w:t>
      </w:r>
      <w:r>
        <w:rPr>
          <w:lang w:val="en-US"/>
        </w:rPr>
        <w:t xml:space="preserve"> </w:t>
      </w:r>
      <w:r w:rsidR="005D794A">
        <w:rPr>
          <w:lang w:val="en-US"/>
        </w:rPr>
        <w:t xml:space="preserve">identifies deficiencies in the </w:t>
      </w:r>
      <w:r>
        <w:rPr>
          <w:lang w:val="en-US"/>
        </w:rPr>
        <w:t>TCP Code need</w:t>
      </w:r>
      <w:r w:rsidR="00EF71FF">
        <w:rPr>
          <w:lang w:val="en-US"/>
        </w:rPr>
        <w:t>ing</w:t>
      </w:r>
      <w:r>
        <w:rPr>
          <w:lang w:val="en-US"/>
        </w:rPr>
        <w:t xml:space="preserve"> urgent improvement, including financial hardship. </w:t>
      </w:r>
      <w:r w:rsidRPr="006C69A7">
        <w:rPr>
          <w:lang w:val="en-US"/>
        </w:rPr>
        <w:t>T</w:t>
      </w:r>
      <w:r w:rsidRPr="006C69A7">
        <w:t xml:space="preserve">he ACMA has sought a definitive indication from the telecommunications industry by the end of 2023 on the detailed amendments it will make to the TCP Code </w:t>
      </w:r>
      <w:r w:rsidR="00CD5068">
        <w:t xml:space="preserve">to </w:t>
      </w:r>
      <w:r w:rsidRPr="006C69A7">
        <w:t xml:space="preserve">address the issues raised. </w:t>
      </w:r>
      <w:r>
        <w:t xml:space="preserve">If </w:t>
      </w:r>
      <w:r w:rsidR="007B22BC">
        <w:t>unsatisfied</w:t>
      </w:r>
      <w:r>
        <w:t xml:space="preserve"> with industry response,</w:t>
      </w:r>
      <w:r w:rsidRPr="00355DBD">
        <w:rPr>
          <w:lang w:val="en-US"/>
        </w:rPr>
        <w:t xml:space="preserve"> </w:t>
      </w:r>
      <w:r w:rsidR="007B22BC">
        <w:rPr>
          <w:lang w:val="en-US"/>
        </w:rPr>
        <w:t xml:space="preserve">the ACMA has the authority to enact </w:t>
      </w:r>
      <w:r w:rsidRPr="00355DBD">
        <w:rPr>
          <w:lang w:val="en-US"/>
        </w:rPr>
        <w:t>direct regulation</w:t>
      </w:r>
      <w:r>
        <w:rPr>
          <w:lang w:val="en-US"/>
        </w:rPr>
        <w:t xml:space="preserve"> on relevant issues</w:t>
      </w:r>
      <w:r w:rsidRPr="00355DBD">
        <w:rPr>
          <w:lang w:val="en-US"/>
        </w:rPr>
        <w:t>.</w:t>
      </w:r>
      <w:r>
        <w:rPr>
          <w:rStyle w:val="FootnoteReference"/>
        </w:rPr>
        <w:footnoteReference w:id="40"/>
      </w:r>
    </w:p>
    <w:p w14:paraId="74EAB030" w14:textId="11B00DAA" w:rsidR="00573DDE" w:rsidRDefault="00573DDE" w:rsidP="00573DDE">
      <w:pPr>
        <w:pStyle w:val="Paragraph"/>
      </w:pPr>
      <w:r>
        <w:rPr>
          <w:rFonts w:cs="Times New Roman"/>
        </w:rPr>
        <w:t xml:space="preserve">Compliance and enforcement powers </w:t>
      </w:r>
      <w:r w:rsidR="00BC2BD2">
        <w:rPr>
          <w:rFonts w:cs="Times New Roman"/>
        </w:rPr>
        <w:t>for</w:t>
      </w:r>
      <w:r>
        <w:rPr>
          <w:rFonts w:cs="Times New Roman"/>
        </w:rPr>
        <w:t xml:space="preserve"> code</w:t>
      </w:r>
      <w:r w:rsidR="00BC2BD2">
        <w:rPr>
          <w:rFonts w:cs="Times New Roman"/>
        </w:rPr>
        <w:t xml:space="preserve"> breaches</w:t>
      </w:r>
      <w:r>
        <w:rPr>
          <w:rFonts w:cs="Times New Roman"/>
        </w:rPr>
        <w:t xml:space="preserve"> </w:t>
      </w:r>
      <w:r w:rsidR="00BC2BD2">
        <w:rPr>
          <w:rFonts w:cs="Times New Roman"/>
        </w:rPr>
        <w:t>are</w:t>
      </w:r>
      <w:r>
        <w:rPr>
          <w:rFonts w:cs="Times New Roman"/>
        </w:rPr>
        <w:t xml:space="preserve"> limited and </w:t>
      </w:r>
      <w:r>
        <w:t>Australians experiencing financial hardship will continue to experience significant harms until the identified gaps in the TCP Code are addressed</w:t>
      </w:r>
      <w:r w:rsidR="00BC2BD2">
        <w:t xml:space="preserve"> and uplifted to direct regulation where strong enforcement is available.</w:t>
      </w:r>
      <w:r>
        <w:t xml:space="preserve"> </w:t>
      </w:r>
      <w:r w:rsidR="00BC2BD2">
        <w:t>I</w:t>
      </w:r>
      <w:r>
        <w:t xml:space="preserve">ndustry has had </w:t>
      </w:r>
      <w:r w:rsidR="00BC2BD2">
        <w:t xml:space="preserve">a material </w:t>
      </w:r>
      <w:r>
        <w:t xml:space="preserve">opportunity to </w:t>
      </w:r>
      <w:r w:rsidR="00BC2BD2">
        <w:t xml:space="preserve">address </w:t>
      </w:r>
      <w:r>
        <w:t>the issues prior to this latest review and has not done so.</w:t>
      </w:r>
    </w:p>
    <w:p w14:paraId="173A3E66" w14:textId="0D10D2AC" w:rsidR="00C73B89" w:rsidRDefault="004D2284" w:rsidP="007514EA">
      <w:pPr>
        <w:pStyle w:val="Paragraphbeforelist"/>
      </w:pPr>
      <w:r>
        <w:t>N</w:t>
      </w:r>
      <w:r w:rsidR="00106CA9" w:rsidRPr="00200DA6">
        <w:t>on-regulatory measures, including a</w:t>
      </w:r>
      <w:r w:rsidR="00F26E76" w:rsidRPr="00200DA6">
        <w:t xml:space="preserve"> consumer </w:t>
      </w:r>
      <w:r w:rsidR="00106CA9" w:rsidRPr="00200DA6">
        <w:t>education campaign launched in March 2023</w:t>
      </w:r>
      <w:r w:rsidR="001C6795" w:rsidRPr="00200DA6">
        <w:rPr>
          <w:rStyle w:val="FootnoteReference"/>
          <w:szCs w:val="20"/>
        </w:rPr>
        <w:footnoteReference w:id="41"/>
      </w:r>
      <w:r w:rsidR="00106CA9" w:rsidRPr="00200DA6">
        <w:t xml:space="preserve">, </w:t>
      </w:r>
      <w:r w:rsidR="000170F0">
        <w:t>has</w:t>
      </w:r>
      <w:r w:rsidR="00106CA9" w:rsidRPr="00200DA6">
        <w:t xml:space="preserve"> been undertaken to raise consumer awareness</w:t>
      </w:r>
      <w:r w:rsidR="001C6795" w:rsidRPr="00200DA6">
        <w:t xml:space="preserve"> of the financial hardship assistance available when they are experiencing difficulties paying their telco bills</w:t>
      </w:r>
      <w:r w:rsidR="00AC4693">
        <w:t>.</w:t>
      </w:r>
      <w:r w:rsidR="00106CA9" w:rsidRPr="00200DA6">
        <w:t xml:space="preserve"> </w:t>
      </w:r>
      <w:r w:rsidR="00C73B89">
        <w:t xml:space="preserve">The campaign, aimed at encouraging consumers to engage with their telco when they experience financial </w:t>
      </w:r>
      <w:r w:rsidR="00BC2BD2">
        <w:t>hardship</w:t>
      </w:r>
      <w:r w:rsidR="00C73B89">
        <w:t xml:space="preserve">, comprised: </w:t>
      </w:r>
    </w:p>
    <w:p w14:paraId="30789F87" w14:textId="56D931DD" w:rsidR="00C73B89" w:rsidRDefault="00C73B89" w:rsidP="00083B2C">
      <w:pPr>
        <w:pStyle w:val="Bulletlevel1"/>
      </w:pPr>
      <w:r>
        <w:t xml:space="preserve">consumer-focused materials with relevant information, advice and links – such as website content, graphics and videos </w:t>
      </w:r>
    </w:p>
    <w:p w14:paraId="0282B54C" w14:textId="7DA4F3A7" w:rsidR="00E44FED" w:rsidRPr="007514EA" w:rsidRDefault="00C73B89" w:rsidP="00083B2C">
      <w:pPr>
        <w:pStyle w:val="Bulletlevel1last"/>
      </w:pPr>
      <w:r>
        <w:t>use of targeted communication channels to effectively reach consumer audiences – such as social media, e-newsletters, consumer advocates and paid advertising.</w:t>
      </w:r>
    </w:p>
    <w:p w14:paraId="0EEDA136" w14:textId="2CA857DB" w:rsidR="00AC4693" w:rsidRPr="00200DA6" w:rsidRDefault="00AC4693" w:rsidP="00AC4693">
      <w:pPr>
        <w:pStyle w:val="Paragraph"/>
        <w:rPr>
          <w:szCs w:val="20"/>
        </w:rPr>
      </w:pPr>
      <w:r w:rsidRPr="00200DA6">
        <w:rPr>
          <w:szCs w:val="20"/>
        </w:rPr>
        <w:t xml:space="preserve">The ACMA also </w:t>
      </w:r>
      <w:r w:rsidR="00BC2BD2">
        <w:rPr>
          <w:szCs w:val="20"/>
        </w:rPr>
        <w:t>enhanced the information for</w:t>
      </w:r>
      <w:r w:rsidR="00BC2BD2" w:rsidRPr="00200DA6">
        <w:rPr>
          <w:szCs w:val="20"/>
        </w:rPr>
        <w:t xml:space="preserve"> </w:t>
      </w:r>
      <w:r w:rsidRPr="00200DA6">
        <w:rPr>
          <w:szCs w:val="20"/>
        </w:rPr>
        <w:t>industry on its website to explicitly set out key TCP Code financial hardship rules</w:t>
      </w:r>
      <w:r w:rsidRPr="00200DA6">
        <w:rPr>
          <w:rStyle w:val="FootnoteReference"/>
          <w:szCs w:val="20"/>
        </w:rPr>
        <w:footnoteReference w:id="42"/>
      </w:r>
      <w:r w:rsidRPr="00200DA6">
        <w:rPr>
          <w:szCs w:val="20"/>
        </w:rPr>
        <w:t xml:space="preserve"> to further support </w:t>
      </w:r>
      <w:r w:rsidR="00BC2BD2">
        <w:rPr>
          <w:szCs w:val="20"/>
        </w:rPr>
        <w:t xml:space="preserve">industry </w:t>
      </w:r>
      <w:r w:rsidRPr="00200DA6">
        <w:rPr>
          <w:szCs w:val="20"/>
        </w:rPr>
        <w:t>understanding of the current requirements in an effort to minimise the need for regulatory intervention.</w:t>
      </w:r>
    </w:p>
    <w:p w14:paraId="3BE93F2C" w14:textId="59B02C81" w:rsidR="00200DA6" w:rsidRDefault="00AC4693" w:rsidP="00573DDE">
      <w:pPr>
        <w:pStyle w:val="Paragraph"/>
        <w:rPr>
          <w:szCs w:val="20"/>
        </w:rPr>
      </w:pPr>
      <w:r>
        <w:rPr>
          <w:szCs w:val="20"/>
        </w:rPr>
        <w:t>However</w:t>
      </w:r>
      <w:r w:rsidR="006C2E41">
        <w:rPr>
          <w:szCs w:val="20"/>
        </w:rPr>
        <w:t>,</w:t>
      </w:r>
      <w:r>
        <w:rPr>
          <w:szCs w:val="20"/>
        </w:rPr>
        <w:t xml:space="preserve"> </w:t>
      </w:r>
      <w:r w:rsidR="00106CA9" w:rsidRPr="00200DA6">
        <w:rPr>
          <w:szCs w:val="20"/>
        </w:rPr>
        <w:t xml:space="preserve">these efforts fall short of addressing the </w:t>
      </w:r>
      <w:r w:rsidR="006C2E41">
        <w:rPr>
          <w:szCs w:val="20"/>
        </w:rPr>
        <w:t>problem</w:t>
      </w:r>
      <w:r w:rsidR="006B7E49" w:rsidRPr="00200DA6">
        <w:rPr>
          <w:szCs w:val="20"/>
        </w:rPr>
        <w:t xml:space="preserve">. </w:t>
      </w:r>
      <w:r w:rsidR="00974D03">
        <w:rPr>
          <w:szCs w:val="20"/>
        </w:rPr>
        <w:t xml:space="preserve">To date, industry </w:t>
      </w:r>
      <w:r w:rsidR="00397AF3">
        <w:rPr>
          <w:szCs w:val="20"/>
        </w:rPr>
        <w:t xml:space="preserve">has not shown any inclination to voluntarily </w:t>
      </w:r>
      <w:r w:rsidR="008D562C">
        <w:rPr>
          <w:szCs w:val="20"/>
        </w:rPr>
        <w:t>improve</w:t>
      </w:r>
      <w:r w:rsidR="00397AF3">
        <w:rPr>
          <w:szCs w:val="20"/>
        </w:rPr>
        <w:t xml:space="preserve"> their financial hardship policies to address consumer concerns</w:t>
      </w:r>
      <w:r w:rsidR="008D562C">
        <w:rPr>
          <w:szCs w:val="20"/>
        </w:rPr>
        <w:t>.</w:t>
      </w:r>
    </w:p>
    <w:p w14:paraId="5CB91DB5" w14:textId="1BC28F4E" w:rsidR="00EF0749" w:rsidRPr="009E3CF9" w:rsidRDefault="00CC6D60" w:rsidP="00FB3698">
      <w:pPr>
        <w:pStyle w:val="Paragraphbeforelist"/>
      </w:pPr>
      <w:r>
        <w:rPr>
          <w:szCs w:val="20"/>
        </w:rPr>
        <w:t xml:space="preserve">It was open to the </w:t>
      </w:r>
      <w:r w:rsidR="001B07DA">
        <w:rPr>
          <w:szCs w:val="20"/>
        </w:rPr>
        <w:t>m</w:t>
      </w:r>
      <w:r>
        <w:rPr>
          <w:szCs w:val="20"/>
        </w:rPr>
        <w:t xml:space="preserve">inister to </w:t>
      </w:r>
      <w:r>
        <w:t>take</w:t>
      </w:r>
      <w:r w:rsidR="00FA10A1">
        <w:t xml:space="preserve"> </w:t>
      </w:r>
      <w:r w:rsidR="00573DDE" w:rsidRPr="005C55F6">
        <w:t xml:space="preserve">no action and allow financial hardship issues to be addressed through the current </w:t>
      </w:r>
      <w:r w:rsidR="00D907D1">
        <w:t>TCP Code</w:t>
      </w:r>
      <w:r w:rsidR="00573DDE" w:rsidRPr="005C55F6">
        <w:t xml:space="preserve"> review</w:t>
      </w:r>
      <w:r w:rsidR="0044420F">
        <w:t xml:space="preserve"> or </w:t>
      </w:r>
      <w:r w:rsidR="00BC2BD2">
        <w:t xml:space="preserve">by </w:t>
      </w:r>
      <w:r w:rsidR="00573DDE" w:rsidRPr="005C55F6">
        <w:t xml:space="preserve">later direct regulation </w:t>
      </w:r>
      <w:r w:rsidR="00FA10A1">
        <w:t xml:space="preserve">imposed </w:t>
      </w:r>
      <w:r w:rsidR="00573DDE" w:rsidRPr="005C55F6">
        <w:t>by the ACM</w:t>
      </w:r>
      <w:r w:rsidR="00B1253F">
        <w:t>A</w:t>
      </w:r>
      <w:r w:rsidR="00E91AE1">
        <w:t>.</w:t>
      </w:r>
      <w:r w:rsidR="00B1253F">
        <w:t xml:space="preserve"> </w:t>
      </w:r>
      <w:r w:rsidR="00E91AE1">
        <w:t>H</w:t>
      </w:r>
      <w:r>
        <w:t>owever</w:t>
      </w:r>
      <w:r w:rsidR="00E91AE1">
        <w:t>,</w:t>
      </w:r>
      <w:r>
        <w:t xml:space="preserve"> the </w:t>
      </w:r>
      <w:r w:rsidR="001B07DA">
        <w:t>m</w:t>
      </w:r>
      <w:r>
        <w:t>inister direct</w:t>
      </w:r>
      <w:r w:rsidR="00A46A0C">
        <w:t>ed</w:t>
      </w:r>
      <w:r>
        <w:t xml:space="preserve"> the ACMA to make a standard in response to the serious </w:t>
      </w:r>
      <w:r w:rsidR="00A46A0C">
        <w:t xml:space="preserve">and immediate </w:t>
      </w:r>
      <w:r>
        <w:t>issues being faced by vulnerable consumers in accessing financial support when they need it</w:t>
      </w:r>
      <w:r w:rsidR="00A46A0C">
        <w:t>, as demonstrated in the findings from the AC</w:t>
      </w:r>
      <w:r w:rsidR="00A46A0C" w:rsidRPr="00083B2C">
        <w:t xml:space="preserve">MA’s </w:t>
      </w:r>
      <w:r w:rsidR="00A46A0C" w:rsidRPr="00A05A0C">
        <w:t xml:space="preserve">Financial Hardship </w:t>
      </w:r>
      <w:r w:rsidR="00083B2C">
        <w:t>r</w:t>
      </w:r>
      <w:r w:rsidR="00A46A0C" w:rsidRPr="00241B05">
        <w:t>eport.</w:t>
      </w:r>
      <w:r>
        <w:t xml:space="preserve"> </w:t>
      </w:r>
    </w:p>
    <w:p w14:paraId="18C652C3" w14:textId="124A4FC0" w:rsidR="00573DDE" w:rsidRDefault="00204692" w:rsidP="00573DDE">
      <w:pPr>
        <w:pStyle w:val="Heading2"/>
      </w:pPr>
      <w:bookmarkStart w:id="38" w:name="_Toc155685984"/>
      <w:r>
        <w:lastRenderedPageBreak/>
        <w:t>Option 2</w:t>
      </w:r>
      <w:r w:rsidR="00CC1140">
        <w:t xml:space="preserve"> – </w:t>
      </w:r>
      <w:r w:rsidR="00573DDE">
        <w:t xml:space="preserve">Direct </w:t>
      </w:r>
      <w:r w:rsidR="009E3CF9">
        <w:t>r</w:t>
      </w:r>
      <w:r w:rsidR="00573DDE">
        <w:t>egulation</w:t>
      </w:r>
      <w:bookmarkEnd w:id="38"/>
      <w:r w:rsidR="00573DDE">
        <w:t xml:space="preserve"> </w:t>
      </w:r>
    </w:p>
    <w:p w14:paraId="0B61C96D" w14:textId="2CA76AE0" w:rsidR="00573DDE" w:rsidRDefault="00573DDE" w:rsidP="00573DDE">
      <w:pPr>
        <w:pStyle w:val="Paragraph"/>
      </w:pPr>
      <w:r>
        <w:t xml:space="preserve">The </w:t>
      </w:r>
      <w:r w:rsidR="001B07DA">
        <w:t>m</w:t>
      </w:r>
      <w:r>
        <w:t>inister direct</w:t>
      </w:r>
      <w:r w:rsidR="00BE3AA6">
        <w:t>ed</w:t>
      </w:r>
      <w:r>
        <w:t xml:space="preserve"> the ACMA to make an industry standard on financial hardship under section 125AA of </w:t>
      </w:r>
      <w:r w:rsidRPr="00083B2C">
        <w:t>the Tel</w:t>
      </w:r>
      <w:r w:rsidR="00083B2C" w:rsidRPr="00083B2C">
        <w:t>co</w:t>
      </w:r>
      <w:r w:rsidRPr="00083B2C">
        <w:t xml:space="preserve"> Act to</w:t>
      </w:r>
      <w:r>
        <w:t xml:space="preserve"> address the identified gaps in the existing TCP Code</w:t>
      </w:r>
      <w:r w:rsidR="00BC2BD2">
        <w:t xml:space="preserve"> </w:t>
      </w:r>
      <w:r w:rsidR="00E91AE1">
        <w:t xml:space="preserve">on </w:t>
      </w:r>
      <w:r w:rsidR="00A46A0C">
        <w:t>6 September 2023</w:t>
      </w:r>
      <w:r>
        <w:t xml:space="preserve">. </w:t>
      </w:r>
    </w:p>
    <w:p w14:paraId="4179121F" w14:textId="2513E5A5" w:rsidR="00573DDE" w:rsidRDefault="00573DDE" w:rsidP="00573DDE">
      <w:pPr>
        <w:pStyle w:val="Paragraph"/>
      </w:pPr>
      <w:r>
        <w:t>T</w:t>
      </w:r>
      <w:r w:rsidRPr="001C6174">
        <w:t xml:space="preserve">he ACMA </w:t>
      </w:r>
      <w:r w:rsidRPr="007046C0">
        <w:rPr>
          <w:i/>
        </w:rPr>
        <w:t xml:space="preserve">must </w:t>
      </w:r>
      <w:r w:rsidRPr="001C6174">
        <w:t>determine an industry standard if directed by the</w:t>
      </w:r>
      <w:r>
        <w:t xml:space="preserve"> </w:t>
      </w:r>
      <w:r w:rsidR="001B07DA">
        <w:t>m</w:t>
      </w:r>
      <w:r>
        <w:t xml:space="preserve">inister. Retaining the status quo is therefore not a live option. </w:t>
      </w:r>
    </w:p>
    <w:p w14:paraId="56546071" w14:textId="7E054129" w:rsidR="00573DDE" w:rsidRDefault="00573DDE" w:rsidP="00317FE4">
      <w:pPr>
        <w:suppressAutoHyphens/>
        <w:rPr>
          <w:rFonts w:cs="Arial"/>
          <w:szCs w:val="20"/>
          <w:lang w:val="en-US"/>
        </w:rPr>
      </w:pPr>
      <w:bookmarkStart w:id="39" w:name="_Hlk153116217"/>
      <w:r w:rsidRPr="00D44F9C">
        <w:rPr>
          <w:rFonts w:cs="Arial"/>
          <w:szCs w:val="20"/>
        </w:rPr>
        <w:t>Under the Tel</w:t>
      </w:r>
      <w:r w:rsidR="00CB36F7">
        <w:rPr>
          <w:rFonts w:cs="Arial"/>
          <w:szCs w:val="20"/>
        </w:rPr>
        <w:t>co</w:t>
      </w:r>
      <w:r w:rsidRPr="00D44F9C">
        <w:rPr>
          <w:rFonts w:cs="Arial"/>
          <w:szCs w:val="20"/>
        </w:rPr>
        <w:t xml:space="preserve"> Act</w:t>
      </w:r>
      <w:r w:rsidRPr="00D44F9C">
        <w:rPr>
          <w:rFonts w:cs="Arial"/>
          <w:szCs w:val="20"/>
          <w:lang w:val="en-US"/>
        </w:rPr>
        <w:t xml:space="preserve">, it is not possible for the ACMA to take direct action for initial breaches of an industry code no matter how significant. If a breach of a code is identified, the ACMA can direct a </w:t>
      </w:r>
      <w:r w:rsidR="006A47EE">
        <w:rPr>
          <w:rFonts w:cs="Arial"/>
          <w:szCs w:val="20"/>
          <w:lang w:val="en-US"/>
        </w:rPr>
        <w:t>CSP</w:t>
      </w:r>
      <w:r w:rsidRPr="00D44F9C">
        <w:rPr>
          <w:rFonts w:cs="Arial"/>
          <w:szCs w:val="20"/>
          <w:lang w:val="en-US"/>
        </w:rPr>
        <w:t xml:space="preserve"> to comply with the code or issue a </w:t>
      </w:r>
      <w:r w:rsidR="00727005">
        <w:rPr>
          <w:rFonts w:cs="Arial"/>
          <w:szCs w:val="20"/>
          <w:lang w:val="en-US"/>
        </w:rPr>
        <w:t xml:space="preserve">formal </w:t>
      </w:r>
      <w:r w:rsidRPr="00D44F9C">
        <w:rPr>
          <w:rFonts w:cs="Arial"/>
          <w:szCs w:val="20"/>
          <w:lang w:val="en-US"/>
        </w:rPr>
        <w:t xml:space="preserve">warning. </w:t>
      </w:r>
      <w:r w:rsidR="004C492B">
        <w:rPr>
          <w:rFonts w:cs="Arial"/>
          <w:szCs w:val="20"/>
          <w:lang w:val="en-US"/>
        </w:rPr>
        <w:t xml:space="preserve">The </w:t>
      </w:r>
      <w:r w:rsidRPr="00D44F9C">
        <w:rPr>
          <w:rFonts w:cs="Arial"/>
          <w:szCs w:val="20"/>
          <w:lang w:val="en-US"/>
        </w:rPr>
        <w:t xml:space="preserve">ACMA can only take broader enforcement action (for example, seeking penalties) if a </w:t>
      </w:r>
      <w:r w:rsidR="006A47EE">
        <w:rPr>
          <w:rFonts w:cs="Arial"/>
          <w:szCs w:val="20"/>
          <w:lang w:val="en-US"/>
        </w:rPr>
        <w:t>CSP</w:t>
      </w:r>
      <w:r w:rsidRPr="00D44F9C">
        <w:rPr>
          <w:rFonts w:cs="Arial"/>
          <w:szCs w:val="20"/>
          <w:lang w:val="en-US"/>
        </w:rPr>
        <w:t xml:space="preserve"> continues </w:t>
      </w:r>
      <w:r w:rsidR="006A47EE">
        <w:rPr>
          <w:rFonts w:cs="Arial"/>
          <w:szCs w:val="20"/>
          <w:lang w:val="en-US"/>
        </w:rPr>
        <w:t>to contravene</w:t>
      </w:r>
      <w:r w:rsidRPr="00D44F9C">
        <w:rPr>
          <w:rFonts w:cs="Arial"/>
          <w:szCs w:val="20"/>
          <w:lang w:val="en-US"/>
        </w:rPr>
        <w:t xml:space="preserve"> – that is, it is a </w:t>
      </w:r>
      <w:r w:rsidR="001B07DA">
        <w:rPr>
          <w:rFonts w:cs="Arial"/>
          <w:szCs w:val="20"/>
          <w:lang w:val="en-US"/>
        </w:rPr>
        <w:t>2</w:t>
      </w:r>
      <w:r w:rsidRPr="00D44F9C">
        <w:rPr>
          <w:rFonts w:cs="Arial"/>
          <w:szCs w:val="20"/>
          <w:lang w:val="en-US"/>
        </w:rPr>
        <w:t>-step enforcement process.</w:t>
      </w:r>
    </w:p>
    <w:p w14:paraId="4CDFD3A7" w14:textId="3EBF5CDD" w:rsidR="005317E5" w:rsidRPr="00D926B0" w:rsidRDefault="005F5805" w:rsidP="005317E5">
      <w:pPr>
        <w:suppressAutoHyphens/>
        <w:rPr>
          <w:rFonts w:cs="Arial"/>
          <w:szCs w:val="20"/>
        </w:rPr>
      </w:pPr>
      <w:r w:rsidRPr="00D926B0">
        <w:rPr>
          <w:rFonts w:cs="Arial"/>
          <w:szCs w:val="20"/>
        </w:rPr>
        <w:t xml:space="preserve">The Minister’s decision </w:t>
      </w:r>
      <w:r w:rsidR="00BC2BD2" w:rsidRPr="00D926B0">
        <w:rPr>
          <w:rFonts w:cs="Arial"/>
          <w:szCs w:val="20"/>
        </w:rPr>
        <w:t>considered</w:t>
      </w:r>
      <w:r w:rsidRPr="00D926B0">
        <w:rPr>
          <w:rFonts w:cs="Arial"/>
          <w:szCs w:val="20"/>
        </w:rPr>
        <w:t xml:space="preserve"> substantial evidence pointing to the problem, as revealed in the </w:t>
      </w:r>
      <w:r w:rsidRPr="00083B2C">
        <w:rPr>
          <w:rFonts w:cs="Arial"/>
          <w:szCs w:val="20"/>
        </w:rPr>
        <w:t>ACMA's Financial Hardship repo</w:t>
      </w:r>
      <w:r w:rsidRPr="00D926B0">
        <w:rPr>
          <w:rFonts w:cs="Arial"/>
          <w:szCs w:val="20"/>
        </w:rPr>
        <w:t>rt. Despite 2.4 million Australians facing payment difficulties, only 4,388 benefited from formal financial hardship programs by June 2022. This data underscores the urgency for intervention.</w:t>
      </w:r>
    </w:p>
    <w:bookmarkEnd w:id="39"/>
    <w:p w14:paraId="54C5BFD5" w14:textId="0B9A3282" w:rsidR="00573DDE" w:rsidRPr="000A1E11" w:rsidRDefault="00573DDE" w:rsidP="00573DDE">
      <w:pPr>
        <w:pStyle w:val="Paragraph"/>
      </w:pPr>
      <w:r w:rsidRPr="000A1E11">
        <w:t>The Direction was developed in consultation with stakeholders, with constructive feedback received</w:t>
      </w:r>
      <w:r>
        <w:t xml:space="preserve"> and considered</w:t>
      </w:r>
      <w:r w:rsidR="004C40A9">
        <w:t>.</w:t>
      </w:r>
    </w:p>
    <w:p w14:paraId="415D261F" w14:textId="77777777" w:rsidR="00573DDE" w:rsidRDefault="00573DDE" w:rsidP="00573DDE">
      <w:pPr>
        <w:pStyle w:val="Heading2"/>
      </w:pPr>
      <w:bookmarkStart w:id="40" w:name="_Toc155685985"/>
      <w:bookmarkStart w:id="41" w:name="_Hlk153290323"/>
      <w:r>
        <w:t>Implementing the Direction</w:t>
      </w:r>
      <w:bookmarkEnd w:id="40"/>
      <w:r>
        <w:t xml:space="preserve"> </w:t>
      </w:r>
    </w:p>
    <w:p w14:paraId="2D8C41A3" w14:textId="0B1EE124" w:rsidR="00573DDE" w:rsidRDefault="00573DDE" w:rsidP="00573DDE">
      <w:pPr>
        <w:pStyle w:val="Paragraph"/>
        <w:rPr>
          <w:i/>
          <w:iCs/>
        </w:rPr>
      </w:pPr>
      <w:r>
        <w:t xml:space="preserve">The </w:t>
      </w:r>
      <w:r w:rsidRPr="00E70C57">
        <w:rPr>
          <w:u w:color="0000FF"/>
        </w:rPr>
        <w:t>Direction</w:t>
      </w:r>
      <w:r w:rsidRPr="004E3056">
        <w:rPr>
          <w:i/>
          <w:iCs/>
          <w:u w:color="0000FF"/>
        </w:rPr>
        <w:t xml:space="preserve"> </w:t>
      </w:r>
      <w:r>
        <w:t xml:space="preserve">provides the legal authority </w:t>
      </w:r>
      <w:r w:rsidR="00F639BF">
        <w:t>to make</w:t>
      </w:r>
      <w:r>
        <w:t xml:space="preserve"> a new industry standard under section 125AA of the </w:t>
      </w:r>
      <w:r w:rsidRPr="005D0C5D">
        <w:t>Telco Act.</w:t>
      </w:r>
      <w:r>
        <w:rPr>
          <w:i/>
          <w:iCs/>
        </w:rPr>
        <w:t xml:space="preserve"> </w:t>
      </w:r>
    </w:p>
    <w:p w14:paraId="78BEE3E7" w14:textId="09F2B52B" w:rsidR="00573DDE" w:rsidRDefault="00573DDE" w:rsidP="00573DDE">
      <w:pPr>
        <w:pStyle w:val="Paragraph"/>
      </w:pPr>
      <w:r>
        <w:t xml:space="preserve">An industry standard applies to </w:t>
      </w:r>
      <w:r w:rsidRPr="00F768CB">
        <w:t>participants in a particular section of the telecommunications industry; and</w:t>
      </w:r>
      <w:r>
        <w:t xml:space="preserve"> </w:t>
      </w:r>
      <w:r w:rsidRPr="00F768CB">
        <w:t>deals with one or more matters relating to the telecommunications activities of those participants.</w:t>
      </w:r>
      <w:r>
        <w:t xml:space="preserve"> The Direction </w:t>
      </w:r>
      <w:r w:rsidR="00E56F92">
        <w:t>specifies</w:t>
      </w:r>
      <w:r>
        <w:t xml:space="preserve"> that the Standard is to apply to CSPs in their interactions with residential, small business and not-for-profit customers.</w:t>
      </w:r>
    </w:p>
    <w:p w14:paraId="4E39FF04" w14:textId="5ED09A50" w:rsidR="00573DDE" w:rsidRPr="00A80A8B" w:rsidRDefault="00573DDE" w:rsidP="00573DDE">
      <w:pPr>
        <w:pStyle w:val="Paragraph"/>
        <w:rPr>
          <w:szCs w:val="20"/>
        </w:rPr>
      </w:pPr>
      <w:r w:rsidRPr="00DD54EE">
        <w:rPr>
          <w:szCs w:val="20"/>
        </w:rPr>
        <w:t xml:space="preserve">The </w:t>
      </w:r>
      <w:r>
        <w:rPr>
          <w:szCs w:val="20"/>
        </w:rPr>
        <w:t>S</w:t>
      </w:r>
      <w:r w:rsidRPr="00DD54EE">
        <w:rPr>
          <w:szCs w:val="20"/>
        </w:rPr>
        <w:t xml:space="preserve">tandard must require CSPs to support customers </w:t>
      </w:r>
      <w:r w:rsidR="001140FD">
        <w:rPr>
          <w:szCs w:val="20"/>
        </w:rPr>
        <w:t>facing or likely to face</w:t>
      </w:r>
      <w:r w:rsidRPr="00DD54EE">
        <w:rPr>
          <w:szCs w:val="20"/>
        </w:rPr>
        <w:t xml:space="preserve"> financial hardship through early identification and appropriate assistance. The </w:t>
      </w:r>
      <w:r w:rsidR="00972445">
        <w:rPr>
          <w:szCs w:val="20"/>
        </w:rPr>
        <w:t>S</w:t>
      </w:r>
      <w:r w:rsidRPr="00DD54EE">
        <w:rPr>
          <w:szCs w:val="20"/>
        </w:rPr>
        <w:t xml:space="preserve">tandard must also </w:t>
      </w:r>
      <w:r w:rsidR="00F95D75">
        <w:rPr>
          <w:szCs w:val="20"/>
        </w:rPr>
        <w:t xml:space="preserve">address the promotion and dissemination of information </w:t>
      </w:r>
      <w:r w:rsidR="003E43D7">
        <w:rPr>
          <w:szCs w:val="20"/>
        </w:rPr>
        <w:t xml:space="preserve">to customers </w:t>
      </w:r>
      <w:r w:rsidRPr="00DD54EE">
        <w:rPr>
          <w:szCs w:val="20"/>
        </w:rPr>
        <w:t>about financial hardship,</w:t>
      </w:r>
      <w:r w:rsidR="007660D7">
        <w:rPr>
          <w:szCs w:val="20"/>
        </w:rPr>
        <w:t xml:space="preserve"> </w:t>
      </w:r>
      <w:r w:rsidR="00F324BF">
        <w:rPr>
          <w:szCs w:val="20"/>
        </w:rPr>
        <w:t>emphasising the importance of</w:t>
      </w:r>
      <w:r w:rsidRPr="00DD54EE">
        <w:rPr>
          <w:szCs w:val="20"/>
        </w:rPr>
        <w:t xml:space="preserve"> keeping customers connected to appropriate services for their needs.</w:t>
      </w:r>
      <w:r w:rsidR="009476A8">
        <w:rPr>
          <w:szCs w:val="20"/>
        </w:rPr>
        <w:t xml:space="preserve"> </w:t>
      </w:r>
      <w:r w:rsidRPr="00DD54EE">
        <w:rPr>
          <w:szCs w:val="20"/>
        </w:rPr>
        <w:t xml:space="preserve">The </w:t>
      </w:r>
      <w:r>
        <w:rPr>
          <w:szCs w:val="20"/>
        </w:rPr>
        <w:t>e</w:t>
      </w:r>
      <w:r w:rsidRPr="00A80A8B">
        <w:rPr>
          <w:szCs w:val="20"/>
        </w:rPr>
        <w:t xml:space="preserve">xplanatory </w:t>
      </w:r>
      <w:r>
        <w:rPr>
          <w:szCs w:val="20"/>
        </w:rPr>
        <w:t>s</w:t>
      </w:r>
      <w:r w:rsidRPr="00A80A8B">
        <w:rPr>
          <w:szCs w:val="20"/>
        </w:rPr>
        <w:t>tatement</w:t>
      </w:r>
      <w:r>
        <w:rPr>
          <w:rStyle w:val="FootnoteReference"/>
          <w:szCs w:val="20"/>
        </w:rPr>
        <w:footnoteReference w:id="43"/>
      </w:r>
      <w:r w:rsidRPr="00A80A8B">
        <w:rPr>
          <w:szCs w:val="20"/>
        </w:rPr>
        <w:t xml:space="preserve"> to the Direction </w:t>
      </w:r>
      <w:r w:rsidR="009476A8">
        <w:rPr>
          <w:szCs w:val="20"/>
        </w:rPr>
        <w:t xml:space="preserve">underscores the need to maintain </w:t>
      </w:r>
      <w:r w:rsidRPr="00DD54EE">
        <w:rPr>
          <w:szCs w:val="20"/>
        </w:rPr>
        <w:t>access to devices that enable connection to appropriate services</w:t>
      </w:r>
      <w:r>
        <w:rPr>
          <w:szCs w:val="20"/>
        </w:rPr>
        <w:t>.</w:t>
      </w:r>
    </w:p>
    <w:p w14:paraId="162C57F8" w14:textId="1411A1F0" w:rsidR="0057716C" w:rsidRPr="0057716C" w:rsidRDefault="000C53BE" w:rsidP="00CC1140">
      <w:pPr>
        <w:pStyle w:val="Paragraphbeforelist"/>
      </w:pPr>
      <w:r>
        <w:t>Outlined within the</w:t>
      </w:r>
      <w:r w:rsidR="00573DDE" w:rsidRPr="00DD54EE">
        <w:t xml:space="preserve"> Direction </w:t>
      </w:r>
      <w:r>
        <w:t>are</w:t>
      </w:r>
      <w:r w:rsidR="00573DDE" w:rsidRPr="00DD54EE">
        <w:t xml:space="preserve"> objectives the </w:t>
      </w:r>
      <w:r w:rsidR="0074450F">
        <w:t>S</w:t>
      </w:r>
      <w:r w:rsidR="00573DDE" w:rsidRPr="00DD54EE">
        <w:t>tandard</w:t>
      </w:r>
      <w:r w:rsidR="00A3373C">
        <w:t xml:space="preserve"> must </w:t>
      </w:r>
      <w:r w:rsidR="00573DDE" w:rsidRPr="00DD54EE">
        <w:t>give effect to (</w:t>
      </w:r>
      <w:r w:rsidR="00573DDE">
        <w:t>clause</w:t>
      </w:r>
      <w:r w:rsidR="00573DDE" w:rsidRPr="00DD54EE">
        <w:t xml:space="preserve"> 7(1)</w:t>
      </w:r>
      <w:r w:rsidR="00573DDE">
        <w:t>)</w:t>
      </w:r>
      <w:r w:rsidR="00573DDE" w:rsidRPr="00DD54EE">
        <w:t xml:space="preserve"> and a range of matters that the </w:t>
      </w:r>
      <w:r w:rsidR="00972445">
        <w:t>S</w:t>
      </w:r>
      <w:r w:rsidR="00573DDE" w:rsidRPr="00DD54EE">
        <w:t xml:space="preserve">tandard </w:t>
      </w:r>
      <w:r w:rsidR="00573DDE" w:rsidRPr="00A3373C">
        <w:t>may</w:t>
      </w:r>
      <w:r w:rsidR="00573DDE" w:rsidRPr="00DD54EE">
        <w:t xml:space="preserve"> </w:t>
      </w:r>
      <w:r w:rsidR="00A3373C">
        <w:t>include</w:t>
      </w:r>
      <w:r w:rsidR="00573DDE" w:rsidRPr="00DD54EE">
        <w:t xml:space="preserve"> (clause 7(2)</w:t>
      </w:r>
      <w:r w:rsidR="00573DDE">
        <w:t>)</w:t>
      </w:r>
      <w:r w:rsidR="005C0771">
        <w:t xml:space="preserve">. To fulfil these objectives, rules addressing </w:t>
      </w:r>
      <w:r w:rsidR="00573DDE">
        <w:t xml:space="preserve">the matters </w:t>
      </w:r>
      <w:r w:rsidR="005C0771">
        <w:t>in</w:t>
      </w:r>
      <w:r w:rsidR="00573DDE">
        <w:t xml:space="preserve"> clause 7(2) are </w:t>
      </w:r>
      <w:r w:rsidR="001049B6">
        <w:t>necessary</w:t>
      </w:r>
      <w:r w:rsidR="00573DDE">
        <w:t xml:space="preserve">. </w:t>
      </w:r>
      <w:r w:rsidR="0057716C" w:rsidRPr="0057716C">
        <w:t xml:space="preserve">While the Direction's content in clause 7(2) is </w:t>
      </w:r>
      <w:r w:rsidR="00BC7C3D">
        <w:t>detailed</w:t>
      </w:r>
      <w:r w:rsidR="0057716C" w:rsidRPr="0057716C">
        <w:t xml:space="preserve">, indicating an intention for rules, the ACMA retains </w:t>
      </w:r>
      <w:r w:rsidR="0057716C">
        <w:t xml:space="preserve">some </w:t>
      </w:r>
      <w:r w:rsidR="0057716C" w:rsidRPr="0057716C">
        <w:t>flexibility in drafting rules on various aspects, such</w:t>
      </w:r>
      <w:r w:rsidR="003F0080">
        <w:t xml:space="preserve"> as</w:t>
      </w:r>
    </w:p>
    <w:p w14:paraId="4D6C7164" w14:textId="68F6AA3D" w:rsidR="00573DDE" w:rsidRDefault="00A77E64" w:rsidP="00083B2C">
      <w:pPr>
        <w:pStyle w:val="Bulletlevel1"/>
      </w:pPr>
      <w:r>
        <w:t>e</w:t>
      </w:r>
      <w:r w:rsidR="003F1273">
        <w:t>st</w:t>
      </w:r>
      <w:r>
        <w:t>ablish</w:t>
      </w:r>
      <w:r w:rsidR="00F65A95">
        <w:t>ing</w:t>
      </w:r>
      <w:r>
        <w:t xml:space="preserve"> </w:t>
      </w:r>
      <w:r w:rsidR="00573DDE">
        <w:t>written financial hardship policies</w:t>
      </w:r>
      <w:r w:rsidR="00F65A95">
        <w:t>, including</w:t>
      </w:r>
      <w:r w:rsidR="00573DDE">
        <w:t xml:space="preserve"> processes for assisting customers who are or may be experiencing financial hardship and other requirements relating to financial hardship policies considered appropriate by the ACMA</w:t>
      </w:r>
    </w:p>
    <w:p w14:paraId="5446D83A" w14:textId="7C49EDF9" w:rsidR="00573DDE" w:rsidRDefault="00573DDE" w:rsidP="00083B2C">
      <w:pPr>
        <w:pStyle w:val="Bulletlevel1"/>
      </w:pPr>
      <w:r>
        <w:t>promoti</w:t>
      </w:r>
      <w:r w:rsidR="00601539">
        <w:t>ng</w:t>
      </w:r>
      <w:r>
        <w:t xml:space="preserve"> financial hardship policies and </w:t>
      </w:r>
      <w:r w:rsidR="00601539">
        <w:t>providing information</w:t>
      </w:r>
      <w:r>
        <w:t xml:space="preserve"> and advice to customers and potential customers about </w:t>
      </w:r>
      <w:r w:rsidR="00730ECC">
        <w:t>these</w:t>
      </w:r>
      <w:r>
        <w:t xml:space="preserve"> policies and assistance </w:t>
      </w:r>
    </w:p>
    <w:p w14:paraId="3CE20D2D" w14:textId="3B3B53C8" w:rsidR="00573DDE" w:rsidRDefault="00573DDE" w:rsidP="00083B2C">
      <w:pPr>
        <w:pStyle w:val="Bulletlevel1"/>
      </w:pPr>
      <w:r>
        <w:lastRenderedPageBreak/>
        <w:t>early identification of customers who may be experiencing financial hardship and ongoing evaluation of their circumstances</w:t>
      </w:r>
    </w:p>
    <w:p w14:paraId="47204499" w14:textId="2687F403" w:rsidR="00573DDE" w:rsidRDefault="00FB2815" w:rsidP="00083B2C">
      <w:pPr>
        <w:pStyle w:val="Bulletlevel1"/>
      </w:pPr>
      <w:r>
        <w:t xml:space="preserve">providing </w:t>
      </w:r>
      <w:r w:rsidR="00573DDE">
        <w:t>appropriate customer service for customers who are or may be experiencing financial hardship</w:t>
      </w:r>
    </w:p>
    <w:p w14:paraId="3BF485D6" w14:textId="63821A30" w:rsidR="00573DDE" w:rsidRDefault="00340AF8" w:rsidP="00083B2C">
      <w:pPr>
        <w:pStyle w:val="Bulletlevel1"/>
      </w:pPr>
      <w:r>
        <w:t xml:space="preserve">defining </w:t>
      </w:r>
      <w:r w:rsidR="00573DDE">
        <w:t>processes for assessment and provision of financial hardship assistance to customers</w:t>
      </w:r>
    </w:p>
    <w:p w14:paraId="2EBF3DEE" w14:textId="1C90AD66" w:rsidR="00573DDE" w:rsidRDefault="00340AF8" w:rsidP="00083B2C">
      <w:pPr>
        <w:pStyle w:val="Bulletlevel1"/>
      </w:pPr>
      <w:r>
        <w:t xml:space="preserve">ensuring </w:t>
      </w:r>
      <w:r w:rsidR="00573DDE">
        <w:t>staff training and conduct in identifying and supporting customers who are or may be experiencing financial hardship</w:t>
      </w:r>
    </w:p>
    <w:p w14:paraId="79B7AF78" w14:textId="52F1E6F3" w:rsidR="00573DDE" w:rsidRDefault="00573DDE" w:rsidP="00083B2C">
      <w:pPr>
        <w:pStyle w:val="Bulletlevel1last"/>
      </w:pPr>
      <w:r>
        <w:t>credit management action undertaken by</w:t>
      </w:r>
      <w:r w:rsidR="006852B6">
        <w:t xml:space="preserve"> </w:t>
      </w:r>
      <w:r>
        <w:t xml:space="preserve">or on behalf of CSPs in relation to customers experiencing financial hardship, including requirements for appropriate protections </w:t>
      </w:r>
      <w:r w:rsidR="00CC05F9">
        <w:t>in service</w:t>
      </w:r>
      <w:r>
        <w:t xml:space="preserve"> restriction, suspension or disconnection</w:t>
      </w:r>
      <w:r w:rsidR="00CC1140">
        <w:t>.</w:t>
      </w:r>
    </w:p>
    <w:p w14:paraId="7DE3D5C7" w14:textId="2E5DC3F8" w:rsidR="00573DDE" w:rsidRDefault="00542B84" w:rsidP="00317FE4">
      <w:pPr>
        <w:pStyle w:val="Paragraph"/>
      </w:pPr>
      <w:r>
        <w:t xml:space="preserve">While being appropriately limited </w:t>
      </w:r>
      <w:r w:rsidR="00D02AE7">
        <w:t>by the stated objectives in clause 7(1), t</w:t>
      </w:r>
      <w:r w:rsidR="00573DDE" w:rsidRPr="00DD54EE">
        <w:t xml:space="preserve">he Direction </w:t>
      </w:r>
      <w:r w:rsidR="00573DDE">
        <w:t>gives</w:t>
      </w:r>
      <w:r w:rsidR="00573DDE" w:rsidRPr="00DD54EE">
        <w:t xml:space="preserve"> the ACMA</w:t>
      </w:r>
      <w:r w:rsidR="00573DDE">
        <w:t xml:space="preserve"> </w:t>
      </w:r>
      <w:r w:rsidR="0006010A">
        <w:t xml:space="preserve">broad </w:t>
      </w:r>
      <w:r w:rsidR="00573DDE" w:rsidRPr="00E82D4C">
        <w:t>discretion to</w:t>
      </w:r>
      <w:r w:rsidR="00731A34" w:rsidRPr="00E82D4C">
        <w:t xml:space="preserve"> </w:t>
      </w:r>
      <w:r w:rsidR="00573DDE" w:rsidRPr="00E82D4C">
        <w:t xml:space="preserve">include </w:t>
      </w:r>
      <w:r w:rsidR="00D60D98" w:rsidRPr="00E82D4C">
        <w:t>additional</w:t>
      </w:r>
      <w:r w:rsidR="00573DDE" w:rsidRPr="00E82D4C">
        <w:t xml:space="preserve"> matters </w:t>
      </w:r>
      <w:r w:rsidR="00B13558" w:rsidRPr="00E82D4C">
        <w:t>deemed</w:t>
      </w:r>
      <w:r w:rsidR="00573DDE" w:rsidRPr="00E82D4C">
        <w:t xml:space="preserve"> necessary to meet </w:t>
      </w:r>
      <w:r w:rsidR="00B13558" w:rsidRPr="00E82D4C">
        <w:t>these</w:t>
      </w:r>
      <w:r w:rsidR="00573DDE" w:rsidRPr="00E82D4C">
        <w:t xml:space="preserve"> objectives</w:t>
      </w:r>
      <w:r w:rsidR="002C2CDF" w:rsidRPr="00E82D4C">
        <w:t xml:space="preserve">. </w:t>
      </w:r>
      <w:r w:rsidR="004C71B6" w:rsidRPr="00E82D4C">
        <w:t>D</w:t>
      </w:r>
      <w:r w:rsidR="005357D2" w:rsidRPr="00E82D4C">
        <w:t>iscretionary matter</w:t>
      </w:r>
      <w:r w:rsidR="00365205" w:rsidRPr="00E82D4C">
        <w:t>s</w:t>
      </w:r>
      <w:r w:rsidR="004C71B6" w:rsidRPr="00E82D4C">
        <w:t xml:space="preserve"> </w:t>
      </w:r>
      <w:r w:rsidR="00450509" w:rsidRPr="00E82D4C">
        <w:t>encompass</w:t>
      </w:r>
      <w:r w:rsidR="00365205" w:rsidRPr="00E82D4C">
        <w:t xml:space="preserve"> </w:t>
      </w:r>
      <w:r w:rsidR="00953F2F" w:rsidRPr="00E82D4C">
        <w:t>transitional arrangements</w:t>
      </w:r>
      <w:r w:rsidR="009F1B63" w:rsidRPr="00E82D4C">
        <w:t xml:space="preserve"> </w:t>
      </w:r>
      <w:r w:rsidR="004C71B6" w:rsidRPr="00E82D4C">
        <w:t>and record-keeping requirements</w:t>
      </w:r>
      <w:r w:rsidR="00996E71" w:rsidRPr="00E82D4C">
        <w:t xml:space="preserve"> and </w:t>
      </w:r>
      <w:r w:rsidR="00573DDE" w:rsidRPr="00E82D4C">
        <w:t>defin</w:t>
      </w:r>
      <w:r w:rsidR="00996E71" w:rsidRPr="00E82D4C">
        <w:t>ing</w:t>
      </w:r>
      <w:r w:rsidR="00573DDE" w:rsidRPr="00E82D4C">
        <w:t xml:space="preserve"> terms as appropriate or necessary.</w:t>
      </w:r>
    </w:p>
    <w:p w14:paraId="5D5FC609" w14:textId="12006C05" w:rsidR="00D577D2" w:rsidRPr="00803327" w:rsidRDefault="00803327" w:rsidP="00317FE4">
      <w:pPr>
        <w:pStyle w:val="Paragraph"/>
      </w:pPr>
      <w:r w:rsidRPr="00803327">
        <w:t xml:space="preserve">Supported by evidence from the Financial Hardship </w:t>
      </w:r>
      <w:r w:rsidR="00083B2C">
        <w:t>r</w:t>
      </w:r>
      <w:r w:rsidRPr="00803327">
        <w:t xml:space="preserve">eport and What Consumers Want paper, there is a compelling case for addressing gaps and deficiencies in the TCP Code rules related to how CSPs engage with customers experiencing financial difficulties. These issues include a narrow definition of 'financial hardship,' inadequate financial </w:t>
      </w:r>
      <w:r w:rsidR="0087408F">
        <w:t>hardship programs</w:t>
      </w:r>
      <w:r w:rsidRPr="00803327">
        <w:t>, short notification timeframes for service actions, low consumer awareness, inconsistent eligibility assessments, inflexible arrangements, and difficulties in enforcing existing provisions.</w:t>
      </w:r>
    </w:p>
    <w:p w14:paraId="2A0FC73E" w14:textId="24B0C7E9" w:rsidR="00573DDE" w:rsidRPr="002D70AE" w:rsidRDefault="00573DDE" w:rsidP="007514EA">
      <w:pPr>
        <w:pStyle w:val="Paragraph"/>
        <w:rPr>
          <w:szCs w:val="20"/>
        </w:rPr>
      </w:pPr>
      <w:r w:rsidRPr="002D70AE">
        <w:rPr>
          <w:szCs w:val="20"/>
        </w:rPr>
        <w:t xml:space="preserve">The ACMA has </w:t>
      </w:r>
      <w:r w:rsidR="000A6945">
        <w:rPr>
          <w:szCs w:val="20"/>
        </w:rPr>
        <w:t>adopted</w:t>
      </w:r>
      <w:r w:rsidRPr="002D70AE">
        <w:rPr>
          <w:szCs w:val="20"/>
        </w:rPr>
        <w:t xml:space="preserve"> an evidence-based approach to draft the </w:t>
      </w:r>
      <w:r>
        <w:rPr>
          <w:szCs w:val="20"/>
        </w:rPr>
        <w:t>S</w:t>
      </w:r>
      <w:r w:rsidRPr="002D70AE">
        <w:rPr>
          <w:szCs w:val="20"/>
        </w:rPr>
        <w:t>tandard</w:t>
      </w:r>
      <w:r w:rsidR="006C780C">
        <w:rPr>
          <w:szCs w:val="20"/>
        </w:rPr>
        <w:t xml:space="preserve">, considering enhancements to existing </w:t>
      </w:r>
      <w:r w:rsidRPr="002D70AE">
        <w:rPr>
          <w:szCs w:val="20"/>
        </w:rPr>
        <w:t>TCP Code provisions</w:t>
      </w:r>
      <w:r w:rsidR="006C780C">
        <w:rPr>
          <w:szCs w:val="20"/>
        </w:rPr>
        <w:t xml:space="preserve"> and introducing new elements to address identified gaps or deficiencies. </w:t>
      </w:r>
    </w:p>
    <w:bookmarkEnd w:id="33"/>
    <w:p w14:paraId="3A5B5FA1" w14:textId="5A406AC5" w:rsidR="00573DDE" w:rsidRDefault="00573DDE" w:rsidP="00573DDE">
      <w:pPr>
        <w:pStyle w:val="Paragraph"/>
      </w:pPr>
      <w:r>
        <w:t xml:space="preserve">The Standard </w:t>
      </w:r>
      <w:r w:rsidR="00067683">
        <w:t xml:space="preserve">is designed </w:t>
      </w:r>
      <w:r w:rsidR="00576452">
        <w:t>to improve</w:t>
      </w:r>
      <w:r>
        <w:t xml:space="preserve"> the experience of telecommunications consumers </w:t>
      </w:r>
      <w:r w:rsidR="00576452">
        <w:t>facing</w:t>
      </w:r>
      <w:r>
        <w:t xml:space="preserve"> bill payment </w:t>
      </w:r>
      <w:r w:rsidR="00576452">
        <w:t>difficulties</w:t>
      </w:r>
      <w:r w:rsidR="00621FF2">
        <w:t>,</w:t>
      </w:r>
      <w:r w:rsidR="00576452">
        <w:t xml:space="preserve"> recognising </w:t>
      </w:r>
      <w:r>
        <w:t xml:space="preserve">the essential nature of telecommunications services </w:t>
      </w:r>
      <w:r w:rsidR="0014070A">
        <w:t>and</w:t>
      </w:r>
      <w:r>
        <w:t xml:space="preserve"> mak</w:t>
      </w:r>
      <w:r w:rsidR="0014070A">
        <w:t>ing</w:t>
      </w:r>
      <w:r>
        <w:t xml:space="preserve"> it clear that disconnection is a measure of last resort.</w:t>
      </w:r>
    </w:p>
    <w:p w14:paraId="744CDEDB" w14:textId="4DCAAB79" w:rsidR="00412EF2" w:rsidRDefault="00412EF2" w:rsidP="00573DDE">
      <w:pPr>
        <w:pStyle w:val="Paragraph"/>
      </w:pPr>
      <w:bookmarkStart w:id="42" w:name="_Hlk153557076"/>
      <w:r>
        <w:t xml:space="preserve">Outcomes-based regulation is </w:t>
      </w:r>
      <w:r w:rsidR="00FB5AB1">
        <w:t>highly</w:t>
      </w:r>
      <w:r w:rsidR="00A8003C">
        <w:t xml:space="preserve"> </w:t>
      </w:r>
      <w:r>
        <w:t xml:space="preserve">favoured by the ACMA, </w:t>
      </w:r>
      <w:r w:rsidR="00FB5AB1">
        <w:t>recognising the flexibility</w:t>
      </w:r>
      <w:r>
        <w:t xml:space="preserve"> </w:t>
      </w:r>
      <w:r w:rsidR="00FB5AB1">
        <w:t>it provides for implementation</w:t>
      </w:r>
      <w:r w:rsidR="00FA10A1">
        <w:t xml:space="preserve"> across a diverse sector</w:t>
      </w:r>
      <w:r w:rsidR="00FB5AB1">
        <w:t>.</w:t>
      </w:r>
      <w:r w:rsidR="003D1FAE">
        <w:t xml:space="preserve"> </w:t>
      </w:r>
      <w:r w:rsidR="00FB5AB1">
        <w:t>T</w:t>
      </w:r>
      <w:r>
        <w:t xml:space="preserve">here are </w:t>
      </w:r>
      <w:r w:rsidR="003D1FAE">
        <w:t>various</w:t>
      </w:r>
      <w:r>
        <w:t xml:space="preserve"> ways in which outcomes-based rules can be </w:t>
      </w:r>
      <w:r w:rsidR="003D1FAE">
        <w:t>applied</w:t>
      </w:r>
      <w:r w:rsidR="00FA10A1">
        <w:t>, as set out below</w:t>
      </w:r>
      <w:r>
        <w:t xml:space="preserve">. </w:t>
      </w:r>
    </w:p>
    <w:p w14:paraId="4215079B" w14:textId="2C7F8125" w:rsidR="00226653" w:rsidRPr="003549A1" w:rsidRDefault="00226653" w:rsidP="00317FE4">
      <w:pPr>
        <w:pStyle w:val="Heading2"/>
      </w:pPr>
      <w:bookmarkStart w:id="43" w:name="_Toc155685986"/>
      <w:r w:rsidRPr="003549A1">
        <w:t xml:space="preserve">Option 2A – </w:t>
      </w:r>
      <w:r w:rsidR="00545449">
        <w:t xml:space="preserve">Outcomes-based </w:t>
      </w:r>
      <w:r w:rsidR="00BF544B">
        <w:t>(</w:t>
      </w:r>
      <w:r w:rsidR="00545449">
        <w:t>discretionary</w:t>
      </w:r>
      <w:r w:rsidR="00BF544B">
        <w:t>)</w:t>
      </w:r>
      <w:bookmarkEnd w:id="43"/>
      <w:r w:rsidR="00545449">
        <w:t xml:space="preserve"> </w:t>
      </w:r>
    </w:p>
    <w:p w14:paraId="32DBFBEB" w14:textId="4930D78C" w:rsidR="009112E6" w:rsidRPr="005B5303" w:rsidRDefault="00EB326F" w:rsidP="007514EA">
      <w:pPr>
        <w:pStyle w:val="Paragraph"/>
        <w:rPr>
          <w:szCs w:val="20"/>
        </w:rPr>
      </w:pPr>
      <w:r w:rsidRPr="00D15A4E">
        <w:t xml:space="preserve">As </w:t>
      </w:r>
      <w:r w:rsidR="00FB0F88">
        <w:t xml:space="preserve">previously </w:t>
      </w:r>
      <w:r w:rsidRPr="00D15A4E">
        <w:t xml:space="preserve">mentioned, while the Direction </w:t>
      </w:r>
      <w:r w:rsidR="003D1FAE">
        <w:t xml:space="preserve">sets the rules for the Standard with </w:t>
      </w:r>
      <w:r w:rsidRPr="00D15A4E">
        <w:t xml:space="preserve">limited discretion, there </w:t>
      </w:r>
      <w:r w:rsidRPr="005B5303">
        <w:t xml:space="preserve">is room for flexibility in </w:t>
      </w:r>
      <w:r w:rsidR="00FA10A1" w:rsidRPr="005B5303">
        <w:t>constructi</w:t>
      </w:r>
      <w:r w:rsidR="00186D5D" w:rsidRPr="005B5303">
        <w:t>ng</w:t>
      </w:r>
      <w:r w:rsidR="00FA10A1" w:rsidRPr="005B5303">
        <w:t xml:space="preserve"> the </w:t>
      </w:r>
      <w:r w:rsidR="00C813ED" w:rsidRPr="005B5303">
        <w:t>S</w:t>
      </w:r>
      <w:r w:rsidR="00FA10A1" w:rsidRPr="005B5303">
        <w:t xml:space="preserve">tandard, </w:t>
      </w:r>
      <w:r w:rsidR="00CC3A9D" w:rsidRPr="005B5303">
        <w:t xml:space="preserve">allowing providers </w:t>
      </w:r>
      <w:r w:rsidR="00FA10A1" w:rsidRPr="005B5303">
        <w:t>discretion in how they meet obligations</w:t>
      </w:r>
      <w:r w:rsidR="00C50929" w:rsidRPr="005B5303">
        <w:t xml:space="preserve"> within an established framework. </w:t>
      </w:r>
      <w:r w:rsidR="00330CE1" w:rsidRPr="005B5303">
        <w:t xml:space="preserve">The key distinction between the status quo </w:t>
      </w:r>
      <w:r w:rsidR="00330CE1" w:rsidRPr="005B5303">
        <w:rPr>
          <w:szCs w:val="20"/>
        </w:rPr>
        <w:t xml:space="preserve">and Option 2A lies in </w:t>
      </w:r>
      <w:r w:rsidR="005B5303">
        <w:rPr>
          <w:szCs w:val="20"/>
        </w:rPr>
        <w:t xml:space="preserve">the </w:t>
      </w:r>
      <w:r w:rsidR="00330CE1" w:rsidRPr="005B5303">
        <w:rPr>
          <w:szCs w:val="20"/>
        </w:rPr>
        <w:t xml:space="preserve">mechanism of achieving outcomes-based regulation. Option 2A involves direct regulation, providing a more targeted and expedited response to financial issues with greater incentives for providers to comply. </w:t>
      </w:r>
      <w:r w:rsidR="00EC6A73" w:rsidRPr="005B5303">
        <w:rPr>
          <w:szCs w:val="20"/>
        </w:rPr>
        <w:t>I</w:t>
      </w:r>
      <w:r w:rsidR="00330CE1" w:rsidRPr="005B5303">
        <w:rPr>
          <w:szCs w:val="20"/>
        </w:rPr>
        <w:t xml:space="preserve">ndustry prefers outcomes-based rules. While Option 1 would also likely consider outcomes-based regulation through industry-led initiatives, Option 2A takes a more assertive stance by providing a specific framework under the Direction, offering associated benefits of direct regulation, such as a standardised approach and more immediate action in addressing identified gaps. While the status quo relies on the existing TCP Code review, Option 2A provides room for flexibility within the framework set by the Direction. </w:t>
      </w:r>
    </w:p>
    <w:p w14:paraId="7100EC1B" w14:textId="0D41C9C3" w:rsidR="000E0BA9" w:rsidRPr="009112E6" w:rsidRDefault="00BE2F69" w:rsidP="007514EA">
      <w:pPr>
        <w:pStyle w:val="Paragraph"/>
        <w:rPr>
          <w:szCs w:val="20"/>
        </w:rPr>
      </w:pPr>
      <w:r w:rsidRPr="005B5303">
        <w:rPr>
          <w:szCs w:val="20"/>
        </w:rPr>
        <w:lastRenderedPageBreak/>
        <w:t xml:space="preserve">Under Option 2A, providers have the discretion to </w:t>
      </w:r>
      <w:r w:rsidR="00BE4581" w:rsidRPr="005B5303">
        <w:rPr>
          <w:szCs w:val="20"/>
        </w:rPr>
        <w:t>design and implement</w:t>
      </w:r>
      <w:r w:rsidRPr="005B5303" w:rsidDel="00BE2F69">
        <w:t xml:space="preserve"> </w:t>
      </w:r>
      <w:r w:rsidR="00F0359D" w:rsidRPr="005B5303">
        <w:t xml:space="preserve">strategies for early identification and assistance </w:t>
      </w:r>
      <w:r w:rsidR="00172840" w:rsidRPr="005B5303">
        <w:t>that align with</w:t>
      </w:r>
      <w:r w:rsidR="00F0359D" w:rsidRPr="005B5303">
        <w:t xml:space="preserve"> their operational models and customer bas</w:t>
      </w:r>
      <w:r w:rsidR="00D2495D" w:rsidRPr="005B5303">
        <w:t xml:space="preserve">e. </w:t>
      </w:r>
      <w:r w:rsidR="00BF3088" w:rsidRPr="005B5303">
        <w:t>This approach</w:t>
      </w:r>
      <w:r w:rsidR="00D2495D" w:rsidRPr="005B5303">
        <w:t xml:space="preserve"> has the potential to encourage</w:t>
      </w:r>
      <w:r w:rsidR="002D22CB" w:rsidRPr="005B5303">
        <w:t xml:space="preserve"> </w:t>
      </w:r>
      <w:r w:rsidR="002D22CB" w:rsidRPr="00F27ED1">
        <w:t xml:space="preserve">diverse solutions tailored to </w:t>
      </w:r>
      <w:r w:rsidR="00D2495D">
        <w:t>various</w:t>
      </w:r>
      <w:r w:rsidR="002D22CB" w:rsidRPr="00F27ED1">
        <w:t xml:space="preserve"> customer needs</w:t>
      </w:r>
      <w:r w:rsidR="00450DE1">
        <w:t xml:space="preserve">, fostering adaptability </w:t>
      </w:r>
      <w:r w:rsidR="00F723C5" w:rsidRPr="00F27ED1">
        <w:t>in addressing financial hardship challenges</w:t>
      </w:r>
      <w:r w:rsidR="008067B7" w:rsidRPr="00F27ED1">
        <w:t>.</w:t>
      </w:r>
    </w:p>
    <w:p w14:paraId="28CA6B93" w14:textId="2FE5E8C6" w:rsidR="005B654D" w:rsidRDefault="000E0BA9" w:rsidP="007514EA">
      <w:pPr>
        <w:pStyle w:val="Paragraph"/>
      </w:pPr>
      <w:r w:rsidRPr="00F27ED1">
        <w:t xml:space="preserve">However, </w:t>
      </w:r>
      <w:r w:rsidR="00DD4411">
        <w:t>the</w:t>
      </w:r>
      <w:r w:rsidR="00C5182B" w:rsidRPr="00F27ED1">
        <w:t xml:space="preserve"> </w:t>
      </w:r>
      <w:r w:rsidR="00EF797D">
        <w:t xml:space="preserve">absence </w:t>
      </w:r>
      <w:r w:rsidR="003F6674" w:rsidRPr="00F27ED1">
        <w:t xml:space="preserve">of </w:t>
      </w:r>
      <w:r w:rsidR="008C7DF3">
        <w:t xml:space="preserve">more </w:t>
      </w:r>
      <w:r w:rsidR="00C5182B" w:rsidRPr="00F27ED1">
        <w:t xml:space="preserve">specific guidelines </w:t>
      </w:r>
      <w:r w:rsidR="00DD4411">
        <w:t xml:space="preserve">may </w:t>
      </w:r>
      <w:r w:rsidR="00EF797D">
        <w:t>introduce</w:t>
      </w:r>
      <w:r w:rsidR="00C5182B" w:rsidRPr="00F27ED1">
        <w:t xml:space="preserve"> ambiguity, </w:t>
      </w:r>
      <w:r w:rsidR="00EF797D">
        <w:t>posing</w:t>
      </w:r>
      <w:r w:rsidR="00C5182B" w:rsidRPr="00F27ED1">
        <w:t xml:space="preserve"> challeng</w:t>
      </w:r>
      <w:r w:rsidR="00EF797D">
        <w:t>es</w:t>
      </w:r>
      <w:r w:rsidR="00C5182B" w:rsidRPr="00F27ED1">
        <w:t xml:space="preserve"> </w:t>
      </w:r>
      <w:r w:rsidR="00EF797D">
        <w:t xml:space="preserve">for </w:t>
      </w:r>
      <w:r w:rsidR="00C5182B" w:rsidRPr="00F27ED1">
        <w:t>consistent enforce</w:t>
      </w:r>
      <w:r w:rsidR="0088420E">
        <w:t>ment</w:t>
      </w:r>
      <w:r w:rsidR="00C5182B" w:rsidRPr="00F27ED1">
        <w:t xml:space="preserve"> </w:t>
      </w:r>
      <w:r w:rsidR="00D40505">
        <w:t xml:space="preserve">across the </w:t>
      </w:r>
      <w:r w:rsidR="00C5182B" w:rsidRPr="00F27ED1">
        <w:t>industry</w:t>
      </w:r>
      <w:r w:rsidR="00D40505">
        <w:t xml:space="preserve"> </w:t>
      </w:r>
      <w:r w:rsidR="00D54D8B" w:rsidRPr="00F27ED1">
        <w:t xml:space="preserve">and </w:t>
      </w:r>
      <w:r w:rsidR="00CD64C2">
        <w:t>potentially resulting in</w:t>
      </w:r>
      <w:r w:rsidR="00D54D8B" w:rsidRPr="00F27ED1">
        <w:t xml:space="preserve"> varying levels of consumer protection</w:t>
      </w:r>
      <w:r w:rsidR="003F6674" w:rsidRPr="00F27ED1">
        <w:t>.</w:t>
      </w:r>
      <w:r w:rsidR="00E93F7E">
        <w:t xml:space="preserve"> </w:t>
      </w:r>
      <w:r w:rsidR="00FB2353">
        <w:t>T</w:t>
      </w:r>
      <w:r w:rsidR="0029004E">
        <w:t xml:space="preserve">here is a significant risk that </w:t>
      </w:r>
      <w:r w:rsidR="00412EF2">
        <w:t>without clearly enforceable rules</w:t>
      </w:r>
      <w:r w:rsidR="002510E2">
        <w:t xml:space="preserve"> in key areas of concern that have informed the </w:t>
      </w:r>
      <w:r w:rsidR="007F69FE">
        <w:t>D</w:t>
      </w:r>
      <w:r w:rsidR="002510E2">
        <w:t>irection</w:t>
      </w:r>
      <w:r w:rsidR="00412EF2">
        <w:t xml:space="preserve">, this </w:t>
      </w:r>
      <w:r w:rsidR="0029004E">
        <w:t xml:space="preserve">approach </w:t>
      </w:r>
      <w:r w:rsidR="003D1FAE">
        <w:t xml:space="preserve">may </w:t>
      </w:r>
      <w:r w:rsidR="0029004E">
        <w:t>not adequately address the identified gaps in current protections</w:t>
      </w:r>
      <w:r w:rsidR="0089152D">
        <w:t xml:space="preserve"> and therefore fail to meet the objectives of the Direction.</w:t>
      </w:r>
    </w:p>
    <w:p w14:paraId="5E706F9D" w14:textId="5D717FCE" w:rsidR="00573DDE" w:rsidRPr="00D15A4E" w:rsidRDefault="00FF6D42" w:rsidP="00317FE4">
      <w:pPr>
        <w:pStyle w:val="Heading2"/>
      </w:pPr>
      <w:bookmarkStart w:id="44" w:name="_Toc155685987"/>
      <w:r w:rsidRPr="00D15A4E">
        <w:t xml:space="preserve">Option 2B </w:t>
      </w:r>
      <w:r w:rsidR="00D63056" w:rsidRPr="00D15A4E">
        <w:t>–</w:t>
      </w:r>
      <w:r w:rsidRPr="00D15A4E">
        <w:t xml:space="preserve"> </w:t>
      </w:r>
      <w:r w:rsidR="00545449">
        <w:t>Outcomes-based</w:t>
      </w:r>
      <w:r w:rsidR="002510E2">
        <w:t xml:space="preserve"> </w:t>
      </w:r>
      <w:r w:rsidR="00BF544B">
        <w:t>(</w:t>
      </w:r>
      <w:r w:rsidR="002510E2">
        <w:t>enforceable</w:t>
      </w:r>
      <w:r w:rsidR="00BF544B">
        <w:t>)</w:t>
      </w:r>
      <w:bookmarkEnd w:id="44"/>
    </w:p>
    <w:p w14:paraId="6C5B7990" w14:textId="53F5D5F8" w:rsidR="000A3770" w:rsidRDefault="000A3770" w:rsidP="00573DDE">
      <w:pPr>
        <w:pStyle w:val="Paragraph"/>
        <w:rPr>
          <w:szCs w:val="20"/>
        </w:rPr>
      </w:pPr>
      <w:r>
        <w:rPr>
          <w:szCs w:val="20"/>
        </w:rPr>
        <w:t xml:space="preserve">Option 2B </w:t>
      </w:r>
      <w:r w:rsidR="008018B9">
        <w:rPr>
          <w:szCs w:val="20"/>
        </w:rPr>
        <w:t>maintains</w:t>
      </w:r>
      <w:r w:rsidR="000F0640">
        <w:rPr>
          <w:szCs w:val="20"/>
        </w:rPr>
        <w:t xml:space="preserve"> an outcomes-based focus</w:t>
      </w:r>
      <w:r w:rsidR="00067F1C">
        <w:rPr>
          <w:szCs w:val="20"/>
        </w:rPr>
        <w:t xml:space="preserve"> but</w:t>
      </w:r>
      <w:r w:rsidR="00C83457">
        <w:rPr>
          <w:szCs w:val="20"/>
        </w:rPr>
        <w:t xml:space="preserve"> </w:t>
      </w:r>
      <w:r>
        <w:rPr>
          <w:szCs w:val="20"/>
        </w:rPr>
        <w:t xml:space="preserve">adopts a more </w:t>
      </w:r>
      <w:r w:rsidR="00B94A87">
        <w:rPr>
          <w:szCs w:val="20"/>
        </w:rPr>
        <w:t>detailed</w:t>
      </w:r>
      <w:r w:rsidR="00603498">
        <w:rPr>
          <w:szCs w:val="20"/>
        </w:rPr>
        <w:t xml:space="preserve"> </w:t>
      </w:r>
      <w:r w:rsidR="00F76CA7">
        <w:rPr>
          <w:szCs w:val="20"/>
        </w:rPr>
        <w:t xml:space="preserve">and enforceable </w:t>
      </w:r>
      <w:r>
        <w:rPr>
          <w:szCs w:val="20"/>
        </w:rPr>
        <w:t xml:space="preserve">approach aligning with explicit requirements </w:t>
      </w:r>
      <w:r w:rsidR="00C0486D">
        <w:rPr>
          <w:szCs w:val="20"/>
        </w:rPr>
        <w:t xml:space="preserve">of </w:t>
      </w:r>
      <w:r>
        <w:rPr>
          <w:szCs w:val="20"/>
        </w:rPr>
        <w:t>the Direction</w:t>
      </w:r>
      <w:r w:rsidR="00C83457">
        <w:rPr>
          <w:szCs w:val="20"/>
        </w:rPr>
        <w:t xml:space="preserve"> in keys areas where enhanced protection is required</w:t>
      </w:r>
      <w:r w:rsidR="000F0640">
        <w:rPr>
          <w:szCs w:val="20"/>
        </w:rPr>
        <w:t>.</w:t>
      </w:r>
      <w:r w:rsidR="008018B9">
        <w:rPr>
          <w:szCs w:val="20"/>
        </w:rPr>
        <w:t xml:space="preserve"> While still providing CSPs with </w:t>
      </w:r>
      <w:r w:rsidR="00C83457">
        <w:rPr>
          <w:szCs w:val="20"/>
        </w:rPr>
        <w:t xml:space="preserve">a large amount of </w:t>
      </w:r>
      <w:r w:rsidR="008018B9">
        <w:rPr>
          <w:szCs w:val="20"/>
        </w:rPr>
        <w:t xml:space="preserve">discretion, this option responds to the </w:t>
      </w:r>
      <w:r w:rsidR="00BF544B">
        <w:rPr>
          <w:szCs w:val="20"/>
        </w:rPr>
        <w:t>d</w:t>
      </w:r>
      <w:r w:rsidR="008018B9">
        <w:rPr>
          <w:szCs w:val="20"/>
        </w:rPr>
        <w:t xml:space="preserve">irection </w:t>
      </w:r>
      <w:r w:rsidR="00C83457">
        <w:rPr>
          <w:szCs w:val="20"/>
        </w:rPr>
        <w:t>with</w:t>
      </w:r>
      <w:r>
        <w:rPr>
          <w:szCs w:val="20"/>
        </w:rPr>
        <w:t xml:space="preserve"> structured and detailed regulatory </w:t>
      </w:r>
      <w:r w:rsidR="00C83457">
        <w:rPr>
          <w:szCs w:val="20"/>
        </w:rPr>
        <w:t>obligation</w:t>
      </w:r>
      <w:r w:rsidR="00603498">
        <w:rPr>
          <w:szCs w:val="20"/>
        </w:rPr>
        <w:t xml:space="preserve"> where a specific outcome is required due </w:t>
      </w:r>
      <w:r w:rsidR="00FE6B8B">
        <w:rPr>
          <w:szCs w:val="20"/>
        </w:rPr>
        <w:t>to</w:t>
      </w:r>
      <w:r w:rsidR="00603498">
        <w:rPr>
          <w:szCs w:val="20"/>
        </w:rPr>
        <w:t xml:space="preserve"> evidence of current failures</w:t>
      </w:r>
      <w:r w:rsidR="008018B9">
        <w:rPr>
          <w:szCs w:val="20"/>
        </w:rPr>
        <w:t>.</w:t>
      </w:r>
    </w:p>
    <w:p w14:paraId="54B42E28" w14:textId="1F169AD0" w:rsidR="00FE6B8B" w:rsidRPr="00FE6B8B" w:rsidRDefault="00FE6B8B" w:rsidP="00573DDE">
      <w:pPr>
        <w:pStyle w:val="Paragraph"/>
        <w:rPr>
          <w:szCs w:val="20"/>
        </w:rPr>
      </w:pPr>
      <w:r>
        <w:rPr>
          <w:szCs w:val="20"/>
        </w:rPr>
        <w:t xml:space="preserve">This </w:t>
      </w:r>
      <w:r w:rsidR="00BF544B">
        <w:rPr>
          <w:szCs w:val="20"/>
        </w:rPr>
        <w:t xml:space="preserve">approach </w:t>
      </w:r>
      <w:r>
        <w:rPr>
          <w:szCs w:val="20"/>
        </w:rPr>
        <w:t xml:space="preserve">empowers the ACMA to set clear obligations, establishing a standardised foundation for industry participants. The </w:t>
      </w:r>
      <w:r w:rsidRPr="00FE6B8B">
        <w:rPr>
          <w:szCs w:val="20"/>
        </w:rPr>
        <w:t xml:space="preserve">approach </w:t>
      </w:r>
      <w:r w:rsidRPr="00FE6B8B">
        <w:rPr>
          <w:color w:val="000000"/>
          <w:szCs w:val="20"/>
        </w:rPr>
        <w:t xml:space="preserve">ensures </w:t>
      </w:r>
      <w:r w:rsidR="008018B9">
        <w:rPr>
          <w:color w:val="000000"/>
          <w:szCs w:val="20"/>
        </w:rPr>
        <w:t>explicit</w:t>
      </w:r>
      <w:r w:rsidR="00A8003C">
        <w:rPr>
          <w:color w:val="000000"/>
          <w:szCs w:val="20"/>
        </w:rPr>
        <w:t xml:space="preserve"> </w:t>
      </w:r>
      <w:r w:rsidRPr="00FE6B8B">
        <w:rPr>
          <w:color w:val="000000"/>
          <w:szCs w:val="20"/>
        </w:rPr>
        <w:t xml:space="preserve">rules </w:t>
      </w:r>
      <w:r w:rsidR="008018B9">
        <w:rPr>
          <w:color w:val="000000"/>
          <w:szCs w:val="20"/>
        </w:rPr>
        <w:t xml:space="preserve">where necessary, reducing </w:t>
      </w:r>
      <w:r w:rsidRPr="00FE6B8B">
        <w:rPr>
          <w:color w:val="000000"/>
          <w:szCs w:val="20"/>
        </w:rPr>
        <w:t>ambiguity and allowing for a consistent understanding of compliance requirements</w:t>
      </w:r>
      <w:r w:rsidR="00BF544B">
        <w:rPr>
          <w:color w:val="000000"/>
          <w:szCs w:val="20"/>
        </w:rPr>
        <w:t>, and enforceability</w:t>
      </w:r>
      <w:r w:rsidRPr="00FE6B8B">
        <w:rPr>
          <w:color w:val="000000"/>
          <w:szCs w:val="20"/>
        </w:rPr>
        <w:t xml:space="preserve">. This </w:t>
      </w:r>
      <w:r w:rsidR="00BF544B">
        <w:rPr>
          <w:color w:val="000000"/>
          <w:szCs w:val="20"/>
        </w:rPr>
        <w:t>approach</w:t>
      </w:r>
      <w:r w:rsidRPr="00FE6B8B">
        <w:rPr>
          <w:color w:val="000000"/>
          <w:szCs w:val="20"/>
        </w:rPr>
        <w:t xml:space="preserve"> provides clarity for industry stakeholders and consumers, setting expectations for robust and standardised consumer protections</w:t>
      </w:r>
      <w:r w:rsidR="00B94A87">
        <w:rPr>
          <w:color w:val="000000"/>
          <w:szCs w:val="20"/>
        </w:rPr>
        <w:t xml:space="preserve">, while still retaining </w:t>
      </w:r>
      <w:r w:rsidR="00BF544B">
        <w:rPr>
          <w:color w:val="000000"/>
          <w:szCs w:val="20"/>
        </w:rPr>
        <w:t>an outcomes</w:t>
      </w:r>
      <w:r w:rsidR="00B94A87">
        <w:rPr>
          <w:color w:val="000000"/>
          <w:szCs w:val="20"/>
        </w:rPr>
        <w:t xml:space="preserve"> focus</w:t>
      </w:r>
      <w:r w:rsidRPr="00FE6B8B">
        <w:rPr>
          <w:color w:val="000000"/>
          <w:szCs w:val="20"/>
        </w:rPr>
        <w:t>.</w:t>
      </w:r>
    </w:p>
    <w:p w14:paraId="3A9FBDF2" w14:textId="606C6F1E" w:rsidR="0037222D" w:rsidRDefault="007F3A2A" w:rsidP="00573DDE">
      <w:pPr>
        <w:pStyle w:val="Paragraph"/>
        <w:rPr>
          <w:szCs w:val="20"/>
        </w:rPr>
      </w:pPr>
      <w:r>
        <w:rPr>
          <w:szCs w:val="20"/>
        </w:rPr>
        <w:t xml:space="preserve">Mitigating challenges </w:t>
      </w:r>
      <w:r w:rsidR="00F57AA9">
        <w:rPr>
          <w:szCs w:val="20"/>
        </w:rPr>
        <w:t xml:space="preserve">in enforcing compliance </w:t>
      </w:r>
      <w:r w:rsidR="00753841" w:rsidRPr="004077C2">
        <w:rPr>
          <w:szCs w:val="20"/>
        </w:rPr>
        <w:t xml:space="preserve">with </w:t>
      </w:r>
      <w:r w:rsidR="008018B9">
        <w:rPr>
          <w:szCs w:val="20"/>
        </w:rPr>
        <w:t xml:space="preserve">the </w:t>
      </w:r>
      <w:r w:rsidR="00845938">
        <w:rPr>
          <w:szCs w:val="20"/>
        </w:rPr>
        <w:t>TCP Code</w:t>
      </w:r>
      <w:r w:rsidR="00F57AA9">
        <w:rPr>
          <w:szCs w:val="20"/>
        </w:rPr>
        <w:t xml:space="preserve">, </w:t>
      </w:r>
      <w:r w:rsidR="0038025F" w:rsidRPr="004077C2">
        <w:rPr>
          <w:szCs w:val="20"/>
        </w:rPr>
        <w:t>well</w:t>
      </w:r>
      <w:r w:rsidR="005775B2">
        <w:rPr>
          <w:szCs w:val="20"/>
        </w:rPr>
        <w:t>-</w:t>
      </w:r>
      <w:r w:rsidR="0038025F" w:rsidRPr="004077C2">
        <w:rPr>
          <w:szCs w:val="20"/>
        </w:rPr>
        <w:t xml:space="preserve">drafted </w:t>
      </w:r>
      <w:r w:rsidR="00C06C24" w:rsidRPr="004077C2">
        <w:rPr>
          <w:szCs w:val="20"/>
        </w:rPr>
        <w:t xml:space="preserve">clear and specific </w:t>
      </w:r>
      <w:r w:rsidR="00BF544B">
        <w:rPr>
          <w:szCs w:val="20"/>
        </w:rPr>
        <w:t xml:space="preserve">key </w:t>
      </w:r>
      <w:r w:rsidR="00C06C24" w:rsidRPr="004077C2">
        <w:rPr>
          <w:szCs w:val="20"/>
        </w:rPr>
        <w:t>rules</w:t>
      </w:r>
      <w:r w:rsidR="00C76FCD">
        <w:rPr>
          <w:szCs w:val="20"/>
        </w:rPr>
        <w:t xml:space="preserve"> </w:t>
      </w:r>
      <w:r w:rsidR="008018B9">
        <w:rPr>
          <w:szCs w:val="20"/>
        </w:rPr>
        <w:t xml:space="preserve">offer </w:t>
      </w:r>
      <w:r w:rsidR="000E539C">
        <w:rPr>
          <w:szCs w:val="20"/>
        </w:rPr>
        <w:t xml:space="preserve">a clearer understanding of obligations for industry and </w:t>
      </w:r>
      <w:r w:rsidR="00964103">
        <w:rPr>
          <w:szCs w:val="20"/>
        </w:rPr>
        <w:t>the regulator</w:t>
      </w:r>
      <w:r w:rsidR="00C76FCD">
        <w:rPr>
          <w:szCs w:val="20"/>
        </w:rPr>
        <w:t xml:space="preserve">. They </w:t>
      </w:r>
      <w:r w:rsidR="008018B9">
        <w:rPr>
          <w:szCs w:val="20"/>
        </w:rPr>
        <w:t>provide</w:t>
      </w:r>
      <w:r w:rsidR="008018B9" w:rsidRPr="004077C2">
        <w:rPr>
          <w:szCs w:val="20"/>
        </w:rPr>
        <w:t xml:space="preserve"> </w:t>
      </w:r>
      <w:r w:rsidR="00FB36DA" w:rsidRPr="004077C2">
        <w:rPr>
          <w:szCs w:val="20"/>
        </w:rPr>
        <w:t xml:space="preserve">specific criteria </w:t>
      </w:r>
      <w:r w:rsidR="005775B2">
        <w:rPr>
          <w:szCs w:val="20"/>
        </w:rPr>
        <w:t xml:space="preserve">for </w:t>
      </w:r>
      <w:r w:rsidR="00FB36DA" w:rsidRPr="004077C2">
        <w:rPr>
          <w:szCs w:val="20"/>
        </w:rPr>
        <w:t>measur</w:t>
      </w:r>
      <w:r w:rsidR="005775B2">
        <w:rPr>
          <w:szCs w:val="20"/>
        </w:rPr>
        <w:t>ing</w:t>
      </w:r>
      <w:r w:rsidR="00FB36DA" w:rsidRPr="004077C2">
        <w:rPr>
          <w:szCs w:val="20"/>
        </w:rPr>
        <w:t xml:space="preserve"> compliance</w:t>
      </w:r>
      <w:r w:rsidR="00FF6DBE">
        <w:rPr>
          <w:szCs w:val="20"/>
        </w:rPr>
        <w:t xml:space="preserve"> and enhanc</w:t>
      </w:r>
      <w:r w:rsidR="00C76FCD">
        <w:rPr>
          <w:szCs w:val="20"/>
        </w:rPr>
        <w:t>e</w:t>
      </w:r>
      <w:r w:rsidR="00FF6DBE">
        <w:rPr>
          <w:szCs w:val="20"/>
        </w:rPr>
        <w:t xml:space="preserve"> </w:t>
      </w:r>
      <w:r w:rsidR="00FB36DA" w:rsidRPr="004077C2">
        <w:rPr>
          <w:szCs w:val="20"/>
        </w:rPr>
        <w:t>oversigh</w:t>
      </w:r>
      <w:r w:rsidR="00C76FCD">
        <w:rPr>
          <w:szCs w:val="20"/>
        </w:rPr>
        <w:t xml:space="preserve">t, promoting </w:t>
      </w:r>
      <w:r w:rsidR="00143021" w:rsidRPr="004077C2">
        <w:rPr>
          <w:szCs w:val="20"/>
        </w:rPr>
        <w:t>consistency in industry practices</w:t>
      </w:r>
      <w:r w:rsidR="00C76FCD">
        <w:rPr>
          <w:szCs w:val="20"/>
        </w:rPr>
        <w:t xml:space="preserve">. This approach </w:t>
      </w:r>
      <w:r w:rsidR="00FF6DBE">
        <w:rPr>
          <w:szCs w:val="20"/>
        </w:rPr>
        <w:t>establish</w:t>
      </w:r>
      <w:r w:rsidR="00B46498">
        <w:rPr>
          <w:szCs w:val="20"/>
        </w:rPr>
        <w:t>es</w:t>
      </w:r>
      <w:r w:rsidR="00143021" w:rsidRPr="004077C2">
        <w:rPr>
          <w:szCs w:val="20"/>
        </w:rPr>
        <w:t xml:space="preserve"> a level playing field</w:t>
      </w:r>
      <w:r w:rsidR="00FB2353">
        <w:rPr>
          <w:szCs w:val="20"/>
        </w:rPr>
        <w:t xml:space="preserve">, </w:t>
      </w:r>
      <w:r w:rsidR="00ED3886" w:rsidRPr="004077C2">
        <w:rPr>
          <w:szCs w:val="20"/>
        </w:rPr>
        <w:t>minimis</w:t>
      </w:r>
      <w:r w:rsidR="006B085F" w:rsidRPr="004077C2">
        <w:rPr>
          <w:szCs w:val="20"/>
        </w:rPr>
        <w:t>i</w:t>
      </w:r>
      <w:r w:rsidR="00ED3886" w:rsidRPr="004077C2">
        <w:rPr>
          <w:szCs w:val="20"/>
        </w:rPr>
        <w:t xml:space="preserve">ng the risk </w:t>
      </w:r>
      <w:r w:rsidR="006B085F" w:rsidRPr="004077C2">
        <w:rPr>
          <w:szCs w:val="20"/>
        </w:rPr>
        <w:t>of inadequate support for customers facing financial hardship.</w:t>
      </w:r>
      <w:r w:rsidR="00BF544B">
        <w:t xml:space="preserve"> </w:t>
      </w:r>
      <w:r w:rsidR="0090051C">
        <w:t>This facilitates effective and timely consumer protection</w:t>
      </w:r>
      <w:r w:rsidR="00C31FE8">
        <w:t>s</w:t>
      </w:r>
      <w:r w:rsidR="0037222D">
        <w:t xml:space="preserve">, </w:t>
      </w:r>
      <w:r w:rsidR="006072C4">
        <w:t>meet</w:t>
      </w:r>
      <w:r w:rsidR="0037222D">
        <w:t>ing</w:t>
      </w:r>
      <w:r w:rsidR="006072C4">
        <w:t xml:space="preserve"> the </w:t>
      </w:r>
      <w:r w:rsidR="00E422B1">
        <w:t xml:space="preserve">primary </w:t>
      </w:r>
      <w:r w:rsidR="006072C4">
        <w:t>objective</w:t>
      </w:r>
      <w:r w:rsidR="00E422B1">
        <w:t xml:space="preserve"> </w:t>
      </w:r>
      <w:r w:rsidR="00E422B1" w:rsidRPr="00825554">
        <w:rPr>
          <w:szCs w:val="20"/>
        </w:rPr>
        <w:t xml:space="preserve">of supporting customers </w:t>
      </w:r>
      <w:r w:rsidR="00837145" w:rsidRPr="00825554">
        <w:rPr>
          <w:szCs w:val="20"/>
        </w:rPr>
        <w:t>in</w:t>
      </w:r>
      <w:r w:rsidR="00E422B1" w:rsidRPr="00825554">
        <w:rPr>
          <w:szCs w:val="20"/>
        </w:rPr>
        <w:t xml:space="preserve"> financial </w:t>
      </w:r>
      <w:r w:rsidR="00837145" w:rsidRPr="00825554">
        <w:rPr>
          <w:szCs w:val="20"/>
        </w:rPr>
        <w:t>difficulty</w:t>
      </w:r>
      <w:r w:rsidR="0090051C">
        <w:rPr>
          <w:szCs w:val="20"/>
        </w:rPr>
        <w:t xml:space="preserve"> as </w:t>
      </w:r>
      <w:r w:rsidR="00236B84">
        <w:rPr>
          <w:szCs w:val="20"/>
        </w:rPr>
        <w:t xml:space="preserve">required </w:t>
      </w:r>
      <w:r w:rsidR="0090051C">
        <w:rPr>
          <w:szCs w:val="20"/>
        </w:rPr>
        <w:t xml:space="preserve">by the </w:t>
      </w:r>
      <w:r w:rsidR="00236B84">
        <w:rPr>
          <w:szCs w:val="20"/>
        </w:rPr>
        <w:t>d</w:t>
      </w:r>
      <w:r w:rsidR="0090051C">
        <w:rPr>
          <w:szCs w:val="20"/>
        </w:rPr>
        <w:t>irection</w:t>
      </w:r>
      <w:r w:rsidR="007F3689">
        <w:rPr>
          <w:szCs w:val="20"/>
        </w:rPr>
        <w:t>.</w:t>
      </w:r>
    </w:p>
    <w:p w14:paraId="06FDFEC1" w14:textId="77326E76" w:rsidR="00C9240C" w:rsidRDefault="001B3B8E" w:rsidP="009E3CF9">
      <w:pPr>
        <w:pStyle w:val="Paragraph"/>
      </w:pPr>
      <w:r>
        <w:t>C</w:t>
      </w:r>
      <w:r w:rsidR="006072C4">
        <w:t xml:space="preserve">onsultation </w:t>
      </w:r>
      <w:r w:rsidR="00E4375E">
        <w:t xml:space="preserve">on </w:t>
      </w:r>
      <w:r>
        <w:t xml:space="preserve">the </w:t>
      </w:r>
      <w:r w:rsidR="00E4375E">
        <w:t xml:space="preserve">draft </w:t>
      </w:r>
      <w:r>
        <w:t xml:space="preserve">Standard </w:t>
      </w:r>
      <w:r w:rsidR="00A4584D">
        <w:t xml:space="preserve">will </w:t>
      </w:r>
      <w:r w:rsidR="00D16F5E">
        <w:t>address potential implementation issues</w:t>
      </w:r>
      <w:r w:rsidR="00795ABC">
        <w:t>, ensuring</w:t>
      </w:r>
      <w:r w:rsidR="00D16F5E">
        <w:t xml:space="preserve"> </w:t>
      </w:r>
      <w:r w:rsidR="00F32B2D">
        <w:t>rules</w:t>
      </w:r>
      <w:r w:rsidR="00D16F5E">
        <w:t xml:space="preserve"> do not </w:t>
      </w:r>
      <w:r w:rsidR="00033929">
        <w:t>inadvertently</w:t>
      </w:r>
      <w:r w:rsidR="00465D56">
        <w:t xml:space="preserve"> hinder innovation or adaptability</w:t>
      </w:r>
      <w:r w:rsidR="00795ABC">
        <w:t xml:space="preserve"> for telcos</w:t>
      </w:r>
      <w:r w:rsidR="001D1918">
        <w:t>.</w:t>
      </w:r>
      <w:bookmarkEnd w:id="0"/>
      <w:bookmarkEnd w:id="7"/>
      <w:bookmarkEnd w:id="8"/>
      <w:bookmarkEnd w:id="9"/>
      <w:bookmarkEnd w:id="41"/>
    </w:p>
    <w:p w14:paraId="5EC8A811" w14:textId="3919A50B" w:rsidR="008C413C" w:rsidRPr="00CF3D1E" w:rsidRDefault="008C413C" w:rsidP="009E3CF9">
      <w:pPr>
        <w:pStyle w:val="Heading1"/>
      </w:pPr>
      <w:bookmarkStart w:id="45" w:name="_Toc155685988"/>
      <w:bookmarkEnd w:id="42"/>
      <w:r>
        <w:lastRenderedPageBreak/>
        <w:t xml:space="preserve">What </w:t>
      </w:r>
      <w:r w:rsidR="00D12BA0">
        <w:t>is the likely net benefit of each option</w:t>
      </w:r>
      <w:r>
        <w:t>?</w:t>
      </w:r>
      <w:bookmarkEnd w:id="45"/>
    </w:p>
    <w:p w14:paraId="4F22EB50" w14:textId="77777777" w:rsidR="001A6FD3" w:rsidRDefault="001A6FD3" w:rsidP="001A6FD3">
      <w:pPr>
        <w:pStyle w:val="Heading2"/>
      </w:pPr>
      <w:bookmarkStart w:id="46" w:name="_Toc153270568"/>
      <w:bookmarkStart w:id="47" w:name="_Toc155685989"/>
      <w:r>
        <w:t>Overview of options</w:t>
      </w:r>
      <w:bookmarkEnd w:id="46"/>
      <w:bookmarkEnd w:id="47"/>
    </w:p>
    <w:p w14:paraId="64FF03C5" w14:textId="3953845B" w:rsidR="001A6FD3" w:rsidRPr="007514EA" w:rsidRDefault="001A6FD3" w:rsidP="007514EA">
      <w:pPr>
        <w:pStyle w:val="Paragraphbeforelist"/>
      </w:pPr>
      <w:r>
        <w:t xml:space="preserve">The reform options that are set out in the previous section are </w:t>
      </w:r>
      <w:r w:rsidRPr="00951AAD">
        <w:t xml:space="preserve">summarised </w:t>
      </w:r>
      <w:r>
        <w:t>below with the key differences in the regulatory framework highlighted</w:t>
      </w:r>
      <w:r w:rsidRPr="009E41EB">
        <w:t>. The</w:t>
      </w:r>
      <w:r>
        <w:t xml:space="preserve"> impact of these differences have been examined to gauge the relative benefits and costs of each option.</w:t>
      </w:r>
    </w:p>
    <w:p w14:paraId="76910A1C" w14:textId="191E74AC" w:rsidR="00EF46F1" w:rsidRDefault="00EF46F1" w:rsidP="00653C4C">
      <w:pPr>
        <w:pStyle w:val="Bulletlevel1"/>
      </w:pPr>
      <w:r>
        <w:t>S</w:t>
      </w:r>
      <w:r w:rsidRPr="003D3A73">
        <w:t>tatus quo</w:t>
      </w:r>
      <w:r>
        <w:t xml:space="preserve"> (Option 1) </w:t>
      </w:r>
      <w:r w:rsidR="00236B84">
        <w:t>–</w:t>
      </w:r>
      <w:r>
        <w:t xml:space="preserve"> </w:t>
      </w:r>
      <w:r w:rsidRPr="003D3A73">
        <w:t>the TCP Code continues with</w:t>
      </w:r>
      <w:r>
        <w:t>out</w:t>
      </w:r>
      <w:r w:rsidRPr="003D3A73">
        <w:t xml:space="preserve"> introduction of a new industry standard. The TCP Code could evolve in the future</w:t>
      </w:r>
      <w:r w:rsidR="005B5303">
        <w:t>,</w:t>
      </w:r>
      <w:r w:rsidRPr="003D3A73">
        <w:t xml:space="preserve"> but changes </w:t>
      </w:r>
      <w:r>
        <w:t>would</w:t>
      </w:r>
      <w:r w:rsidRPr="003D3A73">
        <w:t xml:space="preserve"> not </w:t>
      </w:r>
      <w:r>
        <w:t xml:space="preserve">be </w:t>
      </w:r>
      <w:r w:rsidRPr="003D3A73">
        <w:t>expected to alleviate the current issues that apply to financial hardship.</w:t>
      </w:r>
      <w:r>
        <w:t xml:space="preserve"> The status quo imposes costs on consumers, CSPs, the TIO</w:t>
      </w:r>
      <w:r>
        <w:rPr>
          <w:rStyle w:val="FootnoteReference"/>
          <w:szCs w:val="20"/>
        </w:rPr>
        <w:footnoteReference w:id="44"/>
      </w:r>
      <w:r>
        <w:t xml:space="preserve"> and the ACMA.</w:t>
      </w:r>
    </w:p>
    <w:p w14:paraId="120585B7" w14:textId="5414B9AD" w:rsidR="001A6FD3" w:rsidRDefault="001A6FD3" w:rsidP="00653C4C">
      <w:pPr>
        <w:pStyle w:val="Bulletlevel1last"/>
      </w:pPr>
      <w:r>
        <w:t>Direct Regulation Models (Options 2A and 2B) – both involve replacing the TCP Code with a standard. Option 2A employs outcomes-based regulation</w:t>
      </w:r>
      <w:r w:rsidR="00B94A87">
        <w:t xml:space="preserve"> with discretionary application</w:t>
      </w:r>
      <w:r>
        <w:t xml:space="preserve"> while Option 2B </w:t>
      </w:r>
      <w:r w:rsidR="00B94A87">
        <w:t xml:space="preserve">also </w:t>
      </w:r>
      <w:r>
        <w:t xml:space="preserve">adopts </w:t>
      </w:r>
      <w:r w:rsidR="00A5592F">
        <w:t xml:space="preserve">an </w:t>
      </w:r>
      <w:r w:rsidR="00B94A87">
        <w:t>outcomes-based</w:t>
      </w:r>
      <w:r w:rsidR="0078071F">
        <w:t xml:space="preserve"> approach</w:t>
      </w:r>
      <w:r>
        <w:t xml:space="preserve"> </w:t>
      </w:r>
      <w:r w:rsidR="00B94A87">
        <w:t xml:space="preserve">but </w:t>
      </w:r>
      <w:r w:rsidR="00A80D32">
        <w:t>with</w:t>
      </w:r>
      <w:r w:rsidR="00B94A87">
        <w:t xml:space="preserve"> clearly enforceable</w:t>
      </w:r>
      <w:r w:rsidR="00A80D32">
        <w:t xml:space="preserve"> rules</w:t>
      </w:r>
      <w:r w:rsidR="00236B84">
        <w:t xml:space="preserve"> in key areas</w:t>
      </w:r>
      <w:r w:rsidR="00B94A87">
        <w:t>.</w:t>
      </w:r>
    </w:p>
    <w:p w14:paraId="78E778BF" w14:textId="6F32AE5F" w:rsidR="001A6FD3" w:rsidRPr="0013186C" w:rsidRDefault="001A6FD3" w:rsidP="0013186C">
      <w:pPr>
        <w:rPr>
          <w:rFonts w:cs="Arial"/>
          <w:szCs w:val="20"/>
        </w:rPr>
      </w:pPr>
      <w:r w:rsidRPr="0013186C">
        <w:rPr>
          <w:rFonts w:cs="Arial"/>
          <w:szCs w:val="20"/>
        </w:rPr>
        <w:t xml:space="preserve">The focus of this section shifts towards the net benefits of Options 2A and 2B relative to the </w:t>
      </w:r>
      <w:r w:rsidR="007B5360">
        <w:rPr>
          <w:rFonts w:cs="Arial"/>
          <w:szCs w:val="20"/>
        </w:rPr>
        <w:t>s</w:t>
      </w:r>
      <w:r w:rsidRPr="0013186C">
        <w:rPr>
          <w:rFonts w:cs="Arial"/>
          <w:szCs w:val="20"/>
        </w:rPr>
        <w:t xml:space="preserve">tatus </w:t>
      </w:r>
      <w:r w:rsidR="007B5360">
        <w:rPr>
          <w:rFonts w:cs="Arial"/>
          <w:szCs w:val="20"/>
        </w:rPr>
        <w:t>q</w:t>
      </w:r>
      <w:r w:rsidRPr="0013186C">
        <w:rPr>
          <w:rFonts w:cs="Arial"/>
          <w:szCs w:val="20"/>
        </w:rPr>
        <w:t>uo (Option 1). While some costs of Option 1 are estimated here, the primary emphasis is on the net benefits of Options 2A and 2B.</w:t>
      </w:r>
    </w:p>
    <w:p w14:paraId="28A96822" w14:textId="5F53E29C" w:rsidR="001A6FD3" w:rsidRDefault="001A6FD3" w:rsidP="001A6FD3">
      <w:pPr>
        <w:rPr>
          <w:rFonts w:cs="Arial"/>
          <w:szCs w:val="20"/>
        </w:rPr>
      </w:pPr>
      <w:r>
        <w:rPr>
          <w:rFonts w:cs="Arial"/>
          <w:szCs w:val="20"/>
        </w:rPr>
        <w:t>By assessing the readily quantifiable costs and benefits of reform Options 2A and 2B over a ten-year period, Option 2</w:t>
      </w:r>
      <w:r w:rsidR="005E21B8">
        <w:rPr>
          <w:rFonts w:cs="Arial"/>
          <w:szCs w:val="20"/>
        </w:rPr>
        <w:t>B</w:t>
      </w:r>
      <w:r>
        <w:rPr>
          <w:rFonts w:cs="Arial"/>
          <w:szCs w:val="20"/>
        </w:rPr>
        <w:t xml:space="preserve"> is expected to be net beneficial whereas Option 2</w:t>
      </w:r>
      <w:r w:rsidR="005E21B8">
        <w:rPr>
          <w:rFonts w:cs="Arial"/>
          <w:szCs w:val="20"/>
        </w:rPr>
        <w:t>A</w:t>
      </w:r>
      <w:r>
        <w:rPr>
          <w:rFonts w:cs="Arial"/>
          <w:szCs w:val="20"/>
        </w:rPr>
        <w:t xml:space="preserve"> is not. Option 2B is preferable, as it delivers a net benefit even before the full range of benefits to consumers are considered. Table 1 summarises the expected costs for these options relative to the status quo. </w:t>
      </w:r>
    </w:p>
    <w:p w14:paraId="060CA909" w14:textId="5D14B8FF" w:rsidR="001A6FD3" w:rsidRDefault="001A6FD3" w:rsidP="001A6FD3">
      <w:pPr>
        <w:rPr>
          <w:rFonts w:cs="Arial"/>
          <w:szCs w:val="20"/>
        </w:rPr>
      </w:pPr>
      <w:r>
        <w:rPr>
          <w:rFonts w:cs="Arial"/>
          <w:szCs w:val="20"/>
        </w:rPr>
        <w:t>The</w:t>
      </w:r>
      <w:r w:rsidRPr="00081F97">
        <w:t xml:space="preserve"> </w:t>
      </w:r>
      <w:r w:rsidRPr="00081F97">
        <w:rPr>
          <w:rFonts w:cs="Arial"/>
          <w:szCs w:val="20"/>
        </w:rPr>
        <w:t>main driver</w:t>
      </w:r>
      <w:r>
        <w:rPr>
          <w:rFonts w:cs="Arial"/>
          <w:szCs w:val="20"/>
        </w:rPr>
        <w:t>s</w:t>
      </w:r>
      <w:r w:rsidRPr="00081F97">
        <w:rPr>
          <w:rFonts w:cs="Arial"/>
          <w:szCs w:val="20"/>
        </w:rPr>
        <w:t xml:space="preserve"> of the benefit</w:t>
      </w:r>
      <w:r>
        <w:rPr>
          <w:rFonts w:cs="Arial"/>
          <w:szCs w:val="20"/>
        </w:rPr>
        <w:t>s fo</w:t>
      </w:r>
      <w:r w:rsidRPr="00A05A0C">
        <w:rPr>
          <w:rFonts w:cs="Arial"/>
          <w:szCs w:val="20"/>
        </w:rPr>
        <w:t xml:space="preserve">r </w:t>
      </w:r>
      <w:r w:rsidR="00A05A0C">
        <w:rPr>
          <w:rFonts w:cs="Arial"/>
          <w:szCs w:val="20"/>
        </w:rPr>
        <w:t>O</w:t>
      </w:r>
      <w:r w:rsidRPr="00A05A0C">
        <w:rPr>
          <w:rFonts w:cs="Arial"/>
          <w:szCs w:val="20"/>
        </w:rPr>
        <w:t>ption 2B is from</w:t>
      </w:r>
      <w:r w:rsidRPr="00081F97">
        <w:rPr>
          <w:rFonts w:cs="Arial"/>
          <w:szCs w:val="20"/>
        </w:rPr>
        <w:t xml:space="preserve"> avoided reconnection costs</w:t>
      </w:r>
      <w:r>
        <w:rPr>
          <w:rFonts w:cs="Arial"/>
          <w:szCs w:val="20"/>
        </w:rPr>
        <w:t xml:space="preserve">, and reduced enforcement costs relative to the status quo. </w:t>
      </w:r>
    </w:p>
    <w:p w14:paraId="2EBD7917" w14:textId="77777777" w:rsidR="001A6FD3" w:rsidRDefault="001A6FD3" w:rsidP="00D2585A">
      <w:pPr>
        <w:pStyle w:val="Tableheading"/>
      </w:pPr>
      <w:r>
        <w:t>Summary of expected costs relative to the status quo</w:t>
      </w:r>
      <w:r>
        <w:rPr>
          <w:rStyle w:val="FootnoteReference"/>
        </w:rPr>
        <w:footnoteReference w:id="45"/>
      </w:r>
    </w:p>
    <w:tbl>
      <w:tblPr>
        <w:tblStyle w:val="ACMAtablestyle"/>
        <w:tblW w:w="7604" w:type="dxa"/>
        <w:tblLook w:val="04A0" w:firstRow="1" w:lastRow="0" w:firstColumn="1" w:lastColumn="0" w:noHBand="0" w:noVBand="1"/>
      </w:tblPr>
      <w:tblGrid>
        <w:gridCol w:w="4692"/>
        <w:gridCol w:w="1456"/>
        <w:gridCol w:w="1456"/>
      </w:tblGrid>
      <w:tr w:rsidR="001A6FD3" w:rsidRPr="00F96615" w14:paraId="0AB476CC" w14:textId="77777777" w:rsidTr="00A04654">
        <w:trPr>
          <w:cnfStyle w:val="100000000000" w:firstRow="1" w:lastRow="0" w:firstColumn="0" w:lastColumn="0" w:oddVBand="0" w:evenVBand="0" w:oddHBand="0" w:evenHBand="0" w:firstRowFirstColumn="0" w:firstRowLastColumn="0" w:lastRowFirstColumn="0" w:lastRowLastColumn="0"/>
          <w:trHeight w:val="300"/>
        </w:trPr>
        <w:tc>
          <w:tcPr>
            <w:tcW w:w="4692" w:type="dxa"/>
            <w:noWrap/>
          </w:tcPr>
          <w:p w14:paraId="35DB3163" w14:textId="77777777" w:rsidR="001A6FD3" w:rsidRPr="00CD108E" w:rsidRDefault="001A6FD3" w:rsidP="00A04654">
            <w:pPr>
              <w:spacing w:after="0" w:line="240" w:lineRule="auto"/>
              <w:rPr>
                <w:rFonts w:cs="Arial"/>
                <w:b/>
                <w:bCs/>
                <w:sz w:val="22"/>
                <w:szCs w:val="22"/>
              </w:rPr>
            </w:pPr>
          </w:p>
        </w:tc>
        <w:tc>
          <w:tcPr>
            <w:tcW w:w="1456" w:type="dxa"/>
            <w:noWrap/>
          </w:tcPr>
          <w:p w14:paraId="35026820" w14:textId="77777777" w:rsidR="001A6FD3" w:rsidRPr="00832BE0" w:rsidRDefault="001A6FD3" w:rsidP="00A04654">
            <w:pPr>
              <w:spacing w:after="0" w:line="240" w:lineRule="auto"/>
              <w:jc w:val="right"/>
              <w:rPr>
                <w:rFonts w:cs="Arial"/>
                <w:b/>
                <w:bCs/>
                <w:color w:val="000000"/>
                <w:sz w:val="22"/>
                <w:szCs w:val="22"/>
              </w:rPr>
            </w:pPr>
            <w:r w:rsidRPr="00832BE0">
              <w:rPr>
                <w:rFonts w:cs="Arial"/>
                <w:b/>
                <w:bCs/>
                <w:szCs w:val="20"/>
              </w:rPr>
              <w:t>Option 2A</w:t>
            </w:r>
          </w:p>
        </w:tc>
        <w:tc>
          <w:tcPr>
            <w:tcW w:w="1456" w:type="dxa"/>
          </w:tcPr>
          <w:p w14:paraId="38616034" w14:textId="77777777" w:rsidR="001A6FD3" w:rsidRPr="00832BE0" w:rsidRDefault="001A6FD3" w:rsidP="00A04654">
            <w:pPr>
              <w:spacing w:after="0" w:line="240" w:lineRule="auto"/>
              <w:jc w:val="right"/>
              <w:rPr>
                <w:rFonts w:cs="Arial"/>
                <w:b/>
                <w:bCs/>
                <w:color w:val="000000"/>
                <w:sz w:val="22"/>
                <w:szCs w:val="22"/>
              </w:rPr>
            </w:pPr>
            <w:r w:rsidRPr="00832BE0">
              <w:rPr>
                <w:rFonts w:cs="Arial"/>
                <w:b/>
                <w:bCs/>
                <w:szCs w:val="20"/>
              </w:rPr>
              <w:t>Option 2B</w:t>
            </w:r>
          </w:p>
        </w:tc>
      </w:tr>
      <w:tr w:rsidR="00417AAA" w:rsidRPr="00F96615" w14:paraId="2B1F6DBC" w14:textId="77777777" w:rsidTr="00A04654">
        <w:trPr>
          <w:cnfStyle w:val="000000100000" w:firstRow="0" w:lastRow="0" w:firstColumn="0" w:lastColumn="0" w:oddVBand="0" w:evenVBand="0" w:oddHBand="1" w:evenHBand="0" w:firstRowFirstColumn="0" w:firstRowLastColumn="0" w:lastRowFirstColumn="0" w:lastRowLastColumn="0"/>
          <w:trHeight w:val="300"/>
        </w:trPr>
        <w:tc>
          <w:tcPr>
            <w:tcW w:w="4692" w:type="dxa"/>
            <w:noWrap/>
            <w:hideMark/>
          </w:tcPr>
          <w:p w14:paraId="483E23A9" w14:textId="7527834C" w:rsidR="00417AAA" w:rsidRPr="00912247" w:rsidRDefault="00417AAA" w:rsidP="00417AAA">
            <w:pPr>
              <w:pStyle w:val="TableBody"/>
              <w:rPr>
                <w:szCs w:val="20"/>
              </w:rPr>
            </w:pPr>
            <w:r w:rsidRPr="00912247">
              <w:rPr>
                <w:szCs w:val="20"/>
              </w:rPr>
              <w:t xml:space="preserve">Total </w:t>
            </w:r>
            <w:r>
              <w:rPr>
                <w:szCs w:val="20"/>
              </w:rPr>
              <w:t>benefits</w:t>
            </w:r>
            <w:r w:rsidRPr="00912247">
              <w:rPr>
                <w:szCs w:val="20"/>
              </w:rPr>
              <w:t xml:space="preserve"> (NPV)</w:t>
            </w:r>
          </w:p>
        </w:tc>
        <w:tc>
          <w:tcPr>
            <w:tcW w:w="1456" w:type="dxa"/>
            <w:noWrap/>
            <w:hideMark/>
          </w:tcPr>
          <w:p w14:paraId="12EAE30A" w14:textId="729CDB97" w:rsidR="00417AAA" w:rsidRPr="00912247" w:rsidRDefault="00417AAA" w:rsidP="00417AAA">
            <w:pPr>
              <w:spacing w:after="0" w:line="240" w:lineRule="auto"/>
              <w:jc w:val="right"/>
              <w:rPr>
                <w:rFonts w:cs="Arial"/>
                <w:color w:val="000000"/>
                <w:szCs w:val="20"/>
              </w:rPr>
            </w:pPr>
            <w:r>
              <w:rPr>
                <w:rFonts w:cs="Arial"/>
                <w:color w:val="000000"/>
                <w:szCs w:val="20"/>
              </w:rPr>
              <w:t>-</w:t>
            </w:r>
            <w:r w:rsidRPr="00795368">
              <w:rPr>
                <w:rFonts w:cs="Arial"/>
                <w:color w:val="000000"/>
                <w:szCs w:val="20"/>
              </w:rPr>
              <w:t>$5,082,753</w:t>
            </w:r>
          </w:p>
        </w:tc>
        <w:tc>
          <w:tcPr>
            <w:tcW w:w="1456" w:type="dxa"/>
          </w:tcPr>
          <w:p w14:paraId="5814A589" w14:textId="6FC92C43" w:rsidR="00417AAA" w:rsidRPr="00912247" w:rsidRDefault="00417AAA" w:rsidP="00417AAA">
            <w:pPr>
              <w:spacing w:after="0" w:line="240" w:lineRule="auto"/>
              <w:jc w:val="right"/>
              <w:rPr>
                <w:rFonts w:cs="Arial"/>
                <w:b/>
                <w:bCs/>
                <w:color w:val="000000"/>
                <w:szCs w:val="20"/>
              </w:rPr>
            </w:pPr>
            <w:r w:rsidRPr="00F8068F">
              <w:rPr>
                <w:rFonts w:cs="Arial"/>
              </w:rPr>
              <w:t>$9,386,678</w:t>
            </w:r>
          </w:p>
        </w:tc>
      </w:tr>
      <w:tr w:rsidR="00417AAA" w:rsidRPr="00F96615" w14:paraId="1016EF95" w14:textId="77777777" w:rsidTr="00A04654">
        <w:trPr>
          <w:cnfStyle w:val="000000010000" w:firstRow="0" w:lastRow="0" w:firstColumn="0" w:lastColumn="0" w:oddVBand="0" w:evenVBand="0" w:oddHBand="0" w:evenHBand="1" w:firstRowFirstColumn="0" w:firstRowLastColumn="0" w:lastRowFirstColumn="0" w:lastRowLastColumn="0"/>
          <w:trHeight w:val="300"/>
        </w:trPr>
        <w:tc>
          <w:tcPr>
            <w:tcW w:w="4692" w:type="dxa"/>
            <w:noWrap/>
            <w:hideMark/>
          </w:tcPr>
          <w:p w14:paraId="6FC18D86" w14:textId="79721696" w:rsidR="00417AAA" w:rsidRPr="00912247" w:rsidRDefault="00417AAA" w:rsidP="00417AAA">
            <w:pPr>
              <w:spacing w:after="0" w:line="240" w:lineRule="auto"/>
              <w:rPr>
                <w:rFonts w:cs="Arial"/>
                <w:color w:val="000000"/>
                <w:szCs w:val="20"/>
              </w:rPr>
            </w:pPr>
            <w:r>
              <w:rPr>
                <w:rFonts w:cs="Arial"/>
                <w:color w:val="000000"/>
                <w:szCs w:val="20"/>
              </w:rPr>
              <w:t>Benefit cost ratio</w:t>
            </w:r>
          </w:p>
        </w:tc>
        <w:tc>
          <w:tcPr>
            <w:tcW w:w="1456" w:type="dxa"/>
            <w:noWrap/>
            <w:hideMark/>
          </w:tcPr>
          <w:p w14:paraId="6F5F51C7" w14:textId="38ECC284" w:rsidR="00417AAA" w:rsidRPr="00912247" w:rsidRDefault="00417AAA" w:rsidP="00417AAA">
            <w:pPr>
              <w:spacing w:after="0" w:line="240" w:lineRule="auto"/>
              <w:jc w:val="right"/>
              <w:rPr>
                <w:rFonts w:cs="Arial"/>
                <w:color w:val="000000"/>
                <w:szCs w:val="20"/>
              </w:rPr>
            </w:pPr>
            <w:r w:rsidRPr="00A25B0B">
              <w:rPr>
                <w:rFonts w:cs="Arial"/>
                <w:color w:val="000000"/>
                <w:szCs w:val="20"/>
              </w:rPr>
              <w:t>0.43</w:t>
            </w:r>
          </w:p>
        </w:tc>
        <w:tc>
          <w:tcPr>
            <w:tcW w:w="1456" w:type="dxa"/>
          </w:tcPr>
          <w:p w14:paraId="36D12220" w14:textId="05415801" w:rsidR="00417AAA" w:rsidRPr="00912247" w:rsidRDefault="00417AAA" w:rsidP="00417AAA">
            <w:pPr>
              <w:spacing w:after="0" w:line="240" w:lineRule="auto"/>
              <w:jc w:val="right"/>
              <w:rPr>
                <w:rFonts w:cs="Arial"/>
                <w:color w:val="000000"/>
                <w:szCs w:val="20"/>
              </w:rPr>
            </w:pPr>
            <w:r w:rsidRPr="00A00794">
              <w:rPr>
                <w:rFonts w:cs="Arial"/>
              </w:rPr>
              <w:t>1.63</w:t>
            </w:r>
          </w:p>
        </w:tc>
      </w:tr>
    </w:tbl>
    <w:p w14:paraId="06207ABB" w14:textId="167EE815" w:rsidR="00417AAA" w:rsidRDefault="00417AAA" w:rsidP="007B5360">
      <w:pPr>
        <w:pStyle w:val="Tableorfigurenote"/>
      </w:pPr>
      <w:r>
        <w:t xml:space="preserve">Based on </w:t>
      </w:r>
      <w:r w:rsidR="00CC1140">
        <w:t>10-year</w:t>
      </w:r>
      <w:r>
        <w:t xml:space="preserve"> analysis using a 7% discount and providing the results in 2023 values.</w:t>
      </w:r>
    </w:p>
    <w:p w14:paraId="38D66D61" w14:textId="5324F3FE" w:rsidR="001A6FD3" w:rsidRDefault="001A6FD3" w:rsidP="008964EB">
      <w:pPr>
        <w:spacing w:before="240"/>
      </w:pPr>
      <w:r>
        <w:rPr>
          <w:rFonts w:cs="Arial"/>
          <w:szCs w:val="20"/>
        </w:rPr>
        <w:t>Details of these costs and benefits for each option are presented in the next sections.</w:t>
      </w:r>
    </w:p>
    <w:p w14:paraId="152EE77A" w14:textId="77777777" w:rsidR="001A6FD3" w:rsidRDefault="001A6FD3" w:rsidP="00A05A0C">
      <w:pPr>
        <w:pStyle w:val="Heading2"/>
        <w:keepLines/>
      </w:pPr>
      <w:bookmarkStart w:id="48" w:name="_Toc153270569"/>
      <w:bookmarkStart w:id="49" w:name="_Toc155685990"/>
      <w:r>
        <w:lastRenderedPageBreak/>
        <w:t>Option 1 – Status quo</w:t>
      </w:r>
      <w:bookmarkEnd w:id="48"/>
      <w:bookmarkEnd w:id="49"/>
      <w:r>
        <w:t xml:space="preserve"> </w:t>
      </w:r>
    </w:p>
    <w:p w14:paraId="16B87A9C" w14:textId="77777777" w:rsidR="00EF46F1" w:rsidRDefault="00EF46F1" w:rsidP="00A05A0C">
      <w:pPr>
        <w:keepNext/>
        <w:keepLines/>
      </w:pPr>
      <w:r>
        <w:t>As highlighted in preceding sections, the ACMA considers that the current TCP code lacks adequate support for telecommunications customers facing financial difficulties.</w:t>
      </w:r>
    </w:p>
    <w:p w14:paraId="3E446F70" w14:textId="60C0519D" w:rsidR="00EF46F1" w:rsidRDefault="00EF46F1" w:rsidP="00A05A0C">
      <w:pPr>
        <w:pStyle w:val="Paragraph"/>
        <w:keepNext/>
        <w:keepLines/>
      </w:pPr>
      <w:r>
        <w:t xml:space="preserve">A comparison of data on the proportion of telecommunication customers on formal financial hardship arrangements with other utilities (such as energy companies) indicates that the telecommunication industry in Australia </w:t>
      </w:r>
      <w:r w:rsidR="00D11E63">
        <w:t xml:space="preserve">is </w:t>
      </w:r>
      <w:r>
        <w:t>behind other industries.</w:t>
      </w:r>
      <w:r>
        <w:rPr>
          <w:rStyle w:val="FootnoteReference"/>
        </w:rPr>
        <w:footnoteReference w:id="46"/>
      </w:r>
    </w:p>
    <w:p w14:paraId="1EB82440" w14:textId="5DDF739C" w:rsidR="001A6FD3" w:rsidRDefault="00EF46F1" w:rsidP="00CC1140">
      <w:pPr>
        <w:pStyle w:val="Paragraph"/>
        <w:rPr>
          <w:szCs w:val="20"/>
        </w:rPr>
      </w:pPr>
      <w:r>
        <w:t>Although the TCP code is being reviewed, the ACMA does not anticipate the review would effectively address the issues identified in this impact assessment.</w:t>
      </w:r>
    </w:p>
    <w:p w14:paraId="19537BBA" w14:textId="77777777" w:rsidR="001A6FD3" w:rsidRPr="00321CE0" w:rsidRDefault="001A6FD3" w:rsidP="00CC1140">
      <w:pPr>
        <w:pStyle w:val="Heading3"/>
      </w:pPr>
      <w:bookmarkStart w:id="50" w:name="_Toc155685991"/>
      <w:r w:rsidRPr="00321CE0">
        <w:t>Benefits</w:t>
      </w:r>
      <w:bookmarkEnd w:id="50"/>
      <w:r w:rsidRPr="00321CE0">
        <w:t xml:space="preserve"> </w:t>
      </w:r>
    </w:p>
    <w:p w14:paraId="32BE4532" w14:textId="1B098540" w:rsidR="001A6FD3" w:rsidRDefault="001A6FD3" w:rsidP="00CC1140">
      <w:pPr>
        <w:pStyle w:val="Paragraph"/>
      </w:pPr>
      <w:r>
        <w:t xml:space="preserve">One of the key benefits of the status quo is that </w:t>
      </w:r>
      <w:r w:rsidRPr="00CA34FE">
        <w:t xml:space="preserve">CSPs </w:t>
      </w:r>
      <w:r>
        <w:t>can</w:t>
      </w:r>
      <w:r w:rsidRPr="00CA34FE">
        <w:t xml:space="preserve"> avoid </w:t>
      </w:r>
      <w:r>
        <w:t xml:space="preserve">costs </w:t>
      </w:r>
      <w:r w:rsidRPr="00CA34FE">
        <w:t xml:space="preserve">associated with implementing </w:t>
      </w:r>
      <w:r>
        <w:t xml:space="preserve">systems and processes to comply with </w:t>
      </w:r>
      <w:r w:rsidRPr="00CA34FE">
        <w:t>new regulat</w:t>
      </w:r>
      <w:r>
        <w:t>ory requirements.</w:t>
      </w:r>
    </w:p>
    <w:p w14:paraId="48715299" w14:textId="752687FB" w:rsidR="001A6FD3" w:rsidRPr="007774DD" w:rsidRDefault="001A6FD3" w:rsidP="00CC1140">
      <w:pPr>
        <w:pStyle w:val="Paragraph"/>
      </w:pPr>
      <w:r>
        <w:t xml:space="preserve">The current regulatory model allows potential </w:t>
      </w:r>
      <w:r w:rsidRPr="008A4DD7">
        <w:t xml:space="preserve">flexibility in addressing financial hardship issues </w:t>
      </w:r>
      <w:r>
        <w:t>through</w:t>
      </w:r>
      <w:r w:rsidRPr="008A4DD7">
        <w:t xml:space="preserve"> industry-led initiatives</w:t>
      </w:r>
      <w:r>
        <w:t>, although, this benefit is not considered significant given the lack of substantial industry action.</w:t>
      </w:r>
    </w:p>
    <w:p w14:paraId="3E7AA3B4" w14:textId="77777777" w:rsidR="001A6FD3" w:rsidRPr="00321CE0" w:rsidRDefault="001A6FD3" w:rsidP="00CC1140">
      <w:pPr>
        <w:pStyle w:val="Heading3"/>
      </w:pPr>
      <w:bookmarkStart w:id="51" w:name="_Toc155685992"/>
      <w:r w:rsidRPr="00321CE0">
        <w:t>Costs</w:t>
      </w:r>
      <w:bookmarkEnd w:id="51"/>
      <w:r w:rsidRPr="00321CE0">
        <w:t xml:space="preserve"> </w:t>
      </w:r>
    </w:p>
    <w:p w14:paraId="01E70E5B" w14:textId="623B9F78" w:rsidR="001A6FD3" w:rsidRDefault="001A6FD3" w:rsidP="00CC1140">
      <w:pPr>
        <w:pStyle w:val="Paragraph"/>
      </w:pPr>
      <w:r>
        <w:t xml:space="preserve">Various costs are associated with the status quo. These costs largely occur from disconnections of customers from telecommunications services due to non-payment. Further costs arise from the management of complaints by customers to CSPs, the TIO and the ACMA. These costs may have been averted if a different approach had been taken by the CSP to address financial hardship. </w:t>
      </w:r>
    </w:p>
    <w:p w14:paraId="181E63FF" w14:textId="2185D5BD" w:rsidR="001A6FD3" w:rsidRDefault="001A6FD3" w:rsidP="00CC1140">
      <w:pPr>
        <w:pStyle w:val="Paragraph"/>
      </w:pPr>
      <w:r>
        <w:t xml:space="preserve">For example, a different approach may have alleviated the need for disconnection because it could have provided time for a consumer to arrange for a delayed payment of monies owed to the CSP or time for them to re-arrange their finances – allowing CSPs to recover monies owed. In some situations, the disconnection may still occur but at a later date. </w:t>
      </w:r>
    </w:p>
    <w:p w14:paraId="60EEE42F" w14:textId="60FD7608" w:rsidR="001A6FD3" w:rsidRDefault="001A6FD3" w:rsidP="00CC1140">
      <w:pPr>
        <w:pStyle w:val="Paragraphbeforelist"/>
      </w:pPr>
      <w:r>
        <w:t>Disconnections due to non-payment lead to several costs, including:</w:t>
      </w:r>
    </w:p>
    <w:p w14:paraId="47B4D8E8" w14:textId="7C6F6024" w:rsidR="001A6FD3" w:rsidRPr="001F4F09" w:rsidRDefault="001A6FD3" w:rsidP="00653C4C">
      <w:pPr>
        <w:pStyle w:val="Bulletlevel1"/>
      </w:pPr>
      <w:r w:rsidRPr="005229B1">
        <w:rPr>
          <w:i/>
          <w:iCs/>
        </w:rPr>
        <w:t>Consumers</w:t>
      </w:r>
      <w:r w:rsidRPr="00976B99">
        <w:rPr>
          <w:b/>
          <w:bCs/>
        </w:rPr>
        <w:t>:</w:t>
      </w:r>
      <w:r>
        <w:t xml:space="preserve"> In addition to incurring CSP fees to reconnect</w:t>
      </w:r>
      <w:r w:rsidR="00520E6C">
        <w:t xml:space="preserve"> their service</w:t>
      </w:r>
      <w:r>
        <w:t>, disconnection can impact access to services, reduce opportunities, potentially affecting vulnerable groups, cause stress and anxiety</w:t>
      </w:r>
      <w:r w:rsidR="00520E6C">
        <w:t>,</w:t>
      </w:r>
      <w:r>
        <w:t xml:space="preserve"> have negative credit consequences create social exclusion</w:t>
      </w:r>
      <w:r w:rsidR="00520E6C">
        <w:t>,</w:t>
      </w:r>
      <w:r>
        <w:t xml:space="preserve"> and sacrifices in other areas of life. Further costs to consumers could arise from them making a complaint about their disconnection to their CSP, the TIO or ACMA.</w:t>
      </w:r>
    </w:p>
    <w:p w14:paraId="7FF22374" w14:textId="24DFE7E7" w:rsidR="001A6FD3" w:rsidRPr="004769C3" w:rsidRDefault="001A6FD3" w:rsidP="00653C4C">
      <w:pPr>
        <w:pStyle w:val="Bulletlevel1"/>
        <w:rPr>
          <w:b/>
          <w:bCs/>
        </w:rPr>
      </w:pPr>
      <w:r w:rsidRPr="005229B1">
        <w:rPr>
          <w:i/>
          <w:iCs/>
        </w:rPr>
        <w:t>CSPs</w:t>
      </w:r>
      <w:r w:rsidRPr="00976B99">
        <w:rPr>
          <w:b/>
          <w:bCs/>
        </w:rPr>
        <w:t>:</w:t>
      </w:r>
      <w:r>
        <w:rPr>
          <w:b/>
          <w:bCs/>
        </w:rPr>
        <w:t xml:space="preserve"> </w:t>
      </w:r>
      <w:r>
        <w:t>incur costs related to disconnecting and reconnecting consumers, along with dealing with customer complaints on financial hardship.</w:t>
      </w:r>
    </w:p>
    <w:p w14:paraId="07471DEB" w14:textId="04D14CD2" w:rsidR="001A6FD3" w:rsidRPr="008D2FC2" w:rsidRDefault="001A6FD3" w:rsidP="00653C4C">
      <w:pPr>
        <w:pStyle w:val="Bulletlevel1"/>
        <w:rPr>
          <w:b/>
          <w:bCs/>
        </w:rPr>
      </w:pPr>
      <w:r w:rsidRPr="005229B1">
        <w:rPr>
          <w:i/>
          <w:iCs/>
        </w:rPr>
        <w:t>TIO</w:t>
      </w:r>
      <w:r>
        <w:rPr>
          <w:b/>
          <w:bCs/>
        </w:rPr>
        <w:t xml:space="preserve">: </w:t>
      </w:r>
      <w:r>
        <w:t xml:space="preserve">incur costs engaging with consumers on complaints relating to financial hardship, recovered </w:t>
      </w:r>
      <w:r w:rsidRPr="008D2FC2">
        <w:t>through membership fees that are charged to the CSPs.</w:t>
      </w:r>
    </w:p>
    <w:p w14:paraId="4E536EC0" w14:textId="77777777" w:rsidR="001A6FD3" w:rsidRPr="009979C0" w:rsidRDefault="001A6FD3" w:rsidP="00653C4C">
      <w:pPr>
        <w:pStyle w:val="Bulletlevel1last"/>
        <w:rPr>
          <w:b/>
          <w:bCs/>
        </w:rPr>
      </w:pPr>
      <w:r w:rsidRPr="005229B1">
        <w:rPr>
          <w:i/>
          <w:iCs/>
        </w:rPr>
        <w:t>ACMA</w:t>
      </w:r>
      <w:r w:rsidRPr="009979C0">
        <w:rPr>
          <w:b/>
          <w:bCs/>
        </w:rPr>
        <w:t xml:space="preserve">: </w:t>
      </w:r>
      <w:r>
        <w:t>incurs costs through engaging with consumers on complaints relating to financial hardship, educating consumers and industry, and compliance monitoring and enforcement of TCP Code rules.</w:t>
      </w:r>
    </w:p>
    <w:p w14:paraId="71CCA64C" w14:textId="556C8EE7" w:rsidR="001A6FD3" w:rsidRDefault="001A6FD3" w:rsidP="00CC1140">
      <w:pPr>
        <w:pStyle w:val="Paragraph"/>
      </w:pPr>
      <w:r>
        <w:t>These costs are considered higher than they would be under Options 2A and 2B, as the status quo does not robustly address financial hardship issues, providing a rationale for considering Option 2</w:t>
      </w:r>
      <w:r w:rsidR="00BC40F7">
        <w:t>A</w:t>
      </w:r>
      <w:r>
        <w:t xml:space="preserve"> and </w:t>
      </w:r>
      <w:r w:rsidR="00BC40F7">
        <w:t>2B</w:t>
      </w:r>
      <w:r>
        <w:t>.</w:t>
      </w:r>
    </w:p>
    <w:p w14:paraId="531496B0" w14:textId="77777777" w:rsidR="001A6FD3" w:rsidRPr="009E5022" w:rsidRDefault="001A6FD3" w:rsidP="00CC1140">
      <w:pPr>
        <w:pStyle w:val="Heading3"/>
      </w:pPr>
      <w:bookmarkStart w:id="52" w:name="_Toc155685993"/>
      <w:r w:rsidRPr="009E5022">
        <w:lastRenderedPageBreak/>
        <w:t>Current disconnections that could have benefited from financial hardship arrangements</w:t>
      </w:r>
      <w:bookmarkEnd w:id="52"/>
    </w:p>
    <w:p w14:paraId="22FBDCA4" w14:textId="02E32364" w:rsidR="001A6FD3" w:rsidRDefault="001A6FD3" w:rsidP="00CC1140">
      <w:pPr>
        <w:pStyle w:val="Paragraph"/>
      </w:pPr>
      <w:r>
        <w:t xml:space="preserve">The primary driver of costs is the number of disconnections due to financial hardship issues. Based on industry data, the total number of consumers disconnected during </w:t>
      </w:r>
      <w:r w:rsidR="007B5360">
        <w:t>2021–22</w:t>
      </w:r>
      <w:r>
        <w:t xml:space="preserve"> because they could not pay their telecommunications bill, and could have benefited from financial hardship arrangements with their CSP, was estimated at 236,332.</w:t>
      </w:r>
      <w:r>
        <w:rPr>
          <w:rStyle w:val="FootnoteReference"/>
          <w:szCs w:val="20"/>
        </w:rPr>
        <w:footnoteReference w:id="47"/>
      </w:r>
      <w:r>
        <w:t xml:space="preserve"> This is in addition to the </w:t>
      </w:r>
      <w:r w:rsidRPr="00E85499">
        <w:t>4,388</w:t>
      </w:r>
      <w:r>
        <w:t xml:space="preserve"> customers who are currently on formal financial hardship arrangements.</w:t>
      </w:r>
      <w:r>
        <w:rPr>
          <w:rStyle w:val="FootnoteReference"/>
          <w:szCs w:val="20"/>
        </w:rPr>
        <w:footnoteReference w:id="48"/>
      </w:r>
      <w:r>
        <w:t xml:space="preserve">  </w:t>
      </w:r>
    </w:p>
    <w:p w14:paraId="70749C91" w14:textId="5D1C49AA" w:rsidR="000378A7" w:rsidRDefault="000378A7" w:rsidP="000378A7">
      <w:pPr>
        <w:pStyle w:val="Paragraph"/>
        <w:rPr>
          <w:szCs w:val="20"/>
        </w:rPr>
      </w:pPr>
      <w:r>
        <w:rPr>
          <w:szCs w:val="20"/>
        </w:rPr>
        <w:t>This 236,332 estimate</w:t>
      </w:r>
      <w:r>
        <w:rPr>
          <w:rStyle w:val="FootnoteReference"/>
          <w:szCs w:val="20"/>
        </w:rPr>
        <w:footnoteReference w:id="49"/>
      </w:r>
      <w:r>
        <w:rPr>
          <w:szCs w:val="20"/>
        </w:rPr>
        <w:t xml:space="preserve"> appears to be a low estimate or underestimate of the total population who should be eligible for financial hardship provisions, noting this is significantly less than the estimated </w:t>
      </w:r>
      <w:r w:rsidRPr="00A467DB">
        <w:rPr>
          <w:szCs w:val="20"/>
        </w:rPr>
        <w:t>2.4 million Australian adults facing financial difficulty or concerned about their telec</w:t>
      </w:r>
      <w:r>
        <w:rPr>
          <w:szCs w:val="20"/>
        </w:rPr>
        <w:t>ommunications</w:t>
      </w:r>
      <w:r w:rsidRPr="00A467DB">
        <w:rPr>
          <w:szCs w:val="20"/>
        </w:rPr>
        <w:t xml:space="preserve"> bill</w:t>
      </w:r>
      <w:r>
        <w:rPr>
          <w:szCs w:val="20"/>
        </w:rPr>
        <w:t xml:space="preserve">. We do note that some of these 236,332 customers may not have benefited from financial hardship status. On balance, 236,332 is considered a reasonable – but conservative – estimate of the population that should be eligible for formal hardship provisions for use in this impact assessment.  </w:t>
      </w:r>
    </w:p>
    <w:p w14:paraId="0A2C5236" w14:textId="77777777" w:rsidR="001A6FD3" w:rsidRPr="002016BC" w:rsidRDefault="001A6FD3" w:rsidP="00CC1140">
      <w:pPr>
        <w:pStyle w:val="Heading3"/>
      </w:pPr>
      <w:bookmarkStart w:id="53" w:name="_Toc155685994"/>
      <w:r w:rsidRPr="002016BC">
        <w:t>Current complaints due to financial hardship issues</w:t>
      </w:r>
      <w:bookmarkEnd w:id="53"/>
    </w:p>
    <w:p w14:paraId="615AA773" w14:textId="21258CBD" w:rsidR="001A6FD3" w:rsidRDefault="001A6FD3" w:rsidP="001A6FD3">
      <w:pPr>
        <w:pStyle w:val="Paragraph"/>
        <w:rPr>
          <w:szCs w:val="20"/>
        </w:rPr>
      </w:pPr>
      <w:r>
        <w:rPr>
          <w:szCs w:val="20"/>
        </w:rPr>
        <w:t xml:space="preserve">The total number of complaints due to financial hardship issues across CSPs, the TIO and the ACMA </w:t>
      </w:r>
      <w:r w:rsidR="000378A7">
        <w:rPr>
          <w:szCs w:val="20"/>
        </w:rPr>
        <w:t xml:space="preserve">in </w:t>
      </w:r>
      <w:r w:rsidR="007B5360">
        <w:rPr>
          <w:szCs w:val="20"/>
        </w:rPr>
        <w:t>2022–23</w:t>
      </w:r>
      <w:r w:rsidR="000378A7">
        <w:rPr>
          <w:szCs w:val="20"/>
        </w:rPr>
        <w:t xml:space="preserve"> </w:t>
      </w:r>
      <w:r>
        <w:rPr>
          <w:szCs w:val="20"/>
        </w:rPr>
        <w:t xml:space="preserve">is around 27,000 This represents approximately 2.5 per cent of all telco complaints. See Table </w:t>
      </w:r>
      <w:r w:rsidR="00D2585A">
        <w:rPr>
          <w:szCs w:val="20"/>
        </w:rPr>
        <w:t>2</w:t>
      </w:r>
      <w:r>
        <w:rPr>
          <w:szCs w:val="20"/>
        </w:rPr>
        <w:t>.</w:t>
      </w:r>
    </w:p>
    <w:p w14:paraId="6DD6CBB4" w14:textId="77777777" w:rsidR="001A6FD3" w:rsidRDefault="001A6FD3" w:rsidP="00D2585A">
      <w:pPr>
        <w:pStyle w:val="Tableheading"/>
        <w:rPr>
          <w:rFonts w:eastAsia="Calibri"/>
          <w:lang w:eastAsia="en-US"/>
        </w:rPr>
      </w:pPr>
      <w:r w:rsidRPr="00D2585A">
        <w:t>Complaints relating to financial hardship issues</w:t>
      </w:r>
    </w:p>
    <w:tbl>
      <w:tblPr>
        <w:tblStyle w:val="TableGrid"/>
        <w:tblW w:w="5733" w:type="pct"/>
        <w:tblCellMar>
          <w:top w:w="85" w:type="dxa"/>
          <w:left w:w="85" w:type="dxa"/>
          <w:bottom w:w="85" w:type="dxa"/>
          <w:right w:w="85" w:type="dxa"/>
        </w:tblCellMar>
        <w:tblLook w:val="04A0" w:firstRow="1" w:lastRow="0" w:firstColumn="1" w:lastColumn="0" w:noHBand="0" w:noVBand="1"/>
      </w:tblPr>
      <w:tblGrid>
        <w:gridCol w:w="2196"/>
        <w:gridCol w:w="2196"/>
        <w:gridCol w:w="2196"/>
        <w:gridCol w:w="2196"/>
      </w:tblGrid>
      <w:tr w:rsidR="001A6FD3" w:rsidRPr="006C1066" w14:paraId="2DBB9DD7" w14:textId="77777777" w:rsidTr="00832BE0">
        <w:trPr>
          <w:cantSplit/>
          <w:tblHeader/>
        </w:trPr>
        <w:tc>
          <w:tcPr>
            <w:tcW w:w="1250" w:type="pct"/>
            <w:shd w:val="clear" w:color="auto" w:fill="404040" w:themeFill="text1" w:themeFillTint="BF"/>
          </w:tcPr>
          <w:p w14:paraId="6451ABEE" w14:textId="77777777" w:rsidR="001A6FD3" w:rsidRPr="00CC1140" w:rsidRDefault="001A6FD3" w:rsidP="00A04654">
            <w:pPr>
              <w:pStyle w:val="Paragraph"/>
              <w:keepNext/>
              <w:keepLines/>
              <w:spacing w:after="0"/>
              <w:rPr>
                <w:rFonts w:eastAsia="Calibri"/>
                <w:b/>
                <w:bCs/>
                <w:color w:val="FFFFFF" w:themeColor="background1"/>
                <w:szCs w:val="20"/>
                <w:lang w:eastAsia="en-US"/>
              </w:rPr>
            </w:pPr>
            <w:r w:rsidRPr="00CC1140">
              <w:rPr>
                <w:b/>
                <w:bCs/>
                <w:color w:val="FFFFFF" w:themeColor="background1"/>
              </w:rPr>
              <w:t>Category of customer</w:t>
            </w:r>
          </w:p>
        </w:tc>
        <w:tc>
          <w:tcPr>
            <w:tcW w:w="1250" w:type="pct"/>
            <w:shd w:val="clear" w:color="auto" w:fill="404040" w:themeFill="text1" w:themeFillTint="BF"/>
          </w:tcPr>
          <w:p w14:paraId="2C3DA6E6" w14:textId="77777777" w:rsidR="001A6FD3" w:rsidRPr="00CC1140" w:rsidRDefault="001A6FD3" w:rsidP="00CC1140">
            <w:pPr>
              <w:pStyle w:val="Paragraph"/>
              <w:keepNext/>
              <w:keepLines/>
              <w:spacing w:after="0"/>
              <w:jc w:val="right"/>
              <w:rPr>
                <w:rFonts w:eastAsia="Calibri"/>
                <w:b/>
                <w:bCs/>
                <w:color w:val="FFFFFF" w:themeColor="background1"/>
                <w:szCs w:val="20"/>
                <w:lang w:eastAsia="en-US"/>
              </w:rPr>
            </w:pPr>
            <w:r w:rsidRPr="00CC1140">
              <w:rPr>
                <w:b/>
                <w:bCs/>
                <w:color w:val="FFFFFF" w:themeColor="background1"/>
              </w:rPr>
              <w:t>Total number of complaints</w:t>
            </w:r>
          </w:p>
        </w:tc>
        <w:tc>
          <w:tcPr>
            <w:tcW w:w="1250" w:type="pct"/>
            <w:shd w:val="clear" w:color="auto" w:fill="404040" w:themeFill="text1" w:themeFillTint="BF"/>
          </w:tcPr>
          <w:p w14:paraId="54388C70" w14:textId="77777777" w:rsidR="001A6FD3" w:rsidRPr="00CC1140" w:rsidRDefault="001A6FD3" w:rsidP="00CC1140">
            <w:pPr>
              <w:pStyle w:val="Paragraph"/>
              <w:keepNext/>
              <w:keepLines/>
              <w:spacing w:after="0"/>
              <w:jc w:val="right"/>
              <w:rPr>
                <w:rFonts w:eastAsia="Calibri"/>
                <w:b/>
                <w:bCs/>
                <w:color w:val="FFFFFF" w:themeColor="background1"/>
                <w:szCs w:val="20"/>
                <w:lang w:eastAsia="en-US"/>
              </w:rPr>
            </w:pPr>
            <w:r w:rsidRPr="00CC1140">
              <w:rPr>
                <w:b/>
                <w:bCs/>
                <w:color w:val="FFFFFF" w:themeColor="background1"/>
              </w:rPr>
              <w:t>Total number of complaints relating to financial hardship</w:t>
            </w:r>
          </w:p>
        </w:tc>
        <w:tc>
          <w:tcPr>
            <w:tcW w:w="1250" w:type="pct"/>
            <w:shd w:val="clear" w:color="auto" w:fill="404040" w:themeFill="text1" w:themeFillTint="BF"/>
          </w:tcPr>
          <w:p w14:paraId="18707816" w14:textId="77777777" w:rsidR="001A6FD3" w:rsidRPr="00CC1140" w:rsidRDefault="001A6FD3" w:rsidP="00CC1140">
            <w:pPr>
              <w:pStyle w:val="Paragraph"/>
              <w:keepNext/>
              <w:keepLines/>
              <w:spacing w:after="0"/>
              <w:jc w:val="right"/>
              <w:rPr>
                <w:rFonts w:eastAsia="Calibri"/>
                <w:b/>
                <w:bCs/>
                <w:color w:val="FFFFFF" w:themeColor="background1"/>
                <w:szCs w:val="20"/>
                <w:lang w:eastAsia="en-US"/>
              </w:rPr>
            </w:pPr>
            <w:r w:rsidRPr="00CC1140">
              <w:rPr>
                <w:b/>
                <w:bCs/>
                <w:color w:val="FFFFFF" w:themeColor="background1"/>
              </w:rPr>
              <w:t>% of complaints relating to financial hardship</w:t>
            </w:r>
          </w:p>
        </w:tc>
      </w:tr>
      <w:tr w:rsidR="001A6FD3" w:rsidRPr="003308A1" w14:paraId="6CC78625" w14:textId="77777777" w:rsidTr="00832BE0">
        <w:trPr>
          <w:cantSplit/>
        </w:trPr>
        <w:tc>
          <w:tcPr>
            <w:tcW w:w="1250" w:type="pct"/>
          </w:tcPr>
          <w:p w14:paraId="11A2FD47" w14:textId="77777777" w:rsidR="001A6FD3" w:rsidRPr="002A54B2" w:rsidRDefault="001A6FD3" w:rsidP="00A04654">
            <w:pPr>
              <w:pStyle w:val="Paragraph"/>
              <w:keepNext/>
              <w:keepLines/>
              <w:spacing w:after="0"/>
              <w:rPr>
                <w:rFonts w:eastAsia="Calibri"/>
                <w:bCs/>
                <w:szCs w:val="20"/>
                <w:lang w:eastAsia="en-US"/>
              </w:rPr>
            </w:pPr>
            <w:r w:rsidRPr="000C1B82">
              <w:t>Complaints to CSPs</w:t>
            </w:r>
          </w:p>
        </w:tc>
        <w:tc>
          <w:tcPr>
            <w:tcW w:w="1250" w:type="pct"/>
          </w:tcPr>
          <w:p w14:paraId="34DB3ACD" w14:textId="77777777" w:rsidR="001A6FD3" w:rsidRPr="003308A1" w:rsidRDefault="001A6FD3" w:rsidP="00CC1140">
            <w:pPr>
              <w:pStyle w:val="Paragraph"/>
              <w:keepNext/>
              <w:keepLines/>
              <w:spacing w:after="0"/>
              <w:jc w:val="right"/>
              <w:rPr>
                <w:rFonts w:eastAsia="Calibri"/>
                <w:szCs w:val="20"/>
                <w:lang w:eastAsia="en-US"/>
              </w:rPr>
            </w:pPr>
            <w:r w:rsidRPr="000C1B82">
              <w:t>1,037,823</w:t>
            </w:r>
          </w:p>
        </w:tc>
        <w:tc>
          <w:tcPr>
            <w:tcW w:w="1250" w:type="pct"/>
          </w:tcPr>
          <w:p w14:paraId="596B922E" w14:textId="77777777" w:rsidR="001A6FD3" w:rsidRDefault="001A6FD3" w:rsidP="00CC1140">
            <w:pPr>
              <w:pStyle w:val="Paragraph"/>
              <w:keepNext/>
              <w:keepLines/>
              <w:spacing w:after="0"/>
              <w:jc w:val="right"/>
            </w:pPr>
            <w:r w:rsidRPr="000C1B82">
              <w:t>25,544</w:t>
            </w:r>
          </w:p>
        </w:tc>
        <w:tc>
          <w:tcPr>
            <w:tcW w:w="1250" w:type="pct"/>
          </w:tcPr>
          <w:p w14:paraId="0ED3C209" w14:textId="77777777" w:rsidR="001A6FD3" w:rsidRDefault="001A6FD3" w:rsidP="00CC1140">
            <w:pPr>
              <w:pStyle w:val="Paragraph"/>
              <w:keepNext/>
              <w:keepLines/>
              <w:spacing w:after="0"/>
              <w:jc w:val="right"/>
            </w:pPr>
            <w:r w:rsidRPr="000C1B82">
              <w:t>2.5%</w:t>
            </w:r>
          </w:p>
        </w:tc>
      </w:tr>
      <w:tr w:rsidR="001A6FD3" w:rsidRPr="003308A1" w14:paraId="714080FB" w14:textId="77777777" w:rsidTr="00832BE0">
        <w:trPr>
          <w:cantSplit/>
        </w:trPr>
        <w:tc>
          <w:tcPr>
            <w:tcW w:w="1250" w:type="pct"/>
          </w:tcPr>
          <w:p w14:paraId="3D722018" w14:textId="77777777" w:rsidR="001A6FD3" w:rsidRPr="002A54B2" w:rsidRDefault="001A6FD3" w:rsidP="00A04654">
            <w:pPr>
              <w:pStyle w:val="Paragraph"/>
              <w:keepNext/>
              <w:keepLines/>
              <w:spacing w:after="0"/>
              <w:rPr>
                <w:rFonts w:eastAsia="Calibri"/>
                <w:bCs/>
                <w:szCs w:val="20"/>
                <w:lang w:eastAsia="en-US"/>
              </w:rPr>
            </w:pPr>
            <w:r w:rsidRPr="000C1B82">
              <w:t>Complaints to TIO</w:t>
            </w:r>
          </w:p>
        </w:tc>
        <w:tc>
          <w:tcPr>
            <w:tcW w:w="1250" w:type="pct"/>
          </w:tcPr>
          <w:p w14:paraId="5E460CDD" w14:textId="77777777" w:rsidR="001A6FD3" w:rsidRPr="003308A1" w:rsidRDefault="001A6FD3" w:rsidP="00CC1140">
            <w:pPr>
              <w:pStyle w:val="Paragraph"/>
              <w:keepNext/>
              <w:keepLines/>
              <w:spacing w:after="0"/>
              <w:jc w:val="right"/>
              <w:rPr>
                <w:rFonts w:eastAsia="Calibri"/>
                <w:szCs w:val="20"/>
                <w:lang w:eastAsia="en-US"/>
              </w:rPr>
            </w:pPr>
            <w:r w:rsidRPr="000C1B82">
              <w:t>66,388</w:t>
            </w:r>
          </w:p>
        </w:tc>
        <w:tc>
          <w:tcPr>
            <w:tcW w:w="1250" w:type="pct"/>
          </w:tcPr>
          <w:p w14:paraId="40685373" w14:textId="77777777" w:rsidR="001A6FD3" w:rsidRDefault="001A6FD3" w:rsidP="00CC1140">
            <w:pPr>
              <w:pStyle w:val="Paragraph"/>
              <w:keepNext/>
              <w:keepLines/>
              <w:spacing w:after="0"/>
              <w:jc w:val="right"/>
            </w:pPr>
            <w:r w:rsidRPr="000C1B82">
              <w:t>1,634</w:t>
            </w:r>
          </w:p>
        </w:tc>
        <w:tc>
          <w:tcPr>
            <w:tcW w:w="1250" w:type="pct"/>
          </w:tcPr>
          <w:p w14:paraId="7D564275" w14:textId="77777777" w:rsidR="001A6FD3" w:rsidRDefault="001A6FD3" w:rsidP="00CC1140">
            <w:pPr>
              <w:pStyle w:val="Paragraph"/>
              <w:keepNext/>
              <w:keepLines/>
              <w:spacing w:after="0"/>
              <w:jc w:val="right"/>
            </w:pPr>
            <w:r w:rsidRPr="000C1B82">
              <w:t>2.5%</w:t>
            </w:r>
          </w:p>
        </w:tc>
      </w:tr>
      <w:tr w:rsidR="001A6FD3" w:rsidRPr="003308A1" w14:paraId="64342FEC" w14:textId="77777777" w:rsidTr="00832BE0">
        <w:trPr>
          <w:cantSplit/>
        </w:trPr>
        <w:tc>
          <w:tcPr>
            <w:tcW w:w="1250" w:type="pct"/>
          </w:tcPr>
          <w:p w14:paraId="52A10E66" w14:textId="77777777" w:rsidR="001A6FD3" w:rsidRPr="002A54B2" w:rsidRDefault="001A6FD3" w:rsidP="00A04654">
            <w:pPr>
              <w:pStyle w:val="Paragraph"/>
              <w:keepNext/>
              <w:keepLines/>
              <w:spacing w:after="0"/>
              <w:rPr>
                <w:rFonts w:eastAsia="Calibri"/>
                <w:bCs/>
                <w:szCs w:val="20"/>
                <w:lang w:eastAsia="en-US"/>
              </w:rPr>
            </w:pPr>
            <w:r w:rsidRPr="000C1B82">
              <w:t>Complaints to ACMA</w:t>
            </w:r>
          </w:p>
        </w:tc>
        <w:tc>
          <w:tcPr>
            <w:tcW w:w="1250" w:type="pct"/>
          </w:tcPr>
          <w:p w14:paraId="07B24A95" w14:textId="5F0F24AB" w:rsidR="001A6FD3" w:rsidRPr="003308A1" w:rsidRDefault="001A6FD3" w:rsidP="00CC1140">
            <w:pPr>
              <w:pStyle w:val="Paragraph"/>
              <w:keepNext/>
              <w:keepLines/>
              <w:spacing w:after="0"/>
              <w:jc w:val="right"/>
              <w:rPr>
                <w:rFonts w:eastAsia="Calibri"/>
                <w:szCs w:val="20"/>
                <w:lang w:eastAsia="en-US"/>
              </w:rPr>
            </w:pPr>
            <w:r>
              <w:t>500</w:t>
            </w:r>
          </w:p>
        </w:tc>
        <w:tc>
          <w:tcPr>
            <w:tcW w:w="1250" w:type="pct"/>
          </w:tcPr>
          <w:p w14:paraId="5DE3DC57" w14:textId="202D2C0A" w:rsidR="001A6FD3" w:rsidRPr="00637629" w:rsidRDefault="001A6FD3" w:rsidP="00CC1140">
            <w:pPr>
              <w:pStyle w:val="Paragraph"/>
              <w:keepNext/>
              <w:keepLines/>
              <w:spacing w:after="0"/>
              <w:jc w:val="right"/>
            </w:pPr>
            <w:r>
              <w:t>95</w:t>
            </w:r>
          </w:p>
        </w:tc>
        <w:tc>
          <w:tcPr>
            <w:tcW w:w="1250" w:type="pct"/>
          </w:tcPr>
          <w:p w14:paraId="0988E7E0" w14:textId="7FFF4848" w:rsidR="001A6FD3" w:rsidRPr="00637629" w:rsidRDefault="001A6FD3" w:rsidP="00CC1140">
            <w:pPr>
              <w:pStyle w:val="Paragraph"/>
              <w:keepNext/>
              <w:keepLines/>
              <w:spacing w:after="0"/>
              <w:jc w:val="right"/>
            </w:pPr>
            <w:r>
              <w:t>19%</w:t>
            </w:r>
            <w:r w:rsidRPr="000C1B82">
              <w:t>.</w:t>
            </w:r>
          </w:p>
        </w:tc>
      </w:tr>
      <w:tr w:rsidR="001A6FD3" w:rsidRPr="003308A1" w14:paraId="1D657C9B" w14:textId="77777777" w:rsidTr="00832BE0">
        <w:trPr>
          <w:cantSplit/>
        </w:trPr>
        <w:tc>
          <w:tcPr>
            <w:tcW w:w="1250" w:type="pct"/>
          </w:tcPr>
          <w:p w14:paraId="411F6FBD" w14:textId="77777777" w:rsidR="001A6FD3" w:rsidRPr="00E06E5E" w:rsidRDefault="001A6FD3" w:rsidP="00A04654">
            <w:pPr>
              <w:pStyle w:val="Paragraph"/>
              <w:keepNext/>
              <w:keepLines/>
              <w:spacing w:after="0"/>
              <w:rPr>
                <w:rFonts w:eastAsia="Calibri"/>
                <w:b/>
                <w:bCs/>
                <w:szCs w:val="20"/>
                <w:lang w:eastAsia="en-US"/>
              </w:rPr>
            </w:pPr>
            <w:r w:rsidRPr="000C1B82">
              <w:t>Total number of complaints</w:t>
            </w:r>
          </w:p>
        </w:tc>
        <w:tc>
          <w:tcPr>
            <w:tcW w:w="1250" w:type="pct"/>
          </w:tcPr>
          <w:p w14:paraId="6E0E7AED" w14:textId="77777777" w:rsidR="001A6FD3" w:rsidRPr="00E06E5E" w:rsidRDefault="001A6FD3" w:rsidP="00CC1140">
            <w:pPr>
              <w:pStyle w:val="Paragraph"/>
              <w:keepNext/>
              <w:keepLines/>
              <w:spacing w:after="0"/>
              <w:jc w:val="right"/>
              <w:rPr>
                <w:rFonts w:eastAsia="Calibri"/>
                <w:b/>
                <w:bCs/>
                <w:szCs w:val="20"/>
                <w:lang w:eastAsia="en-US"/>
              </w:rPr>
            </w:pPr>
            <w:r w:rsidRPr="000C1B82">
              <w:t>1,104,211</w:t>
            </w:r>
          </w:p>
        </w:tc>
        <w:tc>
          <w:tcPr>
            <w:tcW w:w="1250" w:type="pct"/>
          </w:tcPr>
          <w:p w14:paraId="3C8ECB10" w14:textId="77777777" w:rsidR="001A6FD3" w:rsidRPr="00E06E5E" w:rsidRDefault="001A6FD3" w:rsidP="00CC1140">
            <w:pPr>
              <w:pStyle w:val="Paragraph"/>
              <w:keepNext/>
              <w:keepLines/>
              <w:spacing w:after="0"/>
              <w:jc w:val="right"/>
              <w:rPr>
                <w:b/>
                <w:bCs/>
              </w:rPr>
            </w:pPr>
            <w:r w:rsidRPr="000C1B82">
              <w:t>27,258</w:t>
            </w:r>
          </w:p>
        </w:tc>
        <w:tc>
          <w:tcPr>
            <w:tcW w:w="1250" w:type="pct"/>
          </w:tcPr>
          <w:p w14:paraId="4D10ED1E" w14:textId="77777777" w:rsidR="001A6FD3" w:rsidRPr="00E06E5E" w:rsidRDefault="001A6FD3" w:rsidP="00CC1140">
            <w:pPr>
              <w:pStyle w:val="Paragraph"/>
              <w:keepNext/>
              <w:keepLines/>
              <w:spacing w:after="0"/>
              <w:jc w:val="right"/>
              <w:rPr>
                <w:b/>
                <w:bCs/>
              </w:rPr>
            </w:pPr>
            <w:r w:rsidRPr="000C1B82">
              <w:t>2.5%</w:t>
            </w:r>
          </w:p>
        </w:tc>
      </w:tr>
    </w:tbl>
    <w:p w14:paraId="5969FE94" w14:textId="45072F9E" w:rsidR="001A6FD3" w:rsidRPr="00306EE8" w:rsidRDefault="001A6FD3" w:rsidP="007B5360">
      <w:pPr>
        <w:pStyle w:val="Tableorfigurenote"/>
      </w:pPr>
      <w:r w:rsidRPr="007A4F35">
        <w:t xml:space="preserve">Source: </w:t>
      </w:r>
      <w:r w:rsidRPr="00306EE8">
        <w:t xml:space="preserve">Total complaints relating to financial hardship </w:t>
      </w:r>
      <w:r>
        <w:t>to</w:t>
      </w:r>
      <w:r w:rsidRPr="00306EE8">
        <w:t xml:space="preserve"> TIO sourced from TIO </w:t>
      </w:r>
      <w:r w:rsidR="007B5360">
        <w:t>2022–23</w:t>
      </w:r>
      <w:r w:rsidRPr="00306EE8">
        <w:t xml:space="preserve"> Annual report, pages 79 and 86. The total number of complaints relating to financial hardship for CSPs is based on the total number of complaints </w:t>
      </w:r>
      <w:r w:rsidR="000378A7">
        <w:t>as reported to the ACMA (by CSPs with more than 30,000 services in operation)</w:t>
      </w:r>
      <w:r w:rsidR="000378A7" w:rsidRPr="00306EE8">
        <w:t xml:space="preserve"> </w:t>
      </w:r>
      <w:r w:rsidRPr="00306EE8">
        <w:t>multiplied by 2.5%, which is the proportion of complaints relating to financial hardship for the TIO.</w:t>
      </w:r>
    </w:p>
    <w:p w14:paraId="52585D6A" w14:textId="4627E7E8" w:rsidR="001A6FD3" w:rsidRPr="00306EE8" w:rsidRDefault="001A6FD3" w:rsidP="00CC1140">
      <w:pPr>
        <w:pStyle w:val="Heading3"/>
      </w:pPr>
      <w:bookmarkStart w:id="54" w:name="_Toc155685995"/>
      <w:r w:rsidRPr="00306EE8">
        <w:t>Current cost of compliance, complaints and reconnections</w:t>
      </w:r>
      <w:bookmarkEnd w:id="54"/>
    </w:p>
    <w:p w14:paraId="230489B2" w14:textId="7537553E" w:rsidR="001A6FD3" w:rsidRDefault="00CC1140" w:rsidP="001A6FD3">
      <w:pPr>
        <w:pStyle w:val="Paragraph"/>
      </w:pPr>
      <w:r>
        <w:t xml:space="preserve">Our </w:t>
      </w:r>
      <w:r w:rsidR="001A6FD3" w:rsidRPr="00FD04A6">
        <w:t xml:space="preserve">estimate </w:t>
      </w:r>
      <w:r>
        <w:t xml:space="preserve">of </w:t>
      </w:r>
      <w:r w:rsidR="001A6FD3" w:rsidRPr="00FD04A6">
        <w:t xml:space="preserve">the current costs of compliance </w:t>
      </w:r>
      <w:r>
        <w:t>is shown in Table 3.</w:t>
      </w:r>
    </w:p>
    <w:p w14:paraId="00233182" w14:textId="16C28FD2" w:rsidR="001A6FD3" w:rsidRDefault="001A6FD3" w:rsidP="00D2585A">
      <w:pPr>
        <w:pStyle w:val="Tableheading"/>
      </w:pPr>
      <w:r>
        <w:lastRenderedPageBreak/>
        <w:t>Status quo costs</w:t>
      </w:r>
    </w:p>
    <w:tbl>
      <w:tblPr>
        <w:tblStyle w:val="ACMAtablestyle"/>
        <w:tblW w:w="8642" w:type="dxa"/>
        <w:tblCellMar>
          <w:top w:w="85" w:type="dxa"/>
          <w:left w:w="57" w:type="dxa"/>
          <w:bottom w:w="85" w:type="dxa"/>
          <w:right w:w="57" w:type="dxa"/>
        </w:tblCellMar>
        <w:tblLook w:val="04A0" w:firstRow="1" w:lastRow="0" w:firstColumn="1" w:lastColumn="0" w:noHBand="0" w:noVBand="1"/>
      </w:tblPr>
      <w:tblGrid>
        <w:gridCol w:w="2119"/>
        <w:gridCol w:w="1334"/>
        <w:gridCol w:w="5189"/>
      </w:tblGrid>
      <w:tr w:rsidR="001A6FD3" w:rsidRPr="00B83C77" w14:paraId="3F49D424" w14:textId="77777777" w:rsidTr="009A62D2">
        <w:trPr>
          <w:cnfStyle w:val="100000000000" w:firstRow="1" w:lastRow="0" w:firstColumn="0" w:lastColumn="0" w:oddVBand="0" w:evenVBand="0" w:oddHBand="0" w:evenHBand="0" w:firstRowFirstColumn="0" w:firstRowLastColumn="0" w:lastRowFirstColumn="0" w:lastRowLastColumn="0"/>
        </w:trPr>
        <w:tc>
          <w:tcPr>
            <w:tcW w:w="2119" w:type="dxa"/>
          </w:tcPr>
          <w:p w14:paraId="612EF269" w14:textId="77777777" w:rsidR="001A6FD3" w:rsidRPr="009A62D2" w:rsidRDefault="001A6FD3" w:rsidP="009A62D2">
            <w:pPr>
              <w:pStyle w:val="Paragraph"/>
              <w:spacing w:after="0"/>
              <w:rPr>
                <w:b/>
                <w:bCs/>
              </w:rPr>
            </w:pPr>
            <w:r w:rsidRPr="009A62D2">
              <w:rPr>
                <w:b/>
                <w:bCs/>
              </w:rPr>
              <w:t xml:space="preserve">Input </w:t>
            </w:r>
          </w:p>
        </w:tc>
        <w:tc>
          <w:tcPr>
            <w:tcW w:w="1334" w:type="dxa"/>
          </w:tcPr>
          <w:p w14:paraId="61168A19" w14:textId="77777777" w:rsidR="001A6FD3" w:rsidRPr="009A62D2" w:rsidRDefault="001A6FD3" w:rsidP="009A62D2">
            <w:pPr>
              <w:pStyle w:val="Paragraph"/>
              <w:spacing w:after="0"/>
              <w:rPr>
                <w:b/>
                <w:bCs/>
              </w:rPr>
            </w:pPr>
            <w:r w:rsidRPr="009A62D2">
              <w:rPr>
                <w:b/>
                <w:bCs/>
              </w:rPr>
              <w:t>Value</w:t>
            </w:r>
          </w:p>
        </w:tc>
        <w:tc>
          <w:tcPr>
            <w:tcW w:w="5189" w:type="dxa"/>
          </w:tcPr>
          <w:p w14:paraId="38BCD526" w14:textId="77777777" w:rsidR="001A6FD3" w:rsidRPr="009A62D2" w:rsidRDefault="001A6FD3" w:rsidP="009A62D2">
            <w:pPr>
              <w:pStyle w:val="Paragraph"/>
              <w:spacing w:after="0"/>
              <w:rPr>
                <w:b/>
                <w:bCs/>
              </w:rPr>
            </w:pPr>
            <w:r w:rsidRPr="009A62D2">
              <w:rPr>
                <w:b/>
                <w:bCs/>
              </w:rPr>
              <w:t>Calculation and source</w:t>
            </w:r>
          </w:p>
        </w:tc>
      </w:tr>
      <w:tr w:rsidR="001A6FD3" w:rsidRPr="00B83C77" w14:paraId="011BBF5B" w14:textId="77777777" w:rsidTr="009A62D2">
        <w:trPr>
          <w:cnfStyle w:val="000000100000" w:firstRow="0" w:lastRow="0" w:firstColumn="0" w:lastColumn="0" w:oddVBand="0" w:evenVBand="0" w:oddHBand="1" w:evenHBand="0" w:firstRowFirstColumn="0" w:firstRowLastColumn="0" w:lastRowFirstColumn="0" w:lastRowLastColumn="0"/>
        </w:trPr>
        <w:tc>
          <w:tcPr>
            <w:tcW w:w="2119" w:type="dxa"/>
          </w:tcPr>
          <w:p w14:paraId="0E5C51E8" w14:textId="77777777" w:rsidR="001A6FD3" w:rsidRPr="00B83C77" w:rsidRDefault="001A6FD3" w:rsidP="009A62D2">
            <w:pPr>
              <w:pStyle w:val="Paragraph"/>
              <w:spacing w:after="0"/>
            </w:pPr>
            <w:r>
              <w:t>Current cost of financial hardship complaints to the TIO</w:t>
            </w:r>
          </w:p>
        </w:tc>
        <w:tc>
          <w:tcPr>
            <w:tcW w:w="1334" w:type="dxa"/>
          </w:tcPr>
          <w:p w14:paraId="06BEE92E" w14:textId="77777777" w:rsidR="001A6FD3" w:rsidRPr="00B83C77" w:rsidRDefault="001A6FD3" w:rsidP="009A62D2">
            <w:pPr>
              <w:pStyle w:val="Paragraph"/>
              <w:spacing w:after="0"/>
            </w:pPr>
            <w:r w:rsidRPr="000C285F">
              <w:t>$760,419</w:t>
            </w:r>
          </w:p>
        </w:tc>
        <w:tc>
          <w:tcPr>
            <w:tcW w:w="5189" w:type="dxa"/>
          </w:tcPr>
          <w:p w14:paraId="65045084" w14:textId="59869322" w:rsidR="001A6FD3" w:rsidRDefault="001A6FD3" w:rsidP="009A62D2">
            <w:pPr>
              <w:pStyle w:val="Paragraph"/>
              <w:spacing w:after="80"/>
            </w:pPr>
            <w:r w:rsidRPr="00EE153A">
              <w:t xml:space="preserve">TIO </w:t>
            </w:r>
            <w:r w:rsidR="009A62D2">
              <w:t>t</w:t>
            </w:r>
            <w:r w:rsidRPr="00EE153A">
              <w:t>otal expenditure (2023)</w:t>
            </w:r>
            <w:r>
              <w:t xml:space="preserve"> </w:t>
            </w:r>
            <w:r w:rsidRPr="00EE153A">
              <w:t>$30</w:t>
            </w:r>
            <w:r>
              <w:t>.</w:t>
            </w:r>
            <w:r w:rsidRPr="00EE153A">
              <w:t>91</w:t>
            </w:r>
            <w:r>
              <w:t> million.</w:t>
            </w:r>
            <w:r>
              <w:br/>
            </w:r>
            <w:r w:rsidRPr="00B50654">
              <w:t>F</w:t>
            </w:r>
            <w:r>
              <w:t xml:space="preserve">inancial </w:t>
            </w:r>
            <w:r w:rsidR="009A62D2">
              <w:t>h</w:t>
            </w:r>
            <w:r>
              <w:t>ardship</w:t>
            </w:r>
            <w:r w:rsidRPr="00B50654">
              <w:t xml:space="preserve"> </w:t>
            </w:r>
            <w:r>
              <w:t xml:space="preserve">make up </w:t>
            </w:r>
            <w:r w:rsidRPr="00B50654">
              <w:t>2.46% of all complaints</w:t>
            </w:r>
            <w:r>
              <w:t xml:space="preserve"> Note: this assumes the distribution of financial hardship complaints is similar to all complaints</w:t>
            </w:r>
          </w:p>
          <w:p w14:paraId="784E3D79" w14:textId="573515D7" w:rsidR="000378A7" w:rsidRDefault="000378A7" w:rsidP="009A62D2">
            <w:pPr>
              <w:pStyle w:val="Paragraph"/>
              <w:spacing w:after="80"/>
            </w:pPr>
            <w:r>
              <w:t>Average cost of complaint to the TIO was estimated to be around $465</w:t>
            </w:r>
          </w:p>
          <w:p w14:paraId="7191CABE" w14:textId="77777777" w:rsidR="001A6FD3" w:rsidRPr="00B83C77" w:rsidRDefault="001A6FD3" w:rsidP="00A05A0C">
            <w:pPr>
              <w:pStyle w:val="Paragraph"/>
              <w:spacing w:after="0"/>
            </w:pPr>
            <w:r>
              <w:t xml:space="preserve">Source: </w:t>
            </w:r>
            <w:hyperlink r:id="rId32" w:history="1">
              <w:r>
                <w:rPr>
                  <w:rStyle w:val="Hyperlink"/>
                </w:rPr>
                <w:t>www.tio.com.au/sites/default/files/2023-09/TIO%20Financial%20Report%202023.pdf</w:t>
              </w:r>
            </w:hyperlink>
            <w:r>
              <w:t xml:space="preserve"> </w:t>
            </w:r>
          </w:p>
        </w:tc>
      </w:tr>
      <w:tr w:rsidR="001A6FD3" w:rsidRPr="00B83C77" w14:paraId="75B308C1" w14:textId="77777777" w:rsidTr="009A62D2">
        <w:trPr>
          <w:cnfStyle w:val="000000010000" w:firstRow="0" w:lastRow="0" w:firstColumn="0" w:lastColumn="0" w:oddVBand="0" w:evenVBand="0" w:oddHBand="0" w:evenHBand="1" w:firstRowFirstColumn="0" w:firstRowLastColumn="0" w:lastRowFirstColumn="0" w:lastRowLastColumn="0"/>
        </w:trPr>
        <w:tc>
          <w:tcPr>
            <w:tcW w:w="2119" w:type="dxa"/>
          </w:tcPr>
          <w:p w14:paraId="0F474998" w14:textId="77777777" w:rsidR="001A6FD3" w:rsidRDefault="001A6FD3" w:rsidP="009A62D2">
            <w:pPr>
              <w:pStyle w:val="Paragraph"/>
              <w:spacing w:after="0"/>
            </w:pPr>
            <w:r>
              <w:t>Current reconnection cost</w:t>
            </w:r>
          </w:p>
        </w:tc>
        <w:tc>
          <w:tcPr>
            <w:tcW w:w="1334" w:type="dxa"/>
          </w:tcPr>
          <w:p w14:paraId="3CDF004B" w14:textId="77777777" w:rsidR="001A6FD3" w:rsidRPr="000136DC" w:rsidRDefault="001A6FD3" w:rsidP="009A62D2">
            <w:pPr>
              <w:pStyle w:val="Paragraph"/>
              <w:spacing w:after="0"/>
            </w:pPr>
            <w:r w:rsidRPr="00ED5EDE">
              <w:t>$12,677,000</w:t>
            </w:r>
          </w:p>
        </w:tc>
        <w:tc>
          <w:tcPr>
            <w:tcW w:w="5189" w:type="dxa"/>
          </w:tcPr>
          <w:p w14:paraId="1967A318" w14:textId="37E89541" w:rsidR="009A62D2" w:rsidRDefault="001A6FD3" w:rsidP="009A62D2">
            <w:pPr>
              <w:pStyle w:val="Paragraph"/>
              <w:spacing w:after="80"/>
            </w:pPr>
            <w:r>
              <w:t xml:space="preserve">Reconnection cost per customer of $54 per customer (sourced from </w:t>
            </w:r>
            <w:hyperlink r:id="rId33" w:history="1">
              <w:r w:rsidRPr="00FE2230">
                <w:rPr>
                  <w:rStyle w:val="Hyperlink"/>
                </w:rPr>
                <w:t>www.telstra.com.au/content/dam/tcom/our-customer-terms/business-government/pdf/mobilegeneral.pdf</w:t>
              </w:r>
            </w:hyperlink>
            <w:r>
              <w:rPr>
                <w:rStyle w:val="Hyperlink"/>
              </w:rPr>
              <w:t>)</w:t>
            </w:r>
            <w:r>
              <w:t xml:space="preserve"> </w:t>
            </w:r>
            <w:r w:rsidRPr="00D72523">
              <w:t>x</w:t>
            </w:r>
            <w:r>
              <w:t xml:space="preserve"> </w:t>
            </w:r>
            <w:r w:rsidRPr="00637629">
              <w:t>236,332</w:t>
            </w:r>
            <w:r>
              <w:t xml:space="preserve"> disconnection customers</w:t>
            </w:r>
          </w:p>
          <w:p w14:paraId="521B204D" w14:textId="6B8941D2" w:rsidR="001A6FD3" w:rsidRDefault="001A6FD3" w:rsidP="009A62D2">
            <w:pPr>
              <w:pStyle w:val="Paragraph"/>
              <w:spacing w:after="0"/>
            </w:pPr>
            <w:r>
              <w:t>Note: this assumes all disconnected customers are reconnected</w:t>
            </w:r>
          </w:p>
        </w:tc>
      </w:tr>
      <w:tr w:rsidR="001A6FD3" w:rsidRPr="00B83C77" w14:paraId="557D81BC" w14:textId="77777777" w:rsidTr="009A62D2">
        <w:trPr>
          <w:cnfStyle w:val="000000100000" w:firstRow="0" w:lastRow="0" w:firstColumn="0" w:lastColumn="0" w:oddVBand="0" w:evenVBand="0" w:oddHBand="1" w:evenHBand="0" w:firstRowFirstColumn="0" w:firstRowLastColumn="0" w:lastRowFirstColumn="0" w:lastRowLastColumn="0"/>
        </w:trPr>
        <w:tc>
          <w:tcPr>
            <w:tcW w:w="2119" w:type="dxa"/>
          </w:tcPr>
          <w:p w14:paraId="7063CBB2" w14:textId="53EBEFEC" w:rsidR="001A6FD3" w:rsidRPr="00B83C77" w:rsidRDefault="001A6FD3" w:rsidP="009A62D2">
            <w:pPr>
              <w:pStyle w:val="Paragraph"/>
              <w:spacing w:after="0"/>
            </w:pPr>
            <w:r>
              <w:t xml:space="preserve">Current ACMA </w:t>
            </w:r>
            <w:r w:rsidRPr="00E00534">
              <w:t>compliance and enforcement</w:t>
            </w:r>
            <w:r>
              <w:t xml:space="preserve"> cost</w:t>
            </w:r>
          </w:p>
        </w:tc>
        <w:tc>
          <w:tcPr>
            <w:tcW w:w="1334" w:type="dxa"/>
          </w:tcPr>
          <w:p w14:paraId="3F8A67F8" w14:textId="77777777" w:rsidR="001A6FD3" w:rsidRPr="00B83C77" w:rsidRDefault="001A6FD3" w:rsidP="009A62D2">
            <w:pPr>
              <w:pStyle w:val="Paragraph"/>
              <w:spacing w:after="0"/>
            </w:pPr>
            <w:r w:rsidRPr="00E00534">
              <w:t>$984,045</w:t>
            </w:r>
          </w:p>
        </w:tc>
        <w:tc>
          <w:tcPr>
            <w:tcW w:w="5189" w:type="dxa"/>
          </w:tcPr>
          <w:p w14:paraId="3BC37C1F" w14:textId="70B2B32B" w:rsidR="001A6FD3" w:rsidRPr="00B83C77" w:rsidRDefault="001A6FD3" w:rsidP="009A62D2">
            <w:pPr>
              <w:pStyle w:val="Paragraph"/>
              <w:spacing w:after="0"/>
            </w:pPr>
            <w:r>
              <w:t>Based on estimated ACMA staff time spent on financial hardship</w:t>
            </w:r>
            <w:r w:rsidRPr="00E00534">
              <w:t xml:space="preserve"> compliance</w:t>
            </w:r>
            <w:r>
              <w:t xml:space="preserve"> monitoring and enforcement</w:t>
            </w:r>
          </w:p>
        </w:tc>
      </w:tr>
      <w:tr w:rsidR="001A6FD3" w:rsidRPr="00B83C77" w14:paraId="007A28C6" w14:textId="77777777" w:rsidTr="009A62D2">
        <w:trPr>
          <w:cnfStyle w:val="000000010000" w:firstRow="0" w:lastRow="0" w:firstColumn="0" w:lastColumn="0" w:oddVBand="0" w:evenVBand="0" w:oddHBand="0" w:evenHBand="1" w:firstRowFirstColumn="0" w:firstRowLastColumn="0" w:lastRowFirstColumn="0" w:lastRowLastColumn="0"/>
        </w:trPr>
        <w:tc>
          <w:tcPr>
            <w:tcW w:w="2119" w:type="dxa"/>
          </w:tcPr>
          <w:p w14:paraId="4AE6E648" w14:textId="2671B163" w:rsidR="001A6FD3" w:rsidRDefault="001A6FD3" w:rsidP="009A62D2">
            <w:pPr>
              <w:pStyle w:val="Paragraph"/>
              <w:spacing w:after="0"/>
            </w:pPr>
            <w:r>
              <w:t>Current ACMA cost</w:t>
            </w:r>
            <w:r w:rsidRPr="00B107E3">
              <w:t xml:space="preserve"> </w:t>
            </w:r>
            <w:r>
              <w:t>on c</w:t>
            </w:r>
            <w:r w:rsidRPr="00B107E3">
              <w:t xml:space="preserve">ommunicating and educating the TCP </w:t>
            </w:r>
          </w:p>
        </w:tc>
        <w:tc>
          <w:tcPr>
            <w:tcW w:w="1334" w:type="dxa"/>
          </w:tcPr>
          <w:p w14:paraId="587819C3" w14:textId="487E4ABF" w:rsidR="001A6FD3" w:rsidRPr="009A62D2" w:rsidRDefault="001A6FD3" w:rsidP="009A62D2">
            <w:pPr>
              <w:spacing w:after="0" w:line="240" w:lineRule="auto"/>
              <w:rPr>
                <w:rFonts w:cs="Arial"/>
                <w:color w:val="000000"/>
                <w:szCs w:val="20"/>
              </w:rPr>
            </w:pPr>
            <w:r w:rsidRPr="0045102F">
              <w:rPr>
                <w:rFonts w:cs="Arial"/>
                <w:color w:val="000000"/>
                <w:szCs w:val="20"/>
              </w:rPr>
              <w:t>$35,144</w:t>
            </w:r>
          </w:p>
        </w:tc>
        <w:tc>
          <w:tcPr>
            <w:tcW w:w="5189" w:type="dxa"/>
          </w:tcPr>
          <w:p w14:paraId="12812BCE" w14:textId="7B03E1BE" w:rsidR="001A6FD3" w:rsidRDefault="001A6FD3" w:rsidP="009A62D2">
            <w:pPr>
              <w:pStyle w:val="Paragraph"/>
              <w:spacing w:after="0"/>
            </w:pPr>
            <w:r>
              <w:t>Based on estimated ACMA staff time spent on financial hardship</w:t>
            </w:r>
            <w:r w:rsidRPr="00F925CC">
              <w:t xml:space="preserve"> </w:t>
            </w:r>
            <w:r>
              <w:t>education and communications</w:t>
            </w:r>
          </w:p>
        </w:tc>
      </w:tr>
      <w:tr w:rsidR="001A6FD3" w:rsidRPr="00B83C77" w14:paraId="0E05A529" w14:textId="77777777" w:rsidTr="009A62D2">
        <w:trPr>
          <w:cnfStyle w:val="000000100000" w:firstRow="0" w:lastRow="0" w:firstColumn="0" w:lastColumn="0" w:oddVBand="0" w:evenVBand="0" w:oddHBand="1" w:evenHBand="0" w:firstRowFirstColumn="0" w:firstRowLastColumn="0" w:lastRowFirstColumn="0" w:lastRowLastColumn="0"/>
        </w:trPr>
        <w:tc>
          <w:tcPr>
            <w:tcW w:w="2119" w:type="dxa"/>
          </w:tcPr>
          <w:p w14:paraId="697AEA7A" w14:textId="77777777" w:rsidR="001A6FD3" w:rsidRDefault="001A6FD3" w:rsidP="009A62D2">
            <w:pPr>
              <w:pStyle w:val="Paragraph"/>
              <w:spacing w:after="0"/>
            </w:pPr>
            <w:r>
              <w:t>ACMA cost on revised code</w:t>
            </w:r>
          </w:p>
        </w:tc>
        <w:tc>
          <w:tcPr>
            <w:tcW w:w="1334" w:type="dxa"/>
          </w:tcPr>
          <w:p w14:paraId="2B822D27" w14:textId="77777777" w:rsidR="001A6FD3" w:rsidRPr="0045102F" w:rsidRDefault="001A6FD3" w:rsidP="009A62D2">
            <w:pPr>
              <w:spacing w:after="0" w:line="240" w:lineRule="auto"/>
              <w:rPr>
                <w:rFonts w:cs="Arial"/>
                <w:color w:val="000000"/>
                <w:szCs w:val="20"/>
              </w:rPr>
            </w:pPr>
            <w:r w:rsidRPr="0045102F">
              <w:rPr>
                <w:rFonts w:cs="Arial"/>
                <w:color w:val="000000"/>
                <w:szCs w:val="20"/>
              </w:rPr>
              <w:t>$312,395</w:t>
            </w:r>
          </w:p>
        </w:tc>
        <w:tc>
          <w:tcPr>
            <w:tcW w:w="5189" w:type="dxa"/>
          </w:tcPr>
          <w:p w14:paraId="3C0B0683" w14:textId="129064F8" w:rsidR="001A6FD3" w:rsidRDefault="001A6FD3" w:rsidP="009A62D2">
            <w:pPr>
              <w:pStyle w:val="Paragraph"/>
              <w:spacing w:after="0"/>
            </w:pPr>
            <w:r>
              <w:t>Based on estimated ACMA staff time spent on activities associated with the TCP Code review</w:t>
            </w:r>
          </w:p>
        </w:tc>
      </w:tr>
    </w:tbl>
    <w:p w14:paraId="7B9B6F4F" w14:textId="462F586F" w:rsidR="000378A7" w:rsidRPr="000C6331" w:rsidRDefault="000378A7" w:rsidP="009A62D2">
      <w:pPr>
        <w:pStyle w:val="Tableorfigurenote"/>
      </w:pPr>
      <w:r w:rsidRPr="000C6331">
        <w:t xml:space="preserve">Note: the cost of complaints to CSPs was not included in the quantitative analysis. Changes to these costs for CSPs were assumed to be cost neutral when balanced against an increase in time and costs that CSPs would spend on implementing additional </w:t>
      </w:r>
      <w:r w:rsidR="000C6331" w:rsidRPr="000C6331">
        <w:t xml:space="preserve">financial hardship </w:t>
      </w:r>
      <w:r w:rsidRPr="000C6331">
        <w:t xml:space="preserve">arrangements in place instead of dealing with complaints. </w:t>
      </w:r>
    </w:p>
    <w:p w14:paraId="07C1367A" w14:textId="3F794EEF" w:rsidR="001A6FD3" w:rsidRPr="004C7DF0" w:rsidRDefault="001A6FD3" w:rsidP="001A6FD3">
      <w:pPr>
        <w:pStyle w:val="Heading2"/>
      </w:pPr>
      <w:bookmarkStart w:id="55" w:name="_Toc153270570"/>
      <w:bookmarkStart w:id="56" w:name="_Toc155685996"/>
      <w:r w:rsidRPr="003549A1">
        <w:t xml:space="preserve">Option 2A – </w:t>
      </w:r>
      <w:bookmarkEnd w:id="55"/>
      <w:r w:rsidR="00A80D32">
        <w:t xml:space="preserve">Outcomes-based </w:t>
      </w:r>
      <w:r w:rsidR="00E66D6D">
        <w:t>(</w:t>
      </w:r>
      <w:r w:rsidR="00A80D32">
        <w:t>discretionary</w:t>
      </w:r>
      <w:r w:rsidR="00E66D6D">
        <w:t>)</w:t>
      </w:r>
      <w:bookmarkEnd w:id="56"/>
    </w:p>
    <w:p w14:paraId="150EEF79" w14:textId="4B856FB2" w:rsidR="001A6FD3" w:rsidRDefault="001A6FD3" w:rsidP="001A6FD3">
      <w:pPr>
        <w:pStyle w:val="Paragraph"/>
      </w:pPr>
      <w:r>
        <w:t>The ACMA considers that direct regulation as proposed in Option 2A would create more compliance incentives for CSPs than the existing cod</w:t>
      </w:r>
      <w:r w:rsidR="0045102F">
        <w:t>e</w:t>
      </w:r>
      <w:r>
        <w:t>, leveraging a broader range of enforcement options.</w:t>
      </w:r>
      <w:r w:rsidR="0045102F">
        <w:t xml:space="preserve"> </w:t>
      </w:r>
      <w:r>
        <w:t xml:space="preserve">However, </w:t>
      </w:r>
      <w:r w:rsidR="0045102F">
        <w:t>i</w:t>
      </w:r>
      <w:r>
        <w:t>t is</w:t>
      </w:r>
      <w:r w:rsidR="0045102F">
        <w:t xml:space="preserve"> </w:t>
      </w:r>
      <w:r>
        <w:t xml:space="preserve">anticipated that despite the potential advantages, outcomes-focussed </w:t>
      </w:r>
      <w:r w:rsidR="00A80D32">
        <w:t xml:space="preserve">regulation with </w:t>
      </w:r>
      <w:r w:rsidR="00E66D6D">
        <w:t xml:space="preserve">significant </w:t>
      </w:r>
      <w:r w:rsidR="00A80D32">
        <w:t xml:space="preserve">discretionary application </w:t>
      </w:r>
      <w:r>
        <w:t xml:space="preserve"> might be challenging </w:t>
      </w:r>
      <w:r w:rsidR="00E66D6D">
        <w:t xml:space="preserve">for CSPs to implement and the ACMA </w:t>
      </w:r>
      <w:r>
        <w:t>to enforce, possibly resulting in a marginal increase in the number of customers on formal financial hardship arrangements.</w:t>
      </w:r>
    </w:p>
    <w:p w14:paraId="7905B22C" w14:textId="4C768866" w:rsidR="001A6FD3" w:rsidRDefault="001A6FD3" w:rsidP="001A6FD3">
      <w:pPr>
        <w:pStyle w:val="Paragraph"/>
      </w:pPr>
      <w:r>
        <w:t xml:space="preserve">The ACMA’s estimated impact of the change are set out </w:t>
      </w:r>
      <w:r w:rsidRPr="000378A7">
        <w:t xml:space="preserve">in Table </w:t>
      </w:r>
      <w:r w:rsidR="00D2585A">
        <w:t>4</w:t>
      </w:r>
      <w:r w:rsidRPr="000378A7">
        <w:t>.</w:t>
      </w:r>
    </w:p>
    <w:p w14:paraId="6A912B2E" w14:textId="6F2C41AE" w:rsidR="001A6FD3" w:rsidRDefault="001A6FD3" w:rsidP="00A05A0C">
      <w:pPr>
        <w:pStyle w:val="Tableheading"/>
        <w:keepLines/>
      </w:pPr>
      <w:r w:rsidRPr="006071D2">
        <w:lastRenderedPageBreak/>
        <w:t>Modelled change in outcomes</w:t>
      </w:r>
      <w:r>
        <w:t xml:space="preserve"> Option 2A</w:t>
      </w:r>
    </w:p>
    <w:tbl>
      <w:tblPr>
        <w:tblW w:w="8779" w:type="dxa"/>
        <w:tblCellMar>
          <w:top w:w="85" w:type="dxa"/>
          <w:left w:w="57" w:type="dxa"/>
          <w:bottom w:w="85" w:type="dxa"/>
          <w:right w:w="57" w:type="dxa"/>
        </w:tblCellMar>
        <w:tblLook w:val="04A0" w:firstRow="1" w:lastRow="0" w:firstColumn="1" w:lastColumn="0" w:noHBand="0" w:noVBand="1"/>
      </w:tblPr>
      <w:tblGrid>
        <w:gridCol w:w="4810"/>
        <w:gridCol w:w="2097"/>
        <w:gridCol w:w="1872"/>
      </w:tblGrid>
      <w:tr w:rsidR="001A6FD3" w:rsidRPr="00615BF4" w14:paraId="7DAA619A" w14:textId="77777777" w:rsidTr="009A62D2">
        <w:trPr>
          <w:trHeight w:val="26"/>
        </w:trPr>
        <w:tc>
          <w:tcPr>
            <w:tcW w:w="4810" w:type="dxa"/>
            <w:tcBorders>
              <w:top w:val="single" w:sz="8" w:space="0" w:color="A3A3A3"/>
              <w:left w:val="single" w:sz="8" w:space="0" w:color="A3A3A3"/>
              <w:bottom w:val="single" w:sz="4" w:space="0" w:color="auto"/>
              <w:right w:val="single" w:sz="8" w:space="0" w:color="A3A3A3"/>
            </w:tcBorders>
            <w:shd w:val="clear" w:color="auto" w:fill="404040" w:themeFill="text1" w:themeFillTint="BF"/>
            <w:vAlign w:val="center"/>
            <w:hideMark/>
          </w:tcPr>
          <w:p w14:paraId="5E3284D0" w14:textId="77777777" w:rsidR="001A6FD3" w:rsidRPr="00615BF4" w:rsidRDefault="001A6FD3" w:rsidP="00A05A0C">
            <w:pPr>
              <w:keepNext/>
              <w:keepLines/>
              <w:spacing w:after="0" w:line="240" w:lineRule="auto"/>
              <w:rPr>
                <w:rFonts w:cs="Arial"/>
                <w:b/>
                <w:bCs/>
                <w:color w:val="FFFFFF"/>
                <w:szCs w:val="20"/>
              </w:rPr>
            </w:pPr>
            <w:r w:rsidRPr="00615BF4">
              <w:rPr>
                <w:rFonts w:cs="Arial"/>
                <w:b/>
                <w:bCs/>
                <w:color w:val="FFFFFF"/>
                <w:szCs w:val="20"/>
              </w:rPr>
              <w:t>Option</w:t>
            </w:r>
          </w:p>
        </w:tc>
        <w:tc>
          <w:tcPr>
            <w:tcW w:w="2097" w:type="dxa"/>
            <w:tcBorders>
              <w:top w:val="single" w:sz="8" w:space="0" w:color="A3A3A3"/>
              <w:left w:val="nil"/>
              <w:bottom w:val="single" w:sz="4" w:space="0" w:color="auto"/>
              <w:right w:val="single" w:sz="8" w:space="0" w:color="A3A3A3"/>
            </w:tcBorders>
            <w:shd w:val="clear" w:color="auto" w:fill="404040" w:themeFill="text1" w:themeFillTint="BF"/>
            <w:vAlign w:val="center"/>
            <w:hideMark/>
          </w:tcPr>
          <w:p w14:paraId="531DF820" w14:textId="156FDBCD" w:rsidR="001A6FD3" w:rsidRPr="00615BF4" w:rsidRDefault="001A6FD3" w:rsidP="00A05A0C">
            <w:pPr>
              <w:keepNext/>
              <w:keepLines/>
              <w:spacing w:after="0" w:line="240" w:lineRule="auto"/>
              <w:jc w:val="right"/>
              <w:rPr>
                <w:rFonts w:cs="Arial"/>
                <w:b/>
                <w:bCs/>
                <w:color w:val="FFFFFF"/>
                <w:szCs w:val="20"/>
              </w:rPr>
            </w:pPr>
            <w:r w:rsidRPr="00615BF4">
              <w:rPr>
                <w:rFonts w:cs="Arial"/>
                <w:b/>
                <w:bCs/>
                <w:color w:val="FFFFFF"/>
                <w:szCs w:val="20"/>
              </w:rPr>
              <w:t>Option 1</w:t>
            </w:r>
          </w:p>
        </w:tc>
        <w:tc>
          <w:tcPr>
            <w:tcW w:w="1872" w:type="dxa"/>
            <w:tcBorders>
              <w:top w:val="single" w:sz="8" w:space="0" w:color="A3A3A3"/>
              <w:left w:val="nil"/>
              <w:bottom w:val="single" w:sz="4" w:space="0" w:color="auto"/>
              <w:right w:val="single" w:sz="8" w:space="0" w:color="A3A3A3"/>
            </w:tcBorders>
            <w:shd w:val="clear" w:color="auto" w:fill="404040" w:themeFill="text1" w:themeFillTint="BF"/>
            <w:vAlign w:val="center"/>
            <w:hideMark/>
          </w:tcPr>
          <w:p w14:paraId="3FC4D84A" w14:textId="5F536323" w:rsidR="001A6FD3" w:rsidRPr="00615BF4" w:rsidRDefault="001A6FD3" w:rsidP="00A05A0C">
            <w:pPr>
              <w:keepNext/>
              <w:keepLines/>
              <w:spacing w:after="0" w:line="240" w:lineRule="auto"/>
              <w:jc w:val="right"/>
              <w:rPr>
                <w:rFonts w:cs="Arial"/>
                <w:b/>
                <w:bCs/>
                <w:color w:val="FFFFFF"/>
                <w:szCs w:val="20"/>
              </w:rPr>
            </w:pPr>
            <w:r w:rsidRPr="00615BF4">
              <w:rPr>
                <w:rFonts w:cs="Arial"/>
                <w:b/>
                <w:bCs/>
                <w:color w:val="FFFFFF"/>
                <w:szCs w:val="20"/>
              </w:rPr>
              <w:t xml:space="preserve">Option 2A </w:t>
            </w:r>
          </w:p>
        </w:tc>
      </w:tr>
      <w:tr w:rsidR="001A6FD3" w:rsidRPr="00615BF4" w14:paraId="0CCCBA93" w14:textId="77777777" w:rsidTr="009A62D2">
        <w:trPr>
          <w:trHeight w:val="64"/>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F3F2B" w14:textId="4E6F1B05" w:rsidR="001A6FD3" w:rsidRPr="00615BF4" w:rsidRDefault="001A6FD3" w:rsidP="00A05A0C">
            <w:pPr>
              <w:keepNext/>
              <w:keepLines/>
              <w:spacing w:after="0" w:line="240" w:lineRule="auto"/>
              <w:rPr>
                <w:rFonts w:cs="Arial"/>
                <w:color w:val="000000"/>
                <w:szCs w:val="20"/>
              </w:rPr>
            </w:pPr>
            <w:r w:rsidRPr="00615BF4">
              <w:rPr>
                <w:rFonts w:cs="Arial"/>
                <w:color w:val="000000"/>
                <w:szCs w:val="20"/>
              </w:rPr>
              <w:t xml:space="preserve">% of potential disconnection customers on formal </w:t>
            </w:r>
            <w:r w:rsidR="000C6331">
              <w:rPr>
                <w:rFonts w:cs="Arial"/>
                <w:color w:val="000000"/>
                <w:szCs w:val="20"/>
              </w:rPr>
              <w:t>financial hardship</w:t>
            </w:r>
            <w:r w:rsidR="000C6331" w:rsidRPr="00615BF4">
              <w:rPr>
                <w:rFonts w:cs="Arial"/>
                <w:color w:val="000000"/>
                <w:szCs w:val="20"/>
              </w:rPr>
              <w:t xml:space="preserve"> </w:t>
            </w:r>
            <w:r w:rsidRPr="00615BF4">
              <w:rPr>
                <w:rFonts w:cs="Arial"/>
                <w:color w:val="000000"/>
                <w:szCs w:val="20"/>
              </w:rPr>
              <w:t>arrangement and successful completion</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70F97" w14:textId="77777777" w:rsidR="001A6FD3" w:rsidRPr="00615BF4" w:rsidRDefault="001A6FD3" w:rsidP="00A05A0C">
            <w:pPr>
              <w:keepNext/>
              <w:keepLines/>
              <w:spacing w:after="0" w:line="240" w:lineRule="auto"/>
              <w:jc w:val="right"/>
              <w:rPr>
                <w:rFonts w:cs="Arial"/>
                <w:color w:val="000000"/>
                <w:szCs w:val="20"/>
              </w:rPr>
            </w:pPr>
            <w:r w:rsidRPr="00615BF4">
              <w:rPr>
                <w:rFonts w:cs="Arial"/>
                <w:color w:val="000000"/>
                <w:szCs w:val="20"/>
              </w:rPr>
              <w:t>1.857%</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DEBD3" w14:textId="77777777" w:rsidR="001A6FD3" w:rsidRPr="00615BF4" w:rsidRDefault="001A6FD3" w:rsidP="00A05A0C">
            <w:pPr>
              <w:keepNext/>
              <w:keepLines/>
              <w:spacing w:after="0" w:line="240" w:lineRule="auto"/>
              <w:jc w:val="right"/>
              <w:rPr>
                <w:rFonts w:cs="Arial"/>
                <w:color w:val="000000"/>
                <w:szCs w:val="20"/>
              </w:rPr>
            </w:pPr>
            <w:r w:rsidRPr="00615BF4">
              <w:rPr>
                <w:rFonts w:cs="Arial"/>
                <w:color w:val="000000"/>
                <w:szCs w:val="20"/>
              </w:rPr>
              <w:t>7%</w:t>
            </w:r>
          </w:p>
        </w:tc>
      </w:tr>
      <w:tr w:rsidR="001A6FD3" w:rsidRPr="00615BF4" w14:paraId="7E7F3221" w14:textId="77777777" w:rsidTr="009A62D2">
        <w:trPr>
          <w:trHeight w:val="64"/>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E405E" w14:textId="4AA1A682" w:rsidR="001A6FD3" w:rsidRPr="00615BF4" w:rsidRDefault="001A6FD3" w:rsidP="00A05A0C">
            <w:pPr>
              <w:keepNext/>
              <w:keepLines/>
              <w:spacing w:after="0" w:line="240" w:lineRule="auto"/>
              <w:rPr>
                <w:rFonts w:cs="Arial"/>
                <w:color w:val="000000"/>
                <w:szCs w:val="20"/>
              </w:rPr>
            </w:pPr>
            <w:r w:rsidRPr="00615BF4">
              <w:rPr>
                <w:rFonts w:cs="Arial"/>
                <w:color w:val="000000"/>
                <w:szCs w:val="20"/>
              </w:rPr>
              <w:t>N</w:t>
            </w:r>
            <w:r>
              <w:rPr>
                <w:rFonts w:cs="Arial"/>
                <w:color w:val="000000"/>
                <w:szCs w:val="20"/>
              </w:rPr>
              <w:t>umber</w:t>
            </w:r>
            <w:r w:rsidRPr="00615BF4">
              <w:rPr>
                <w:rFonts w:cs="Arial"/>
                <w:color w:val="000000"/>
                <w:szCs w:val="20"/>
              </w:rPr>
              <w:t xml:space="preserve"> of potential disconnection customers on formal </w:t>
            </w:r>
            <w:r>
              <w:t xml:space="preserve">financial hardship </w:t>
            </w:r>
            <w:r w:rsidRPr="00615BF4">
              <w:rPr>
                <w:rFonts w:cs="Arial"/>
                <w:color w:val="000000"/>
                <w:szCs w:val="20"/>
              </w:rPr>
              <w:t xml:space="preserve">arrangement and successful completion </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81B03" w14:textId="77777777" w:rsidR="001A6FD3" w:rsidRPr="00615BF4" w:rsidRDefault="001A6FD3" w:rsidP="00A05A0C">
            <w:pPr>
              <w:keepNext/>
              <w:keepLines/>
              <w:spacing w:after="0" w:line="240" w:lineRule="auto"/>
              <w:jc w:val="right"/>
              <w:rPr>
                <w:rFonts w:cs="Arial"/>
                <w:color w:val="000000"/>
                <w:szCs w:val="20"/>
              </w:rPr>
            </w:pPr>
            <w:r w:rsidRPr="00615BF4">
              <w:rPr>
                <w:rFonts w:cs="Arial"/>
                <w:color w:val="000000"/>
                <w:szCs w:val="20"/>
              </w:rPr>
              <w:t>4,388</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0F2CB" w14:textId="77777777" w:rsidR="001A6FD3" w:rsidRPr="00615BF4" w:rsidRDefault="001A6FD3" w:rsidP="00A05A0C">
            <w:pPr>
              <w:keepNext/>
              <w:keepLines/>
              <w:spacing w:after="0" w:line="240" w:lineRule="auto"/>
              <w:jc w:val="right"/>
              <w:rPr>
                <w:rFonts w:cs="Arial"/>
                <w:color w:val="000000"/>
                <w:szCs w:val="20"/>
              </w:rPr>
            </w:pPr>
            <w:r w:rsidRPr="00615BF4">
              <w:rPr>
                <w:rFonts w:cs="Arial"/>
                <w:color w:val="000000"/>
                <w:szCs w:val="20"/>
              </w:rPr>
              <w:t>16,850</w:t>
            </w:r>
          </w:p>
        </w:tc>
      </w:tr>
      <w:tr w:rsidR="001A6FD3" w:rsidRPr="00615BF4" w14:paraId="416EFC93" w14:textId="77777777" w:rsidTr="009A62D2">
        <w:trPr>
          <w:trHeight w:val="64"/>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31AC4" w14:textId="0EF4A84F" w:rsidR="001A6FD3" w:rsidRPr="00615BF4" w:rsidRDefault="001A6FD3" w:rsidP="00A05A0C">
            <w:pPr>
              <w:keepNext/>
              <w:keepLines/>
              <w:spacing w:after="0" w:line="240" w:lineRule="auto"/>
              <w:rPr>
                <w:rFonts w:cs="Arial"/>
                <w:color w:val="000000"/>
                <w:szCs w:val="20"/>
              </w:rPr>
            </w:pPr>
            <w:r w:rsidRPr="00615BF4">
              <w:rPr>
                <w:rFonts w:cs="Arial"/>
                <w:color w:val="000000"/>
                <w:szCs w:val="20"/>
              </w:rPr>
              <w:t xml:space="preserve">Disconnections due to </w:t>
            </w:r>
            <w:r w:rsidR="009A62D2" w:rsidRPr="00615BF4">
              <w:rPr>
                <w:rFonts w:cs="Arial"/>
                <w:color w:val="000000"/>
                <w:szCs w:val="20"/>
              </w:rPr>
              <w:t>non-payment</w:t>
            </w:r>
            <w:r w:rsidRPr="00615BF4">
              <w:rPr>
                <w:rFonts w:cs="Arial"/>
                <w:color w:val="000000"/>
                <w:szCs w:val="20"/>
              </w:rPr>
              <w:t xml:space="preserve"> </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6B7EF" w14:textId="77777777" w:rsidR="001A6FD3" w:rsidRPr="00615BF4" w:rsidRDefault="001A6FD3" w:rsidP="00A05A0C">
            <w:pPr>
              <w:keepNext/>
              <w:keepLines/>
              <w:spacing w:after="0" w:line="240" w:lineRule="auto"/>
              <w:jc w:val="right"/>
              <w:rPr>
                <w:rFonts w:cs="Arial"/>
                <w:color w:val="000000"/>
                <w:szCs w:val="20"/>
              </w:rPr>
            </w:pPr>
            <w:r w:rsidRPr="00615BF4">
              <w:rPr>
                <w:rFonts w:cs="Arial"/>
                <w:color w:val="000000"/>
                <w:szCs w:val="20"/>
              </w:rPr>
              <w:t>236,332</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B007F" w14:textId="77777777" w:rsidR="001A6FD3" w:rsidRPr="00615BF4" w:rsidRDefault="001A6FD3" w:rsidP="00A05A0C">
            <w:pPr>
              <w:keepNext/>
              <w:keepLines/>
              <w:spacing w:after="0" w:line="240" w:lineRule="auto"/>
              <w:jc w:val="right"/>
              <w:rPr>
                <w:rFonts w:cs="Arial"/>
                <w:color w:val="000000"/>
                <w:szCs w:val="20"/>
              </w:rPr>
            </w:pPr>
            <w:r w:rsidRPr="00615BF4">
              <w:rPr>
                <w:rFonts w:cs="Arial"/>
                <w:color w:val="000000"/>
                <w:szCs w:val="20"/>
              </w:rPr>
              <w:t>223,870</w:t>
            </w:r>
          </w:p>
        </w:tc>
      </w:tr>
      <w:tr w:rsidR="001A6FD3" w:rsidRPr="00615BF4" w14:paraId="061109DF" w14:textId="77777777" w:rsidTr="009A62D2">
        <w:trPr>
          <w:trHeight w:val="525"/>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C7795" w14:textId="77777777" w:rsidR="001A6FD3" w:rsidRPr="00615BF4" w:rsidRDefault="001A6FD3" w:rsidP="00A05A0C">
            <w:pPr>
              <w:keepNext/>
              <w:keepLines/>
              <w:spacing w:after="0" w:line="240" w:lineRule="auto"/>
              <w:rPr>
                <w:rFonts w:cs="Arial"/>
                <w:color w:val="000000"/>
                <w:szCs w:val="20"/>
              </w:rPr>
            </w:pPr>
            <w:r w:rsidRPr="00615BF4">
              <w:rPr>
                <w:rFonts w:cs="Arial"/>
                <w:color w:val="000000"/>
                <w:szCs w:val="20"/>
              </w:rPr>
              <w:t>Number of complaints to TIO about financial hardship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46358" w14:textId="77777777" w:rsidR="001A6FD3" w:rsidRPr="00615BF4" w:rsidRDefault="001A6FD3" w:rsidP="00A05A0C">
            <w:pPr>
              <w:keepNext/>
              <w:keepLines/>
              <w:spacing w:after="0" w:line="240" w:lineRule="auto"/>
              <w:jc w:val="right"/>
              <w:rPr>
                <w:rFonts w:cs="Arial"/>
                <w:color w:val="000000"/>
                <w:szCs w:val="20"/>
              </w:rPr>
            </w:pPr>
            <w:r w:rsidRPr="00615BF4">
              <w:rPr>
                <w:rFonts w:cs="Arial"/>
                <w:color w:val="000000"/>
                <w:szCs w:val="20"/>
              </w:rPr>
              <w:t>1,634</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42D77" w14:textId="77777777" w:rsidR="001A6FD3" w:rsidRPr="00615BF4" w:rsidRDefault="001A6FD3" w:rsidP="00A05A0C">
            <w:pPr>
              <w:keepNext/>
              <w:keepLines/>
              <w:spacing w:after="0" w:line="240" w:lineRule="auto"/>
              <w:jc w:val="right"/>
              <w:rPr>
                <w:rFonts w:cs="Arial"/>
                <w:color w:val="000000"/>
                <w:szCs w:val="20"/>
              </w:rPr>
            </w:pPr>
            <w:r w:rsidRPr="00615BF4">
              <w:rPr>
                <w:rFonts w:cs="Arial"/>
                <w:color w:val="000000"/>
                <w:szCs w:val="20"/>
              </w:rPr>
              <w:t>1,520</w:t>
            </w:r>
          </w:p>
        </w:tc>
      </w:tr>
      <w:tr w:rsidR="001A6FD3" w:rsidRPr="00615BF4" w14:paraId="48CF5440" w14:textId="77777777" w:rsidTr="009A62D2">
        <w:trPr>
          <w:trHeight w:val="525"/>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4691B" w14:textId="77777777" w:rsidR="001A6FD3" w:rsidRPr="00615BF4" w:rsidRDefault="001A6FD3" w:rsidP="00A05A0C">
            <w:pPr>
              <w:keepNext/>
              <w:keepLines/>
              <w:spacing w:after="0" w:line="240" w:lineRule="auto"/>
              <w:rPr>
                <w:rFonts w:cs="Arial"/>
                <w:color w:val="000000"/>
                <w:szCs w:val="20"/>
              </w:rPr>
            </w:pPr>
            <w:r w:rsidRPr="00615BF4">
              <w:rPr>
                <w:rFonts w:cs="Arial"/>
                <w:color w:val="000000"/>
                <w:szCs w:val="20"/>
              </w:rPr>
              <w:t>Number of complaints to CSPs about financial hardship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11A61" w14:textId="77777777" w:rsidR="001A6FD3" w:rsidRPr="00615BF4" w:rsidRDefault="001A6FD3" w:rsidP="00A05A0C">
            <w:pPr>
              <w:keepNext/>
              <w:keepLines/>
              <w:spacing w:after="0" w:line="240" w:lineRule="auto"/>
              <w:jc w:val="right"/>
              <w:rPr>
                <w:rFonts w:cs="Arial"/>
                <w:color w:val="000000"/>
                <w:szCs w:val="20"/>
              </w:rPr>
            </w:pPr>
            <w:r w:rsidRPr="00615BF4">
              <w:rPr>
                <w:rFonts w:cs="Arial"/>
                <w:color w:val="000000"/>
                <w:szCs w:val="20"/>
              </w:rPr>
              <w:t>25,500</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DF8D2" w14:textId="77777777" w:rsidR="001A6FD3" w:rsidRPr="00615BF4" w:rsidRDefault="001A6FD3" w:rsidP="00A05A0C">
            <w:pPr>
              <w:keepNext/>
              <w:keepLines/>
              <w:spacing w:after="0" w:line="240" w:lineRule="auto"/>
              <w:jc w:val="right"/>
              <w:rPr>
                <w:rFonts w:cs="Arial"/>
                <w:color w:val="000000"/>
                <w:szCs w:val="20"/>
              </w:rPr>
            </w:pPr>
            <w:r w:rsidRPr="00615BF4">
              <w:rPr>
                <w:rFonts w:cs="Arial"/>
                <w:color w:val="000000"/>
                <w:szCs w:val="20"/>
              </w:rPr>
              <w:t>23,715</w:t>
            </w:r>
          </w:p>
        </w:tc>
      </w:tr>
      <w:tr w:rsidR="001A6FD3" w:rsidRPr="00615BF4" w14:paraId="628792E4" w14:textId="77777777" w:rsidTr="009A62D2">
        <w:trPr>
          <w:trHeight w:val="300"/>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FEB6C" w14:textId="45FB505F" w:rsidR="001A6FD3" w:rsidRPr="00615BF4" w:rsidRDefault="001A6FD3" w:rsidP="00A05A0C">
            <w:pPr>
              <w:keepNext/>
              <w:keepLines/>
              <w:spacing w:after="0" w:line="240" w:lineRule="auto"/>
              <w:rPr>
                <w:rFonts w:cs="Arial"/>
                <w:color w:val="000000"/>
                <w:szCs w:val="20"/>
              </w:rPr>
            </w:pPr>
            <w:r w:rsidRPr="00615BF4">
              <w:rPr>
                <w:rFonts w:cs="Arial"/>
                <w:color w:val="000000"/>
                <w:szCs w:val="20"/>
              </w:rPr>
              <w:t xml:space="preserve">Total potentially applicable for </w:t>
            </w:r>
            <w:r w:rsidR="000C6331">
              <w:rPr>
                <w:rFonts w:cs="Arial"/>
                <w:color w:val="000000"/>
                <w:szCs w:val="20"/>
              </w:rPr>
              <w:t>financial hardship</w:t>
            </w:r>
          </w:p>
        </w:tc>
        <w:tc>
          <w:tcPr>
            <w:tcW w:w="2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775B6" w14:textId="77777777" w:rsidR="001A6FD3" w:rsidRPr="00DF7B13" w:rsidRDefault="001A6FD3" w:rsidP="00A05A0C">
            <w:pPr>
              <w:keepNext/>
              <w:keepLines/>
              <w:spacing w:after="0" w:line="240" w:lineRule="auto"/>
              <w:jc w:val="right"/>
              <w:rPr>
                <w:rFonts w:cs="Arial"/>
                <w:color w:val="000000"/>
                <w:szCs w:val="20"/>
              </w:rPr>
            </w:pPr>
            <w:r w:rsidRPr="00DF7B13">
              <w:rPr>
                <w:rFonts w:cs="Arial"/>
                <w:color w:val="000000"/>
                <w:szCs w:val="20"/>
              </w:rPr>
              <w:t>240,720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B9B0A" w14:textId="77777777" w:rsidR="001A6FD3" w:rsidRPr="00DF7B13" w:rsidRDefault="001A6FD3" w:rsidP="00A05A0C">
            <w:pPr>
              <w:keepNext/>
              <w:keepLines/>
              <w:spacing w:after="0" w:line="240" w:lineRule="auto"/>
              <w:jc w:val="right"/>
              <w:rPr>
                <w:rFonts w:cs="Arial"/>
                <w:color w:val="000000"/>
                <w:szCs w:val="20"/>
              </w:rPr>
            </w:pPr>
            <w:r w:rsidRPr="00DF7B13">
              <w:rPr>
                <w:rFonts w:cs="Arial"/>
                <w:color w:val="000000"/>
                <w:szCs w:val="20"/>
              </w:rPr>
              <w:t>240,720</w:t>
            </w:r>
          </w:p>
        </w:tc>
      </w:tr>
      <w:tr w:rsidR="001A6FD3" w:rsidRPr="00615BF4" w14:paraId="548B3E36" w14:textId="77777777" w:rsidTr="009A62D2">
        <w:trPr>
          <w:trHeight w:val="300"/>
        </w:trPr>
        <w:tc>
          <w:tcPr>
            <w:tcW w:w="4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B20E1" w14:textId="77777777" w:rsidR="001A6FD3" w:rsidRPr="00615BF4" w:rsidRDefault="001A6FD3" w:rsidP="00A05A0C">
            <w:pPr>
              <w:keepNext/>
              <w:keepLines/>
              <w:spacing w:after="0" w:line="240" w:lineRule="auto"/>
              <w:rPr>
                <w:rFonts w:cs="Arial"/>
                <w:color w:val="000000"/>
                <w:szCs w:val="20"/>
              </w:rPr>
            </w:pPr>
            <w:r w:rsidRPr="00615BF4">
              <w:rPr>
                <w:rFonts w:cs="Arial"/>
                <w:color w:val="000000"/>
                <w:szCs w:val="20"/>
              </w:rPr>
              <w:t xml:space="preserve">% of customers on </w:t>
            </w:r>
            <w:r>
              <w:t>formal financial hardship arrangements</w:t>
            </w:r>
          </w:p>
        </w:tc>
        <w:tc>
          <w:tcPr>
            <w:tcW w:w="2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9085E" w14:textId="77777777" w:rsidR="001A6FD3" w:rsidRPr="00615BF4" w:rsidRDefault="001A6FD3" w:rsidP="00A05A0C">
            <w:pPr>
              <w:pStyle w:val="TableBody"/>
              <w:keepNext/>
              <w:keepLines/>
              <w:jc w:val="right"/>
            </w:pPr>
            <w:r w:rsidRPr="00615BF4">
              <w:t>0.03%</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2D392" w14:textId="77777777" w:rsidR="001A6FD3" w:rsidRPr="00615BF4" w:rsidRDefault="001A6FD3" w:rsidP="00A05A0C">
            <w:pPr>
              <w:pStyle w:val="TableBody"/>
              <w:keepNext/>
              <w:keepLines/>
              <w:jc w:val="right"/>
            </w:pPr>
            <w:r w:rsidRPr="00615BF4">
              <w:t>0.10%</w:t>
            </w:r>
          </w:p>
        </w:tc>
      </w:tr>
    </w:tbl>
    <w:p w14:paraId="7CDE83F7" w14:textId="77777777" w:rsidR="001A6FD3" w:rsidRDefault="001A6FD3" w:rsidP="007B5360">
      <w:pPr>
        <w:spacing w:after="120"/>
        <w:rPr>
          <w:rFonts w:cs="Arial"/>
          <w:szCs w:val="20"/>
        </w:rPr>
      </w:pPr>
    </w:p>
    <w:p w14:paraId="2757CB16" w14:textId="0F57FE87" w:rsidR="000378A7" w:rsidRDefault="000378A7" w:rsidP="000378A7">
      <w:pPr>
        <w:pStyle w:val="Paragraph"/>
      </w:pPr>
      <w:r w:rsidRPr="00BF11DE">
        <w:t xml:space="preserve">The anticipated increase in customers on </w:t>
      </w:r>
      <w:r>
        <w:t xml:space="preserve">financial hardship </w:t>
      </w:r>
      <w:r w:rsidRPr="00BF11DE">
        <w:t xml:space="preserve">arrangements </w:t>
      </w:r>
      <w:r>
        <w:t xml:space="preserve">are based on comparisons with similar financial hardship arrangements in the electricity industry in Australia. </w:t>
      </w:r>
      <w:r w:rsidRPr="00BF11DE">
        <w:t>We expect a modest increase given the stronger incentive to comply</w:t>
      </w:r>
      <w:r>
        <w:t xml:space="preserve"> but consider the more </w:t>
      </w:r>
      <w:r w:rsidR="00A5592F">
        <w:t xml:space="preserve">clearly </w:t>
      </w:r>
      <w:r w:rsidR="00A80D32">
        <w:t xml:space="preserve">enforceable </w:t>
      </w:r>
      <w:r>
        <w:t xml:space="preserve">rules </w:t>
      </w:r>
      <w:r w:rsidR="00E66D6D">
        <w:t xml:space="preserve">in key areas contained within </w:t>
      </w:r>
      <w:r>
        <w:t>Option 2B (similar to those that apply to the electricity sector) would provide a significantly greater increase of around 30% - which aligns with results reported for the electricity industry.</w:t>
      </w:r>
      <w:r>
        <w:rPr>
          <w:rStyle w:val="FootnoteReference"/>
        </w:rPr>
        <w:footnoteReference w:id="50"/>
      </w:r>
    </w:p>
    <w:p w14:paraId="77EBCC8D" w14:textId="77777777" w:rsidR="001A6FD3" w:rsidRPr="00321CE0" w:rsidRDefault="001A6FD3" w:rsidP="001A6FD3">
      <w:pPr>
        <w:pStyle w:val="Heading3"/>
      </w:pPr>
      <w:bookmarkStart w:id="57" w:name="_Toc155685997"/>
      <w:r w:rsidRPr="00321CE0">
        <w:t>Benefits</w:t>
      </w:r>
      <w:bookmarkEnd w:id="57"/>
      <w:r w:rsidRPr="00321CE0">
        <w:t xml:space="preserve"> </w:t>
      </w:r>
    </w:p>
    <w:p w14:paraId="7659B0AC" w14:textId="4D2B7B13" w:rsidR="001A6FD3" w:rsidRDefault="001A6FD3" w:rsidP="001A6FD3">
      <w:pPr>
        <w:rPr>
          <w:rFonts w:cs="Arial"/>
          <w:szCs w:val="20"/>
        </w:rPr>
      </w:pPr>
      <w:r w:rsidRPr="007F65BC">
        <w:t>Industry would have f</w:t>
      </w:r>
      <w:r w:rsidRPr="007F65BC">
        <w:rPr>
          <w:rFonts w:cs="Arial"/>
          <w:szCs w:val="20"/>
        </w:rPr>
        <w:t>lexibility in designing strategies tailored to operational models</w:t>
      </w:r>
      <w:r w:rsidRPr="00126969">
        <w:rPr>
          <w:rFonts w:cs="Arial"/>
          <w:szCs w:val="20"/>
        </w:rPr>
        <w:t xml:space="preserve"> and customer base</w:t>
      </w:r>
      <w:r>
        <w:rPr>
          <w:rFonts w:cs="Arial"/>
          <w:szCs w:val="20"/>
        </w:rPr>
        <w:t>. This option could also e</w:t>
      </w:r>
      <w:r w:rsidRPr="00126969">
        <w:rPr>
          <w:rFonts w:cs="Arial"/>
          <w:szCs w:val="20"/>
        </w:rPr>
        <w:t>ncourage innovation in developing approaches to support customers facing financial hardship</w:t>
      </w:r>
      <w:r>
        <w:rPr>
          <w:rFonts w:cs="Arial"/>
          <w:szCs w:val="20"/>
        </w:rPr>
        <w:t>, with potential for consumers to benefit from more</w:t>
      </w:r>
      <w:r w:rsidRPr="00126969">
        <w:rPr>
          <w:rFonts w:cs="Arial"/>
          <w:szCs w:val="20"/>
        </w:rPr>
        <w:t xml:space="preserve"> diverse and creative solutions tailored to different customer needs</w:t>
      </w:r>
      <w:r>
        <w:rPr>
          <w:rFonts w:cs="Arial"/>
          <w:szCs w:val="20"/>
        </w:rPr>
        <w:t>.</w:t>
      </w:r>
    </w:p>
    <w:p w14:paraId="2D21ADEE" w14:textId="6265E133" w:rsidR="001A6FD3" w:rsidRDefault="001A6FD3" w:rsidP="001A6FD3">
      <w:pPr>
        <w:rPr>
          <w:rFonts w:cs="Arial"/>
          <w:szCs w:val="20"/>
        </w:rPr>
      </w:pPr>
      <w:r>
        <w:rPr>
          <w:rFonts w:cs="Arial"/>
          <w:szCs w:val="20"/>
        </w:rPr>
        <w:t xml:space="preserve">The benefits that could be estimated are set out in Table </w:t>
      </w:r>
      <w:r w:rsidR="00110121">
        <w:rPr>
          <w:rFonts w:cs="Arial"/>
          <w:szCs w:val="20"/>
        </w:rPr>
        <w:t>5</w:t>
      </w:r>
      <w:r>
        <w:rPr>
          <w:rFonts w:cs="Arial"/>
          <w:szCs w:val="20"/>
        </w:rPr>
        <w:t>.</w:t>
      </w:r>
    </w:p>
    <w:p w14:paraId="001A4DA5" w14:textId="5E3D0C2D" w:rsidR="001A6FD3" w:rsidRDefault="000378A7" w:rsidP="00110121">
      <w:pPr>
        <w:pStyle w:val="Tableheading"/>
      </w:pPr>
      <w:r>
        <w:t>Annual b</w:t>
      </w:r>
      <w:r w:rsidR="001A6FD3">
        <w:t>enefits under the Option 2A</w:t>
      </w:r>
    </w:p>
    <w:tbl>
      <w:tblPr>
        <w:tblStyle w:val="ACMAtablestyle"/>
        <w:tblW w:w="8784" w:type="dxa"/>
        <w:tblCellMar>
          <w:top w:w="85" w:type="dxa"/>
          <w:left w:w="57" w:type="dxa"/>
          <w:bottom w:w="85" w:type="dxa"/>
          <w:right w:w="57" w:type="dxa"/>
        </w:tblCellMar>
        <w:tblLook w:val="04A0" w:firstRow="1" w:lastRow="0" w:firstColumn="1" w:lastColumn="0" w:noHBand="0" w:noVBand="1"/>
      </w:tblPr>
      <w:tblGrid>
        <w:gridCol w:w="2119"/>
        <w:gridCol w:w="1334"/>
        <w:gridCol w:w="5331"/>
      </w:tblGrid>
      <w:tr w:rsidR="001A6FD3" w:rsidRPr="00B83C77" w14:paraId="725C2CAC" w14:textId="77777777" w:rsidTr="00832BE0">
        <w:trPr>
          <w:cnfStyle w:val="100000000000" w:firstRow="1" w:lastRow="0" w:firstColumn="0" w:lastColumn="0" w:oddVBand="0" w:evenVBand="0" w:oddHBand="0" w:evenHBand="0" w:firstRowFirstColumn="0" w:firstRowLastColumn="0" w:lastRowFirstColumn="0" w:lastRowLastColumn="0"/>
        </w:trPr>
        <w:tc>
          <w:tcPr>
            <w:tcW w:w="2119" w:type="dxa"/>
          </w:tcPr>
          <w:p w14:paraId="0C215FAD" w14:textId="77777777" w:rsidR="001A6FD3" w:rsidRPr="009A62D2" w:rsidRDefault="001A6FD3" w:rsidP="009A62D2">
            <w:pPr>
              <w:pStyle w:val="Paragraph"/>
              <w:spacing w:after="0"/>
              <w:rPr>
                <w:b/>
                <w:bCs/>
              </w:rPr>
            </w:pPr>
            <w:r w:rsidRPr="009A62D2">
              <w:rPr>
                <w:b/>
                <w:bCs/>
              </w:rPr>
              <w:t xml:space="preserve">Input </w:t>
            </w:r>
          </w:p>
        </w:tc>
        <w:tc>
          <w:tcPr>
            <w:tcW w:w="1334" w:type="dxa"/>
          </w:tcPr>
          <w:p w14:paraId="7760342E" w14:textId="77777777" w:rsidR="001A6FD3" w:rsidRPr="009A62D2" w:rsidRDefault="001A6FD3" w:rsidP="009A62D2">
            <w:pPr>
              <w:pStyle w:val="Paragraph"/>
              <w:spacing w:after="0"/>
              <w:rPr>
                <w:b/>
                <w:bCs/>
              </w:rPr>
            </w:pPr>
            <w:r w:rsidRPr="009A62D2">
              <w:rPr>
                <w:b/>
                <w:bCs/>
              </w:rPr>
              <w:t>Value</w:t>
            </w:r>
          </w:p>
        </w:tc>
        <w:tc>
          <w:tcPr>
            <w:tcW w:w="5331" w:type="dxa"/>
          </w:tcPr>
          <w:p w14:paraId="40BECA1A" w14:textId="77777777" w:rsidR="001A6FD3" w:rsidRPr="009A62D2" w:rsidRDefault="001A6FD3" w:rsidP="009A62D2">
            <w:pPr>
              <w:pStyle w:val="Paragraph"/>
              <w:spacing w:after="0"/>
              <w:rPr>
                <w:b/>
                <w:bCs/>
              </w:rPr>
            </w:pPr>
            <w:r w:rsidRPr="009A62D2">
              <w:rPr>
                <w:b/>
                <w:bCs/>
              </w:rPr>
              <w:t>Calculation and source</w:t>
            </w:r>
          </w:p>
        </w:tc>
      </w:tr>
      <w:tr w:rsidR="001A6FD3" w:rsidRPr="00B83C77" w14:paraId="6E7D7906" w14:textId="77777777" w:rsidTr="00832BE0">
        <w:trPr>
          <w:cnfStyle w:val="000000100000" w:firstRow="0" w:lastRow="0" w:firstColumn="0" w:lastColumn="0" w:oddVBand="0" w:evenVBand="0" w:oddHBand="1" w:evenHBand="0" w:firstRowFirstColumn="0" w:firstRowLastColumn="0" w:lastRowFirstColumn="0" w:lastRowLastColumn="0"/>
        </w:trPr>
        <w:tc>
          <w:tcPr>
            <w:tcW w:w="2119" w:type="dxa"/>
          </w:tcPr>
          <w:p w14:paraId="1106BBC6" w14:textId="77777777" w:rsidR="001A6FD3" w:rsidRPr="00B83C77" w:rsidRDefault="001A6FD3" w:rsidP="009A62D2">
            <w:pPr>
              <w:pStyle w:val="Paragraph"/>
              <w:spacing w:after="0"/>
            </w:pPr>
            <w:r>
              <w:t>Reduction in financial hardship complaints to the TIO</w:t>
            </w:r>
          </w:p>
        </w:tc>
        <w:tc>
          <w:tcPr>
            <w:tcW w:w="1334" w:type="dxa"/>
          </w:tcPr>
          <w:p w14:paraId="4A5E5E97" w14:textId="77777777" w:rsidR="001A6FD3" w:rsidRPr="00B83C77" w:rsidRDefault="001A6FD3" w:rsidP="009A62D2">
            <w:pPr>
              <w:pStyle w:val="Paragraph"/>
              <w:spacing w:after="0"/>
            </w:pPr>
            <w:r w:rsidRPr="0059485E">
              <w:t>$53,229</w:t>
            </w:r>
          </w:p>
        </w:tc>
        <w:tc>
          <w:tcPr>
            <w:tcW w:w="5331" w:type="dxa"/>
          </w:tcPr>
          <w:p w14:paraId="3B864189" w14:textId="77777777" w:rsidR="000378A7" w:rsidRDefault="000378A7" w:rsidP="009A62D2">
            <w:pPr>
              <w:pStyle w:val="Paragraph"/>
              <w:keepNext/>
              <w:keepLines/>
              <w:spacing w:after="80"/>
            </w:pPr>
            <w:r>
              <w:t xml:space="preserve">Cost per complaint = </w:t>
            </w:r>
            <w:r w:rsidRPr="00B83C77">
              <w:t>$465</w:t>
            </w:r>
          </w:p>
          <w:p w14:paraId="288CF984" w14:textId="77777777" w:rsidR="000378A7" w:rsidRDefault="000378A7" w:rsidP="009A62D2">
            <w:pPr>
              <w:pStyle w:val="Paragraph"/>
              <w:keepNext/>
              <w:keepLines/>
              <w:spacing w:after="80"/>
            </w:pPr>
            <w:r>
              <w:t>Reduction in complaints = 114</w:t>
            </w:r>
          </w:p>
          <w:p w14:paraId="215FAD06" w14:textId="434D0123" w:rsidR="001A6FD3" w:rsidRPr="00B83C77" w:rsidRDefault="000378A7" w:rsidP="009A62D2">
            <w:pPr>
              <w:pStyle w:val="Paragraph"/>
              <w:spacing w:after="0"/>
            </w:pPr>
            <w:r>
              <w:t xml:space="preserve">Source: </w:t>
            </w:r>
            <w:hyperlink r:id="rId34" w:history="1">
              <w:r w:rsidRPr="00FE2230">
                <w:rPr>
                  <w:rStyle w:val="Hyperlink"/>
                </w:rPr>
                <w:t>www.tio.com.au/sites/default/files/2023-09/TIO%20Financial%20Report%202023.pdf</w:t>
              </w:r>
            </w:hyperlink>
          </w:p>
        </w:tc>
      </w:tr>
      <w:tr w:rsidR="001A6FD3" w:rsidRPr="00B83C77" w14:paraId="0D4EFD42" w14:textId="77777777" w:rsidTr="00832BE0">
        <w:trPr>
          <w:cnfStyle w:val="000000010000" w:firstRow="0" w:lastRow="0" w:firstColumn="0" w:lastColumn="0" w:oddVBand="0" w:evenVBand="0" w:oddHBand="0" w:evenHBand="1" w:firstRowFirstColumn="0" w:firstRowLastColumn="0" w:lastRowFirstColumn="0" w:lastRowLastColumn="0"/>
        </w:trPr>
        <w:tc>
          <w:tcPr>
            <w:tcW w:w="2119" w:type="dxa"/>
          </w:tcPr>
          <w:p w14:paraId="6B2301DC" w14:textId="77777777" w:rsidR="001A6FD3" w:rsidRDefault="001A6FD3" w:rsidP="009A62D2">
            <w:pPr>
              <w:pStyle w:val="Paragraph"/>
              <w:spacing w:after="0"/>
            </w:pPr>
            <w:r>
              <w:t>Reduction in reconnection cost</w:t>
            </w:r>
          </w:p>
        </w:tc>
        <w:tc>
          <w:tcPr>
            <w:tcW w:w="1334" w:type="dxa"/>
          </w:tcPr>
          <w:p w14:paraId="390B3F05" w14:textId="71DB0B42" w:rsidR="001A6FD3" w:rsidRPr="000136DC" w:rsidRDefault="001A6FD3" w:rsidP="009A62D2">
            <w:pPr>
              <w:pStyle w:val="Paragraph"/>
              <w:spacing w:after="0"/>
            </w:pPr>
            <w:r w:rsidRPr="00050A36">
              <w:t>$</w:t>
            </w:r>
            <w:r w:rsidR="000378A7">
              <w:t>573,270</w:t>
            </w:r>
          </w:p>
        </w:tc>
        <w:tc>
          <w:tcPr>
            <w:tcW w:w="5331" w:type="dxa"/>
          </w:tcPr>
          <w:p w14:paraId="37F33BED" w14:textId="77777777" w:rsidR="000378A7" w:rsidRDefault="000378A7" w:rsidP="009A62D2">
            <w:pPr>
              <w:pStyle w:val="Paragraph"/>
              <w:spacing w:after="80"/>
            </w:pPr>
            <w:r>
              <w:t>Average reconnection cost per customer = $46</w:t>
            </w:r>
          </w:p>
          <w:p w14:paraId="094EBB8F" w14:textId="77777777" w:rsidR="000378A7" w:rsidRDefault="000378A7" w:rsidP="009A62D2">
            <w:pPr>
              <w:pStyle w:val="Paragraph"/>
              <w:spacing w:after="80"/>
            </w:pPr>
            <w:r>
              <w:lastRenderedPageBreak/>
              <w:t xml:space="preserve">Reduction in disconnections = </w:t>
            </w:r>
            <w:r w:rsidRPr="009D60DA">
              <w:t>12,462</w:t>
            </w:r>
          </w:p>
          <w:p w14:paraId="7F7D8472" w14:textId="2C7E02DD" w:rsidR="001A6FD3" w:rsidRDefault="000378A7" w:rsidP="009A62D2">
            <w:pPr>
              <w:pStyle w:val="Paragraph"/>
              <w:spacing w:after="0"/>
            </w:pPr>
            <w:r>
              <w:t xml:space="preserve">Source: </w:t>
            </w:r>
            <w:hyperlink r:id="rId35" w:history="1">
              <w:r w:rsidRPr="00FE2230">
                <w:rPr>
                  <w:rStyle w:val="Hyperlink"/>
                </w:rPr>
                <w:t>www.telstra.com.au/content/dam/tcom/our-customer-terms/business-government/pdf/mobilegeneral.pdf</w:t>
              </w:r>
            </w:hyperlink>
          </w:p>
        </w:tc>
      </w:tr>
    </w:tbl>
    <w:p w14:paraId="2A567990" w14:textId="77777777" w:rsidR="001A6FD3" w:rsidRDefault="001A6FD3" w:rsidP="007B5360">
      <w:pPr>
        <w:pStyle w:val="Paragraph"/>
        <w:spacing w:after="120"/>
      </w:pPr>
    </w:p>
    <w:p w14:paraId="52823FB6" w14:textId="3ACA552B" w:rsidR="001A6FD3" w:rsidRDefault="001A6FD3" w:rsidP="009A62D2">
      <w:pPr>
        <w:pStyle w:val="Paragraph"/>
      </w:pPr>
      <w:r>
        <w:t>In addition to the items valued above, Option 2A is expected to impose various other benefits and costs on CSPs. Consultation on financial hardship reforms in the electricity sector suggest that these impacts are likely to offset each other.</w:t>
      </w:r>
      <w:r>
        <w:rPr>
          <w:rStyle w:val="FootnoteReference"/>
          <w:szCs w:val="20"/>
        </w:rPr>
        <w:footnoteReference w:id="51"/>
      </w:r>
      <w:r w:rsidR="000378A7">
        <w:t xml:space="preserve"> For example, as mentioned above, the cost to CSPs of dealing with complaints relating to financial hardship are likely to be cost neutral when balanced against the time CSPs would instead spend on putting financial hardship arrangements in place for those customers.</w:t>
      </w:r>
    </w:p>
    <w:p w14:paraId="69D2FE02" w14:textId="71CDBBE8" w:rsidR="001A6FD3" w:rsidRPr="0026069F" w:rsidRDefault="001A6FD3" w:rsidP="009A62D2">
      <w:pPr>
        <w:pStyle w:val="Paragraph"/>
      </w:pPr>
      <w:r>
        <w:t>Beyon</w:t>
      </w:r>
      <w:r w:rsidR="003212D2">
        <w:t>d</w:t>
      </w:r>
      <w:r>
        <w:t xml:space="preserve"> the estimate</w:t>
      </w:r>
      <w:r w:rsidR="00137162">
        <w:t>d</w:t>
      </w:r>
      <w:r>
        <w:t xml:space="preserve"> benefits above, Opti</w:t>
      </w:r>
      <w:r w:rsidR="003212D2">
        <w:t>o</w:t>
      </w:r>
      <w:r>
        <w:t>n 2</w:t>
      </w:r>
      <w:r w:rsidR="00C86EA9">
        <w:t>A</w:t>
      </w:r>
      <w:r>
        <w:t xml:space="preserve"> is also expected to deliver a range of advantages to customers who are transitioned to formal financial hardship provisions, thereby avoiding disconnection. These benefits encompass mitigating factors such as l</w:t>
      </w:r>
      <w:r w:rsidRPr="0026069F">
        <w:t>oss of services</w:t>
      </w:r>
      <w:r>
        <w:t>, which can be particularly</w:t>
      </w:r>
      <w:r w:rsidR="003212D2">
        <w:t xml:space="preserve"> </w:t>
      </w:r>
      <w:r w:rsidRPr="0026069F">
        <w:t>disadvantage</w:t>
      </w:r>
      <w:r>
        <w:t>ous</w:t>
      </w:r>
      <w:r w:rsidRPr="0026069F">
        <w:t xml:space="preserve"> for </w:t>
      </w:r>
      <w:r>
        <w:t>individuals</w:t>
      </w:r>
      <w:r w:rsidRPr="0026069F">
        <w:t xml:space="preserve"> </w:t>
      </w:r>
      <w:r>
        <w:t>facing</w:t>
      </w:r>
      <w:r w:rsidRPr="0026069F">
        <w:t xml:space="preserve"> disconnect</w:t>
      </w:r>
      <w:r>
        <w:t xml:space="preserve">ion.  </w:t>
      </w:r>
    </w:p>
    <w:p w14:paraId="45547374" w14:textId="77777777" w:rsidR="001A6FD3" w:rsidRDefault="001A6FD3" w:rsidP="001A6FD3">
      <w:pPr>
        <w:pStyle w:val="Heading3"/>
      </w:pPr>
      <w:bookmarkStart w:id="58" w:name="_Toc155685998"/>
      <w:r w:rsidRPr="00321CE0">
        <w:t>Costs</w:t>
      </w:r>
      <w:bookmarkEnd w:id="58"/>
      <w:r w:rsidRPr="00321CE0">
        <w:t xml:space="preserve"> </w:t>
      </w:r>
    </w:p>
    <w:p w14:paraId="53DE0500" w14:textId="2493AE2D" w:rsidR="001A6FD3" w:rsidRDefault="001A6FD3" w:rsidP="009A62D2">
      <w:pPr>
        <w:pStyle w:val="Paragraph"/>
      </w:pPr>
      <w:r>
        <w:t xml:space="preserve">A range of costs have been identified for </w:t>
      </w:r>
      <w:r w:rsidR="00992502">
        <w:t xml:space="preserve">the </w:t>
      </w:r>
      <w:r>
        <w:t xml:space="preserve">ACMA and are set out in Table </w:t>
      </w:r>
      <w:r w:rsidR="00110121">
        <w:t>6</w:t>
      </w:r>
      <w:r>
        <w:t>, below.</w:t>
      </w:r>
      <w:r w:rsidR="00BC3DC1">
        <w:t xml:space="preserve"> Under </w:t>
      </w:r>
      <w:r w:rsidR="00A05A0C">
        <w:t>O</w:t>
      </w:r>
      <w:r w:rsidR="00BC3DC1">
        <w:t xml:space="preserve">ption 2A, it is anticipated that the Standard will result in an increase in compliance and enforcement effort from the ACMA immediately following implementation. Assuming that under Option 2A, there is some increase in support provided to customers facing financial hardship by the CSPs, compliance and enforcement effort is expected to reduce in the subsequent years. The reduction in costs is lower than status quo but still higher than </w:t>
      </w:r>
      <w:r w:rsidR="00233E8B">
        <w:t xml:space="preserve">Option </w:t>
      </w:r>
      <w:r w:rsidR="00BC3DC1">
        <w:t xml:space="preserve">2B as there is some difficulty in enforcing and ensuring compliance with an outcomes-based standard. The same argument applies to communication and education of the </w:t>
      </w:r>
      <w:r w:rsidR="00C81F3F">
        <w:t>S</w:t>
      </w:r>
      <w:r w:rsidR="00BC3DC1">
        <w:t>tandard by ACMA</w:t>
      </w:r>
      <w:r w:rsidR="00992502">
        <w:t>.</w:t>
      </w:r>
    </w:p>
    <w:p w14:paraId="0772C55E" w14:textId="77777777" w:rsidR="001A6FD3" w:rsidRDefault="001A6FD3" w:rsidP="0022571C">
      <w:pPr>
        <w:pStyle w:val="Tableheading"/>
      </w:pPr>
      <w:r>
        <w:t xml:space="preserve">Estimated ACMA costs under the Option 2A over 10 years </w:t>
      </w:r>
    </w:p>
    <w:tbl>
      <w:tblPr>
        <w:tblStyle w:val="ACMAtablestyle"/>
        <w:tblW w:w="8784" w:type="dxa"/>
        <w:tblCellMar>
          <w:top w:w="85" w:type="dxa"/>
          <w:left w:w="57" w:type="dxa"/>
          <w:bottom w:w="85" w:type="dxa"/>
          <w:right w:w="57" w:type="dxa"/>
        </w:tblCellMar>
        <w:tblLook w:val="04A0" w:firstRow="1" w:lastRow="0" w:firstColumn="1" w:lastColumn="0" w:noHBand="0" w:noVBand="1"/>
      </w:tblPr>
      <w:tblGrid>
        <w:gridCol w:w="2119"/>
        <w:gridCol w:w="1704"/>
        <w:gridCol w:w="4961"/>
      </w:tblGrid>
      <w:tr w:rsidR="001A6FD3" w:rsidRPr="00B83C77" w14:paraId="707819FF" w14:textId="77777777" w:rsidTr="00832BE0">
        <w:trPr>
          <w:cnfStyle w:val="100000000000" w:firstRow="1" w:lastRow="0" w:firstColumn="0" w:lastColumn="0" w:oddVBand="0" w:evenVBand="0" w:oddHBand="0" w:evenHBand="0" w:firstRowFirstColumn="0" w:firstRowLastColumn="0" w:lastRowFirstColumn="0" w:lastRowLastColumn="0"/>
        </w:trPr>
        <w:tc>
          <w:tcPr>
            <w:tcW w:w="2119" w:type="dxa"/>
          </w:tcPr>
          <w:p w14:paraId="590A5DFF" w14:textId="77777777" w:rsidR="001A6FD3" w:rsidRPr="009A62D2" w:rsidRDefault="001A6FD3" w:rsidP="009A62D2">
            <w:pPr>
              <w:pStyle w:val="Paragraph"/>
              <w:spacing w:after="0"/>
              <w:rPr>
                <w:b/>
                <w:bCs/>
              </w:rPr>
            </w:pPr>
            <w:r w:rsidRPr="009A62D2">
              <w:rPr>
                <w:b/>
                <w:bCs/>
              </w:rPr>
              <w:t xml:space="preserve">Input </w:t>
            </w:r>
          </w:p>
        </w:tc>
        <w:tc>
          <w:tcPr>
            <w:tcW w:w="1704" w:type="dxa"/>
          </w:tcPr>
          <w:p w14:paraId="7DC4D7F9" w14:textId="77777777" w:rsidR="001A6FD3" w:rsidRPr="009A62D2" w:rsidRDefault="001A6FD3" w:rsidP="009A62D2">
            <w:pPr>
              <w:pStyle w:val="Paragraph"/>
              <w:spacing w:after="0"/>
              <w:rPr>
                <w:b/>
                <w:bCs/>
              </w:rPr>
            </w:pPr>
            <w:r w:rsidRPr="009A62D2">
              <w:rPr>
                <w:b/>
                <w:bCs/>
              </w:rPr>
              <w:t>Value</w:t>
            </w:r>
          </w:p>
        </w:tc>
        <w:tc>
          <w:tcPr>
            <w:tcW w:w="4961" w:type="dxa"/>
          </w:tcPr>
          <w:p w14:paraId="039E7195" w14:textId="77777777" w:rsidR="001A6FD3" w:rsidRPr="009A62D2" w:rsidRDefault="001A6FD3" w:rsidP="009A62D2">
            <w:pPr>
              <w:pStyle w:val="Paragraph"/>
              <w:spacing w:after="0"/>
              <w:rPr>
                <w:b/>
                <w:bCs/>
              </w:rPr>
            </w:pPr>
            <w:r w:rsidRPr="009A62D2">
              <w:rPr>
                <w:b/>
                <w:bCs/>
              </w:rPr>
              <w:t>Calculation and source</w:t>
            </w:r>
          </w:p>
        </w:tc>
      </w:tr>
      <w:tr w:rsidR="001A6FD3" w:rsidRPr="00B83C77" w14:paraId="6B5E4E2B" w14:textId="77777777" w:rsidTr="00832BE0">
        <w:trPr>
          <w:cnfStyle w:val="000000100000" w:firstRow="0" w:lastRow="0" w:firstColumn="0" w:lastColumn="0" w:oddVBand="0" w:evenVBand="0" w:oddHBand="1" w:evenHBand="0" w:firstRowFirstColumn="0" w:firstRowLastColumn="0" w:lastRowFirstColumn="0" w:lastRowLastColumn="0"/>
        </w:trPr>
        <w:tc>
          <w:tcPr>
            <w:tcW w:w="2119" w:type="dxa"/>
          </w:tcPr>
          <w:p w14:paraId="4A8A46AB" w14:textId="22AA4A0C" w:rsidR="001A6FD3" w:rsidRPr="00B83C77" w:rsidRDefault="00C86EA9" w:rsidP="00A04654">
            <w:pPr>
              <w:pStyle w:val="Paragraph"/>
            </w:pPr>
            <w:r>
              <w:t>C</w:t>
            </w:r>
            <w:r w:rsidR="001A6FD3" w:rsidRPr="00E00534">
              <w:t>ompliance and enforcement</w:t>
            </w:r>
            <w:r w:rsidR="001A6FD3">
              <w:t xml:space="preserve"> cost</w:t>
            </w:r>
          </w:p>
        </w:tc>
        <w:tc>
          <w:tcPr>
            <w:tcW w:w="1704" w:type="dxa"/>
          </w:tcPr>
          <w:p w14:paraId="35C5F1DA" w14:textId="1AC76F39" w:rsidR="001A6FD3" w:rsidRDefault="00267D6F" w:rsidP="009A62D2">
            <w:pPr>
              <w:pStyle w:val="Paragraph"/>
              <w:spacing w:after="80"/>
            </w:pPr>
            <w:r>
              <w:t>Yr.</w:t>
            </w:r>
            <w:r w:rsidR="001A6FD3">
              <w:t xml:space="preserve"> 1 </w:t>
            </w:r>
            <w:r w:rsidR="001A6FD3" w:rsidRPr="00BD1F3E">
              <w:t>$1,124,623</w:t>
            </w:r>
          </w:p>
          <w:p w14:paraId="07AB7BAC" w14:textId="70029873" w:rsidR="001A6FD3" w:rsidRDefault="00267D6F" w:rsidP="009A62D2">
            <w:pPr>
              <w:pStyle w:val="Paragraph"/>
              <w:spacing w:after="80"/>
            </w:pPr>
            <w:r>
              <w:t>Yr.</w:t>
            </w:r>
            <w:r w:rsidR="001A6FD3">
              <w:t xml:space="preserve"> 2 onwards </w:t>
            </w:r>
            <w:r w:rsidR="001A6FD3" w:rsidRPr="00BD1F3E">
              <w:t>$843,467</w:t>
            </w:r>
          </w:p>
          <w:p w14:paraId="05DC08F9" w14:textId="4F8F4CA3" w:rsidR="00BC3DC1" w:rsidRPr="00B83C77" w:rsidRDefault="00BC3DC1" w:rsidP="009A62D2">
            <w:pPr>
              <w:pStyle w:val="Paragraph"/>
              <w:spacing w:after="80"/>
            </w:pPr>
            <w:r>
              <w:t xml:space="preserve">(Status </w:t>
            </w:r>
            <w:r w:rsidR="009A62D2">
              <w:t>q</w:t>
            </w:r>
            <w:r>
              <w:t>uo</w:t>
            </w:r>
            <w:r w:rsidR="009A62D2">
              <w:t xml:space="preserve">: </w:t>
            </w:r>
            <w:r>
              <w:t>$984,045)</w:t>
            </w:r>
          </w:p>
        </w:tc>
        <w:tc>
          <w:tcPr>
            <w:tcW w:w="4961" w:type="dxa"/>
          </w:tcPr>
          <w:p w14:paraId="20B81CAB" w14:textId="77777777" w:rsidR="00BC3DC1" w:rsidRDefault="00BC3DC1" w:rsidP="009A62D2">
            <w:pPr>
              <w:pStyle w:val="Paragraph"/>
              <w:spacing w:after="80"/>
            </w:pPr>
            <w:r>
              <w:t>Based on estimated ACMA staff time spent on financial hardship</w:t>
            </w:r>
            <w:r w:rsidRPr="00E00534">
              <w:t xml:space="preserve"> compliance</w:t>
            </w:r>
            <w:r>
              <w:t xml:space="preserve"> monitoring and enforcement.</w:t>
            </w:r>
          </w:p>
          <w:p w14:paraId="6550E496" w14:textId="56570F9A" w:rsidR="001A6FD3" w:rsidRPr="00B83C77" w:rsidRDefault="00BC3DC1" w:rsidP="009A62D2">
            <w:pPr>
              <w:pStyle w:val="Paragraph"/>
              <w:spacing w:after="0"/>
            </w:pPr>
            <w:r>
              <w:t>It is expected the time spent on compliance and enforcement activities would be greater in Year 1 than the status quo ($984,045) but would be slightly less than the status quo in subsequent years.</w:t>
            </w:r>
          </w:p>
        </w:tc>
      </w:tr>
      <w:tr w:rsidR="001A6FD3" w:rsidRPr="00B83C77" w14:paraId="3CF7C365" w14:textId="77777777" w:rsidTr="00832BE0">
        <w:trPr>
          <w:cnfStyle w:val="000000010000" w:firstRow="0" w:lastRow="0" w:firstColumn="0" w:lastColumn="0" w:oddVBand="0" w:evenVBand="0" w:oddHBand="0" w:evenHBand="1" w:firstRowFirstColumn="0" w:firstRowLastColumn="0" w:lastRowFirstColumn="0" w:lastRowLastColumn="0"/>
        </w:trPr>
        <w:tc>
          <w:tcPr>
            <w:tcW w:w="2119" w:type="dxa"/>
          </w:tcPr>
          <w:p w14:paraId="1BE9B53E" w14:textId="6FFB61BF" w:rsidR="001A6FD3" w:rsidRDefault="001A6FD3" w:rsidP="00A04654">
            <w:pPr>
              <w:pStyle w:val="Paragraph"/>
            </w:pPr>
            <w:r>
              <w:t>C</w:t>
            </w:r>
            <w:r w:rsidRPr="00B107E3">
              <w:t>ommunicating and educating the Standard</w:t>
            </w:r>
          </w:p>
        </w:tc>
        <w:tc>
          <w:tcPr>
            <w:tcW w:w="1704" w:type="dxa"/>
          </w:tcPr>
          <w:p w14:paraId="6FDADB78" w14:textId="2E9F5D34" w:rsidR="001A6FD3" w:rsidRDefault="00267D6F" w:rsidP="009A62D2">
            <w:pPr>
              <w:pStyle w:val="Paragraph"/>
              <w:spacing w:after="80"/>
            </w:pPr>
            <w:r>
              <w:t>Yr.</w:t>
            </w:r>
            <w:r w:rsidR="001A6FD3">
              <w:t xml:space="preserve"> 1 </w:t>
            </w:r>
            <w:r w:rsidR="001A6FD3" w:rsidRPr="00362FE0">
              <w:t>$70,289</w:t>
            </w:r>
          </w:p>
          <w:p w14:paraId="4AB5F4E4" w14:textId="32C75D3F" w:rsidR="001A6FD3" w:rsidRDefault="00267D6F" w:rsidP="009A62D2">
            <w:pPr>
              <w:pStyle w:val="Paragraph"/>
              <w:spacing w:after="80"/>
            </w:pPr>
            <w:r>
              <w:t>Yr.</w:t>
            </w:r>
            <w:r w:rsidR="001A6FD3">
              <w:t xml:space="preserve"> 2 onwards </w:t>
            </w:r>
            <w:r w:rsidR="001A6FD3" w:rsidRPr="00362FE0">
              <w:t>$35,144</w:t>
            </w:r>
          </w:p>
          <w:p w14:paraId="3A228387" w14:textId="7AD06481" w:rsidR="00BC3DC1" w:rsidRPr="00E00534" w:rsidRDefault="00BC3DC1" w:rsidP="009A62D2">
            <w:pPr>
              <w:pStyle w:val="Paragraph"/>
              <w:spacing w:after="0"/>
            </w:pPr>
            <w:r>
              <w:t xml:space="preserve">(Status </w:t>
            </w:r>
            <w:r w:rsidR="009A62D2">
              <w:t>q</w:t>
            </w:r>
            <w:r>
              <w:t>uo</w:t>
            </w:r>
            <w:r w:rsidR="009A62D2">
              <w:t xml:space="preserve">: </w:t>
            </w:r>
            <w:r>
              <w:t>$35,144)</w:t>
            </w:r>
          </w:p>
        </w:tc>
        <w:tc>
          <w:tcPr>
            <w:tcW w:w="4961" w:type="dxa"/>
          </w:tcPr>
          <w:p w14:paraId="591CB279" w14:textId="7A2B7621" w:rsidR="001A6FD3" w:rsidRDefault="00BC3DC1" w:rsidP="009A62D2">
            <w:pPr>
              <w:pStyle w:val="Paragraph"/>
              <w:spacing w:after="0"/>
            </w:pPr>
            <w:r>
              <w:t>Based on estimated ACMA staff time spent on financial hardship</w:t>
            </w:r>
            <w:r w:rsidRPr="00F925CC">
              <w:t xml:space="preserve"> </w:t>
            </w:r>
            <w:r>
              <w:t>education and communications – expected greater cost</w:t>
            </w:r>
            <w:r w:rsidDel="00E81409">
              <w:t xml:space="preserve"> </w:t>
            </w:r>
            <w:r>
              <w:t xml:space="preserve">than status quo in first year the </w:t>
            </w:r>
            <w:r w:rsidR="00C81F3F">
              <w:t>S</w:t>
            </w:r>
            <w:r>
              <w:t>tandard is implemented</w:t>
            </w:r>
            <w:r w:rsidR="00A659A6">
              <w:t>.</w:t>
            </w:r>
          </w:p>
        </w:tc>
      </w:tr>
      <w:tr w:rsidR="001A6FD3" w:rsidRPr="00B83C77" w14:paraId="03E40D01" w14:textId="77777777" w:rsidTr="00832BE0">
        <w:trPr>
          <w:cnfStyle w:val="000000100000" w:firstRow="0" w:lastRow="0" w:firstColumn="0" w:lastColumn="0" w:oddVBand="0" w:evenVBand="0" w:oddHBand="1" w:evenHBand="0" w:firstRowFirstColumn="0" w:firstRowLastColumn="0" w:lastRowFirstColumn="0" w:lastRowLastColumn="0"/>
        </w:trPr>
        <w:tc>
          <w:tcPr>
            <w:tcW w:w="2119" w:type="dxa"/>
          </w:tcPr>
          <w:p w14:paraId="080FC1B4" w14:textId="40BF2688" w:rsidR="001A6FD3" w:rsidRDefault="001A6FD3" w:rsidP="00A04654">
            <w:pPr>
              <w:pStyle w:val="Paragraph"/>
            </w:pPr>
            <w:r>
              <w:lastRenderedPageBreak/>
              <w:t>Developing new standard</w:t>
            </w:r>
          </w:p>
        </w:tc>
        <w:tc>
          <w:tcPr>
            <w:tcW w:w="1704" w:type="dxa"/>
          </w:tcPr>
          <w:p w14:paraId="5F86B8DB" w14:textId="77777777" w:rsidR="001A6FD3" w:rsidRPr="000371BF" w:rsidRDefault="001A6FD3" w:rsidP="009A62D2">
            <w:pPr>
              <w:spacing w:after="80" w:line="240" w:lineRule="auto"/>
              <w:rPr>
                <w:rFonts w:cs="Arial"/>
                <w:color w:val="000000"/>
                <w:szCs w:val="20"/>
              </w:rPr>
            </w:pPr>
            <w:r w:rsidRPr="000371BF">
              <w:rPr>
                <w:rFonts w:cs="Arial"/>
                <w:color w:val="000000"/>
                <w:szCs w:val="20"/>
              </w:rPr>
              <w:t>$312,395</w:t>
            </w:r>
          </w:p>
        </w:tc>
        <w:tc>
          <w:tcPr>
            <w:tcW w:w="4961" w:type="dxa"/>
          </w:tcPr>
          <w:p w14:paraId="4E6E98AD" w14:textId="31746A06" w:rsidR="001A6FD3" w:rsidRDefault="00BC3DC1" w:rsidP="009A62D2">
            <w:pPr>
              <w:pStyle w:val="Paragraph"/>
              <w:spacing w:after="0"/>
            </w:pPr>
            <w:r>
              <w:t xml:space="preserve">Based on estimated ACMA staff time to make the </w:t>
            </w:r>
            <w:r w:rsidR="00C81F3F">
              <w:t>S</w:t>
            </w:r>
            <w:r>
              <w:t>tandard - assumed to be equivalent to TCP Code review.</w:t>
            </w:r>
            <w:r w:rsidR="00255362">
              <w:t xml:space="preserve"> While developing a standard is more limited in scope and time than </w:t>
            </w:r>
            <w:r w:rsidR="00A80D32">
              <w:t>a</w:t>
            </w:r>
            <w:r w:rsidR="00255362">
              <w:t xml:space="preserve"> TCP Code review, that must be balanced against the requirements for the ACMA to draft instruments and consult.</w:t>
            </w:r>
          </w:p>
        </w:tc>
      </w:tr>
    </w:tbl>
    <w:p w14:paraId="5ED37EE8" w14:textId="77777777" w:rsidR="001A6FD3" w:rsidRDefault="001A6FD3" w:rsidP="00A05A0C">
      <w:pPr>
        <w:pStyle w:val="Paragraph"/>
        <w:spacing w:after="0"/>
      </w:pPr>
    </w:p>
    <w:p w14:paraId="72B8762D" w14:textId="77777777" w:rsidR="001A6FD3" w:rsidRPr="007514EA" w:rsidRDefault="001A6FD3" w:rsidP="00A05A0C">
      <w:pPr>
        <w:pStyle w:val="Heading4"/>
        <w:spacing w:before="120"/>
      </w:pPr>
      <w:r w:rsidRPr="007514EA">
        <w:t xml:space="preserve">CSP costs </w:t>
      </w:r>
    </w:p>
    <w:p w14:paraId="299A8BC5" w14:textId="3E32EAB1" w:rsidR="001A6FD3" w:rsidRPr="00DD73CC" w:rsidRDefault="001A6FD3" w:rsidP="009A62D2">
      <w:pPr>
        <w:pStyle w:val="Paragraph"/>
        <w:rPr>
          <w:i/>
          <w:iCs/>
        </w:rPr>
      </w:pPr>
      <w:r w:rsidRPr="00DD73CC">
        <w:t>CSPs would face potential costs associated with developing and implementing</w:t>
      </w:r>
      <w:r w:rsidRPr="001F15CF">
        <w:t xml:space="preserve"> strategies for early identification and assistance</w:t>
      </w:r>
      <w:r>
        <w:t xml:space="preserve"> if these were not already in place. There may also be costs </w:t>
      </w:r>
      <w:r w:rsidRPr="001F15CF">
        <w:t xml:space="preserve">related to adapting operational models to comply with </w:t>
      </w:r>
      <w:r>
        <w:t>any</w:t>
      </w:r>
      <w:r w:rsidRPr="001F15CF">
        <w:t xml:space="preserve"> </w:t>
      </w:r>
      <w:r>
        <w:t xml:space="preserve">new requirements that are additional to those that CSPs must already comply with in the TCP Code. </w:t>
      </w:r>
    </w:p>
    <w:p w14:paraId="28F0BBF1" w14:textId="77777777" w:rsidR="001A6FD3" w:rsidRDefault="001A6FD3" w:rsidP="007514EA">
      <w:pPr>
        <w:rPr>
          <w:szCs w:val="20"/>
        </w:rPr>
      </w:pPr>
      <w:r>
        <w:rPr>
          <w:szCs w:val="20"/>
        </w:rPr>
        <w:t xml:space="preserve">The number of CSPs covered by the Standard has been estimated to be </w:t>
      </w:r>
      <w:r w:rsidRPr="007514EA">
        <w:rPr>
          <w:rFonts w:cs="Arial"/>
          <w:i/>
          <w:iCs/>
          <w:szCs w:val="20"/>
        </w:rPr>
        <w:t>approximately</w:t>
      </w:r>
      <w:r>
        <w:rPr>
          <w:szCs w:val="20"/>
        </w:rPr>
        <w:t xml:space="preserve"> 350. </w:t>
      </w:r>
    </w:p>
    <w:p w14:paraId="2037AED4" w14:textId="77777777" w:rsidR="001A6FD3" w:rsidRPr="00095568" w:rsidRDefault="001A6FD3" w:rsidP="001A6FD3">
      <w:pPr>
        <w:pStyle w:val="Paragraphbeforelist"/>
        <w:rPr>
          <w:rFonts w:eastAsia="Calibri"/>
          <w:lang w:eastAsia="en-US"/>
        </w:rPr>
      </w:pPr>
      <w:r w:rsidRPr="00095568">
        <w:rPr>
          <w:rFonts w:eastAsia="Calibri"/>
          <w:lang w:eastAsia="en-US"/>
        </w:rPr>
        <w:t xml:space="preserve">For the purposes of this </w:t>
      </w:r>
      <w:r>
        <w:rPr>
          <w:rFonts w:eastAsia="Calibri"/>
          <w:lang w:eastAsia="en-US"/>
        </w:rPr>
        <w:t>impact analysis</w:t>
      </w:r>
      <w:r w:rsidRPr="00095568">
        <w:rPr>
          <w:rFonts w:eastAsia="Calibri"/>
          <w:lang w:eastAsia="en-US"/>
        </w:rPr>
        <w:t xml:space="preserve">, </w:t>
      </w:r>
      <w:r>
        <w:rPr>
          <w:rFonts w:eastAsia="Calibri"/>
          <w:lang w:eastAsia="en-US"/>
        </w:rPr>
        <w:t>CSP</w:t>
      </w:r>
      <w:r w:rsidRPr="00095568">
        <w:rPr>
          <w:rFonts w:eastAsia="Calibri"/>
          <w:lang w:eastAsia="en-US"/>
        </w:rPr>
        <w:t xml:space="preserve">s have been characterised as follows (based on the volume of </w:t>
      </w:r>
      <w:r>
        <w:rPr>
          <w:rFonts w:eastAsia="Calibri"/>
          <w:lang w:eastAsia="en-US"/>
        </w:rPr>
        <w:t>services in operation</w:t>
      </w:r>
      <w:r w:rsidRPr="00095568">
        <w:rPr>
          <w:rFonts w:eastAsia="Calibri"/>
          <w:lang w:eastAsia="en-US"/>
        </w:rPr>
        <w:t>):</w:t>
      </w:r>
    </w:p>
    <w:p w14:paraId="133AB65D" w14:textId="77777777" w:rsidR="001A6FD3" w:rsidRPr="00793F20" w:rsidRDefault="001A6FD3" w:rsidP="00083B2C">
      <w:pPr>
        <w:pStyle w:val="Bulletlevel1"/>
        <w:numPr>
          <w:ilvl w:val="0"/>
          <w:numId w:val="17"/>
        </w:numPr>
        <w:ind w:left="425" w:hanging="425"/>
        <w:rPr>
          <w:lang w:eastAsia="en-US"/>
        </w:rPr>
      </w:pPr>
      <w:r w:rsidRPr="00793F20">
        <w:rPr>
          <w:lang w:eastAsia="en-US"/>
        </w:rPr>
        <w:t>2</w:t>
      </w:r>
      <w:r>
        <w:rPr>
          <w:lang w:eastAsia="en-US"/>
        </w:rPr>
        <w:t xml:space="preserve"> </w:t>
      </w:r>
      <w:r w:rsidRPr="00793F20">
        <w:rPr>
          <w:lang w:eastAsia="en-US"/>
        </w:rPr>
        <w:t>large CSPs</w:t>
      </w:r>
      <w:r>
        <w:rPr>
          <w:lang w:eastAsia="en-US"/>
        </w:rPr>
        <w:t xml:space="preserve"> (</w:t>
      </w:r>
      <w:r w:rsidRPr="00793F20">
        <w:rPr>
          <w:lang w:eastAsia="en-US"/>
        </w:rPr>
        <w:t>over 10 million services</w:t>
      </w:r>
      <w:r>
        <w:rPr>
          <w:lang w:eastAsia="en-US"/>
        </w:rPr>
        <w:t>)</w:t>
      </w:r>
    </w:p>
    <w:p w14:paraId="4E72BBDE" w14:textId="77777777" w:rsidR="001A6FD3" w:rsidRPr="00793F20" w:rsidRDefault="001A6FD3" w:rsidP="00083B2C">
      <w:pPr>
        <w:pStyle w:val="Bulletlevel1"/>
        <w:numPr>
          <w:ilvl w:val="0"/>
          <w:numId w:val="17"/>
        </w:numPr>
        <w:ind w:left="425" w:hanging="425"/>
        <w:rPr>
          <w:lang w:eastAsia="en-US"/>
        </w:rPr>
      </w:pPr>
      <w:r w:rsidRPr="00793F20">
        <w:rPr>
          <w:lang w:eastAsia="en-US"/>
        </w:rPr>
        <w:t>4</w:t>
      </w:r>
      <w:r>
        <w:rPr>
          <w:lang w:eastAsia="en-US"/>
        </w:rPr>
        <w:t xml:space="preserve"> </w:t>
      </w:r>
      <w:r w:rsidRPr="00793F20">
        <w:rPr>
          <w:lang w:eastAsia="en-US"/>
        </w:rPr>
        <w:t xml:space="preserve">medium CSPs </w:t>
      </w:r>
      <w:r>
        <w:rPr>
          <w:lang w:eastAsia="en-US"/>
        </w:rPr>
        <w:t>(</w:t>
      </w:r>
      <w:r w:rsidRPr="00793F20">
        <w:rPr>
          <w:lang w:eastAsia="en-US"/>
        </w:rPr>
        <w:t>1 million to 10 million services</w:t>
      </w:r>
      <w:r>
        <w:rPr>
          <w:lang w:eastAsia="en-US"/>
        </w:rPr>
        <w:t>)</w:t>
      </w:r>
    </w:p>
    <w:p w14:paraId="229E0253" w14:textId="77777777" w:rsidR="001A6FD3" w:rsidRPr="00793F20" w:rsidRDefault="001A6FD3" w:rsidP="00083B2C">
      <w:pPr>
        <w:pStyle w:val="Bulletlevel1"/>
        <w:numPr>
          <w:ilvl w:val="0"/>
          <w:numId w:val="17"/>
        </w:numPr>
        <w:ind w:left="425" w:hanging="425"/>
        <w:rPr>
          <w:lang w:eastAsia="en-US"/>
        </w:rPr>
      </w:pPr>
      <w:r w:rsidRPr="00793F20">
        <w:rPr>
          <w:lang w:eastAsia="en-US"/>
        </w:rPr>
        <w:t>27</w:t>
      </w:r>
      <w:r>
        <w:rPr>
          <w:lang w:eastAsia="en-US"/>
        </w:rPr>
        <w:t xml:space="preserve"> </w:t>
      </w:r>
      <w:r w:rsidRPr="00793F20">
        <w:rPr>
          <w:lang w:eastAsia="en-US"/>
        </w:rPr>
        <w:t>small CSPs</w:t>
      </w:r>
      <w:r>
        <w:rPr>
          <w:lang w:eastAsia="en-US"/>
        </w:rPr>
        <w:t xml:space="preserve"> (</w:t>
      </w:r>
      <w:r w:rsidRPr="00793F20">
        <w:rPr>
          <w:lang w:eastAsia="en-US"/>
        </w:rPr>
        <w:t>30,000 to 1 million services</w:t>
      </w:r>
      <w:r>
        <w:rPr>
          <w:lang w:eastAsia="en-US"/>
        </w:rPr>
        <w:t>)</w:t>
      </w:r>
    </w:p>
    <w:p w14:paraId="22CBF95B" w14:textId="77777777" w:rsidR="001A6FD3" w:rsidRPr="00793F20" w:rsidRDefault="001A6FD3" w:rsidP="00653C4C">
      <w:pPr>
        <w:pStyle w:val="Bulletlevel1last"/>
        <w:rPr>
          <w:lang w:eastAsia="en-US"/>
        </w:rPr>
      </w:pPr>
      <w:r w:rsidRPr="00793F20">
        <w:rPr>
          <w:lang w:eastAsia="en-US"/>
        </w:rPr>
        <w:t>317</w:t>
      </w:r>
      <w:r>
        <w:rPr>
          <w:lang w:eastAsia="en-US"/>
        </w:rPr>
        <w:t xml:space="preserve"> </w:t>
      </w:r>
      <w:r w:rsidRPr="00793F20">
        <w:rPr>
          <w:lang w:eastAsia="en-US"/>
        </w:rPr>
        <w:t xml:space="preserve">very small </w:t>
      </w:r>
      <w:r>
        <w:rPr>
          <w:lang w:eastAsia="en-US"/>
        </w:rPr>
        <w:t>CSPs (</w:t>
      </w:r>
      <w:r w:rsidRPr="00793F20">
        <w:rPr>
          <w:lang w:eastAsia="en-US"/>
        </w:rPr>
        <w:t>1 to 30,000 services</w:t>
      </w:r>
      <w:r>
        <w:rPr>
          <w:lang w:eastAsia="en-US"/>
        </w:rPr>
        <w:t>)</w:t>
      </w:r>
    </w:p>
    <w:p w14:paraId="0629CB50" w14:textId="4B1E81EE" w:rsidR="001A6FD3" w:rsidRDefault="001A6FD3" w:rsidP="009A62D2">
      <w:pPr>
        <w:pStyle w:val="Paragraph"/>
      </w:pPr>
      <w:r>
        <w:t xml:space="preserve">The total allocation of costs is set out in Table </w:t>
      </w:r>
      <w:r w:rsidR="001564B1">
        <w:t>7</w:t>
      </w:r>
      <w:r>
        <w:t xml:space="preserve"> below.</w:t>
      </w:r>
    </w:p>
    <w:p w14:paraId="0C6978D5" w14:textId="56F4444C" w:rsidR="001A6FD3" w:rsidRDefault="001A6FD3" w:rsidP="00110121">
      <w:pPr>
        <w:pStyle w:val="Tableheading"/>
      </w:pPr>
      <w:bookmarkStart w:id="59" w:name="_Ref153304568"/>
      <w:r w:rsidRPr="008216AA">
        <w:t>Costs to all CSPs to comply with enforceable obligations under Option 2</w:t>
      </w:r>
      <w:r>
        <w:t>A</w:t>
      </w:r>
      <w:bookmarkEnd w:id="59"/>
      <w:r>
        <w:t xml:space="preserve"> over 10 years</w:t>
      </w:r>
      <w:r>
        <w:rPr>
          <w:rStyle w:val="FootnoteReference"/>
        </w:rPr>
        <w:footnoteReference w:id="52"/>
      </w:r>
    </w:p>
    <w:tbl>
      <w:tblPr>
        <w:tblW w:w="8779" w:type="dxa"/>
        <w:tblCellMar>
          <w:top w:w="85" w:type="dxa"/>
          <w:left w:w="57" w:type="dxa"/>
          <w:bottom w:w="85" w:type="dxa"/>
          <w:right w:w="57" w:type="dxa"/>
        </w:tblCellMar>
        <w:tblLook w:val="04A0" w:firstRow="1" w:lastRow="0" w:firstColumn="1" w:lastColumn="0" w:noHBand="0" w:noVBand="1"/>
      </w:tblPr>
      <w:tblGrid>
        <w:gridCol w:w="2088"/>
        <w:gridCol w:w="2089"/>
        <w:gridCol w:w="2088"/>
        <w:gridCol w:w="2514"/>
      </w:tblGrid>
      <w:tr w:rsidR="001A6FD3" w:rsidRPr="00A54C18" w14:paraId="3435F83D" w14:textId="77777777" w:rsidTr="00832BE0">
        <w:trPr>
          <w:trHeight w:val="525"/>
        </w:trPr>
        <w:tc>
          <w:tcPr>
            <w:tcW w:w="2088" w:type="dxa"/>
            <w:tcBorders>
              <w:top w:val="single" w:sz="8" w:space="0" w:color="auto"/>
              <w:left w:val="single" w:sz="8" w:space="0" w:color="auto"/>
              <w:bottom w:val="single" w:sz="8" w:space="0" w:color="auto"/>
              <w:right w:val="single" w:sz="8" w:space="0" w:color="auto"/>
            </w:tcBorders>
            <w:shd w:val="clear" w:color="000000" w:fill="404040"/>
            <w:hideMark/>
          </w:tcPr>
          <w:p w14:paraId="454D42C5" w14:textId="77777777" w:rsidR="001A6FD3" w:rsidRPr="00A54C18" w:rsidRDefault="001A6FD3" w:rsidP="009A62D2">
            <w:pPr>
              <w:spacing w:after="0" w:line="240" w:lineRule="auto"/>
              <w:rPr>
                <w:rFonts w:cs="Arial"/>
                <w:b/>
                <w:bCs/>
                <w:color w:val="FFFFFF"/>
                <w:szCs w:val="20"/>
              </w:rPr>
            </w:pPr>
            <w:r w:rsidRPr="00A54C18">
              <w:rPr>
                <w:rFonts w:cs="Arial"/>
                <w:b/>
                <w:bCs/>
                <w:color w:val="FFFFFF"/>
                <w:szCs w:val="20"/>
              </w:rPr>
              <w:t>Category</w:t>
            </w:r>
          </w:p>
        </w:tc>
        <w:tc>
          <w:tcPr>
            <w:tcW w:w="2089" w:type="dxa"/>
            <w:tcBorders>
              <w:top w:val="single" w:sz="8" w:space="0" w:color="auto"/>
              <w:left w:val="nil"/>
              <w:bottom w:val="single" w:sz="8" w:space="0" w:color="auto"/>
              <w:right w:val="single" w:sz="8" w:space="0" w:color="auto"/>
            </w:tcBorders>
            <w:shd w:val="clear" w:color="000000" w:fill="404040"/>
            <w:hideMark/>
          </w:tcPr>
          <w:p w14:paraId="40074CAB" w14:textId="77777777" w:rsidR="001A6FD3" w:rsidRPr="00A54C18" w:rsidRDefault="001A6FD3" w:rsidP="009A62D2">
            <w:pPr>
              <w:spacing w:after="0" w:line="240" w:lineRule="auto"/>
              <w:jc w:val="right"/>
              <w:rPr>
                <w:rFonts w:cs="Arial"/>
                <w:b/>
                <w:bCs/>
                <w:color w:val="FFFFFF"/>
                <w:szCs w:val="20"/>
              </w:rPr>
            </w:pPr>
            <w:r w:rsidRPr="00A54C18">
              <w:rPr>
                <w:rFonts w:cs="Arial"/>
                <w:b/>
                <w:bCs/>
                <w:color w:val="FFFFFF"/>
                <w:szCs w:val="20"/>
              </w:rPr>
              <w:t>Number of businesses</w:t>
            </w:r>
          </w:p>
        </w:tc>
        <w:tc>
          <w:tcPr>
            <w:tcW w:w="2088" w:type="dxa"/>
            <w:tcBorders>
              <w:top w:val="single" w:sz="8" w:space="0" w:color="auto"/>
              <w:left w:val="nil"/>
              <w:bottom w:val="single" w:sz="8" w:space="0" w:color="auto"/>
              <w:right w:val="single" w:sz="8" w:space="0" w:color="auto"/>
            </w:tcBorders>
            <w:shd w:val="clear" w:color="000000" w:fill="404040"/>
            <w:hideMark/>
          </w:tcPr>
          <w:p w14:paraId="73151270" w14:textId="359DDC0D" w:rsidR="001A6FD3" w:rsidRPr="00A54C18" w:rsidRDefault="001A6FD3" w:rsidP="009A62D2">
            <w:pPr>
              <w:spacing w:after="0" w:line="240" w:lineRule="auto"/>
              <w:jc w:val="right"/>
              <w:rPr>
                <w:rFonts w:cs="Arial"/>
                <w:b/>
                <w:bCs/>
                <w:color w:val="FFFFFF"/>
                <w:szCs w:val="20"/>
              </w:rPr>
            </w:pPr>
            <w:r w:rsidRPr="00A54C18">
              <w:rPr>
                <w:rFonts w:cs="Arial"/>
                <w:b/>
                <w:bCs/>
                <w:color w:val="FFFFFF"/>
                <w:szCs w:val="20"/>
              </w:rPr>
              <w:t xml:space="preserve">Total costs: </w:t>
            </w:r>
            <w:r w:rsidR="009A62D2">
              <w:rPr>
                <w:rFonts w:cs="Arial"/>
                <w:b/>
                <w:bCs/>
                <w:color w:val="FFFFFF"/>
                <w:szCs w:val="20"/>
              </w:rPr>
              <w:br/>
            </w:r>
            <w:r w:rsidRPr="00A54C18">
              <w:rPr>
                <w:rFonts w:cs="Arial"/>
                <w:b/>
                <w:bCs/>
                <w:color w:val="FFFFFF"/>
                <w:szCs w:val="20"/>
              </w:rPr>
              <w:t xml:space="preserve">Year 1 </w:t>
            </w:r>
          </w:p>
        </w:tc>
        <w:tc>
          <w:tcPr>
            <w:tcW w:w="2514" w:type="dxa"/>
            <w:tcBorders>
              <w:top w:val="single" w:sz="8" w:space="0" w:color="auto"/>
              <w:left w:val="nil"/>
              <w:bottom w:val="single" w:sz="8" w:space="0" w:color="auto"/>
              <w:right w:val="single" w:sz="8" w:space="0" w:color="auto"/>
            </w:tcBorders>
            <w:shd w:val="clear" w:color="000000" w:fill="404040"/>
            <w:hideMark/>
          </w:tcPr>
          <w:p w14:paraId="0A71361F" w14:textId="040FA969" w:rsidR="001A6FD3" w:rsidRPr="00A54C18" w:rsidRDefault="001A6FD3" w:rsidP="009A62D2">
            <w:pPr>
              <w:spacing w:after="0" w:line="240" w:lineRule="auto"/>
              <w:jc w:val="right"/>
              <w:rPr>
                <w:rFonts w:cs="Arial"/>
                <w:b/>
                <w:bCs/>
                <w:color w:val="FFFFFF"/>
                <w:szCs w:val="20"/>
              </w:rPr>
            </w:pPr>
            <w:r w:rsidRPr="00A54C18">
              <w:rPr>
                <w:rFonts w:cs="Arial"/>
                <w:b/>
                <w:bCs/>
                <w:color w:val="FFFFFF"/>
                <w:szCs w:val="20"/>
              </w:rPr>
              <w:t xml:space="preserve">Total costs: </w:t>
            </w:r>
            <w:r w:rsidR="009A62D2">
              <w:rPr>
                <w:rFonts w:cs="Arial"/>
                <w:b/>
                <w:bCs/>
                <w:color w:val="FFFFFF"/>
                <w:szCs w:val="20"/>
              </w:rPr>
              <w:br/>
            </w:r>
            <w:r w:rsidRPr="00A54C18">
              <w:rPr>
                <w:rFonts w:cs="Arial"/>
                <w:b/>
                <w:bCs/>
                <w:color w:val="FFFFFF"/>
                <w:szCs w:val="20"/>
              </w:rPr>
              <w:t>Year 2 onwards</w:t>
            </w:r>
          </w:p>
        </w:tc>
      </w:tr>
      <w:tr w:rsidR="001A6FD3" w:rsidRPr="00A54C18" w14:paraId="2DF7682F" w14:textId="77777777" w:rsidTr="00832BE0">
        <w:trPr>
          <w:trHeight w:val="285"/>
        </w:trPr>
        <w:tc>
          <w:tcPr>
            <w:tcW w:w="2088" w:type="dxa"/>
            <w:tcBorders>
              <w:top w:val="nil"/>
              <w:left w:val="single" w:sz="8" w:space="0" w:color="auto"/>
              <w:bottom w:val="single" w:sz="8" w:space="0" w:color="auto"/>
              <w:right w:val="single" w:sz="8" w:space="0" w:color="auto"/>
            </w:tcBorders>
            <w:shd w:val="clear" w:color="auto" w:fill="auto"/>
            <w:vAlign w:val="center"/>
            <w:hideMark/>
          </w:tcPr>
          <w:p w14:paraId="1580FFC0" w14:textId="77777777" w:rsidR="001A6FD3" w:rsidRPr="00A54C18" w:rsidRDefault="001A6FD3" w:rsidP="00A04654">
            <w:pPr>
              <w:spacing w:after="0" w:line="240" w:lineRule="auto"/>
              <w:rPr>
                <w:rFonts w:cs="Arial"/>
                <w:color w:val="000000"/>
                <w:szCs w:val="20"/>
              </w:rPr>
            </w:pPr>
            <w:r w:rsidRPr="00A54C18">
              <w:rPr>
                <w:rFonts w:cs="Arial"/>
                <w:color w:val="000000"/>
                <w:szCs w:val="20"/>
              </w:rPr>
              <w:t>Large</w:t>
            </w:r>
          </w:p>
        </w:tc>
        <w:tc>
          <w:tcPr>
            <w:tcW w:w="2089" w:type="dxa"/>
            <w:tcBorders>
              <w:top w:val="nil"/>
              <w:left w:val="nil"/>
              <w:bottom w:val="single" w:sz="8" w:space="0" w:color="auto"/>
              <w:right w:val="single" w:sz="8" w:space="0" w:color="auto"/>
            </w:tcBorders>
            <w:shd w:val="clear" w:color="auto" w:fill="auto"/>
            <w:vAlign w:val="center"/>
            <w:hideMark/>
          </w:tcPr>
          <w:p w14:paraId="10E01616" w14:textId="77777777" w:rsidR="001A6FD3" w:rsidRPr="00A54C18" w:rsidRDefault="001A6FD3" w:rsidP="00A04654">
            <w:pPr>
              <w:spacing w:after="0" w:line="240" w:lineRule="auto"/>
              <w:jc w:val="right"/>
              <w:rPr>
                <w:rFonts w:cs="Arial"/>
                <w:color w:val="000000"/>
                <w:szCs w:val="20"/>
              </w:rPr>
            </w:pPr>
            <w:r w:rsidRPr="00A54C18">
              <w:rPr>
                <w:rFonts w:cs="Arial"/>
                <w:color w:val="000000"/>
                <w:szCs w:val="20"/>
              </w:rPr>
              <w:t>2</w:t>
            </w:r>
          </w:p>
        </w:tc>
        <w:tc>
          <w:tcPr>
            <w:tcW w:w="2088" w:type="dxa"/>
            <w:tcBorders>
              <w:top w:val="nil"/>
              <w:left w:val="nil"/>
              <w:bottom w:val="single" w:sz="8" w:space="0" w:color="auto"/>
              <w:right w:val="single" w:sz="8" w:space="0" w:color="auto"/>
            </w:tcBorders>
            <w:shd w:val="clear" w:color="auto" w:fill="auto"/>
            <w:vAlign w:val="center"/>
            <w:hideMark/>
          </w:tcPr>
          <w:p w14:paraId="7FBBF958" w14:textId="77777777" w:rsidR="001A6FD3" w:rsidRPr="00A54C18" w:rsidRDefault="001A6FD3" w:rsidP="00A04654">
            <w:pPr>
              <w:spacing w:after="0" w:line="240" w:lineRule="auto"/>
              <w:jc w:val="right"/>
              <w:rPr>
                <w:rFonts w:cs="Arial"/>
                <w:color w:val="000000"/>
                <w:szCs w:val="20"/>
              </w:rPr>
            </w:pPr>
            <w:r w:rsidRPr="00A54C18">
              <w:rPr>
                <w:rFonts w:eastAsia="Calibri" w:cs="Arial"/>
                <w:color w:val="000000"/>
                <w:szCs w:val="20"/>
                <w:lang w:eastAsia="en-US"/>
              </w:rPr>
              <w:t>$123,360</w:t>
            </w:r>
          </w:p>
        </w:tc>
        <w:tc>
          <w:tcPr>
            <w:tcW w:w="2514" w:type="dxa"/>
            <w:tcBorders>
              <w:top w:val="nil"/>
              <w:left w:val="nil"/>
              <w:bottom w:val="single" w:sz="8" w:space="0" w:color="auto"/>
              <w:right w:val="single" w:sz="8" w:space="0" w:color="auto"/>
            </w:tcBorders>
            <w:shd w:val="clear" w:color="auto" w:fill="auto"/>
            <w:vAlign w:val="center"/>
            <w:hideMark/>
          </w:tcPr>
          <w:p w14:paraId="69599D60" w14:textId="77777777" w:rsidR="001A6FD3" w:rsidRPr="00A54C18" w:rsidRDefault="001A6FD3" w:rsidP="00A04654">
            <w:pPr>
              <w:spacing w:after="0" w:line="240" w:lineRule="auto"/>
              <w:jc w:val="right"/>
              <w:rPr>
                <w:rFonts w:cs="Arial"/>
                <w:color w:val="000000"/>
                <w:szCs w:val="20"/>
              </w:rPr>
            </w:pPr>
            <w:r w:rsidRPr="00A54C18">
              <w:rPr>
                <w:rFonts w:eastAsia="Calibri" w:cs="Arial"/>
                <w:color w:val="000000"/>
                <w:szCs w:val="20"/>
                <w:lang w:eastAsia="en-US"/>
              </w:rPr>
              <w:t>$59,467</w:t>
            </w:r>
          </w:p>
        </w:tc>
      </w:tr>
      <w:tr w:rsidR="001A6FD3" w:rsidRPr="00A54C18" w14:paraId="739C1C62" w14:textId="77777777" w:rsidTr="00832BE0">
        <w:trPr>
          <w:trHeight w:val="285"/>
        </w:trPr>
        <w:tc>
          <w:tcPr>
            <w:tcW w:w="2088" w:type="dxa"/>
            <w:tcBorders>
              <w:top w:val="nil"/>
              <w:left w:val="single" w:sz="8" w:space="0" w:color="auto"/>
              <w:bottom w:val="single" w:sz="8" w:space="0" w:color="auto"/>
              <w:right w:val="single" w:sz="8" w:space="0" w:color="auto"/>
            </w:tcBorders>
            <w:shd w:val="clear" w:color="auto" w:fill="auto"/>
            <w:vAlign w:val="center"/>
            <w:hideMark/>
          </w:tcPr>
          <w:p w14:paraId="076493AB" w14:textId="77777777" w:rsidR="001A6FD3" w:rsidRPr="00A54C18" w:rsidRDefault="001A6FD3" w:rsidP="00A04654">
            <w:pPr>
              <w:spacing w:after="0" w:line="240" w:lineRule="auto"/>
              <w:rPr>
                <w:rFonts w:cs="Arial"/>
                <w:color w:val="000000"/>
                <w:szCs w:val="20"/>
              </w:rPr>
            </w:pPr>
            <w:r w:rsidRPr="00A54C18">
              <w:rPr>
                <w:rFonts w:cs="Arial"/>
                <w:color w:val="000000"/>
                <w:szCs w:val="20"/>
              </w:rPr>
              <w:t>Medium</w:t>
            </w:r>
          </w:p>
        </w:tc>
        <w:tc>
          <w:tcPr>
            <w:tcW w:w="2089" w:type="dxa"/>
            <w:tcBorders>
              <w:top w:val="nil"/>
              <w:left w:val="nil"/>
              <w:bottom w:val="single" w:sz="8" w:space="0" w:color="auto"/>
              <w:right w:val="single" w:sz="8" w:space="0" w:color="auto"/>
            </w:tcBorders>
            <w:shd w:val="clear" w:color="auto" w:fill="auto"/>
            <w:vAlign w:val="center"/>
            <w:hideMark/>
          </w:tcPr>
          <w:p w14:paraId="3881AA43" w14:textId="77777777" w:rsidR="001A6FD3" w:rsidRPr="00A54C18" w:rsidRDefault="001A6FD3" w:rsidP="00A04654">
            <w:pPr>
              <w:spacing w:after="0" w:line="240" w:lineRule="auto"/>
              <w:jc w:val="right"/>
              <w:rPr>
                <w:rFonts w:cs="Arial"/>
                <w:color w:val="000000"/>
                <w:szCs w:val="20"/>
              </w:rPr>
            </w:pPr>
            <w:r w:rsidRPr="00A54C18">
              <w:rPr>
                <w:rFonts w:cs="Arial"/>
                <w:color w:val="000000"/>
                <w:szCs w:val="20"/>
              </w:rPr>
              <w:t>4</w:t>
            </w:r>
          </w:p>
        </w:tc>
        <w:tc>
          <w:tcPr>
            <w:tcW w:w="2088" w:type="dxa"/>
            <w:tcBorders>
              <w:top w:val="nil"/>
              <w:left w:val="nil"/>
              <w:bottom w:val="single" w:sz="8" w:space="0" w:color="auto"/>
              <w:right w:val="single" w:sz="8" w:space="0" w:color="auto"/>
            </w:tcBorders>
            <w:shd w:val="clear" w:color="auto" w:fill="auto"/>
            <w:vAlign w:val="center"/>
            <w:hideMark/>
          </w:tcPr>
          <w:p w14:paraId="616DAD72" w14:textId="77777777" w:rsidR="001A6FD3" w:rsidRPr="00A54C18" w:rsidRDefault="001A6FD3" w:rsidP="00A04654">
            <w:pPr>
              <w:spacing w:after="0" w:line="240" w:lineRule="auto"/>
              <w:jc w:val="right"/>
              <w:rPr>
                <w:rFonts w:cs="Arial"/>
                <w:color w:val="000000"/>
                <w:szCs w:val="20"/>
              </w:rPr>
            </w:pPr>
            <w:r w:rsidRPr="00A54C18">
              <w:rPr>
                <w:rFonts w:eastAsia="Calibri" w:cs="Arial"/>
                <w:color w:val="000000"/>
                <w:szCs w:val="20"/>
                <w:lang w:eastAsia="en-US"/>
              </w:rPr>
              <w:t>$97,960</w:t>
            </w:r>
          </w:p>
        </w:tc>
        <w:tc>
          <w:tcPr>
            <w:tcW w:w="2514" w:type="dxa"/>
            <w:tcBorders>
              <w:top w:val="nil"/>
              <w:left w:val="nil"/>
              <w:bottom w:val="single" w:sz="8" w:space="0" w:color="auto"/>
              <w:right w:val="single" w:sz="8" w:space="0" w:color="auto"/>
            </w:tcBorders>
            <w:shd w:val="clear" w:color="auto" w:fill="auto"/>
            <w:vAlign w:val="center"/>
            <w:hideMark/>
          </w:tcPr>
          <w:p w14:paraId="47A3D7D7" w14:textId="77777777" w:rsidR="001A6FD3" w:rsidRPr="00A54C18" w:rsidRDefault="001A6FD3" w:rsidP="00A04654">
            <w:pPr>
              <w:spacing w:after="0" w:line="240" w:lineRule="auto"/>
              <w:jc w:val="right"/>
              <w:rPr>
                <w:rFonts w:cs="Arial"/>
                <w:color w:val="000000"/>
                <w:szCs w:val="20"/>
              </w:rPr>
            </w:pPr>
            <w:r w:rsidRPr="00A54C18">
              <w:rPr>
                <w:rFonts w:eastAsia="Calibri" w:cs="Arial"/>
                <w:color w:val="000000"/>
                <w:szCs w:val="20"/>
                <w:lang w:eastAsia="en-US"/>
              </w:rPr>
              <w:t>$40,800</w:t>
            </w:r>
          </w:p>
        </w:tc>
      </w:tr>
      <w:tr w:rsidR="001A6FD3" w:rsidRPr="00A54C18" w14:paraId="1773D6ED" w14:textId="77777777" w:rsidTr="00832BE0">
        <w:trPr>
          <w:trHeight w:val="285"/>
        </w:trPr>
        <w:tc>
          <w:tcPr>
            <w:tcW w:w="2088" w:type="dxa"/>
            <w:tcBorders>
              <w:top w:val="nil"/>
              <w:left w:val="single" w:sz="8" w:space="0" w:color="auto"/>
              <w:bottom w:val="single" w:sz="8" w:space="0" w:color="auto"/>
              <w:right w:val="single" w:sz="8" w:space="0" w:color="auto"/>
            </w:tcBorders>
            <w:shd w:val="clear" w:color="auto" w:fill="auto"/>
            <w:vAlign w:val="center"/>
            <w:hideMark/>
          </w:tcPr>
          <w:p w14:paraId="46F9CE2B" w14:textId="77777777" w:rsidR="001A6FD3" w:rsidRPr="00A54C18" w:rsidRDefault="001A6FD3" w:rsidP="00A04654">
            <w:pPr>
              <w:spacing w:after="0" w:line="240" w:lineRule="auto"/>
              <w:rPr>
                <w:rFonts w:cs="Arial"/>
                <w:color w:val="000000"/>
                <w:szCs w:val="20"/>
              </w:rPr>
            </w:pPr>
            <w:r w:rsidRPr="00A54C18">
              <w:rPr>
                <w:rFonts w:cs="Arial"/>
                <w:color w:val="000000"/>
                <w:szCs w:val="20"/>
              </w:rPr>
              <w:t>Small</w:t>
            </w:r>
          </w:p>
        </w:tc>
        <w:tc>
          <w:tcPr>
            <w:tcW w:w="2089" w:type="dxa"/>
            <w:tcBorders>
              <w:top w:val="nil"/>
              <w:left w:val="nil"/>
              <w:bottom w:val="single" w:sz="8" w:space="0" w:color="auto"/>
              <w:right w:val="single" w:sz="8" w:space="0" w:color="auto"/>
            </w:tcBorders>
            <w:shd w:val="clear" w:color="auto" w:fill="auto"/>
            <w:vAlign w:val="center"/>
            <w:hideMark/>
          </w:tcPr>
          <w:p w14:paraId="7867171E" w14:textId="77777777" w:rsidR="001A6FD3" w:rsidRPr="00A54C18" w:rsidRDefault="001A6FD3" w:rsidP="00A04654">
            <w:pPr>
              <w:spacing w:after="0" w:line="240" w:lineRule="auto"/>
              <w:jc w:val="right"/>
              <w:rPr>
                <w:rFonts w:cs="Arial"/>
                <w:color w:val="000000"/>
                <w:szCs w:val="20"/>
              </w:rPr>
            </w:pPr>
            <w:r w:rsidRPr="00A54C18">
              <w:rPr>
                <w:rFonts w:cs="Arial"/>
                <w:color w:val="000000"/>
                <w:szCs w:val="20"/>
              </w:rPr>
              <w:t>27</w:t>
            </w:r>
          </w:p>
        </w:tc>
        <w:tc>
          <w:tcPr>
            <w:tcW w:w="2088" w:type="dxa"/>
            <w:tcBorders>
              <w:top w:val="nil"/>
              <w:left w:val="nil"/>
              <w:bottom w:val="single" w:sz="8" w:space="0" w:color="auto"/>
              <w:right w:val="single" w:sz="8" w:space="0" w:color="auto"/>
            </w:tcBorders>
            <w:shd w:val="clear" w:color="auto" w:fill="auto"/>
            <w:vAlign w:val="center"/>
            <w:hideMark/>
          </w:tcPr>
          <w:p w14:paraId="25EECF63" w14:textId="77777777" w:rsidR="001A6FD3" w:rsidRPr="00A54C18" w:rsidRDefault="001A6FD3" w:rsidP="00A04654">
            <w:pPr>
              <w:spacing w:after="0" w:line="240" w:lineRule="auto"/>
              <w:jc w:val="right"/>
              <w:rPr>
                <w:rFonts w:cs="Arial"/>
                <w:color w:val="000000"/>
                <w:szCs w:val="20"/>
              </w:rPr>
            </w:pPr>
            <w:r w:rsidRPr="00A54C18">
              <w:rPr>
                <w:rFonts w:eastAsia="Calibri" w:cs="Arial"/>
                <w:color w:val="000000"/>
                <w:szCs w:val="20"/>
                <w:lang w:eastAsia="en-US"/>
              </w:rPr>
              <w:t>$270,810</w:t>
            </w:r>
          </w:p>
        </w:tc>
        <w:tc>
          <w:tcPr>
            <w:tcW w:w="2514" w:type="dxa"/>
            <w:tcBorders>
              <w:top w:val="nil"/>
              <w:left w:val="nil"/>
              <w:bottom w:val="single" w:sz="8" w:space="0" w:color="auto"/>
              <w:right w:val="single" w:sz="8" w:space="0" w:color="auto"/>
            </w:tcBorders>
            <w:shd w:val="clear" w:color="auto" w:fill="auto"/>
            <w:vAlign w:val="center"/>
            <w:hideMark/>
          </w:tcPr>
          <w:p w14:paraId="5596DB9C" w14:textId="77777777" w:rsidR="001A6FD3" w:rsidRPr="00A54C18" w:rsidRDefault="001A6FD3" w:rsidP="00A04654">
            <w:pPr>
              <w:spacing w:after="0" w:line="240" w:lineRule="auto"/>
              <w:jc w:val="right"/>
              <w:rPr>
                <w:rFonts w:cs="Arial"/>
                <w:color w:val="000000"/>
                <w:szCs w:val="20"/>
              </w:rPr>
            </w:pPr>
            <w:r w:rsidRPr="00A54C18">
              <w:rPr>
                <w:rFonts w:eastAsia="Calibri" w:cs="Arial"/>
                <w:color w:val="000000"/>
                <w:szCs w:val="20"/>
                <w:lang w:eastAsia="en-US"/>
              </w:rPr>
              <w:t>$92,700</w:t>
            </w:r>
          </w:p>
        </w:tc>
      </w:tr>
      <w:tr w:rsidR="001A6FD3" w:rsidRPr="00A54C18" w14:paraId="75147F88" w14:textId="77777777" w:rsidTr="00832BE0">
        <w:trPr>
          <w:trHeight w:val="285"/>
        </w:trPr>
        <w:tc>
          <w:tcPr>
            <w:tcW w:w="2088" w:type="dxa"/>
            <w:tcBorders>
              <w:top w:val="nil"/>
              <w:left w:val="single" w:sz="8" w:space="0" w:color="auto"/>
              <w:bottom w:val="single" w:sz="8" w:space="0" w:color="auto"/>
              <w:right w:val="single" w:sz="8" w:space="0" w:color="auto"/>
            </w:tcBorders>
            <w:shd w:val="clear" w:color="auto" w:fill="auto"/>
            <w:vAlign w:val="center"/>
            <w:hideMark/>
          </w:tcPr>
          <w:p w14:paraId="5209011D" w14:textId="77777777" w:rsidR="001A6FD3" w:rsidRPr="00A54C18" w:rsidRDefault="001A6FD3" w:rsidP="00A04654">
            <w:pPr>
              <w:spacing w:after="0" w:line="240" w:lineRule="auto"/>
              <w:rPr>
                <w:rFonts w:cs="Arial"/>
                <w:color w:val="000000"/>
                <w:szCs w:val="20"/>
              </w:rPr>
            </w:pPr>
            <w:r w:rsidRPr="00A54C18">
              <w:rPr>
                <w:rFonts w:cs="Arial"/>
                <w:color w:val="000000"/>
                <w:szCs w:val="20"/>
              </w:rPr>
              <w:t>Very small</w:t>
            </w:r>
          </w:p>
        </w:tc>
        <w:tc>
          <w:tcPr>
            <w:tcW w:w="2089" w:type="dxa"/>
            <w:tcBorders>
              <w:top w:val="nil"/>
              <w:left w:val="nil"/>
              <w:bottom w:val="single" w:sz="8" w:space="0" w:color="auto"/>
              <w:right w:val="single" w:sz="8" w:space="0" w:color="auto"/>
            </w:tcBorders>
            <w:shd w:val="clear" w:color="auto" w:fill="auto"/>
            <w:vAlign w:val="center"/>
            <w:hideMark/>
          </w:tcPr>
          <w:p w14:paraId="3E7C8629" w14:textId="77777777" w:rsidR="001A6FD3" w:rsidRPr="00A54C18" w:rsidRDefault="001A6FD3" w:rsidP="00A04654">
            <w:pPr>
              <w:spacing w:after="0" w:line="240" w:lineRule="auto"/>
              <w:jc w:val="right"/>
              <w:rPr>
                <w:rFonts w:cs="Arial"/>
                <w:color w:val="000000"/>
                <w:szCs w:val="20"/>
              </w:rPr>
            </w:pPr>
            <w:r w:rsidRPr="00A54C18">
              <w:rPr>
                <w:rFonts w:cs="Arial"/>
                <w:color w:val="000000"/>
                <w:szCs w:val="20"/>
              </w:rPr>
              <w:t>317</w:t>
            </w:r>
          </w:p>
        </w:tc>
        <w:tc>
          <w:tcPr>
            <w:tcW w:w="2088" w:type="dxa"/>
            <w:tcBorders>
              <w:top w:val="nil"/>
              <w:left w:val="nil"/>
              <w:bottom w:val="single" w:sz="8" w:space="0" w:color="auto"/>
              <w:right w:val="single" w:sz="8" w:space="0" w:color="auto"/>
            </w:tcBorders>
            <w:shd w:val="clear" w:color="auto" w:fill="auto"/>
            <w:vAlign w:val="center"/>
            <w:hideMark/>
          </w:tcPr>
          <w:p w14:paraId="4A339774" w14:textId="77777777" w:rsidR="001A6FD3" w:rsidRPr="00A54C18" w:rsidRDefault="001A6FD3" w:rsidP="00A04654">
            <w:pPr>
              <w:spacing w:after="0" w:line="240" w:lineRule="auto"/>
              <w:jc w:val="right"/>
              <w:rPr>
                <w:rFonts w:cs="Arial"/>
                <w:color w:val="000000"/>
                <w:szCs w:val="20"/>
              </w:rPr>
            </w:pPr>
            <w:r w:rsidRPr="00A54C18">
              <w:rPr>
                <w:rFonts w:eastAsia="Calibri" w:cs="Arial"/>
                <w:color w:val="000000"/>
                <w:szCs w:val="20"/>
                <w:lang w:eastAsia="en-US"/>
              </w:rPr>
              <w:t>$2,399,690</w:t>
            </w:r>
          </w:p>
        </w:tc>
        <w:tc>
          <w:tcPr>
            <w:tcW w:w="2514" w:type="dxa"/>
            <w:tcBorders>
              <w:top w:val="nil"/>
              <w:left w:val="nil"/>
              <w:bottom w:val="single" w:sz="8" w:space="0" w:color="auto"/>
              <w:right w:val="single" w:sz="8" w:space="0" w:color="auto"/>
            </w:tcBorders>
            <w:shd w:val="clear" w:color="auto" w:fill="auto"/>
            <w:vAlign w:val="center"/>
            <w:hideMark/>
          </w:tcPr>
          <w:p w14:paraId="38461EB3" w14:textId="77777777" w:rsidR="001A6FD3" w:rsidRPr="00A54C18" w:rsidRDefault="001A6FD3" w:rsidP="00A04654">
            <w:pPr>
              <w:spacing w:after="0" w:line="240" w:lineRule="auto"/>
              <w:jc w:val="right"/>
              <w:rPr>
                <w:rFonts w:cs="Arial"/>
                <w:color w:val="000000"/>
                <w:szCs w:val="20"/>
              </w:rPr>
            </w:pPr>
            <w:r w:rsidRPr="00A54C18">
              <w:rPr>
                <w:rFonts w:eastAsia="Calibri" w:cs="Arial"/>
                <w:color w:val="000000"/>
                <w:szCs w:val="20"/>
                <w:lang w:eastAsia="en-US"/>
              </w:rPr>
              <w:t>$726,987</w:t>
            </w:r>
          </w:p>
        </w:tc>
      </w:tr>
      <w:tr w:rsidR="001A6FD3" w:rsidRPr="00A54C18" w14:paraId="171786AB" w14:textId="77777777" w:rsidTr="00832BE0">
        <w:trPr>
          <w:trHeight w:val="285"/>
        </w:trPr>
        <w:tc>
          <w:tcPr>
            <w:tcW w:w="2088" w:type="dxa"/>
            <w:tcBorders>
              <w:top w:val="nil"/>
              <w:left w:val="single" w:sz="8" w:space="0" w:color="auto"/>
              <w:bottom w:val="single" w:sz="8" w:space="0" w:color="auto"/>
              <w:right w:val="single" w:sz="8" w:space="0" w:color="auto"/>
            </w:tcBorders>
            <w:shd w:val="clear" w:color="000000" w:fill="F2F2F2"/>
            <w:vAlign w:val="center"/>
            <w:hideMark/>
          </w:tcPr>
          <w:p w14:paraId="2E6D81B0" w14:textId="77777777" w:rsidR="001A6FD3" w:rsidRPr="00A54C18" w:rsidRDefault="001A6FD3" w:rsidP="00A04654">
            <w:pPr>
              <w:spacing w:after="0" w:line="240" w:lineRule="auto"/>
              <w:rPr>
                <w:rFonts w:cs="Arial"/>
                <w:b/>
                <w:bCs/>
                <w:color w:val="000000"/>
                <w:szCs w:val="20"/>
              </w:rPr>
            </w:pPr>
            <w:r w:rsidRPr="00A54C18">
              <w:rPr>
                <w:rFonts w:cs="Arial"/>
                <w:b/>
                <w:bCs/>
                <w:color w:val="000000"/>
                <w:szCs w:val="20"/>
              </w:rPr>
              <w:t>Total</w:t>
            </w:r>
          </w:p>
        </w:tc>
        <w:tc>
          <w:tcPr>
            <w:tcW w:w="2089" w:type="dxa"/>
            <w:tcBorders>
              <w:top w:val="nil"/>
              <w:left w:val="nil"/>
              <w:bottom w:val="single" w:sz="8" w:space="0" w:color="auto"/>
              <w:right w:val="single" w:sz="8" w:space="0" w:color="auto"/>
            </w:tcBorders>
            <w:shd w:val="clear" w:color="000000" w:fill="F2F2F2"/>
            <w:vAlign w:val="center"/>
            <w:hideMark/>
          </w:tcPr>
          <w:p w14:paraId="3A150B63" w14:textId="77777777" w:rsidR="001A6FD3" w:rsidRPr="00A54C18" w:rsidRDefault="001A6FD3" w:rsidP="00A04654">
            <w:pPr>
              <w:spacing w:after="0" w:line="240" w:lineRule="auto"/>
              <w:jc w:val="right"/>
              <w:rPr>
                <w:rFonts w:cs="Arial"/>
                <w:b/>
                <w:bCs/>
                <w:color w:val="000000"/>
                <w:szCs w:val="20"/>
              </w:rPr>
            </w:pPr>
            <w:r w:rsidRPr="00A54C18">
              <w:rPr>
                <w:rFonts w:cs="Arial"/>
                <w:b/>
                <w:bCs/>
                <w:color w:val="000000"/>
                <w:szCs w:val="20"/>
              </w:rPr>
              <w:t>350</w:t>
            </w:r>
          </w:p>
        </w:tc>
        <w:tc>
          <w:tcPr>
            <w:tcW w:w="2088" w:type="dxa"/>
            <w:tcBorders>
              <w:top w:val="nil"/>
              <w:left w:val="nil"/>
              <w:bottom w:val="single" w:sz="8" w:space="0" w:color="auto"/>
              <w:right w:val="single" w:sz="8" w:space="0" w:color="auto"/>
            </w:tcBorders>
            <w:shd w:val="clear" w:color="000000" w:fill="F2F2F2"/>
            <w:vAlign w:val="center"/>
            <w:hideMark/>
          </w:tcPr>
          <w:p w14:paraId="5462B59F" w14:textId="77777777" w:rsidR="001A6FD3" w:rsidRPr="00A54C18" w:rsidRDefault="001A6FD3" w:rsidP="00A04654">
            <w:pPr>
              <w:spacing w:after="0" w:line="240" w:lineRule="auto"/>
              <w:jc w:val="right"/>
              <w:rPr>
                <w:rFonts w:cs="Arial"/>
                <w:b/>
                <w:bCs/>
                <w:color w:val="000000"/>
                <w:szCs w:val="20"/>
              </w:rPr>
            </w:pPr>
            <w:r w:rsidRPr="00A54C18">
              <w:rPr>
                <w:rFonts w:cs="Arial"/>
                <w:b/>
                <w:bCs/>
                <w:color w:val="000000"/>
                <w:szCs w:val="20"/>
              </w:rPr>
              <w:t>$2,891,820</w:t>
            </w:r>
          </w:p>
        </w:tc>
        <w:tc>
          <w:tcPr>
            <w:tcW w:w="2514" w:type="dxa"/>
            <w:tcBorders>
              <w:top w:val="nil"/>
              <w:left w:val="nil"/>
              <w:bottom w:val="single" w:sz="8" w:space="0" w:color="auto"/>
              <w:right w:val="single" w:sz="8" w:space="0" w:color="auto"/>
            </w:tcBorders>
            <w:shd w:val="clear" w:color="000000" w:fill="F2F2F2"/>
            <w:vAlign w:val="center"/>
            <w:hideMark/>
          </w:tcPr>
          <w:p w14:paraId="69DE7ABD" w14:textId="77777777" w:rsidR="001A6FD3" w:rsidRPr="00A54C18" w:rsidRDefault="001A6FD3" w:rsidP="00A04654">
            <w:pPr>
              <w:spacing w:after="0" w:line="240" w:lineRule="auto"/>
              <w:jc w:val="right"/>
              <w:rPr>
                <w:rFonts w:cs="Arial"/>
                <w:b/>
                <w:bCs/>
                <w:color w:val="000000"/>
                <w:szCs w:val="20"/>
              </w:rPr>
            </w:pPr>
            <w:r w:rsidRPr="00A54C18">
              <w:rPr>
                <w:rFonts w:cs="Arial"/>
                <w:b/>
                <w:bCs/>
                <w:color w:val="000000"/>
                <w:szCs w:val="20"/>
              </w:rPr>
              <w:t>$919,953</w:t>
            </w:r>
          </w:p>
        </w:tc>
      </w:tr>
    </w:tbl>
    <w:p w14:paraId="7C961812" w14:textId="77777777" w:rsidR="001A6FD3" w:rsidRDefault="001A6FD3" w:rsidP="007B5360">
      <w:pPr>
        <w:spacing w:after="120"/>
        <w:rPr>
          <w:rFonts w:cs="Arial"/>
          <w:szCs w:val="20"/>
        </w:rPr>
      </w:pPr>
    </w:p>
    <w:p w14:paraId="25267575" w14:textId="713B8CA8" w:rsidR="001A6FD3" w:rsidRDefault="001A6FD3" w:rsidP="001A6FD3">
      <w:pPr>
        <w:rPr>
          <w:rFonts w:cs="Arial"/>
          <w:szCs w:val="20"/>
        </w:rPr>
      </w:pPr>
      <w:r>
        <w:rPr>
          <w:rFonts w:cs="Arial"/>
          <w:szCs w:val="20"/>
        </w:rPr>
        <w:t>Where costs accrue in complying with Option 2</w:t>
      </w:r>
      <w:r w:rsidR="00020CE5">
        <w:rPr>
          <w:rFonts w:cs="Arial"/>
          <w:szCs w:val="20"/>
        </w:rPr>
        <w:t>A</w:t>
      </w:r>
      <w:r>
        <w:rPr>
          <w:rFonts w:cs="Arial"/>
          <w:szCs w:val="20"/>
        </w:rPr>
        <w:t>, the costs are predominantly one-off system development costs, including potential new systems or procedures and staff training.</w:t>
      </w:r>
    </w:p>
    <w:p w14:paraId="4F74DA5A" w14:textId="3361C996" w:rsidR="001A6FD3" w:rsidRDefault="001A6FD3" w:rsidP="001A6FD3">
      <w:pPr>
        <w:pStyle w:val="Heading2"/>
      </w:pPr>
      <w:bookmarkStart w:id="60" w:name="_Toc155685999"/>
      <w:bookmarkStart w:id="61" w:name="_Toc153270571"/>
      <w:r w:rsidRPr="00D15A4E">
        <w:lastRenderedPageBreak/>
        <w:t xml:space="preserve">Option 2B – </w:t>
      </w:r>
      <w:r w:rsidR="00A5592F">
        <w:t xml:space="preserve">Outcomes-based </w:t>
      </w:r>
      <w:r w:rsidR="00E66874">
        <w:t>(</w:t>
      </w:r>
      <w:r w:rsidR="00B93A6D">
        <w:t>enforce</w:t>
      </w:r>
      <w:r w:rsidR="00E66874">
        <w:t>able)</w:t>
      </w:r>
      <w:bookmarkEnd w:id="60"/>
      <w:r w:rsidR="00B93A6D">
        <w:t xml:space="preserve"> </w:t>
      </w:r>
      <w:bookmarkEnd w:id="61"/>
    </w:p>
    <w:p w14:paraId="2A196217" w14:textId="62503A03" w:rsidR="001A6FD3" w:rsidRDefault="00BC3DC1" w:rsidP="001A6FD3">
      <w:pPr>
        <w:pStyle w:val="Paragraph"/>
      </w:pPr>
      <w:r>
        <w:t xml:space="preserve">The </w:t>
      </w:r>
      <w:r w:rsidR="001A6FD3">
        <w:t xml:space="preserve">ACMA </w:t>
      </w:r>
      <w:r>
        <w:t>considers</w:t>
      </w:r>
      <w:r w:rsidR="001A6FD3">
        <w:t xml:space="preserve"> a </w:t>
      </w:r>
      <w:r>
        <w:t xml:space="preserve">more </w:t>
      </w:r>
      <w:r w:rsidR="00B93A6D">
        <w:t xml:space="preserve">enforceable </w:t>
      </w:r>
      <w:r w:rsidR="001A6FD3">
        <w:t xml:space="preserve">standard </w:t>
      </w:r>
      <w:r w:rsidR="00DB4D01">
        <w:t xml:space="preserve">in relation to key provisions </w:t>
      </w:r>
      <w:r w:rsidR="001A6FD3">
        <w:t>would create a robust compliance incentive for CSPs, substantially increasing the number of customers on formal financial hardship arrangements.</w:t>
      </w:r>
    </w:p>
    <w:p w14:paraId="2AD4D3FD" w14:textId="25011818" w:rsidR="001A6FD3" w:rsidRDefault="001A6FD3" w:rsidP="00300F1B">
      <w:pPr>
        <w:pStyle w:val="Tableheading"/>
        <w:keepLines/>
      </w:pPr>
      <w:r>
        <w:t>Modelled change in outcomes Option 2B</w:t>
      </w:r>
    </w:p>
    <w:tbl>
      <w:tblPr>
        <w:tblW w:w="8383" w:type="dxa"/>
        <w:tblLayout w:type="fixed"/>
        <w:tblCellMar>
          <w:top w:w="85" w:type="dxa"/>
          <w:left w:w="57" w:type="dxa"/>
          <w:bottom w:w="85" w:type="dxa"/>
          <w:right w:w="57" w:type="dxa"/>
        </w:tblCellMar>
        <w:tblLook w:val="04A0" w:firstRow="1" w:lastRow="0" w:firstColumn="1" w:lastColumn="0" w:noHBand="0" w:noVBand="1"/>
      </w:tblPr>
      <w:tblGrid>
        <w:gridCol w:w="5519"/>
        <w:gridCol w:w="1432"/>
        <w:gridCol w:w="1432"/>
      </w:tblGrid>
      <w:tr w:rsidR="001A6FD3" w:rsidRPr="00615BF4" w14:paraId="0555ECDB" w14:textId="77777777" w:rsidTr="00300F1B">
        <w:trPr>
          <w:trHeight w:val="70"/>
        </w:trPr>
        <w:tc>
          <w:tcPr>
            <w:tcW w:w="5519" w:type="dxa"/>
            <w:tcBorders>
              <w:top w:val="single" w:sz="8" w:space="0" w:color="A3A3A3"/>
              <w:left w:val="single" w:sz="8" w:space="0" w:color="A3A3A3"/>
              <w:bottom w:val="single" w:sz="4" w:space="0" w:color="auto"/>
              <w:right w:val="single" w:sz="8" w:space="0" w:color="A3A3A3"/>
            </w:tcBorders>
            <w:shd w:val="clear" w:color="000000" w:fill="404040"/>
            <w:hideMark/>
          </w:tcPr>
          <w:p w14:paraId="41D55D43" w14:textId="77777777" w:rsidR="001A6FD3" w:rsidRPr="00615BF4" w:rsidRDefault="001A6FD3" w:rsidP="00300F1B">
            <w:pPr>
              <w:keepNext/>
              <w:keepLines/>
              <w:spacing w:after="0" w:line="240" w:lineRule="auto"/>
              <w:rPr>
                <w:rFonts w:cs="Arial"/>
                <w:b/>
                <w:bCs/>
                <w:color w:val="FFFFFF"/>
                <w:szCs w:val="20"/>
              </w:rPr>
            </w:pPr>
            <w:r w:rsidRPr="00615BF4">
              <w:rPr>
                <w:rFonts w:cs="Arial"/>
                <w:b/>
                <w:bCs/>
                <w:color w:val="FFFFFF"/>
                <w:szCs w:val="20"/>
              </w:rPr>
              <w:t>Option</w:t>
            </w:r>
          </w:p>
        </w:tc>
        <w:tc>
          <w:tcPr>
            <w:tcW w:w="1432" w:type="dxa"/>
            <w:tcBorders>
              <w:top w:val="single" w:sz="8" w:space="0" w:color="A3A3A3"/>
              <w:left w:val="nil"/>
              <w:bottom w:val="single" w:sz="4" w:space="0" w:color="auto"/>
              <w:right w:val="single" w:sz="8" w:space="0" w:color="A3A3A3"/>
            </w:tcBorders>
            <w:shd w:val="clear" w:color="000000" w:fill="404040"/>
            <w:hideMark/>
          </w:tcPr>
          <w:p w14:paraId="3167B0B4" w14:textId="641E1602" w:rsidR="001A6FD3" w:rsidRPr="00615BF4" w:rsidRDefault="001A6FD3" w:rsidP="00300F1B">
            <w:pPr>
              <w:keepNext/>
              <w:keepLines/>
              <w:spacing w:after="0" w:line="240" w:lineRule="auto"/>
              <w:jc w:val="right"/>
              <w:rPr>
                <w:rFonts w:cs="Arial"/>
                <w:b/>
                <w:bCs/>
                <w:color w:val="FFFFFF"/>
                <w:szCs w:val="20"/>
              </w:rPr>
            </w:pPr>
            <w:r w:rsidRPr="00615BF4">
              <w:rPr>
                <w:rFonts w:cs="Arial"/>
                <w:b/>
                <w:bCs/>
                <w:color w:val="FFFFFF"/>
                <w:szCs w:val="20"/>
              </w:rPr>
              <w:t>Option 1</w:t>
            </w:r>
          </w:p>
        </w:tc>
        <w:tc>
          <w:tcPr>
            <w:tcW w:w="1432" w:type="dxa"/>
            <w:tcBorders>
              <w:top w:val="single" w:sz="8" w:space="0" w:color="A3A3A3"/>
              <w:left w:val="nil"/>
              <w:bottom w:val="single" w:sz="4" w:space="0" w:color="auto"/>
              <w:right w:val="single" w:sz="8" w:space="0" w:color="A3A3A3"/>
            </w:tcBorders>
            <w:shd w:val="clear" w:color="000000" w:fill="404040"/>
            <w:hideMark/>
          </w:tcPr>
          <w:p w14:paraId="71F2A94D" w14:textId="0BC9829E" w:rsidR="001A6FD3" w:rsidRPr="00615BF4" w:rsidRDefault="001A6FD3" w:rsidP="00300F1B">
            <w:pPr>
              <w:keepNext/>
              <w:keepLines/>
              <w:spacing w:after="0" w:line="240" w:lineRule="auto"/>
              <w:jc w:val="right"/>
              <w:rPr>
                <w:rFonts w:cs="Arial"/>
                <w:b/>
                <w:bCs/>
                <w:color w:val="FFFFFF"/>
                <w:szCs w:val="20"/>
              </w:rPr>
            </w:pPr>
            <w:r w:rsidRPr="00615BF4">
              <w:rPr>
                <w:rFonts w:cs="Arial"/>
                <w:b/>
                <w:bCs/>
                <w:color w:val="FFFFFF"/>
                <w:szCs w:val="20"/>
              </w:rPr>
              <w:t xml:space="preserve">Options 2B </w:t>
            </w:r>
          </w:p>
        </w:tc>
      </w:tr>
      <w:tr w:rsidR="001A6FD3" w:rsidRPr="00615BF4" w14:paraId="755D9912" w14:textId="77777777" w:rsidTr="00300F1B">
        <w:trPr>
          <w:trHeight w:val="64"/>
        </w:trPr>
        <w:tc>
          <w:tcPr>
            <w:tcW w:w="5519" w:type="dxa"/>
            <w:tcBorders>
              <w:top w:val="single" w:sz="4" w:space="0" w:color="auto"/>
              <w:left w:val="single" w:sz="4" w:space="0" w:color="auto"/>
              <w:bottom w:val="single" w:sz="4" w:space="0" w:color="auto"/>
              <w:right w:val="single" w:sz="4" w:space="0" w:color="auto"/>
            </w:tcBorders>
            <w:shd w:val="clear" w:color="auto" w:fill="auto"/>
            <w:hideMark/>
          </w:tcPr>
          <w:p w14:paraId="4C6C4707" w14:textId="59D006A1" w:rsidR="001A6FD3" w:rsidRPr="00615BF4" w:rsidRDefault="001A6FD3" w:rsidP="00300F1B">
            <w:pPr>
              <w:keepNext/>
              <w:keepLines/>
              <w:spacing w:after="0" w:line="240" w:lineRule="auto"/>
              <w:rPr>
                <w:rFonts w:cs="Arial"/>
                <w:color w:val="000000"/>
                <w:szCs w:val="20"/>
              </w:rPr>
            </w:pPr>
            <w:r w:rsidRPr="00615BF4">
              <w:rPr>
                <w:rFonts w:cs="Arial"/>
                <w:color w:val="000000"/>
                <w:szCs w:val="20"/>
              </w:rPr>
              <w:t xml:space="preserve">% of potential disconnection customers on formal </w:t>
            </w:r>
            <w:r>
              <w:t xml:space="preserve">financial hardship </w:t>
            </w:r>
            <w:r w:rsidRPr="00615BF4">
              <w:rPr>
                <w:rFonts w:cs="Arial"/>
                <w:color w:val="000000"/>
                <w:szCs w:val="20"/>
              </w:rPr>
              <w:t xml:space="preserve">arrangement and successful completion </w:t>
            </w:r>
          </w:p>
        </w:tc>
        <w:tc>
          <w:tcPr>
            <w:tcW w:w="1432" w:type="dxa"/>
            <w:tcBorders>
              <w:top w:val="single" w:sz="4" w:space="0" w:color="auto"/>
              <w:left w:val="single" w:sz="4" w:space="0" w:color="auto"/>
              <w:bottom w:val="single" w:sz="4" w:space="0" w:color="auto"/>
              <w:right w:val="single" w:sz="4" w:space="0" w:color="auto"/>
            </w:tcBorders>
            <w:shd w:val="clear" w:color="auto" w:fill="auto"/>
            <w:hideMark/>
          </w:tcPr>
          <w:p w14:paraId="70EDBD98" w14:textId="77777777" w:rsidR="001A6FD3" w:rsidRPr="00615BF4" w:rsidRDefault="001A6FD3" w:rsidP="00300F1B">
            <w:pPr>
              <w:keepNext/>
              <w:keepLines/>
              <w:spacing w:after="0" w:line="240" w:lineRule="auto"/>
              <w:jc w:val="right"/>
              <w:rPr>
                <w:rFonts w:cs="Arial"/>
                <w:color w:val="000000"/>
                <w:szCs w:val="20"/>
              </w:rPr>
            </w:pPr>
            <w:r w:rsidRPr="00615BF4">
              <w:rPr>
                <w:rFonts w:cs="Arial"/>
                <w:color w:val="000000"/>
                <w:szCs w:val="20"/>
              </w:rPr>
              <w:t>1.857%</w:t>
            </w:r>
          </w:p>
        </w:tc>
        <w:tc>
          <w:tcPr>
            <w:tcW w:w="1432" w:type="dxa"/>
            <w:tcBorders>
              <w:top w:val="single" w:sz="4" w:space="0" w:color="auto"/>
              <w:left w:val="single" w:sz="4" w:space="0" w:color="auto"/>
              <w:bottom w:val="single" w:sz="4" w:space="0" w:color="auto"/>
              <w:right w:val="single" w:sz="4" w:space="0" w:color="auto"/>
            </w:tcBorders>
            <w:shd w:val="clear" w:color="auto" w:fill="auto"/>
            <w:hideMark/>
          </w:tcPr>
          <w:p w14:paraId="6B8F5931" w14:textId="77777777" w:rsidR="001A6FD3" w:rsidRPr="00615BF4" w:rsidRDefault="001A6FD3" w:rsidP="00300F1B">
            <w:pPr>
              <w:keepNext/>
              <w:keepLines/>
              <w:spacing w:after="0" w:line="240" w:lineRule="auto"/>
              <w:jc w:val="right"/>
              <w:rPr>
                <w:rFonts w:cs="Arial"/>
                <w:color w:val="000000"/>
                <w:szCs w:val="20"/>
              </w:rPr>
            </w:pPr>
            <w:r w:rsidRPr="00615BF4">
              <w:rPr>
                <w:rFonts w:cs="Arial"/>
                <w:color w:val="000000"/>
                <w:szCs w:val="20"/>
              </w:rPr>
              <w:t>30%</w:t>
            </w:r>
          </w:p>
        </w:tc>
      </w:tr>
      <w:tr w:rsidR="001A6FD3" w:rsidRPr="00615BF4" w14:paraId="697CE574" w14:textId="77777777" w:rsidTr="00300F1B">
        <w:trPr>
          <w:trHeight w:val="64"/>
        </w:trPr>
        <w:tc>
          <w:tcPr>
            <w:tcW w:w="5519" w:type="dxa"/>
            <w:tcBorders>
              <w:top w:val="single" w:sz="4" w:space="0" w:color="auto"/>
              <w:left w:val="single" w:sz="4" w:space="0" w:color="auto"/>
              <w:bottom w:val="single" w:sz="4" w:space="0" w:color="auto"/>
              <w:right w:val="single" w:sz="4" w:space="0" w:color="auto"/>
            </w:tcBorders>
            <w:shd w:val="clear" w:color="auto" w:fill="auto"/>
            <w:hideMark/>
          </w:tcPr>
          <w:p w14:paraId="22C63383" w14:textId="7534D8CE" w:rsidR="001A6FD3" w:rsidRPr="00615BF4" w:rsidRDefault="001A6FD3" w:rsidP="00300F1B">
            <w:pPr>
              <w:keepNext/>
              <w:keepLines/>
              <w:spacing w:after="0" w:line="240" w:lineRule="auto"/>
              <w:rPr>
                <w:rFonts w:cs="Arial"/>
                <w:color w:val="000000"/>
                <w:szCs w:val="20"/>
              </w:rPr>
            </w:pPr>
            <w:r w:rsidRPr="00615BF4">
              <w:rPr>
                <w:rFonts w:cs="Arial"/>
                <w:color w:val="000000"/>
                <w:szCs w:val="20"/>
              </w:rPr>
              <w:t xml:space="preserve">No. of potential disconnection customers on formal </w:t>
            </w:r>
            <w:r w:rsidR="000C6331">
              <w:rPr>
                <w:rFonts w:cs="Arial"/>
                <w:color w:val="000000"/>
                <w:szCs w:val="20"/>
              </w:rPr>
              <w:t>financial hardship</w:t>
            </w:r>
            <w:r w:rsidR="000C6331" w:rsidRPr="00615BF4">
              <w:rPr>
                <w:rFonts w:cs="Arial"/>
                <w:color w:val="000000"/>
                <w:szCs w:val="20"/>
              </w:rPr>
              <w:t xml:space="preserve"> </w:t>
            </w:r>
            <w:r w:rsidRPr="00615BF4">
              <w:rPr>
                <w:rFonts w:cs="Arial"/>
                <w:color w:val="000000"/>
                <w:szCs w:val="20"/>
              </w:rPr>
              <w:t>arrangement and successful completion</w:t>
            </w:r>
          </w:p>
        </w:tc>
        <w:tc>
          <w:tcPr>
            <w:tcW w:w="1432" w:type="dxa"/>
            <w:tcBorders>
              <w:top w:val="single" w:sz="4" w:space="0" w:color="auto"/>
              <w:left w:val="single" w:sz="4" w:space="0" w:color="auto"/>
              <w:bottom w:val="single" w:sz="4" w:space="0" w:color="auto"/>
              <w:right w:val="single" w:sz="4" w:space="0" w:color="auto"/>
            </w:tcBorders>
            <w:shd w:val="clear" w:color="auto" w:fill="auto"/>
            <w:hideMark/>
          </w:tcPr>
          <w:p w14:paraId="28B2F8B1" w14:textId="77777777" w:rsidR="001A6FD3" w:rsidRPr="00615BF4" w:rsidRDefault="001A6FD3" w:rsidP="00300F1B">
            <w:pPr>
              <w:keepNext/>
              <w:keepLines/>
              <w:spacing w:after="0" w:line="240" w:lineRule="auto"/>
              <w:jc w:val="right"/>
              <w:rPr>
                <w:rFonts w:cs="Arial"/>
                <w:color w:val="000000"/>
                <w:szCs w:val="20"/>
              </w:rPr>
            </w:pPr>
            <w:r w:rsidRPr="00615BF4">
              <w:rPr>
                <w:rFonts w:cs="Arial"/>
                <w:color w:val="000000"/>
                <w:szCs w:val="20"/>
              </w:rPr>
              <w:t>4,388</w:t>
            </w:r>
          </w:p>
        </w:tc>
        <w:tc>
          <w:tcPr>
            <w:tcW w:w="1432" w:type="dxa"/>
            <w:tcBorders>
              <w:top w:val="single" w:sz="4" w:space="0" w:color="auto"/>
              <w:left w:val="single" w:sz="4" w:space="0" w:color="auto"/>
              <w:bottom w:val="single" w:sz="4" w:space="0" w:color="auto"/>
              <w:right w:val="single" w:sz="4" w:space="0" w:color="auto"/>
            </w:tcBorders>
            <w:shd w:val="clear" w:color="auto" w:fill="auto"/>
            <w:hideMark/>
          </w:tcPr>
          <w:p w14:paraId="74FB5871" w14:textId="77777777" w:rsidR="001A6FD3" w:rsidRPr="00615BF4" w:rsidRDefault="001A6FD3" w:rsidP="00300F1B">
            <w:pPr>
              <w:keepNext/>
              <w:keepLines/>
              <w:spacing w:after="0" w:line="240" w:lineRule="auto"/>
              <w:jc w:val="right"/>
              <w:rPr>
                <w:rFonts w:cs="Arial"/>
                <w:color w:val="000000"/>
                <w:szCs w:val="20"/>
              </w:rPr>
            </w:pPr>
            <w:r w:rsidRPr="00615BF4">
              <w:rPr>
                <w:rFonts w:cs="Arial"/>
                <w:color w:val="000000"/>
                <w:szCs w:val="20"/>
              </w:rPr>
              <w:t>72,216</w:t>
            </w:r>
          </w:p>
        </w:tc>
      </w:tr>
      <w:tr w:rsidR="001A6FD3" w:rsidRPr="00615BF4" w14:paraId="053620DB" w14:textId="77777777" w:rsidTr="00300F1B">
        <w:trPr>
          <w:trHeight w:val="64"/>
        </w:trPr>
        <w:tc>
          <w:tcPr>
            <w:tcW w:w="5519" w:type="dxa"/>
            <w:tcBorders>
              <w:top w:val="single" w:sz="4" w:space="0" w:color="auto"/>
              <w:left w:val="single" w:sz="4" w:space="0" w:color="auto"/>
              <w:bottom w:val="single" w:sz="4" w:space="0" w:color="auto"/>
              <w:right w:val="single" w:sz="4" w:space="0" w:color="auto"/>
            </w:tcBorders>
            <w:shd w:val="clear" w:color="auto" w:fill="auto"/>
            <w:hideMark/>
          </w:tcPr>
          <w:p w14:paraId="777B7D76" w14:textId="0AB40A2B" w:rsidR="001A6FD3" w:rsidRPr="00615BF4" w:rsidRDefault="001A6FD3" w:rsidP="00300F1B">
            <w:pPr>
              <w:keepNext/>
              <w:keepLines/>
              <w:spacing w:after="0" w:line="240" w:lineRule="auto"/>
              <w:rPr>
                <w:rFonts w:cs="Arial"/>
                <w:color w:val="000000"/>
                <w:szCs w:val="20"/>
              </w:rPr>
            </w:pPr>
            <w:r w:rsidRPr="00615BF4">
              <w:rPr>
                <w:rFonts w:cs="Arial"/>
                <w:color w:val="000000"/>
                <w:szCs w:val="20"/>
              </w:rPr>
              <w:t>Disconnections due to non</w:t>
            </w:r>
            <w:r>
              <w:rPr>
                <w:rFonts w:cs="Arial"/>
                <w:color w:val="000000"/>
                <w:szCs w:val="20"/>
              </w:rPr>
              <w:t>-</w:t>
            </w:r>
            <w:r w:rsidRPr="00615BF4">
              <w:rPr>
                <w:rFonts w:cs="Arial"/>
                <w:color w:val="000000"/>
                <w:szCs w:val="20"/>
              </w:rPr>
              <w:t xml:space="preserve">payment </w:t>
            </w:r>
          </w:p>
        </w:tc>
        <w:tc>
          <w:tcPr>
            <w:tcW w:w="1432" w:type="dxa"/>
            <w:tcBorders>
              <w:top w:val="single" w:sz="4" w:space="0" w:color="auto"/>
              <w:left w:val="single" w:sz="4" w:space="0" w:color="auto"/>
              <w:bottom w:val="single" w:sz="4" w:space="0" w:color="auto"/>
              <w:right w:val="single" w:sz="4" w:space="0" w:color="auto"/>
            </w:tcBorders>
            <w:shd w:val="clear" w:color="auto" w:fill="auto"/>
            <w:hideMark/>
          </w:tcPr>
          <w:p w14:paraId="57890E67" w14:textId="77777777" w:rsidR="001A6FD3" w:rsidRPr="00615BF4" w:rsidRDefault="001A6FD3" w:rsidP="00300F1B">
            <w:pPr>
              <w:keepNext/>
              <w:keepLines/>
              <w:spacing w:after="0" w:line="240" w:lineRule="auto"/>
              <w:jc w:val="right"/>
              <w:rPr>
                <w:rFonts w:cs="Arial"/>
                <w:color w:val="000000"/>
                <w:szCs w:val="20"/>
              </w:rPr>
            </w:pPr>
            <w:r w:rsidRPr="00615BF4">
              <w:rPr>
                <w:rFonts w:cs="Arial"/>
                <w:color w:val="000000"/>
                <w:szCs w:val="20"/>
              </w:rPr>
              <w:t>236,332</w:t>
            </w:r>
          </w:p>
        </w:tc>
        <w:tc>
          <w:tcPr>
            <w:tcW w:w="1432" w:type="dxa"/>
            <w:tcBorders>
              <w:top w:val="single" w:sz="4" w:space="0" w:color="auto"/>
              <w:left w:val="single" w:sz="4" w:space="0" w:color="auto"/>
              <w:bottom w:val="single" w:sz="4" w:space="0" w:color="auto"/>
              <w:right w:val="single" w:sz="4" w:space="0" w:color="auto"/>
            </w:tcBorders>
            <w:shd w:val="clear" w:color="auto" w:fill="auto"/>
            <w:hideMark/>
          </w:tcPr>
          <w:p w14:paraId="3FFA6D0B" w14:textId="77777777" w:rsidR="001A6FD3" w:rsidRPr="00615BF4" w:rsidRDefault="001A6FD3" w:rsidP="00300F1B">
            <w:pPr>
              <w:keepNext/>
              <w:keepLines/>
              <w:spacing w:after="0" w:line="240" w:lineRule="auto"/>
              <w:jc w:val="right"/>
              <w:rPr>
                <w:rFonts w:cs="Arial"/>
                <w:color w:val="000000"/>
                <w:szCs w:val="20"/>
              </w:rPr>
            </w:pPr>
            <w:r w:rsidRPr="00615BF4">
              <w:rPr>
                <w:rFonts w:cs="Arial"/>
                <w:color w:val="000000"/>
                <w:szCs w:val="20"/>
              </w:rPr>
              <w:t>168,504</w:t>
            </w:r>
          </w:p>
        </w:tc>
      </w:tr>
      <w:tr w:rsidR="001A6FD3" w:rsidRPr="00615BF4" w14:paraId="0076B3E5" w14:textId="77777777" w:rsidTr="00300F1B">
        <w:trPr>
          <w:trHeight w:val="525"/>
        </w:trPr>
        <w:tc>
          <w:tcPr>
            <w:tcW w:w="5519" w:type="dxa"/>
            <w:tcBorders>
              <w:top w:val="single" w:sz="4" w:space="0" w:color="auto"/>
              <w:left w:val="single" w:sz="4" w:space="0" w:color="auto"/>
              <w:bottom w:val="single" w:sz="4" w:space="0" w:color="auto"/>
              <w:right w:val="single" w:sz="4" w:space="0" w:color="auto"/>
            </w:tcBorders>
            <w:shd w:val="clear" w:color="auto" w:fill="auto"/>
            <w:hideMark/>
          </w:tcPr>
          <w:p w14:paraId="08972D94" w14:textId="77777777" w:rsidR="001A6FD3" w:rsidRPr="00615BF4" w:rsidRDefault="001A6FD3" w:rsidP="00300F1B">
            <w:pPr>
              <w:keepNext/>
              <w:keepLines/>
              <w:spacing w:after="0" w:line="240" w:lineRule="auto"/>
              <w:rPr>
                <w:rFonts w:cs="Arial"/>
                <w:color w:val="000000"/>
                <w:szCs w:val="20"/>
              </w:rPr>
            </w:pPr>
            <w:r w:rsidRPr="00615BF4">
              <w:rPr>
                <w:rFonts w:cs="Arial"/>
                <w:color w:val="000000"/>
                <w:szCs w:val="20"/>
              </w:rPr>
              <w:t>Number of complaints to TIO about financial hardship</w:t>
            </w:r>
          </w:p>
        </w:tc>
        <w:tc>
          <w:tcPr>
            <w:tcW w:w="1432" w:type="dxa"/>
            <w:tcBorders>
              <w:top w:val="single" w:sz="4" w:space="0" w:color="auto"/>
              <w:left w:val="single" w:sz="4" w:space="0" w:color="auto"/>
              <w:bottom w:val="single" w:sz="4" w:space="0" w:color="auto"/>
              <w:right w:val="single" w:sz="4" w:space="0" w:color="auto"/>
            </w:tcBorders>
            <w:shd w:val="clear" w:color="auto" w:fill="auto"/>
            <w:hideMark/>
          </w:tcPr>
          <w:p w14:paraId="2ABC4D33" w14:textId="77777777" w:rsidR="001A6FD3" w:rsidRPr="00615BF4" w:rsidRDefault="001A6FD3" w:rsidP="00300F1B">
            <w:pPr>
              <w:keepNext/>
              <w:keepLines/>
              <w:spacing w:after="0" w:line="240" w:lineRule="auto"/>
              <w:jc w:val="right"/>
              <w:rPr>
                <w:rFonts w:cs="Arial"/>
                <w:color w:val="000000"/>
                <w:szCs w:val="20"/>
              </w:rPr>
            </w:pPr>
            <w:r w:rsidRPr="00615BF4">
              <w:rPr>
                <w:rFonts w:cs="Arial"/>
                <w:color w:val="000000"/>
                <w:szCs w:val="20"/>
              </w:rPr>
              <w:t>1,634</w:t>
            </w:r>
          </w:p>
        </w:tc>
        <w:tc>
          <w:tcPr>
            <w:tcW w:w="1432" w:type="dxa"/>
            <w:tcBorders>
              <w:top w:val="single" w:sz="4" w:space="0" w:color="auto"/>
              <w:left w:val="single" w:sz="4" w:space="0" w:color="auto"/>
              <w:bottom w:val="single" w:sz="4" w:space="0" w:color="auto"/>
              <w:right w:val="single" w:sz="4" w:space="0" w:color="auto"/>
            </w:tcBorders>
            <w:shd w:val="clear" w:color="auto" w:fill="auto"/>
            <w:hideMark/>
          </w:tcPr>
          <w:p w14:paraId="14EA6D7B" w14:textId="77777777" w:rsidR="001A6FD3" w:rsidRPr="00615BF4" w:rsidRDefault="001A6FD3" w:rsidP="00300F1B">
            <w:pPr>
              <w:keepNext/>
              <w:keepLines/>
              <w:spacing w:after="0" w:line="240" w:lineRule="auto"/>
              <w:jc w:val="right"/>
              <w:rPr>
                <w:rFonts w:cs="Arial"/>
                <w:color w:val="000000"/>
                <w:szCs w:val="20"/>
              </w:rPr>
            </w:pPr>
            <w:r w:rsidRPr="00615BF4">
              <w:rPr>
                <w:rFonts w:cs="Arial"/>
                <w:color w:val="000000"/>
                <w:szCs w:val="20"/>
              </w:rPr>
              <w:t>1,144</w:t>
            </w:r>
          </w:p>
        </w:tc>
      </w:tr>
      <w:tr w:rsidR="001A6FD3" w:rsidRPr="00615BF4" w14:paraId="16F6CB99" w14:textId="77777777" w:rsidTr="00300F1B">
        <w:trPr>
          <w:trHeight w:val="525"/>
        </w:trPr>
        <w:tc>
          <w:tcPr>
            <w:tcW w:w="5519" w:type="dxa"/>
            <w:tcBorders>
              <w:top w:val="single" w:sz="4" w:space="0" w:color="auto"/>
              <w:left w:val="single" w:sz="4" w:space="0" w:color="auto"/>
              <w:bottom w:val="single" w:sz="4" w:space="0" w:color="auto"/>
              <w:right w:val="single" w:sz="4" w:space="0" w:color="auto"/>
            </w:tcBorders>
            <w:shd w:val="clear" w:color="auto" w:fill="auto"/>
            <w:hideMark/>
          </w:tcPr>
          <w:p w14:paraId="64E0121C" w14:textId="77777777" w:rsidR="001A6FD3" w:rsidRPr="00615BF4" w:rsidRDefault="001A6FD3" w:rsidP="00300F1B">
            <w:pPr>
              <w:keepNext/>
              <w:keepLines/>
              <w:spacing w:after="0" w:line="240" w:lineRule="auto"/>
              <w:rPr>
                <w:rFonts w:cs="Arial"/>
                <w:color w:val="000000"/>
                <w:szCs w:val="20"/>
              </w:rPr>
            </w:pPr>
            <w:r w:rsidRPr="00615BF4">
              <w:rPr>
                <w:rFonts w:cs="Arial"/>
                <w:color w:val="000000"/>
                <w:szCs w:val="20"/>
              </w:rPr>
              <w:t>Number of complaints to CSPs about financial hardship</w:t>
            </w:r>
          </w:p>
        </w:tc>
        <w:tc>
          <w:tcPr>
            <w:tcW w:w="1432" w:type="dxa"/>
            <w:tcBorders>
              <w:top w:val="single" w:sz="4" w:space="0" w:color="auto"/>
              <w:left w:val="single" w:sz="4" w:space="0" w:color="auto"/>
              <w:bottom w:val="single" w:sz="4" w:space="0" w:color="auto"/>
              <w:right w:val="single" w:sz="4" w:space="0" w:color="auto"/>
            </w:tcBorders>
            <w:shd w:val="clear" w:color="auto" w:fill="auto"/>
            <w:hideMark/>
          </w:tcPr>
          <w:p w14:paraId="0323A5AD" w14:textId="77777777" w:rsidR="001A6FD3" w:rsidRPr="00615BF4" w:rsidRDefault="001A6FD3" w:rsidP="00300F1B">
            <w:pPr>
              <w:keepNext/>
              <w:keepLines/>
              <w:spacing w:after="0" w:line="240" w:lineRule="auto"/>
              <w:jc w:val="right"/>
              <w:rPr>
                <w:rFonts w:cs="Arial"/>
                <w:color w:val="000000"/>
                <w:szCs w:val="20"/>
              </w:rPr>
            </w:pPr>
            <w:r w:rsidRPr="00615BF4">
              <w:rPr>
                <w:rFonts w:cs="Arial"/>
                <w:color w:val="000000"/>
                <w:szCs w:val="20"/>
              </w:rPr>
              <w:t>25,500</w:t>
            </w:r>
          </w:p>
        </w:tc>
        <w:tc>
          <w:tcPr>
            <w:tcW w:w="1432" w:type="dxa"/>
            <w:tcBorders>
              <w:top w:val="single" w:sz="4" w:space="0" w:color="auto"/>
              <w:left w:val="single" w:sz="4" w:space="0" w:color="auto"/>
              <w:bottom w:val="single" w:sz="4" w:space="0" w:color="auto"/>
              <w:right w:val="single" w:sz="4" w:space="0" w:color="auto"/>
            </w:tcBorders>
            <w:shd w:val="clear" w:color="auto" w:fill="auto"/>
            <w:hideMark/>
          </w:tcPr>
          <w:p w14:paraId="09979333" w14:textId="77777777" w:rsidR="001A6FD3" w:rsidRPr="00615BF4" w:rsidRDefault="001A6FD3" w:rsidP="00300F1B">
            <w:pPr>
              <w:keepNext/>
              <w:keepLines/>
              <w:spacing w:after="0" w:line="240" w:lineRule="auto"/>
              <w:jc w:val="right"/>
              <w:rPr>
                <w:rFonts w:cs="Arial"/>
                <w:color w:val="000000"/>
                <w:szCs w:val="20"/>
              </w:rPr>
            </w:pPr>
            <w:r w:rsidRPr="00615BF4">
              <w:rPr>
                <w:rFonts w:cs="Arial"/>
                <w:color w:val="000000"/>
                <w:szCs w:val="20"/>
              </w:rPr>
              <w:t>17,850</w:t>
            </w:r>
          </w:p>
        </w:tc>
      </w:tr>
      <w:tr w:rsidR="001A6FD3" w:rsidRPr="00615BF4" w14:paraId="2AB06D01" w14:textId="77777777" w:rsidTr="00300F1B">
        <w:trPr>
          <w:trHeight w:val="300"/>
        </w:trPr>
        <w:tc>
          <w:tcPr>
            <w:tcW w:w="5519" w:type="dxa"/>
            <w:tcBorders>
              <w:top w:val="single" w:sz="4" w:space="0" w:color="auto"/>
              <w:left w:val="single" w:sz="4" w:space="0" w:color="auto"/>
              <w:bottom w:val="single" w:sz="4" w:space="0" w:color="auto"/>
              <w:right w:val="single" w:sz="4" w:space="0" w:color="auto"/>
            </w:tcBorders>
            <w:shd w:val="clear" w:color="auto" w:fill="auto"/>
            <w:hideMark/>
          </w:tcPr>
          <w:p w14:paraId="14ED5C4E" w14:textId="77777777" w:rsidR="001A6FD3" w:rsidRPr="00615BF4" w:rsidRDefault="001A6FD3" w:rsidP="00300F1B">
            <w:pPr>
              <w:keepNext/>
              <w:keepLines/>
              <w:spacing w:after="0" w:line="240" w:lineRule="auto"/>
              <w:rPr>
                <w:rFonts w:cs="Arial"/>
                <w:color w:val="000000"/>
                <w:szCs w:val="20"/>
              </w:rPr>
            </w:pPr>
            <w:r w:rsidRPr="00615BF4">
              <w:rPr>
                <w:rFonts w:cs="Arial"/>
                <w:color w:val="000000"/>
                <w:szCs w:val="20"/>
              </w:rPr>
              <w:t xml:space="preserve">Total potentially applicable for </w:t>
            </w:r>
            <w:r>
              <w:t>financial hardship</w:t>
            </w:r>
          </w:p>
        </w:tc>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14:paraId="70FADB9C" w14:textId="77777777" w:rsidR="001A6FD3" w:rsidRPr="00615BF4" w:rsidRDefault="001A6FD3" w:rsidP="00300F1B">
            <w:pPr>
              <w:keepNext/>
              <w:keepLines/>
              <w:spacing w:after="0" w:line="240" w:lineRule="auto"/>
              <w:jc w:val="right"/>
              <w:rPr>
                <w:rFonts w:ascii="Calibri" w:hAnsi="Calibri" w:cs="Calibri"/>
                <w:color w:val="000000"/>
                <w:sz w:val="22"/>
                <w:szCs w:val="22"/>
              </w:rPr>
            </w:pPr>
            <w:r w:rsidRPr="00615BF4">
              <w:rPr>
                <w:rFonts w:ascii="Calibri" w:hAnsi="Calibri" w:cs="Calibri"/>
                <w:color w:val="000000"/>
                <w:sz w:val="22"/>
                <w:szCs w:val="22"/>
              </w:rPr>
              <w:t>240,720</w:t>
            </w:r>
          </w:p>
        </w:tc>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14:paraId="62C7EBDD" w14:textId="77777777" w:rsidR="001A6FD3" w:rsidRPr="00615BF4" w:rsidRDefault="001A6FD3" w:rsidP="00300F1B">
            <w:pPr>
              <w:keepNext/>
              <w:keepLines/>
              <w:spacing w:after="0" w:line="240" w:lineRule="auto"/>
              <w:jc w:val="right"/>
              <w:rPr>
                <w:rFonts w:ascii="Calibri" w:hAnsi="Calibri" w:cs="Calibri"/>
                <w:color w:val="000000"/>
                <w:sz w:val="22"/>
                <w:szCs w:val="22"/>
              </w:rPr>
            </w:pPr>
            <w:r w:rsidRPr="00615BF4">
              <w:rPr>
                <w:rFonts w:ascii="Calibri" w:hAnsi="Calibri" w:cs="Calibri"/>
                <w:color w:val="000000"/>
                <w:sz w:val="22"/>
                <w:szCs w:val="22"/>
              </w:rPr>
              <w:t>240,720</w:t>
            </w:r>
          </w:p>
        </w:tc>
      </w:tr>
      <w:tr w:rsidR="001A6FD3" w:rsidRPr="00615BF4" w14:paraId="70CEF791" w14:textId="77777777" w:rsidTr="00300F1B">
        <w:trPr>
          <w:trHeight w:val="300"/>
        </w:trPr>
        <w:tc>
          <w:tcPr>
            <w:tcW w:w="5519" w:type="dxa"/>
            <w:tcBorders>
              <w:top w:val="single" w:sz="4" w:space="0" w:color="auto"/>
              <w:left w:val="single" w:sz="4" w:space="0" w:color="auto"/>
              <w:bottom w:val="single" w:sz="4" w:space="0" w:color="auto"/>
              <w:right w:val="single" w:sz="4" w:space="0" w:color="auto"/>
            </w:tcBorders>
            <w:shd w:val="clear" w:color="auto" w:fill="auto"/>
            <w:noWrap/>
            <w:hideMark/>
          </w:tcPr>
          <w:p w14:paraId="4D529288" w14:textId="37F6D6AF" w:rsidR="001A6FD3" w:rsidRPr="00615BF4" w:rsidRDefault="001A6FD3" w:rsidP="00300F1B">
            <w:pPr>
              <w:keepNext/>
              <w:keepLines/>
              <w:spacing w:after="0" w:line="240" w:lineRule="auto"/>
              <w:rPr>
                <w:rFonts w:cs="Arial"/>
                <w:color w:val="000000"/>
                <w:szCs w:val="20"/>
              </w:rPr>
            </w:pPr>
            <w:r w:rsidRPr="00615BF4">
              <w:rPr>
                <w:rFonts w:cs="Arial"/>
                <w:color w:val="000000"/>
                <w:szCs w:val="20"/>
              </w:rPr>
              <w:t xml:space="preserve">% of </w:t>
            </w:r>
            <w:r>
              <w:rPr>
                <w:rFonts w:cs="Arial"/>
                <w:color w:val="000000"/>
                <w:szCs w:val="20"/>
              </w:rPr>
              <w:t xml:space="preserve">all </w:t>
            </w:r>
            <w:r w:rsidRPr="00615BF4">
              <w:rPr>
                <w:rFonts w:cs="Arial"/>
                <w:color w:val="000000"/>
                <w:szCs w:val="20"/>
              </w:rPr>
              <w:t xml:space="preserve">customers on </w:t>
            </w:r>
            <w:r>
              <w:t xml:space="preserve">financial hardship </w:t>
            </w:r>
            <w:r>
              <w:rPr>
                <w:rFonts w:cs="Arial"/>
                <w:color w:val="000000"/>
                <w:szCs w:val="20"/>
              </w:rPr>
              <w:t>arrangements</w:t>
            </w:r>
          </w:p>
        </w:tc>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14:paraId="73CC5D12" w14:textId="77777777" w:rsidR="001A6FD3" w:rsidRPr="00615BF4" w:rsidRDefault="001A6FD3" w:rsidP="00300F1B">
            <w:pPr>
              <w:pStyle w:val="TableBody"/>
              <w:keepNext/>
              <w:keepLines/>
              <w:jc w:val="right"/>
            </w:pPr>
            <w:r w:rsidRPr="00615BF4">
              <w:t>0.03%</w:t>
            </w:r>
          </w:p>
        </w:tc>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14:paraId="021B6A70" w14:textId="77777777" w:rsidR="001A6FD3" w:rsidRPr="00615BF4" w:rsidRDefault="001A6FD3" w:rsidP="00300F1B">
            <w:pPr>
              <w:pStyle w:val="TableBody"/>
              <w:keepNext/>
              <w:keepLines/>
              <w:jc w:val="right"/>
            </w:pPr>
            <w:r w:rsidRPr="00615BF4">
              <w:t>0.44%</w:t>
            </w:r>
          </w:p>
        </w:tc>
      </w:tr>
    </w:tbl>
    <w:p w14:paraId="4EFC6E50" w14:textId="77777777" w:rsidR="001A6FD3" w:rsidRDefault="001A6FD3" w:rsidP="00A05A0C">
      <w:pPr>
        <w:spacing w:after="120"/>
        <w:rPr>
          <w:rFonts w:cs="Arial"/>
          <w:szCs w:val="20"/>
        </w:rPr>
      </w:pPr>
    </w:p>
    <w:p w14:paraId="4520CE8D" w14:textId="6B97E2BA" w:rsidR="001A6FD3" w:rsidRDefault="001A6FD3" w:rsidP="001A6FD3">
      <w:pPr>
        <w:pStyle w:val="Paragraph"/>
      </w:pPr>
      <w:r>
        <w:t>The estimation of input values (such as 30% of potential disconnection customers on formal financial hardship provisions) is based on comparisons with similar financial hardship arrangements</w:t>
      </w:r>
      <w:r w:rsidRPr="00F3038F">
        <w:t xml:space="preserve"> </w:t>
      </w:r>
      <w:r>
        <w:t>in the Australian electricity industry.</w:t>
      </w:r>
      <w:r w:rsidR="00BC3DC1" w:rsidRPr="00BC3DC1">
        <w:rPr>
          <w:rStyle w:val="FootnoteReference"/>
        </w:rPr>
        <w:t xml:space="preserve"> </w:t>
      </w:r>
      <w:r w:rsidR="00BC3DC1">
        <w:rPr>
          <w:rStyle w:val="FootnoteReference"/>
        </w:rPr>
        <w:footnoteReference w:id="53"/>
      </w:r>
    </w:p>
    <w:p w14:paraId="16A0C8BF" w14:textId="77777777" w:rsidR="001A6FD3" w:rsidRPr="00321CE0" w:rsidRDefault="001A6FD3" w:rsidP="001A6FD3">
      <w:pPr>
        <w:pStyle w:val="Heading3"/>
      </w:pPr>
      <w:bookmarkStart w:id="62" w:name="_Toc155686000"/>
      <w:r w:rsidRPr="00321CE0">
        <w:t>Benefits</w:t>
      </w:r>
      <w:bookmarkEnd w:id="62"/>
      <w:r w:rsidRPr="00321CE0">
        <w:t xml:space="preserve"> </w:t>
      </w:r>
    </w:p>
    <w:p w14:paraId="314212D7" w14:textId="76DA2A0B" w:rsidR="001A6FD3" w:rsidRDefault="001A6FD3" w:rsidP="00300F1B">
      <w:pPr>
        <w:pStyle w:val="Paragraph"/>
      </w:pPr>
      <w:r>
        <w:t>Option 2</w:t>
      </w:r>
      <w:r w:rsidR="00B93A6D">
        <w:t>B</w:t>
      </w:r>
      <w:r>
        <w:t xml:space="preserve"> will establish c</w:t>
      </w:r>
      <w:r w:rsidRPr="00992404">
        <w:t>lear rules and obligations</w:t>
      </w:r>
      <w:r w:rsidR="00DB4D01">
        <w:t xml:space="preserve"> in key areas</w:t>
      </w:r>
      <w:r>
        <w:t xml:space="preserve">, providing </w:t>
      </w:r>
      <w:r w:rsidRPr="00992404">
        <w:t>a consistent</w:t>
      </w:r>
      <w:r>
        <w:t>, community-wide approach for CSPs and their customers</w:t>
      </w:r>
      <w:r w:rsidR="00B93A6D">
        <w:t>, while still maintaining an outcomes-based focus</w:t>
      </w:r>
      <w:r>
        <w:t xml:space="preserve">. </w:t>
      </w:r>
    </w:p>
    <w:p w14:paraId="4ED99892" w14:textId="7F47E0DF" w:rsidR="001A6FD3" w:rsidRDefault="001A6FD3" w:rsidP="00300F1B">
      <w:pPr>
        <w:pStyle w:val="Paragraph"/>
      </w:pPr>
      <w:r w:rsidRPr="00992404">
        <w:t>Increased awareness</w:t>
      </w:r>
      <w:r>
        <w:t xml:space="preserve"> of financial hardship arrangements</w:t>
      </w:r>
      <w:r w:rsidRPr="00992404">
        <w:t xml:space="preserve"> </w:t>
      </w:r>
      <w:r>
        <w:t>empowers</w:t>
      </w:r>
      <w:r w:rsidRPr="00992404">
        <w:t xml:space="preserve"> consumers, </w:t>
      </w:r>
      <w:r>
        <w:t xml:space="preserve">potentially </w:t>
      </w:r>
      <w:r w:rsidRPr="00992404">
        <w:t>improv</w:t>
      </w:r>
      <w:r>
        <w:t>ing</w:t>
      </w:r>
      <w:r w:rsidRPr="00992404">
        <w:t xml:space="preserve"> customer relations</w:t>
      </w:r>
      <w:r>
        <w:t xml:space="preserve"> and CSPs reputation.</w:t>
      </w:r>
    </w:p>
    <w:p w14:paraId="17FF0ACE" w14:textId="2016244B" w:rsidR="001A6FD3" w:rsidRPr="00E97751" w:rsidRDefault="001A6FD3" w:rsidP="00300F1B">
      <w:pPr>
        <w:pStyle w:val="Paragraph"/>
      </w:pPr>
      <w:r>
        <w:t>Option 2</w:t>
      </w:r>
      <w:r w:rsidR="00B93A6D">
        <w:t>B</w:t>
      </w:r>
      <w:r>
        <w:t xml:space="preserve"> can </w:t>
      </w:r>
      <w:r w:rsidR="00B93A6D">
        <w:t xml:space="preserve">more </w:t>
      </w:r>
      <w:r>
        <w:t>effectively address identified gaps in existing protections, establishing a b</w:t>
      </w:r>
      <w:r w:rsidRPr="00E97751">
        <w:t>aseline level of support for all customers experiencing financial hardship</w:t>
      </w:r>
      <w:r>
        <w:t xml:space="preserve">. </w:t>
      </w:r>
      <w:r w:rsidRPr="00E97751">
        <w:t xml:space="preserve">Consistency and clarity in financial hardship policies, </w:t>
      </w:r>
      <w:r>
        <w:t>will make</w:t>
      </w:r>
      <w:r w:rsidRPr="00E97751">
        <w:t xml:space="preserve"> it easier for customers to navigate</w:t>
      </w:r>
      <w:r>
        <w:t>,</w:t>
      </w:r>
      <w:r w:rsidR="00B55208">
        <w:t xml:space="preserve"> </w:t>
      </w:r>
      <w:r w:rsidRPr="00650BF8">
        <w:t>saving time and preventing unnecessary stress</w:t>
      </w:r>
      <w:r>
        <w:t>.</w:t>
      </w:r>
    </w:p>
    <w:p w14:paraId="2E4E3E34" w14:textId="311AA968" w:rsidR="001A6FD3" w:rsidRDefault="001A6FD3" w:rsidP="00300F1B">
      <w:pPr>
        <w:pStyle w:val="Paragraph"/>
      </w:pPr>
      <w:r>
        <w:t>The most significant benefit would be an i</w:t>
      </w:r>
      <w:r w:rsidRPr="00E97751">
        <w:t xml:space="preserve">ncrease </w:t>
      </w:r>
      <w:r>
        <w:t xml:space="preserve">in </w:t>
      </w:r>
      <w:r w:rsidRPr="00E97751">
        <w:t>consumer</w:t>
      </w:r>
      <w:r>
        <w:t>s</w:t>
      </w:r>
      <w:r w:rsidRPr="00E97751">
        <w:t xml:space="preserve"> access</w:t>
      </w:r>
      <w:r>
        <w:t>ing</w:t>
      </w:r>
      <w:r w:rsidRPr="00E97751">
        <w:t xml:space="preserve"> financial hardship arrangements and </w:t>
      </w:r>
      <w:r>
        <w:t xml:space="preserve">a </w:t>
      </w:r>
      <w:r w:rsidRPr="00E97751">
        <w:t>reduc</w:t>
      </w:r>
      <w:r>
        <w:t>tion</w:t>
      </w:r>
      <w:r w:rsidRPr="00E97751">
        <w:t xml:space="preserve"> </w:t>
      </w:r>
      <w:r>
        <w:t>in</w:t>
      </w:r>
      <w:r w:rsidRPr="00E97751">
        <w:t xml:space="preserve"> disconnection</w:t>
      </w:r>
      <w:r>
        <w:t>s and the subsequent impacts that lack of access to telecommunications services can have.</w:t>
      </w:r>
      <w:r w:rsidRPr="00E97751">
        <w:t xml:space="preserve"> </w:t>
      </w:r>
    </w:p>
    <w:p w14:paraId="0AB521AB" w14:textId="0CAC120B" w:rsidR="001A6FD3" w:rsidRDefault="001A6FD3" w:rsidP="00300F1B">
      <w:pPr>
        <w:pStyle w:val="Paragraph"/>
      </w:pPr>
      <w:r>
        <w:t xml:space="preserve">The benefits that could be readily estimated are set out in Table </w:t>
      </w:r>
      <w:r w:rsidR="000F053C">
        <w:t>9</w:t>
      </w:r>
      <w:r>
        <w:t>.</w:t>
      </w:r>
    </w:p>
    <w:p w14:paraId="61D94941" w14:textId="29F24EFE" w:rsidR="001A6FD3" w:rsidRDefault="001A6FD3" w:rsidP="000F053C">
      <w:pPr>
        <w:pStyle w:val="Tableheading"/>
      </w:pPr>
      <w:r>
        <w:lastRenderedPageBreak/>
        <w:t>Benefits under the Option 2B</w:t>
      </w:r>
    </w:p>
    <w:tbl>
      <w:tblPr>
        <w:tblStyle w:val="ACMAtablestyle"/>
        <w:tblW w:w="8784" w:type="dxa"/>
        <w:tblCellMar>
          <w:top w:w="85" w:type="dxa"/>
          <w:left w:w="57" w:type="dxa"/>
          <w:bottom w:w="85" w:type="dxa"/>
          <w:right w:w="57" w:type="dxa"/>
        </w:tblCellMar>
        <w:tblLook w:val="04A0" w:firstRow="1" w:lastRow="0" w:firstColumn="1" w:lastColumn="0" w:noHBand="0" w:noVBand="1"/>
      </w:tblPr>
      <w:tblGrid>
        <w:gridCol w:w="2119"/>
        <w:gridCol w:w="1334"/>
        <w:gridCol w:w="5331"/>
      </w:tblGrid>
      <w:tr w:rsidR="001A6FD3" w:rsidRPr="00B83C77" w14:paraId="203A3873" w14:textId="77777777" w:rsidTr="00832BE0">
        <w:trPr>
          <w:cnfStyle w:val="100000000000" w:firstRow="1" w:lastRow="0" w:firstColumn="0" w:lastColumn="0" w:oddVBand="0" w:evenVBand="0" w:oddHBand="0" w:evenHBand="0" w:firstRowFirstColumn="0" w:firstRowLastColumn="0" w:lastRowFirstColumn="0" w:lastRowLastColumn="0"/>
        </w:trPr>
        <w:tc>
          <w:tcPr>
            <w:tcW w:w="2119" w:type="dxa"/>
          </w:tcPr>
          <w:p w14:paraId="67DC1BED" w14:textId="77777777" w:rsidR="001A6FD3" w:rsidRPr="002B5B6C" w:rsidRDefault="001A6FD3" w:rsidP="00300F1B">
            <w:pPr>
              <w:pStyle w:val="Paragraph"/>
              <w:keepNext/>
              <w:keepLines/>
              <w:spacing w:after="0"/>
              <w:rPr>
                <w:b/>
                <w:bCs/>
              </w:rPr>
            </w:pPr>
            <w:r w:rsidRPr="002B5B6C">
              <w:rPr>
                <w:b/>
                <w:bCs/>
              </w:rPr>
              <w:t xml:space="preserve">Input </w:t>
            </w:r>
          </w:p>
        </w:tc>
        <w:tc>
          <w:tcPr>
            <w:tcW w:w="1334" w:type="dxa"/>
          </w:tcPr>
          <w:p w14:paraId="022840B9" w14:textId="77777777" w:rsidR="001A6FD3" w:rsidRPr="002B5B6C" w:rsidRDefault="001A6FD3" w:rsidP="00300F1B">
            <w:pPr>
              <w:pStyle w:val="Paragraph"/>
              <w:keepNext/>
              <w:keepLines/>
              <w:spacing w:after="0"/>
              <w:rPr>
                <w:b/>
                <w:bCs/>
              </w:rPr>
            </w:pPr>
            <w:r w:rsidRPr="002B5B6C">
              <w:rPr>
                <w:b/>
                <w:bCs/>
              </w:rPr>
              <w:t>Value</w:t>
            </w:r>
          </w:p>
        </w:tc>
        <w:tc>
          <w:tcPr>
            <w:tcW w:w="5331" w:type="dxa"/>
          </w:tcPr>
          <w:p w14:paraId="5D47A2B7" w14:textId="77777777" w:rsidR="001A6FD3" w:rsidRPr="002B5B6C" w:rsidRDefault="001A6FD3" w:rsidP="00300F1B">
            <w:pPr>
              <w:pStyle w:val="Paragraph"/>
              <w:keepNext/>
              <w:keepLines/>
              <w:spacing w:after="0"/>
              <w:rPr>
                <w:b/>
                <w:bCs/>
              </w:rPr>
            </w:pPr>
            <w:r w:rsidRPr="002B5B6C">
              <w:rPr>
                <w:b/>
                <w:bCs/>
              </w:rPr>
              <w:t>Calculation and source</w:t>
            </w:r>
          </w:p>
        </w:tc>
      </w:tr>
      <w:tr w:rsidR="001A6FD3" w:rsidRPr="00B83C77" w14:paraId="2A2C4B95" w14:textId="77777777" w:rsidTr="00832BE0">
        <w:trPr>
          <w:cnfStyle w:val="000000100000" w:firstRow="0" w:lastRow="0" w:firstColumn="0" w:lastColumn="0" w:oddVBand="0" w:evenVBand="0" w:oddHBand="1" w:evenHBand="0" w:firstRowFirstColumn="0" w:firstRowLastColumn="0" w:lastRowFirstColumn="0" w:lastRowLastColumn="0"/>
        </w:trPr>
        <w:tc>
          <w:tcPr>
            <w:tcW w:w="2119" w:type="dxa"/>
          </w:tcPr>
          <w:p w14:paraId="0CB63ABB" w14:textId="77777777" w:rsidR="001A6FD3" w:rsidRPr="00B83C77" w:rsidRDefault="001A6FD3" w:rsidP="00300F1B">
            <w:pPr>
              <w:pStyle w:val="Paragraph"/>
              <w:spacing w:after="0"/>
            </w:pPr>
            <w:r>
              <w:t>Reduction in financial hardship complaints to the TIO</w:t>
            </w:r>
          </w:p>
        </w:tc>
        <w:tc>
          <w:tcPr>
            <w:tcW w:w="1334" w:type="dxa"/>
          </w:tcPr>
          <w:p w14:paraId="45F7C890" w14:textId="77777777" w:rsidR="001A6FD3" w:rsidRPr="00B83C77" w:rsidRDefault="001A6FD3" w:rsidP="00300F1B">
            <w:pPr>
              <w:pStyle w:val="Paragraph"/>
              <w:spacing w:after="0"/>
            </w:pPr>
            <w:r w:rsidRPr="00C52A03">
              <w:t>$228,126</w:t>
            </w:r>
          </w:p>
        </w:tc>
        <w:tc>
          <w:tcPr>
            <w:tcW w:w="5331" w:type="dxa"/>
          </w:tcPr>
          <w:p w14:paraId="3F1D351A" w14:textId="77777777" w:rsidR="00BC3DC1" w:rsidRDefault="00BC3DC1" w:rsidP="00300F1B">
            <w:pPr>
              <w:pStyle w:val="Paragraph"/>
              <w:spacing w:after="80"/>
            </w:pPr>
            <w:r>
              <w:t xml:space="preserve">Average cost per complaint = </w:t>
            </w:r>
            <w:r w:rsidRPr="00B83C77">
              <w:t>$465</w:t>
            </w:r>
          </w:p>
          <w:p w14:paraId="5E8B035B" w14:textId="1DF1940F" w:rsidR="00BC3DC1" w:rsidRDefault="00BC3DC1" w:rsidP="00300F1B">
            <w:pPr>
              <w:pStyle w:val="Paragraph"/>
              <w:spacing w:after="80"/>
            </w:pPr>
            <w:r>
              <w:t xml:space="preserve">Reduction in </w:t>
            </w:r>
            <w:r w:rsidR="00300F1B">
              <w:t xml:space="preserve">number of </w:t>
            </w:r>
            <w:r>
              <w:t xml:space="preserve">complaints = </w:t>
            </w:r>
            <w:r w:rsidRPr="009240F3">
              <w:t>1,785</w:t>
            </w:r>
          </w:p>
          <w:p w14:paraId="4DD61D3B" w14:textId="160C9CE4" w:rsidR="001A6FD3" w:rsidRPr="00B83C77" w:rsidRDefault="00BC3DC1" w:rsidP="00300F1B">
            <w:pPr>
              <w:pStyle w:val="Paragraph"/>
              <w:spacing w:after="0"/>
            </w:pPr>
            <w:r>
              <w:t xml:space="preserve">Source: </w:t>
            </w:r>
            <w:hyperlink r:id="rId36" w:history="1">
              <w:r w:rsidRPr="00FE2230">
                <w:rPr>
                  <w:rStyle w:val="Hyperlink"/>
                </w:rPr>
                <w:t>www.tio.com.au/sites/default/files/2023-09/TIO%20Financial%20Report%202023.pdf</w:t>
              </w:r>
            </w:hyperlink>
          </w:p>
        </w:tc>
      </w:tr>
      <w:tr w:rsidR="001A6FD3" w:rsidRPr="00B83C77" w14:paraId="31419EF9" w14:textId="77777777" w:rsidTr="00832BE0">
        <w:trPr>
          <w:cnfStyle w:val="000000010000" w:firstRow="0" w:lastRow="0" w:firstColumn="0" w:lastColumn="0" w:oddVBand="0" w:evenVBand="0" w:oddHBand="0" w:evenHBand="1" w:firstRowFirstColumn="0" w:firstRowLastColumn="0" w:lastRowFirstColumn="0" w:lastRowLastColumn="0"/>
        </w:trPr>
        <w:tc>
          <w:tcPr>
            <w:tcW w:w="2119" w:type="dxa"/>
          </w:tcPr>
          <w:p w14:paraId="1B1E763E" w14:textId="77777777" w:rsidR="001A6FD3" w:rsidRDefault="001A6FD3" w:rsidP="00300F1B">
            <w:pPr>
              <w:pStyle w:val="Paragraph"/>
              <w:spacing w:after="0"/>
            </w:pPr>
            <w:r>
              <w:t>Reduction in reconnection cost</w:t>
            </w:r>
          </w:p>
        </w:tc>
        <w:tc>
          <w:tcPr>
            <w:tcW w:w="1334" w:type="dxa"/>
          </w:tcPr>
          <w:p w14:paraId="7AAAE00B" w14:textId="1607C7F9" w:rsidR="001A6FD3" w:rsidRPr="000136DC" w:rsidRDefault="001A6FD3" w:rsidP="00300F1B">
            <w:pPr>
              <w:pStyle w:val="Paragraph"/>
              <w:spacing w:after="0"/>
            </w:pPr>
            <w:r w:rsidRPr="00F13A5A">
              <w:t>$3,</w:t>
            </w:r>
            <w:r w:rsidR="00BC3DC1">
              <w:t>120,088</w:t>
            </w:r>
          </w:p>
        </w:tc>
        <w:tc>
          <w:tcPr>
            <w:tcW w:w="5331" w:type="dxa"/>
          </w:tcPr>
          <w:p w14:paraId="20396FE1" w14:textId="77777777" w:rsidR="00BC3DC1" w:rsidRDefault="00BC3DC1" w:rsidP="00300F1B">
            <w:pPr>
              <w:pStyle w:val="Paragraph"/>
              <w:spacing w:after="80"/>
            </w:pPr>
            <w:r>
              <w:t>Reconnection cost per customer = $46</w:t>
            </w:r>
          </w:p>
          <w:p w14:paraId="5685D8AA" w14:textId="77777777" w:rsidR="00BC3DC1" w:rsidRDefault="00BC3DC1" w:rsidP="00300F1B">
            <w:pPr>
              <w:pStyle w:val="Paragraph"/>
              <w:spacing w:after="80"/>
            </w:pPr>
            <w:r>
              <w:t xml:space="preserve">Reduction in number of disconnections = </w:t>
            </w:r>
            <w:r w:rsidRPr="007745B5">
              <w:t>67,828</w:t>
            </w:r>
          </w:p>
          <w:p w14:paraId="0861F6B1" w14:textId="67D5C800" w:rsidR="001A6FD3" w:rsidRDefault="00BC3DC1" w:rsidP="00300F1B">
            <w:pPr>
              <w:pStyle w:val="Paragraph"/>
              <w:spacing w:after="0"/>
            </w:pPr>
            <w:r>
              <w:t xml:space="preserve">Source: </w:t>
            </w:r>
            <w:hyperlink r:id="rId37" w:history="1">
              <w:r w:rsidRPr="00FE2230">
                <w:rPr>
                  <w:rStyle w:val="Hyperlink"/>
                </w:rPr>
                <w:t>www.telstra.com.au/content/dam/tcom/our-customer-terms/business-government/pdf/mobilegeneral.pdf</w:t>
              </w:r>
            </w:hyperlink>
          </w:p>
        </w:tc>
      </w:tr>
    </w:tbl>
    <w:p w14:paraId="3D7C728D" w14:textId="77777777" w:rsidR="001A6FD3" w:rsidRDefault="001A6FD3" w:rsidP="00A05A0C">
      <w:pPr>
        <w:spacing w:after="120"/>
        <w:rPr>
          <w:rFonts w:cs="Arial"/>
          <w:szCs w:val="20"/>
        </w:rPr>
      </w:pPr>
    </w:p>
    <w:p w14:paraId="6A43589F" w14:textId="6FF65690" w:rsidR="001A6FD3" w:rsidRPr="00405417" w:rsidRDefault="001A6FD3" w:rsidP="002B5B6C">
      <w:pPr>
        <w:pStyle w:val="Paragraph"/>
      </w:pPr>
      <w:r>
        <w:t xml:space="preserve">As with Option 2A, Option 2B is expected to impose various other benefits and costs on CSPs. </w:t>
      </w:r>
      <w:r w:rsidRPr="00405417">
        <w:t>Consultation on financial hardships</w:t>
      </w:r>
      <w:r>
        <w:t xml:space="preserve"> reforms</w:t>
      </w:r>
      <w:r w:rsidRPr="00405417">
        <w:t xml:space="preserve"> in the electricity sector suggest these impacts </w:t>
      </w:r>
      <w:r>
        <w:t>are likely to offset each other</w:t>
      </w:r>
      <w:r w:rsidRPr="00405417">
        <w:t xml:space="preserve">. </w:t>
      </w:r>
    </w:p>
    <w:p w14:paraId="3BA30C96" w14:textId="77777777" w:rsidR="001A6FD3" w:rsidRDefault="001A6FD3" w:rsidP="001A6FD3">
      <w:pPr>
        <w:pStyle w:val="Heading3"/>
      </w:pPr>
      <w:bookmarkStart w:id="63" w:name="_Toc155686001"/>
      <w:r w:rsidRPr="00321CE0">
        <w:t>Costs</w:t>
      </w:r>
      <w:bookmarkEnd w:id="63"/>
      <w:r w:rsidRPr="00321CE0">
        <w:t xml:space="preserve"> </w:t>
      </w:r>
    </w:p>
    <w:p w14:paraId="7926B340" w14:textId="6AA8974D" w:rsidR="001A6FD3" w:rsidRDefault="00BC3DC1" w:rsidP="001A6FD3">
      <w:pPr>
        <w:pStyle w:val="Paragraph"/>
      </w:pPr>
      <w:r>
        <w:t xml:space="preserve">ACMA costs of developing and implementing reforms are expected to be higher initially but then drop lower than the base case in subsequent years. </w:t>
      </w:r>
      <w:r w:rsidRPr="00FF75AA">
        <w:t xml:space="preserve">The reduction in costs is greater in </w:t>
      </w:r>
      <w:r>
        <w:t>O</w:t>
      </w:r>
      <w:r w:rsidRPr="00FF75AA">
        <w:t xml:space="preserve">ption 2B compared to </w:t>
      </w:r>
      <w:r>
        <w:t xml:space="preserve">Option </w:t>
      </w:r>
      <w:r w:rsidRPr="00FF75AA">
        <w:t xml:space="preserve">2A </w:t>
      </w:r>
      <w:r>
        <w:t>because</w:t>
      </w:r>
      <w:r w:rsidRPr="00FF75AA">
        <w:t xml:space="preserve"> a </w:t>
      </w:r>
      <w:r>
        <w:t xml:space="preserve">more </w:t>
      </w:r>
      <w:r w:rsidR="00A5592F">
        <w:t>detailed</w:t>
      </w:r>
      <w:r w:rsidR="00A5592F" w:rsidRPr="00FF75AA">
        <w:t xml:space="preserve"> </w:t>
      </w:r>
      <w:r w:rsidRPr="00FF75AA">
        <w:t xml:space="preserve">standard </w:t>
      </w:r>
      <w:r w:rsidR="00AA2070">
        <w:t xml:space="preserve">in key areas </w:t>
      </w:r>
      <w:r w:rsidRPr="00FF75AA">
        <w:t xml:space="preserve">would be </w:t>
      </w:r>
      <w:r>
        <w:t xml:space="preserve">less complex </w:t>
      </w:r>
      <w:r w:rsidRPr="00FF75AA">
        <w:t xml:space="preserve">to </w:t>
      </w:r>
      <w:r w:rsidR="008849F0">
        <w:t xml:space="preserve">implement and </w:t>
      </w:r>
      <w:r w:rsidRPr="00FF75AA">
        <w:t xml:space="preserve">enforce than </w:t>
      </w:r>
      <w:r w:rsidR="00BE4DF3">
        <w:t>a</w:t>
      </w:r>
      <w:r w:rsidRPr="00FF75AA">
        <w:t xml:space="preserve"> standard</w:t>
      </w:r>
      <w:r w:rsidR="00BE4DF3">
        <w:t xml:space="preserve"> with more discretion</w:t>
      </w:r>
      <w:r w:rsidRPr="00FF75AA">
        <w:t xml:space="preserve">. </w:t>
      </w:r>
    </w:p>
    <w:p w14:paraId="5CB79981" w14:textId="22CE8366" w:rsidR="001A6FD3" w:rsidRDefault="001A6FD3" w:rsidP="004D4F22">
      <w:pPr>
        <w:pStyle w:val="Tableheading"/>
      </w:pPr>
      <w:r>
        <w:t>ACMA costs under the Option 2B</w:t>
      </w:r>
    </w:p>
    <w:tbl>
      <w:tblPr>
        <w:tblStyle w:val="ACMAtablestyle"/>
        <w:tblW w:w="8784" w:type="dxa"/>
        <w:tblCellMar>
          <w:top w:w="85" w:type="dxa"/>
          <w:left w:w="57" w:type="dxa"/>
          <w:bottom w:w="85" w:type="dxa"/>
          <w:right w:w="57" w:type="dxa"/>
        </w:tblCellMar>
        <w:tblLook w:val="04A0" w:firstRow="1" w:lastRow="0" w:firstColumn="1" w:lastColumn="0" w:noHBand="0" w:noVBand="1"/>
      </w:tblPr>
      <w:tblGrid>
        <w:gridCol w:w="2119"/>
        <w:gridCol w:w="1704"/>
        <w:gridCol w:w="4961"/>
      </w:tblGrid>
      <w:tr w:rsidR="001A6FD3" w:rsidRPr="00B83C77" w14:paraId="6952213F" w14:textId="77777777" w:rsidTr="00832BE0">
        <w:trPr>
          <w:cnfStyle w:val="100000000000" w:firstRow="1" w:lastRow="0" w:firstColumn="0" w:lastColumn="0" w:oddVBand="0" w:evenVBand="0" w:oddHBand="0" w:evenHBand="0" w:firstRowFirstColumn="0" w:firstRowLastColumn="0" w:lastRowFirstColumn="0" w:lastRowLastColumn="0"/>
        </w:trPr>
        <w:tc>
          <w:tcPr>
            <w:tcW w:w="2119" w:type="dxa"/>
          </w:tcPr>
          <w:p w14:paraId="0A88E26D" w14:textId="77777777" w:rsidR="001A6FD3" w:rsidRPr="002B5B6C" w:rsidRDefault="001A6FD3" w:rsidP="002B5B6C">
            <w:pPr>
              <w:pStyle w:val="Paragraph"/>
              <w:keepNext/>
              <w:keepLines/>
              <w:spacing w:after="0"/>
              <w:rPr>
                <w:b/>
                <w:bCs/>
              </w:rPr>
            </w:pPr>
            <w:r w:rsidRPr="002B5B6C">
              <w:rPr>
                <w:b/>
                <w:bCs/>
              </w:rPr>
              <w:t xml:space="preserve">Input </w:t>
            </w:r>
          </w:p>
        </w:tc>
        <w:tc>
          <w:tcPr>
            <w:tcW w:w="1704" w:type="dxa"/>
          </w:tcPr>
          <w:p w14:paraId="40632D0A" w14:textId="77777777" w:rsidR="001A6FD3" w:rsidRPr="002B5B6C" w:rsidRDefault="001A6FD3" w:rsidP="002B5B6C">
            <w:pPr>
              <w:pStyle w:val="Paragraph"/>
              <w:keepNext/>
              <w:keepLines/>
              <w:spacing w:after="0"/>
              <w:rPr>
                <w:b/>
                <w:bCs/>
              </w:rPr>
            </w:pPr>
            <w:r w:rsidRPr="002B5B6C">
              <w:rPr>
                <w:b/>
                <w:bCs/>
              </w:rPr>
              <w:t>Value</w:t>
            </w:r>
          </w:p>
        </w:tc>
        <w:tc>
          <w:tcPr>
            <w:tcW w:w="4961" w:type="dxa"/>
          </w:tcPr>
          <w:p w14:paraId="37C3B060" w14:textId="77777777" w:rsidR="001A6FD3" w:rsidRPr="002B5B6C" w:rsidRDefault="001A6FD3" w:rsidP="002B5B6C">
            <w:pPr>
              <w:pStyle w:val="Paragraph"/>
              <w:keepNext/>
              <w:keepLines/>
              <w:spacing w:after="0"/>
              <w:rPr>
                <w:b/>
                <w:bCs/>
              </w:rPr>
            </w:pPr>
            <w:r w:rsidRPr="002B5B6C">
              <w:rPr>
                <w:b/>
                <w:bCs/>
              </w:rPr>
              <w:t>Calculation and source</w:t>
            </w:r>
          </w:p>
        </w:tc>
      </w:tr>
      <w:tr w:rsidR="001A6FD3" w:rsidRPr="00B83C77" w14:paraId="38DA3E7C" w14:textId="77777777" w:rsidTr="00832BE0">
        <w:trPr>
          <w:cnfStyle w:val="000000100000" w:firstRow="0" w:lastRow="0" w:firstColumn="0" w:lastColumn="0" w:oddVBand="0" w:evenVBand="0" w:oddHBand="1" w:evenHBand="0" w:firstRowFirstColumn="0" w:firstRowLastColumn="0" w:lastRowFirstColumn="0" w:lastRowLastColumn="0"/>
        </w:trPr>
        <w:tc>
          <w:tcPr>
            <w:tcW w:w="2119" w:type="dxa"/>
          </w:tcPr>
          <w:p w14:paraId="0ED26DF1" w14:textId="77777777" w:rsidR="001A6FD3" w:rsidRPr="00B83C77" w:rsidRDefault="001A6FD3" w:rsidP="002B5B6C">
            <w:pPr>
              <w:pStyle w:val="Paragraph"/>
              <w:keepNext/>
              <w:keepLines/>
              <w:spacing w:after="0"/>
            </w:pPr>
            <w:r>
              <w:t xml:space="preserve">Estimated ACMA </w:t>
            </w:r>
            <w:r w:rsidRPr="00E00534">
              <w:t>compliance and enforcement</w:t>
            </w:r>
            <w:r>
              <w:t xml:space="preserve"> cost</w:t>
            </w:r>
          </w:p>
        </w:tc>
        <w:tc>
          <w:tcPr>
            <w:tcW w:w="1704" w:type="dxa"/>
          </w:tcPr>
          <w:p w14:paraId="39D07A49" w14:textId="25510D0F" w:rsidR="001A6FD3" w:rsidRDefault="00267D6F" w:rsidP="002B5B6C">
            <w:pPr>
              <w:pStyle w:val="Paragraph"/>
              <w:keepNext/>
              <w:keepLines/>
              <w:spacing w:after="80"/>
            </w:pPr>
            <w:r>
              <w:t>Yr.</w:t>
            </w:r>
            <w:r w:rsidR="001A6FD3">
              <w:t xml:space="preserve"> 1 </w:t>
            </w:r>
            <w:r w:rsidR="001A6FD3" w:rsidRPr="00CC4035">
              <w:t>$984,045</w:t>
            </w:r>
          </w:p>
          <w:p w14:paraId="0DF02428" w14:textId="316EC3C1" w:rsidR="001A6FD3" w:rsidRDefault="00267D6F" w:rsidP="002B5B6C">
            <w:pPr>
              <w:pStyle w:val="Paragraph"/>
              <w:keepNext/>
              <w:keepLines/>
              <w:spacing w:after="80"/>
            </w:pPr>
            <w:r>
              <w:t>Yr.</w:t>
            </w:r>
            <w:r w:rsidR="001A6FD3">
              <w:t xml:space="preserve"> 2 </w:t>
            </w:r>
            <w:r w:rsidR="001A6FD3" w:rsidRPr="00CC4035">
              <w:t>$702,889</w:t>
            </w:r>
          </w:p>
          <w:p w14:paraId="6FE8507B" w14:textId="01588BA6" w:rsidR="001A6FD3" w:rsidRDefault="00267D6F" w:rsidP="002B5B6C">
            <w:pPr>
              <w:pStyle w:val="Paragraph"/>
              <w:keepNext/>
              <w:keepLines/>
              <w:spacing w:after="80"/>
            </w:pPr>
            <w:r>
              <w:t>Yr.</w:t>
            </w:r>
            <w:r w:rsidR="001A6FD3">
              <w:t xml:space="preserve"> 3 onwards </w:t>
            </w:r>
            <w:r w:rsidR="001A6FD3" w:rsidRPr="00CC4035">
              <w:t>$421,734</w:t>
            </w:r>
          </w:p>
          <w:p w14:paraId="50A7B9A5" w14:textId="21095312" w:rsidR="00BC3DC1" w:rsidRPr="00B83C77" w:rsidRDefault="00BC3DC1" w:rsidP="002B5B6C">
            <w:pPr>
              <w:pStyle w:val="Paragraph"/>
              <w:keepNext/>
              <w:keepLines/>
              <w:spacing w:after="0"/>
            </w:pPr>
            <w:r>
              <w:t xml:space="preserve">Status </w:t>
            </w:r>
            <w:r w:rsidR="002B5B6C">
              <w:t>q</w:t>
            </w:r>
            <w:r>
              <w:t>uo</w:t>
            </w:r>
            <w:r w:rsidR="002B5B6C">
              <w:t>:</w:t>
            </w:r>
            <w:r>
              <w:t xml:space="preserve"> $984,045)</w:t>
            </w:r>
          </w:p>
        </w:tc>
        <w:tc>
          <w:tcPr>
            <w:tcW w:w="4961" w:type="dxa"/>
          </w:tcPr>
          <w:p w14:paraId="76F81A56" w14:textId="77777777" w:rsidR="00BC3DC1" w:rsidRDefault="00BC3DC1" w:rsidP="002B5B6C">
            <w:pPr>
              <w:pStyle w:val="Paragraph"/>
              <w:spacing w:after="80"/>
            </w:pPr>
            <w:r>
              <w:t>Based on estimated ACMA staff time spent on financial hardship</w:t>
            </w:r>
            <w:r w:rsidRPr="00E00534">
              <w:t xml:space="preserve"> compliance</w:t>
            </w:r>
            <w:r>
              <w:t xml:space="preserve"> monitoring and enforcement.</w:t>
            </w:r>
          </w:p>
          <w:p w14:paraId="4D89C1BD" w14:textId="7E1984C9" w:rsidR="001A6FD3" w:rsidRPr="00B83C77" w:rsidRDefault="00BC3DC1" w:rsidP="002B5B6C">
            <w:pPr>
              <w:pStyle w:val="Paragraph"/>
              <w:spacing w:after="0"/>
            </w:pPr>
            <w:r>
              <w:t>It is expected the time spent on compliance and enforcement activities would be equivalent to the status quo in Year 1 but significantly less than the status quo in subsequent years.</w:t>
            </w:r>
          </w:p>
        </w:tc>
      </w:tr>
      <w:tr w:rsidR="001A6FD3" w:rsidRPr="00B83C77" w14:paraId="2FB39542" w14:textId="77777777" w:rsidTr="00832BE0">
        <w:trPr>
          <w:cnfStyle w:val="000000010000" w:firstRow="0" w:lastRow="0" w:firstColumn="0" w:lastColumn="0" w:oddVBand="0" w:evenVBand="0" w:oddHBand="0" w:evenHBand="1" w:firstRowFirstColumn="0" w:firstRowLastColumn="0" w:lastRowFirstColumn="0" w:lastRowLastColumn="0"/>
        </w:trPr>
        <w:tc>
          <w:tcPr>
            <w:tcW w:w="2119" w:type="dxa"/>
          </w:tcPr>
          <w:p w14:paraId="279BF82F" w14:textId="77777777" w:rsidR="001A6FD3" w:rsidRDefault="001A6FD3" w:rsidP="002B5B6C">
            <w:pPr>
              <w:pStyle w:val="Paragraph"/>
              <w:spacing w:after="0"/>
            </w:pPr>
            <w:r>
              <w:t>Estimated ACMA cost</w:t>
            </w:r>
            <w:r w:rsidRPr="00B107E3">
              <w:t xml:space="preserve"> </w:t>
            </w:r>
            <w:r>
              <w:t>on c</w:t>
            </w:r>
            <w:r w:rsidRPr="00B107E3">
              <w:t>ommunicating and educating the Standard</w:t>
            </w:r>
          </w:p>
        </w:tc>
        <w:tc>
          <w:tcPr>
            <w:tcW w:w="1704" w:type="dxa"/>
          </w:tcPr>
          <w:p w14:paraId="258CF473" w14:textId="3CF20C30" w:rsidR="001A6FD3" w:rsidRDefault="00267D6F" w:rsidP="002B5B6C">
            <w:pPr>
              <w:pStyle w:val="Paragraph"/>
              <w:spacing w:after="80"/>
            </w:pPr>
            <w:r>
              <w:t>Yr.</w:t>
            </w:r>
            <w:r w:rsidR="001A6FD3">
              <w:t xml:space="preserve"> 1 </w:t>
            </w:r>
            <w:r w:rsidR="001A6FD3" w:rsidRPr="00362FE0">
              <w:t>$70,289</w:t>
            </w:r>
          </w:p>
          <w:p w14:paraId="46E1AD56" w14:textId="2CCA5FB6" w:rsidR="001A6FD3" w:rsidRDefault="00267D6F" w:rsidP="002B5B6C">
            <w:pPr>
              <w:pStyle w:val="Paragraph"/>
              <w:spacing w:after="80"/>
            </w:pPr>
            <w:r>
              <w:t>Yr.</w:t>
            </w:r>
            <w:r w:rsidR="001A6FD3">
              <w:t xml:space="preserve"> 2 onwards </w:t>
            </w:r>
            <w:r w:rsidR="001A6FD3" w:rsidRPr="00362FE0">
              <w:t>$35,144</w:t>
            </w:r>
          </w:p>
          <w:p w14:paraId="2B8A9D4C" w14:textId="6D7D76E8" w:rsidR="00BC3DC1" w:rsidRPr="00E00534" w:rsidRDefault="00BC3DC1" w:rsidP="002B5B6C">
            <w:pPr>
              <w:pStyle w:val="Paragraph"/>
              <w:spacing w:after="0"/>
            </w:pPr>
            <w:r>
              <w:t xml:space="preserve">(Status </w:t>
            </w:r>
            <w:r w:rsidR="002B5B6C">
              <w:t>q</w:t>
            </w:r>
            <w:r>
              <w:t>uo</w:t>
            </w:r>
            <w:r w:rsidR="002B5B6C">
              <w:t xml:space="preserve">: </w:t>
            </w:r>
            <w:r>
              <w:t>$35,144)</w:t>
            </w:r>
          </w:p>
        </w:tc>
        <w:tc>
          <w:tcPr>
            <w:tcW w:w="4961" w:type="dxa"/>
          </w:tcPr>
          <w:p w14:paraId="7FC124F4" w14:textId="4A6CB264" w:rsidR="001A6FD3" w:rsidRDefault="00BC3DC1" w:rsidP="002B5B6C">
            <w:pPr>
              <w:pStyle w:val="Paragraph"/>
              <w:spacing w:after="0"/>
            </w:pPr>
            <w:r>
              <w:t>Based on estimated ACMA staff time spent on financial hardship</w:t>
            </w:r>
            <w:r w:rsidRPr="00F925CC">
              <w:t xml:space="preserve"> </w:t>
            </w:r>
            <w:r>
              <w:t>education and communications – expected greater cost</w:t>
            </w:r>
            <w:r w:rsidDel="00E81409">
              <w:t xml:space="preserve"> </w:t>
            </w:r>
            <w:r>
              <w:t xml:space="preserve">than status quo in the first year the </w:t>
            </w:r>
            <w:r w:rsidR="007A271C">
              <w:t>S</w:t>
            </w:r>
            <w:r>
              <w:t>tandard is implemented.</w:t>
            </w:r>
          </w:p>
        </w:tc>
      </w:tr>
      <w:tr w:rsidR="001A6FD3" w:rsidRPr="00B83C77" w14:paraId="40EE1E7E" w14:textId="77777777" w:rsidTr="00832BE0">
        <w:trPr>
          <w:cnfStyle w:val="000000100000" w:firstRow="0" w:lastRow="0" w:firstColumn="0" w:lastColumn="0" w:oddVBand="0" w:evenVBand="0" w:oddHBand="1" w:evenHBand="0" w:firstRowFirstColumn="0" w:firstRowLastColumn="0" w:lastRowFirstColumn="0" w:lastRowLastColumn="0"/>
        </w:trPr>
        <w:tc>
          <w:tcPr>
            <w:tcW w:w="2119" w:type="dxa"/>
          </w:tcPr>
          <w:p w14:paraId="1771DF1E" w14:textId="54FCE29D" w:rsidR="001A6FD3" w:rsidRDefault="001A6FD3" w:rsidP="002B5B6C">
            <w:pPr>
              <w:pStyle w:val="Paragraph"/>
              <w:spacing w:after="0"/>
            </w:pPr>
            <w:r>
              <w:t xml:space="preserve">ACMA cost on developing </w:t>
            </w:r>
            <w:r w:rsidR="007A271C">
              <w:t xml:space="preserve">the </w:t>
            </w:r>
            <w:r>
              <w:t xml:space="preserve">new </w:t>
            </w:r>
            <w:r w:rsidR="007A271C">
              <w:t>S</w:t>
            </w:r>
            <w:r>
              <w:t>tandard</w:t>
            </w:r>
          </w:p>
        </w:tc>
        <w:tc>
          <w:tcPr>
            <w:tcW w:w="1704" w:type="dxa"/>
          </w:tcPr>
          <w:p w14:paraId="06894916" w14:textId="77777777" w:rsidR="001A6FD3" w:rsidRDefault="001A6FD3" w:rsidP="002B5B6C">
            <w:pPr>
              <w:pStyle w:val="Paragraph"/>
              <w:spacing w:after="0"/>
              <w:rPr>
                <w:rFonts w:ascii="Calibri" w:hAnsi="Calibri" w:cs="Calibri"/>
                <w:color w:val="000000"/>
                <w:sz w:val="22"/>
                <w:szCs w:val="22"/>
              </w:rPr>
            </w:pPr>
            <w:r w:rsidRPr="00EB7715">
              <w:t>$312,395</w:t>
            </w:r>
          </w:p>
        </w:tc>
        <w:tc>
          <w:tcPr>
            <w:tcW w:w="4961" w:type="dxa"/>
          </w:tcPr>
          <w:p w14:paraId="5BC57388" w14:textId="5BDEE497" w:rsidR="001A6FD3" w:rsidRDefault="00BC3DC1" w:rsidP="002B5B6C">
            <w:pPr>
              <w:pStyle w:val="Paragraph"/>
              <w:spacing w:after="0"/>
            </w:pPr>
            <w:r>
              <w:t xml:space="preserve">Based on estimated ACMA staff time to make the </w:t>
            </w:r>
            <w:r w:rsidR="007A271C">
              <w:t>S</w:t>
            </w:r>
            <w:r>
              <w:t>tandard – assumed to be equivalent to the TCP Code review.</w:t>
            </w:r>
            <w:r w:rsidR="00255362">
              <w:t xml:space="preserve"> While developing a standard is more limited in scope and time than </w:t>
            </w:r>
            <w:r w:rsidR="00732A88">
              <w:t>a</w:t>
            </w:r>
            <w:r w:rsidR="00255362">
              <w:t xml:space="preserve"> TCP Code review, that must be balanced against the requirements for the ACMA to draft instruments and consult.</w:t>
            </w:r>
          </w:p>
        </w:tc>
      </w:tr>
    </w:tbl>
    <w:p w14:paraId="0A14ABCE" w14:textId="77777777" w:rsidR="001A6FD3" w:rsidRDefault="001A6FD3" w:rsidP="00A05A0C">
      <w:pPr>
        <w:pStyle w:val="Paragraph"/>
        <w:spacing w:after="0"/>
      </w:pPr>
    </w:p>
    <w:p w14:paraId="560FC41E" w14:textId="77777777" w:rsidR="001A6FD3" w:rsidRDefault="001A6FD3" w:rsidP="00A05A0C">
      <w:pPr>
        <w:pStyle w:val="Heading4"/>
        <w:spacing w:before="120"/>
      </w:pPr>
      <w:r>
        <w:t>CSP costs</w:t>
      </w:r>
    </w:p>
    <w:p w14:paraId="35E39B46" w14:textId="2D085FD9" w:rsidR="001A6FD3" w:rsidRDefault="001A6FD3" w:rsidP="002B5B6C">
      <w:pPr>
        <w:pStyle w:val="Paragraph"/>
      </w:pPr>
      <w:r>
        <w:t>CSP costs are estimated to drop significantly once new systems and procedures have been implemented.</w:t>
      </w:r>
    </w:p>
    <w:p w14:paraId="77C8A73D" w14:textId="10120561" w:rsidR="001A6FD3" w:rsidRPr="00A65EF8" w:rsidRDefault="001A6FD3" w:rsidP="00A65EF8">
      <w:pPr>
        <w:pStyle w:val="Tableheading"/>
        <w:rPr>
          <w:rFonts w:eastAsia="Calibri"/>
        </w:rPr>
      </w:pPr>
      <w:r w:rsidRPr="00A65EF8">
        <w:rPr>
          <w:rFonts w:eastAsia="Calibri"/>
        </w:rPr>
        <w:lastRenderedPageBreak/>
        <w:t>Costs to all CSPs to comply with enforceable obligations under Option 2B</w:t>
      </w:r>
      <w:r w:rsidR="001D7A2F">
        <w:rPr>
          <w:rStyle w:val="FootnoteReference"/>
        </w:rPr>
        <w:footnoteReference w:id="54"/>
      </w:r>
    </w:p>
    <w:tbl>
      <w:tblPr>
        <w:tblW w:w="9062" w:type="dxa"/>
        <w:tblCellMar>
          <w:top w:w="85" w:type="dxa"/>
          <w:left w:w="57" w:type="dxa"/>
          <w:bottom w:w="85" w:type="dxa"/>
          <w:right w:w="57" w:type="dxa"/>
        </w:tblCellMar>
        <w:tblLook w:val="04A0" w:firstRow="1" w:lastRow="0" w:firstColumn="1" w:lastColumn="0" w:noHBand="0" w:noVBand="1"/>
      </w:tblPr>
      <w:tblGrid>
        <w:gridCol w:w="2265"/>
        <w:gridCol w:w="2266"/>
        <w:gridCol w:w="2265"/>
        <w:gridCol w:w="2266"/>
      </w:tblGrid>
      <w:tr w:rsidR="001A6FD3" w:rsidRPr="00A5712D" w14:paraId="549C44DE" w14:textId="77777777" w:rsidTr="00832BE0">
        <w:trPr>
          <w:cantSplit/>
          <w:trHeight w:val="525"/>
        </w:trPr>
        <w:tc>
          <w:tcPr>
            <w:tcW w:w="2265" w:type="dxa"/>
            <w:tcBorders>
              <w:top w:val="single" w:sz="8" w:space="0" w:color="auto"/>
              <w:left w:val="single" w:sz="8" w:space="0" w:color="auto"/>
              <w:bottom w:val="single" w:sz="8" w:space="0" w:color="auto"/>
              <w:right w:val="single" w:sz="8" w:space="0" w:color="auto"/>
            </w:tcBorders>
            <w:shd w:val="clear" w:color="000000" w:fill="404040"/>
            <w:hideMark/>
          </w:tcPr>
          <w:p w14:paraId="67C4D50E" w14:textId="77777777" w:rsidR="001A6FD3" w:rsidRPr="00A5712D" w:rsidRDefault="001A6FD3" w:rsidP="002B5B6C">
            <w:pPr>
              <w:spacing w:after="0" w:line="240" w:lineRule="auto"/>
              <w:rPr>
                <w:rFonts w:cs="Arial"/>
                <w:b/>
                <w:bCs/>
                <w:color w:val="FFFFFF"/>
                <w:szCs w:val="20"/>
              </w:rPr>
            </w:pPr>
            <w:r w:rsidRPr="00A5712D">
              <w:rPr>
                <w:rFonts w:cs="Arial"/>
                <w:b/>
                <w:bCs/>
                <w:color w:val="FFFFFF"/>
                <w:szCs w:val="20"/>
              </w:rPr>
              <w:t>Category</w:t>
            </w:r>
          </w:p>
        </w:tc>
        <w:tc>
          <w:tcPr>
            <w:tcW w:w="2266" w:type="dxa"/>
            <w:tcBorders>
              <w:top w:val="single" w:sz="8" w:space="0" w:color="auto"/>
              <w:left w:val="nil"/>
              <w:bottom w:val="single" w:sz="8" w:space="0" w:color="auto"/>
              <w:right w:val="single" w:sz="8" w:space="0" w:color="auto"/>
            </w:tcBorders>
            <w:shd w:val="clear" w:color="000000" w:fill="404040"/>
            <w:hideMark/>
          </w:tcPr>
          <w:p w14:paraId="052E6AB5" w14:textId="77777777" w:rsidR="001A6FD3" w:rsidRPr="00A5712D" w:rsidRDefault="001A6FD3" w:rsidP="002B5B6C">
            <w:pPr>
              <w:spacing w:after="0" w:line="240" w:lineRule="auto"/>
              <w:jc w:val="right"/>
              <w:rPr>
                <w:rFonts w:cs="Arial"/>
                <w:b/>
                <w:bCs/>
                <w:color w:val="FFFFFF"/>
                <w:szCs w:val="20"/>
              </w:rPr>
            </w:pPr>
            <w:r w:rsidRPr="00A5712D">
              <w:rPr>
                <w:rFonts w:cs="Arial"/>
                <w:b/>
                <w:bCs/>
                <w:color w:val="FFFFFF"/>
                <w:szCs w:val="20"/>
              </w:rPr>
              <w:t>Number of businesses</w:t>
            </w:r>
          </w:p>
        </w:tc>
        <w:tc>
          <w:tcPr>
            <w:tcW w:w="2265" w:type="dxa"/>
            <w:tcBorders>
              <w:top w:val="single" w:sz="8" w:space="0" w:color="auto"/>
              <w:left w:val="nil"/>
              <w:bottom w:val="single" w:sz="8" w:space="0" w:color="auto"/>
              <w:right w:val="single" w:sz="8" w:space="0" w:color="auto"/>
            </w:tcBorders>
            <w:shd w:val="clear" w:color="000000" w:fill="404040"/>
            <w:hideMark/>
          </w:tcPr>
          <w:p w14:paraId="60C05574" w14:textId="10EF80D5" w:rsidR="001A6FD3" w:rsidRPr="00A5712D" w:rsidRDefault="001A6FD3" w:rsidP="002B5B6C">
            <w:pPr>
              <w:spacing w:after="0" w:line="240" w:lineRule="auto"/>
              <w:jc w:val="right"/>
              <w:rPr>
                <w:rFonts w:cs="Arial"/>
                <w:b/>
                <w:bCs/>
                <w:color w:val="FFFFFF"/>
                <w:szCs w:val="20"/>
              </w:rPr>
            </w:pPr>
            <w:r w:rsidRPr="00A5712D">
              <w:rPr>
                <w:rFonts w:cs="Arial"/>
                <w:b/>
                <w:bCs/>
                <w:color w:val="FFFFFF"/>
                <w:szCs w:val="20"/>
              </w:rPr>
              <w:t xml:space="preserve">Total costs: </w:t>
            </w:r>
            <w:r w:rsidR="002B5B6C">
              <w:rPr>
                <w:rFonts w:cs="Arial"/>
                <w:b/>
                <w:bCs/>
                <w:color w:val="FFFFFF"/>
                <w:szCs w:val="20"/>
              </w:rPr>
              <w:br/>
            </w:r>
            <w:r w:rsidRPr="00A5712D">
              <w:rPr>
                <w:rFonts w:cs="Arial"/>
                <w:b/>
                <w:bCs/>
                <w:color w:val="FFFFFF"/>
                <w:szCs w:val="20"/>
              </w:rPr>
              <w:t xml:space="preserve">Year 1 </w:t>
            </w:r>
          </w:p>
        </w:tc>
        <w:tc>
          <w:tcPr>
            <w:tcW w:w="2266" w:type="dxa"/>
            <w:tcBorders>
              <w:top w:val="single" w:sz="8" w:space="0" w:color="auto"/>
              <w:left w:val="nil"/>
              <w:bottom w:val="single" w:sz="8" w:space="0" w:color="auto"/>
              <w:right w:val="single" w:sz="8" w:space="0" w:color="auto"/>
            </w:tcBorders>
            <w:shd w:val="clear" w:color="000000" w:fill="404040"/>
            <w:hideMark/>
          </w:tcPr>
          <w:p w14:paraId="4D9B29B8" w14:textId="4F2E1EEE" w:rsidR="001A6FD3" w:rsidRPr="00A5712D" w:rsidRDefault="001A6FD3" w:rsidP="002B5B6C">
            <w:pPr>
              <w:spacing w:after="0" w:line="240" w:lineRule="auto"/>
              <w:jc w:val="right"/>
              <w:rPr>
                <w:rFonts w:cs="Arial"/>
                <w:b/>
                <w:bCs/>
                <w:color w:val="FFFFFF"/>
                <w:szCs w:val="20"/>
              </w:rPr>
            </w:pPr>
            <w:r w:rsidRPr="00A5712D">
              <w:rPr>
                <w:rFonts w:cs="Arial"/>
                <w:b/>
                <w:bCs/>
                <w:color w:val="FFFFFF"/>
                <w:szCs w:val="20"/>
              </w:rPr>
              <w:t xml:space="preserve">Total costs: </w:t>
            </w:r>
            <w:r w:rsidR="002B5B6C">
              <w:rPr>
                <w:rFonts w:cs="Arial"/>
                <w:b/>
                <w:bCs/>
                <w:color w:val="FFFFFF"/>
                <w:szCs w:val="20"/>
              </w:rPr>
              <w:br/>
            </w:r>
            <w:r w:rsidRPr="00A5712D">
              <w:rPr>
                <w:rFonts w:cs="Arial"/>
                <w:b/>
                <w:bCs/>
                <w:color w:val="FFFFFF"/>
                <w:szCs w:val="20"/>
              </w:rPr>
              <w:t>Year 2 onwards</w:t>
            </w:r>
          </w:p>
        </w:tc>
      </w:tr>
      <w:tr w:rsidR="001A6FD3" w:rsidRPr="00A5712D" w14:paraId="15B36705" w14:textId="77777777" w:rsidTr="00832BE0">
        <w:trPr>
          <w:cantSplit/>
          <w:trHeight w:val="285"/>
        </w:trPr>
        <w:tc>
          <w:tcPr>
            <w:tcW w:w="2265" w:type="dxa"/>
            <w:tcBorders>
              <w:top w:val="nil"/>
              <w:left w:val="single" w:sz="8" w:space="0" w:color="auto"/>
              <w:bottom w:val="single" w:sz="8" w:space="0" w:color="auto"/>
              <w:right w:val="single" w:sz="8" w:space="0" w:color="auto"/>
            </w:tcBorders>
            <w:shd w:val="clear" w:color="auto" w:fill="auto"/>
            <w:vAlign w:val="center"/>
            <w:hideMark/>
          </w:tcPr>
          <w:p w14:paraId="0A0AEE5D" w14:textId="77777777" w:rsidR="001A6FD3" w:rsidRPr="00A5712D" w:rsidRDefault="001A6FD3" w:rsidP="00A04654">
            <w:pPr>
              <w:spacing w:after="0" w:line="240" w:lineRule="auto"/>
              <w:rPr>
                <w:rFonts w:cs="Arial"/>
                <w:color w:val="000000"/>
                <w:szCs w:val="20"/>
              </w:rPr>
            </w:pPr>
            <w:r w:rsidRPr="00A5712D">
              <w:rPr>
                <w:rFonts w:cs="Arial"/>
                <w:color w:val="000000"/>
                <w:szCs w:val="20"/>
              </w:rPr>
              <w:t>Large</w:t>
            </w:r>
          </w:p>
        </w:tc>
        <w:tc>
          <w:tcPr>
            <w:tcW w:w="2266" w:type="dxa"/>
            <w:tcBorders>
              <w:top w:val="nil"/>
              <w:left w:val="nil"/>
              <w:bottom w:val="single" w:sz="8" w:space="0" w:color="auto"/>
              <w:right w:val="single" w:sz="8" w:space="0" w:color="auto"/>
            </w:tcBorders>
            <w:shd w:val="clear" w:color="auto" w:fill="auto"/>
            <w:hideMark/>
          </w:tcPr>
          <w:p w14:paraId="606726F9" w14:textId="77777777" w:rsidR="001A6FD3" w:rsidRPr="00A5712D" w:rsidRDefault="001A6FD3" w:rsidP="002B5B6C">
            <w:pPr>
              <w:spacing w:after="0" w:line="240" w:lineRule="auto"/>
              <w:jc w:val="right"/>
              <w:rPr>
                <w:rFonts w:cs="Arial"/>
                <w:color w:val="000000"/>
                <w:szCs w:val="20"/>
              </w:rPr>
            </w:pPr>
            <w:r w:rsidRPr="00A5712D">
              <w:rPr>
                <w:rFonts w:cs="Arial"/>
                <w:color w:val="000000"/>
                <w:szCs w:val="20"/>
              </w:rPr>
              <w:t>2</w:t>
            </w:r>
          </w:p>
        </w:tc>
        <w:tc>
          <w:tcPr>
            <w:tcW w:w="2265" w:type="dxa"/>
            <w:tcBorders>
              <w:top w:val="nil"/>
              <w:left w:val="nil"/>
              <w:bottom w:val="single" w:sz="8" w:space="0" w:color="auto"/>
              <w:right w:val="single" w:sz="8" w:space="0" w:color="auto"/>
            </w:tcBorders>
            <w:shd w:val="clear" w:color="auto" w:fill="auto"/>
            <w:hideMark/>
          </w:tcPr>
          <w:p w14:paraId="704EF958" w14:textId="77777777" w:rsidR="001A6FD3" w:rsidRPr="00A5712D" w:rsidRDefault="001A6FD3" w:rsidP="002B5B6C">
            <w:pPr>
              <w:spacing w:after="0" w:line="240" w:lineRule="auto"/>
              <w:jc w:val="right"/>
              <w:rPr>
                <w:rFonts w:cs="Arial"/>
                <w:color w:val="000000"/>
                <w:szCs w:val="20"/>
              </w:rPr>
            </w:pPr>
            <w:r w:rsidRPr="00A5712D">
              <w:rPr>
                <w:rFonts w:eastAsia="Calibri" w:cs="Arial"/>
                <w:color w:val="000000"/>
                <w:szCs w:val="20"/>
                <w:lang w:eastAsia="en-US"/>
              </w:rPr>
              <w:t>$246,720</w:t>
            </w:r>
          </w:p>
        </w:tc>
        <w:tc>
          <w:tcPr>
            <w:tcW w:w="2266" w:type="dxa"/>
            <w:tcBorders>
              <w:top w:val="nil"/>
              <w:left w:val="nil"/>
              <w:bottom w:val="single" w:sz="8" w:space="0" w:color="auto"/>
              <w:right w:val="single" w:sz="8" w:space="0" w:color="auto"/>
            </w:tcBorders>
            <w:shd w:val="clear" w:color="auto" w:fill="auto"/>
            <w:hideMark/>
          </w:tcPr>
          <w:p w14:paraId="20C08B79" w14:textId="77777777" w:rsidR="001A6FD3" w:rsidRPr="00A5712D" w:rsidRDefault="001A6FD3" w:rsidP="002B5B6C">
            <w:pPr>
              <w:spacing w:after="0" w:line="240" w:lineRule="auto"/>
              <w:jc w:val="right"/>
              <w:rPr>
                <w:rFonts w:cs="Arial"/>
                <w:color w:val="000000"/>
                <w:szCs w:val="20"/>
              </w:rPr>
            </w:pPr>
            <w:r w:rsidRPr="00A5712D">
              <w:rPr>
                <w:rFonts w:eastAsia="Calibri" w:cs="Arial"/>
                <w:color w:val="000000"/>
                <w:szCs w:val="20"/>
                <w:lang w:eastAsia="en-US"/>
              </w:rPr>
              <w:t>$89,200</w:t>
            </w:r>
          </w:p>
        </w:tc>
      </w:tr>
      <w:tr w:rsidR="001A6FD3" w:rsidRPr="00A5712D" w14:paraId="5BE57490" w14:textId="77777777" w:rsidTr="00832BE0">
        <w:trPr>
          <w:cantSplit/>
          <w:trHeight w:val="285"/>
        </w:trPr>
        <w:tc>
          <w:tcPr>
            <w:tcW w:w="2265" w:type="dxa"/>
            <w:tcBorders>
              <w:top w:val="nil"/>
              <w:left w:val="single" w:sz="8" w:space="0" w:color="auto"/>
              <w:bottom w:val="single" w:sz="8" w:space="0" w:color="auto"/>
              <w:right w:val="single" w:sz="8" w:space="0" w:color="auto"/>
            </w:tcBorders>
            <w:shd w:val="clear" w:color="auto" w:fill="auto"/>
            <w:vAlign w:val="center"/>
            <w:hideMark/>
          </w:tcPr>
          <w:p w14:paraId="1E83D7ED" w14:textId="77777777" w:rsidR="001A6FD3" w:rsidRPr="00A5712D" w:rsidRDefault="001A6FD3" w:rsidP="00A04654">
            <w:pPr>
              <w:spacing w:after="0" w:line="240" w:lineRule="auto"/>
              <w:rPr>
                <w:rFonts w:cs="Arial"/>
                <w:color w:val="000000"/>
                <w:szCs w:val="20"/>
              </w:rPr>
            </w:pPr>
            <w:r w:rsidRPr="00A5712D">
              <w:rPr>
                <w:rFonts w:cs="Arial"/>
                <w:color w:val="000000"/>
                <w:szCs w:val="20"/>
              </w:rPr>
              <w:t>Medium</w:t>
            </w:r>
          </w:p>
        </w:tc>
        <w:tc>
          <w:tcPr>
            <w:tcW w:w="2266" w:type="dxa"/>
            <w:tcBorders>
              <w:top w:val="nil"/>
              <w:left w:val="nil"/>
              <w:bottom w:val="single" w:sz="8" w:space="0" w:color="auto"/>
              <w:right w:val="single" w:sz="8" w:space="0" w:color="auto"/>
            </w:tcBorders>
            <w:shd w:val="clear" w:color="auto" w:fill="auto"/>
            <w:hideMark/>
          </w:tcPr>
          <w:p w14:paraId="42FF5FE9" w14:textId="77777777" w:rsidR="001A6FD3" w:rsidRPr="00A5712D" w:rsidRDefault="001A6FD3" w:rsidP="002B5B6C">
            <w:pPr>
              <w:spacing w:after="0" w:line="240" w:lineRule="auto"/>
              <w:jc w:val="right"/>
              <w:rPr>
                <w:rFonts w:cs="Arial"/>
                <w:color w:val="000000"/>
                <w:szCs w:val="20"/>
              </w:rPr>
            </w:pPr>
            <w:r w:rsidRPr="00A5712D">
              <w:rPr>
                <w:rFonts w:cs="Arial"/>
                <w:color w:val="000000"/>
                <w:szCs w:val="20"/>
              </w:rPr>
              <w:t>4</w:t>
            </w:r>
          </w:p>
        </w:tc>
        <w:tc>
          <w:tcPr>
            <w:tcW w:w="2265" w:type="dxa"/>
            <w:tcBorders>
              <w:top w:val="nil"/>
              <w:left w:val="nil"/>
              <w:bottom w:val="single" w:sz="8" w:space="0" w:color="auto"/>
              <w:right w:val="single" w:sz="8" w:space="0" w:color="auto"/>
            </w:tcBorders>
            <w:shd w:val="clear" w:color="auto" w:fill="auto"/>
            <w:hideMark/>
          </w:tcPr>
          <w:p w14:paraId="5A0F4C0E" w14:textId="77777777" w:rsidR="001A6FD3" w:rsidRPr="00A5712D" w:rsidRDefault="001A6FD3" w:rsidP="002B5B6C">
            <w:pPr>
              <w:spacing w:after="0" w:line="240" w:lineRule="auto"/>
              <w:jc w:val="right"/>
              <w:rPr>
                <w:rFonts w:cs="Arial"/>
                <w:color w:val="000000"/>
                <w:szCs w:val="20"/>
              </w:rPr>
            </w:pPr>
            <w:r w:rsidRPr="00A5712D">
              <w:rPr>
                <w:rFonts w:eastAsia="Calibri" w:cs="Arial"/>
                <w:color w:val="000000"/>
                <w:szCs w:val="20"/>
                <w:lang w:eastAsia="en-US"/>
              </w:rPr>
              <w:t>$195,920</w:t>
            </w:r>
          </w:p>
        </w:tc>
        <w:tc>
          <w:tcPr>
            <w:tcW w:w="2266" w:type="dxa"/>
            <w:tcBorders>
              <w:top w:val="nil"/>
              <w:left w:val="nil"/>
              <w:bottom w:val="single" w:sz="8" w:space="0" w:color="auto"/>
              <w:right w:val="single" w:sz="8" w:space="0" w:color="auto"/>
            </w:tcBorders>
            <w:shd w:val="clear" w:color="auto" w:fill="auto"/>
            <w:hideMark/>
          </w:tcPr>
          <w:p w14:paraId="17E589D5" w14:textId="77777777" w:rsidR="001A6FD3" w:rsidRPr="00A5712D" w:rsidRDefault="001A6FD3" w:rsidP="002B5B6C">
            <w:pPr>
              <w:spacing w:after="0" w:line="240" w:lineRule="auto"/>
              <w:jc w:val="right"/>
              <w:rPr>
                <w:rFonts w:cs="Arial"/>
                <w:color w:val="000000"/>
                <w:szCs w:val="20"/>
              </w:rPr>
            </w:pPr>
            <w:r w:rsidRPr="00A5712D">
              <w:rPr>
                <w:rFonts w:eastAsia="Calibri" w:cs="Arial"/>
                <w:color w:val="000000"/>
                <w:szCs w:val="20"/>
                <w:lang w:eastAsia="en-US"/>
              </w:rPr>
              <w:t>$61,200</w:t>
            </w:r>
          </w:p>
        </w:tc>
      </w:tr>
      <w:tr w:rsidR="001A6FD3" w:rsidRPr="00A5712D" w14:paraId="70FC82E2" w14:textId="77777777" w:rsidTr="00832BE0">
        <w:trPr>
          <w:cantSplit/>
          <w:trHeight w:val="285"/>
        </w:trPr>
        <w:tc>
          <w:tcPr>
            <w:tcW w:w="2265" w:type="dxa"/>
            <w:tcBorders>
              <w:top w:val="nil"/>
              <w:left w:val="single" w:sz="8" w:space="0" w:color="auto"/>
              <w:bottom w:val="single" w:sz="8" w:space="0" w:color="auto"/>
              <w:right w:val="single" w:sz="8" w:space="0" w:color="auto"/>
            </w:tcBorders>
            <w:shd w:val="clear" w:color="auto" w:fill="auto"/>
            <w:vAlign w:val="center"/>
            <w:hideMark/>
          </w:tcPr>
          <w:p w14:paraId="0CB59D65" w14:textId="77777777" w:rsidR="001A6FD3" w:rsidRPr="00A5712D" w:rsidRDefault="001A6FD3" w:rsidP="00A04654">
            <w:pPr>
              <w:spacing w:after="0" w:line="240" w:lineRule="auto"/>
              <w:rPr>
                <w:rFonts w:cs="Arial"/>
                <w:color w:val="000000"/>
                <w:szCs w:val="20"/>
              </w:rPr>
            </w:pPr>
            <w:r w:rsidRPr="00A5712D">
              <w:rPr>
                <w:rFonts w:cs="Arial"/>
                <w:color w:val="000000"/>
                <w:szCs w:val="20"/>
              </w:rPr>
              <w:t>Small</w:t>
            </w:r>
          </w:p>
        </w:tc>
        <w:tc>
          <w:tcPr>
            <w:tcW w:w="2266" w:type="dxa"/>
            <w:tcBorders>
              <w:top w:val="nil"/>
              <w:left w:val="nil"/>
              <w:bottom w:val="single" w:sz="8" w:space="0" w:color="auto"/>
              <w:right w:val="single" w:sz="8" w:space="0" w:color="auto"/>
            </w:tcBorders>
            <w:shd w:val="clear" w:color="auto" w:fill="auto"/>
            <w:hideMark/>
          </w:tcPr>
          <w:p w14:paraId="2E63E071" w14:textId="77777777" w:rsidR="001A6FD3" w:rsidRPr="00A5712D" w:rsidRDefault="001A6FD3" w:rsidP="002B5B6C">
            <w:pPr>
              <w:spacing w:after="0" w:line="240" w:lineRule="auto"/>
              <w:jc w:val="right"/>
              <w:rPr>
                <w:rFonts w:cs="Arial"/>
                <w:color w:val="000000"/>
                <w:szCs w:val="20"/>
              </w:rPr>
            </w:pPr>
            <w:r w:rsidRPr="00A5712D">
              <w:rPr>
                <w:rFonts w:cs="Arial"/>
                <w:color w:val="000000"/>
                <w:szCs w:val="20"/>
              </w:rPr>
              <w:t>27</w:t>
            </w:r>
          </w:p>
        </w:tc>
        <w:tc>
          <w:tcPr>
            <w:tcW w:w="2265" w:type="dxa"/>
            <w:tcBorders>
              <w:top w:val="nil"/>
              <w:left w:val="nil"/>
              <w:bottom w:val="single" w:sz="8" w:space="0" w:color="auto"/>
              <w:right w:val="single" w:sz="8" w:space="0" w:color="auto"/>
            </w:tcBorders>
            <w:shd w:val="clear" w:color="auto" w:fill="auto"/>
            <w:hideMark/>
          </w:tcPr>
          <w:p w14:paraId="48A62418" w14:textId="77777777" w:rsidR="001A6FD3" w:rsidRPr="00A5712D" w:rsidRDefault="001A6FD3" w:rsidP="002B5B6C">
            <w:pPr>
              <w:spacing w:after="0" w:line="240" w:lineRule="auto"/>
              <w:jc w:val="right"/>
              <w:rPr>
                <w:rFonts w:cs="Arial"/>
                <w:color w:val="000000"/>
                <w:szCs w:val="20"/>
              </w:rPr>
            </w:pPr>
            <w:r w:rsidRPr="00A5712D">
              <w:rPr>
                <w:rFonts w:eastAsia="Calibri" w:cs="Arial"/>
                <w:color w:val="000000"/>
                <w:szCs w:val="20"/>
                <w:lang w:eastAsia="en-US"/>
              </w:rPr>
              <w:t>$541,620</w:t>
            </w:r>
          </w:p>
        </w:tc>
        <w:tc>
          <w:tcPr>
            <w:tcW w:w="2266" w:type="dxa"/>
            <w:tcBorders>
              <w:top w:val="nil"/>
              <w:left w:val="nil"/>
              <w:bottom w:val="single" w:sz="8" w:space="0" w:color="auto"/>
              <w:right w:val="single" w:sz="8" w:space="0" w:color="auto"/>
            </w:tcBorders>
            <w:shd w:val="clear" w:color="auto" w:fill="auto"/>
            <w:hideMark/>
          </w:tcPr>
          <w:p w14:paraId="28C38CC7" w14:textId="77777777" w:rsidR="001A6FD3" w:rsidRPr="00A5712D" w:rsidRDefault="001A6FD3" w:rsidP="002B5B6C">
            <w:pPr>
              <w:spacing w:after="0" w:line="240" w:lineRule="auto"/>
              <w:jc w:val="right"/>
              <w:rPr>
                <w:rFonts w:cs="Arial"/>
                <w:color w:val="000000"/>
                <w:szCs w:val="20"/>
              </w:rPr>
            </w:pPr>
            <w:r w:rsidRPr="00A5712D">
              <w:rPr>
                <w:rFonts w:eastAsia="Calibri" w:cs="Arial"/>
                <w:color w:val="000000"/>
                <w:szCs w:val="20"/>
                <w:lang w:eastAsia="en-US"/>
              </w:rPr>
              <w:t>$139,050</w:t>
            </w:r>
          </w:p>
        </w:tc>
      </w:tr>
      <w:tr w:rsidR="001A6FD3" w:rsidRPr="00A5712D" w14:paraId="4844A908" w14:textId="77777777" w:rsidTr="00832BE0">
        <w:trPr>
          <w:cantSplit/>
          <w:trHeight w:val="285"/>
        </w:trPr>
        <w:tc>
          <w:tcPr>
            <w:tcW w:w="2265" w:type="dxa"/>
            <w:tcBorders>
              <w:top w:val="nil"/>
              <w:left w:val="single" w:sz="8" w:space="0" w:color="auto"/>
              <w:bottom w:val="single" w:sz="8" w:space="0" w:color="auto"/>
              <w:right w:val="single" w:sz="8" w:space="0" w:color="auto"/>
            </w:tcBorders>
            <w:shd w:val="clear" w:color="auto" w:fill="auto"/>
            <w:vAlign w:val="center"/>
            <w:hideMark/>
          </w:tcPr>
          <w:p w14:paraId="22361B14" w14:textId="77777777" w:rsidR="001A6FD3" w:rsidRPr="00A5712D" w:rsidRDefault="001A6FD3" w:rsidP="00A04654">
            <w:pPr>
              <w:spacing w:after="0" w:line="240" w:lineRule="auto"/>
              <w:rPr>
                <w:rFonts w:cs="Arial"/>
                <w:color w:val="000000"/>
                <w:szCs w:val="20"/>
              </w:rPr>
            </w:pPr>
            <w:r w:rsidRPr="00A5712D">
              <w:rPr>
                <w:rFonts w:cs="Arial"/>
                <w:color w:val="000000"/>
                <w:szCs w:val="20"/>
              </w:rPr>
              <w:t>Very small</w:t>
            </w:r>
          </w:p>
        </w:tc>
        <w:tc>
          <w:tcPr>
            <w:tcW w:w="2266" w:type="dxa"/>
            <w:tcBorders>
              <w:top w:val="nil"/>
              <w:left w:val="nil"/>
              <w:bottom w:val="single" w:sz="8" w:space="0" w:color="auto"/>
              <w:right w:val="single" w:sz="8" w:space="0" w:color="auto"/>
            </w:tcBorders>
            <w:shd w:val="clear" w:color="auto" w:fill="auto"/>
            <w:hideMark/>
          </w:tcPr>
          <w:p w14:paraId="10B9953A" w14:textId="77777777" w:rsidR="001A6FD3" w:rsidRPr="00A5712D" w:rsidRDefault="001A6FD3" w:rsidP="002B5B6C">
            <w:pPr>
              <w:spacing w:after="0" w:line="240" w:lineRule="auto"/>
              <w:jc w:val="right"/>
              <w:rPr>
                <w:rFonts w:cs="Arial"/>
                <w:color w:val="000000"/>
                <w:szCs w:val="20"/>
              </w:rPr>
            </w:pPr>
            <w:r w:rsidRPr="00A5712D">
              <w:rPr>
                <w:rFonts w:cs="Arial"/>
                <w:color w:val="000000"/>
                <w:szCs w:val="20"/>
              </w:rPr>
              <w:t>317</w:t>
            </w:r>
          </w:p>
        </w:tc>
        <w:tc>
          <w:tcPr>
            <w:tcW w:w="2265" w:type="dxa"/>
            <w:tcBorders>
              <w:top w:val="nil"/>
              <w:left w:val="nil"/>
              <w:bottom w:val="single" w:sz="8" w:space="0" w:color="auto"/>
              <w:right w:val="single" w:sz="8" w:space="0" w:color="auto"/>
            </w:tcBorders>
            <w:shd w:val="clear" w:color="auto" w:fill="auto"/>
            <w:hideMark/>
          </w:tcPr>
          <w:p w14:paraId="3A9E8612" w14:textId="77777777" w:rsidR="001A6FD3" w:rsidRPr="00A5712D" w:rsidRDefault="001A6FD3" w:rsidP="002B5B6C">
            <w:pPr>
              <w:spacing w:after="0" w:line="240" w:lineRule="auto"/>
              <w:jc w:val="right"/>
              <w:rPr>
                <w:rFonts w:cs="Arial"/>
                <w:color w:val="000000"/>
                <w:szCs w:val="20"/>
              </w:rPr>
            </w:pPr>
            <w:r w:rsidRPr="00A5712D">
              <w:rPr>
                <w:rFonts w:eastAsia="Calibri" w:cs="Arial"/>
                <w:color w:val="000000"/>
                <w:szCs w:val="20"/>
                <w:lang w:eastAsia="en-US"/>
              </w:rPr>
              <w:t>$4,799,380</w:t>
            </w:r>
          </w:p>
        </w:tc>
        <w:tc>
          <w:tcPr>
            <w:tcW w:w="2266" w:type="dxa"/>
            <w:tcBorders>
              <w:top w:val="nil"/>
              <w:left w:val="nil"/>
              <w:bottom w:val="single" w:sz="8" w:space="0" w:color="auto"/>
              <w:right w:val="single" w:sz="8" w:space="0" w:color="auto"/>
            </w:tcBorders>
            <w:shd w:val="clear" w:color="auto" w:fill="auto"/>
            <w:hideMark/>
          </w:tcPr>
          <w:p w14:paraId="6E8A3CA0" w14:textId="77777777" w:rsidR="001A6FD3" w:rsidRPr="00A5712D" w:rsidRDefault="001A6FD3" w:rsidP="002B5B6C">
            <w:pPr>
              <w:spacing w:after="0" w:line="240" w:lineRule="auto"/>
              <w:jc w:val="right"/>
              <w:rPr>
                <w:rFonts w:cs="Arial"/>
                <w:color w:val="000000"/>
                <w:szCs w:val="20"/>
              </w:rPr>
            </w:pPr>
            <w:r w:rsidRPr="00A5712D">
              <w:rPr>
                <w:rFonts w:eastAsia="Calibri" w:cs="Arial"/>
                <w:color w:val="000000"/>
                <w:szCs w:val="20"/>
                <w:lang w:eastAsia="en-US"/>
              </w:rPr>
              <w:t>$1,090,480</w:t>
            </w:r>
          </w:p>
        </w:tc>
      </w:tr>
      <w:tr w:rsidR="001A6FD3" w:rsidRPr="00A5712D" w14:paraId="5395105A" w14:textId="77777777" w:rsidTr="00832BE0">
        <w:trPr>
          <w:cantSplit/>
          <w:trHeight w:val="285"/>
        </w:trPr>
        <w:tc>
          <w:tcPr>
            <w:tcW w:w="2265" w:type="dxa"/>
            <w:tcBorders>
              <w:top w:val="nil"/>
              <w:left w:val="single" w:sz="8" w:space="0" w:color="auto"/>
              <w:bottom w:val="single" w:sz="8" w:space="0" w:color="auto"/>
              <w:right w:val="single" w:sz="8" w:space="0" w:color="auto"/>
            </w:tcBorders>
            <w:shd w:val="clear" w:color="000000" w:fill="F2F2F2"/>
            <w:vAlign w:val="center"/>
            <w:hideMark/>
          </w:tcPr>
          <w:p w14:paraId="0D1568C2" w14:textId="77777777" w:rsidR="001A6FD3" w:rsidRPr="00A5712D" w:rsidRDefault="001A6FD3" w:rsidP="00A04654">
            <w:pPr>
              <w:spacing w:after="0" w:line="240" w:lineRule="auto"/>
              <w:rPr>
                <w:rFonts w:cs="Arial"/>
                <w:b/>
                <w:bCs/>
                <w:color w:val="000000"/>
                <w:szCs w:val="20"/>
              </w:rPr>
            </w:pPr>
            <w:r w:rsidRPr="00A5712D">
              <w:rPr>
                <w:rFonts w:cs="Arial"/>
                <w:b/>
                <w:bCs/>
                <w:color w:val="000000"/>
                <w:szCs w:val="20"/>
              </w:rPr>
              <w:t>Total</w:t>
            </w:r>
          </w:p>
        </w:tc>
        <w:tc>
          <w:tcPr>
            <w:tcW w:w="2266" w:type="dxa"/>
            <w:tcBorders>
              <w:top w:val="nil"/>
              <w:left w:val="nil"/>
              <w:bottom w:val="single" w:sz="8" w:space="0" w:color="auto"/>
              <w:right w:val="single" w:sz="8" w:space="0" w:color="auto"/>
            </w:tcBorders>
            <w:shd w:val="clear" w:color="000000" w:fill="F2F2F2"/>
            <w:hideMark/>
          </w:tcPr>
          <w:p w14:paraId="09608D95" w14:textId="77777777" w:rsidR="001A6FD3" w:rsidRPr="00A5712D" w:rsidRDefault="001A6FD3" w:rsidP="002B5B6C">
            <w:pPr>
              <w:spacing w:after="0" w:line="240" w:lineRule="auto"/>
              <w:jc w:val="right"/>
              <w:rPr>
                <w:rFonts w:cs="Arial"/>
                <w:b/>
                <w:bCs/>
                <w:color w:val="000000"/>
                <w:szCs w:val="20"/>
              </w:rPr>
            </w:pPr>
            <w:r w:rsidRPr="00A5712D">
              <w:rPr>
                <w:rFonts w:cs="Arial"/>
                <w:b/>
                <w:bCs/>
                <w:color w:val="000000"/>
                <w:szCs w:val="20"/>
              </w:rPr>
              <w:t>350</w:t>
            </w:r>
          </w:p>
        </w:tc>
        <w:tc>
          <w:tcPr>
            <w:tcW w:w="2265" w:type="dxa"/>
            <w:tcBorders>
              <w:top w:val="nil"/>
              <w:left w:val="nil"/>
              <w:bottom w:val="single" w:sz="8" w:space="0" w:color="auto"/>
              <w:right w:val="single" w:sz="8" w:space="0" w:color="auto"/>
            </w:tcBorders>
            <w:shd w:val="clear" w:color="000000" w:fill="F2F2F2"/>
            <w:hideMark/>
          </w:tcPr>
          <w:p w14:paraId="58243BF5" w14:textId="77777777" w:rsidR="001A6FD3" w:rsidRPr="00A5712D" w:rsidRDefault="001A6FD3" w:rsidP="002B5B6C">
            <w:pPr>
              <w:spacing w:after="0" w:line="240" w:lineRule="auto"/>
              <w:jc w:val="right"/>
              <w:rPr>
                <w:rFonts w:cs="Arial"/>
                <w:b/>
                <w:bCs/>
                <w:color w:val="000000"/>
                <w:szCs w:val="20"/>
              </w:rPr>
            </w:pPr>
            <w:r w:rsidRPr="00A5712D">
              <w:rPr>
                <w:rFonts w:cs="Arial"/>
                <w:b/>
                <w:bCs/>
                <w:color w:val="000000"/>
                <w:szCs w:val="20"/>
              </w:rPr>
              <w:t>$5,783,640</w:t>
            </w:r>
          </w:p>
        </w:tc>
        <w:tc>
          <w:tcPr>
            <w:tcW w:w="2266" w:type="dxa"/>
            <w:tcBorders>
              <w:top w:val="nil"/>
              <w:left w:val="nil"/>
              <w:bottom w:val="single" w:sz="8" w:space="0" w:color="auto"/>
              <w:right w:val="single" w:sz="8" w:space="0" w:color="auto"/>
            </w:tcBorders>
            <w:shd w:val="clear" w:color="000000" w:fill="F2F2F2"/>
            <w:hideMark/>
          </w:tcPr>
          <w:p w14:paraId="011D1401" w14:textId="77777777" w:rsidR="001A6FD3" w:rsidRPr="00A5712D" w:rsidRDefault="001A6FD3" w:rsidP="002B5B6C">
            <w:pPr>
              <w:spacing w:after="0" w:line="240" w:lineRule="auto"/>
              <w:jc w:val="right"/>
              <w:rPr>
                <w:rFonts w:cs="Arial"/>
                <w:b/>
                <w:bCs/>
                <w:color w:val="000000"/>
                <w:szCs w:val="20"/>
              </w:rPr>
            </w:pPr>
            <w:r w:rsidRPr="00A5712D">
              <w:rPr>
                <w:rFonts w:cs="Arial"/>
                <w:b/>
                <w:bCs/>
                <w:color w:val="000000"/>
                <w:szCs w:val="20"/>
              </w:rPr>
              <w:t>$1,379,930</w:t>
            </w:r>
          </w:p>
        </w:tc>
      </w:tr>
    </w:tbl>
    <w:p w14:paraId="18A12A0F" w14:textId="77777777" w:rsidR="001A6FD3" w:rsidRDefault="001A6FD3" w:rsidP="007B5360">
      <w:pPr>
        <w:spacing w:after="120"/>
        <w:rPr>
          <w:rFonts w:cs="Arial"/>
          <w:szCs w:val="20"/>
        </w:rPr>
      </w:pPr>
    </w:p>
    <w:p w14:paraId="53AB3084" w14:textId="6AC698FD" w:rsidR="001A6FD3" w:rsidRDefault="001A6FD3" w:rsidP="007514EA">
      <w:pPr>
        <w:pStyle w:val="Paragraphbeforelist"/>
      </w:pPr>
      <w:r w:rsidRPr="007903C2">
        <w:t xml:space="preserve">For the purpose of this </w:t>
      </w:r>
      <w:r>
        <w:t xml:space="preserve">impact </w:t>
      </w:r>
      <w:r w:rsidR="00267D6F">
        <w:t>analysis,</w:t>
      </w:r>
      <w:r>
        <w:t xml:space="preserve"> </w:t>
      </w:r>
      <w:r w:rsidRPr="007903C2">
        <w:t xml:space="preserve">we </w:t>
      </w:r>
      <w:r>
        <w:t xml:space="preserve">have </w:t>
      </w:r>
      <w:r w:rsidRPr="007903C2">
        <w:t xml:space="preserve">considered how the incidence of </w:t>
      </w:r>
      <w:r>
        <w:t xml:space="preserve">these </w:t>
      </w:r>
      <w:r w:rsidRPr="007903C2">
        <w:t xml:space="preserve">compliance costs might </w:t>
      </w:r>
      <w:r>
        <w:t xml:space="preserve">potentially </w:t>
      </w:r>
      <w:r w:rsidRPr="007903C2">
        <w:t>be distributed</w:t>
      </w:r>
      <w:r>
        <w:t xml:space="preserve"> across CSPs. This is based on the following assumptions:</w:t>
      </w:r>
    </w:p>
    <w:p w14:paraId="69710726" w14:textId="77777777" w:rsidR="001A6FD3" w:rsidRDefault="001A6FD3" w:rsidP="00653C4C">
      <w:pPr>
        <w:pStyle w:val="Bulletlevel1"/>
      </w:pPr>
      <w:r>
        <w:t>CSPs are currently complying with existing TCP Code obligations</w:t>
      </w:r>
    </w:p>
    <w:p w14:paraId="302C3CC9" w14:textId="77777777" w:rsidR="001A6FD3" w:rsidRPr="00CF530F" w:rsidRDefault="001A6FD3" w:rsidP="00653C4C">
      <w:pPr>
        <w:pStyle w:val="Bulletlevel1"/>
      </w:pPr>
      <w:r w:rsidRPr="00CF530F">
        <w:t>one hour of labour costed at $</w:t>
      </w:r>
      <w:r>
        <w:t>73</w:t>
      </w:r>
      <w:r w:rsidRPr="00CF530F">
        <w:t xml:space="preserve"> per hour</w:t>
      </w:r>
    </w:p>
    <w:p w14:paraId="2C24A7CA" w14:textId="77777777" w:rsidR="001A6FD3" w:rsidRDefault="001A6FD3" w:rsidP="00653C4C">
      <w:pPr>
        <w:pStyle w:val="Bulletlevel1last"/>
      </w:pPr>
      <w:r w:rsidRPr="00CF530F">
        <w:t xml:space="preserve">the time required for staff to </w:t>
      </w:r>
      <w:r>
        <w:t>administer the new mandatory requirements in subsequent years is expected to diminish with the decreasing number of services a CSP has in operation.</w:t>
      </w:r>
    </w:p>
    <w:p w14:paraId="3FE74AF4" w14:textId="3BBF03A4" w:rsidR="001D7A2F" w:rsidRDefault="001A6FD3" w:rsidP="001A6FD3">
      <w:pPr>
        <w:rPr>
          <w:rFonts w:eastAsiaTheme="minorHAnsi" w:cs="Arial"/>
          <w:szCs w:val="20"/>
          <w:lang w:eastAsia="en-US"/>
        </w:rPr>
      </w:pPr>
      <w:r>
        <w:rPr>
          <w:rFonts w:eastAsiaTheme="minorHAnsi" w:cs="Arial"/>
          <w:szCs w:val="20"/>
          <w:lang w:eastAsia="en-US"/>
        </w:rPr>
        <w:t xml:space="preserve">It is likely to expect that some of the industry costs identified above will be offset by the benefits gained as consequence of the </w:t>
      </w:r>
      <w:r w:rsidR="00CC7B9A">
        <w:rPr>
          <w:rFonts w:eastAsiaTheme="minorHAnsi" w:cs="Arial"/>
          <w:szCs w:val="20"/>
          <w:lang w:eastAsia="en-US"/>
        </w:rPr>
        <w:t>S</w:t>
      </w:r>
      <w:r>
        <w:rPr>
          <w:rFonts w:eastAsiaTheme="minorHAnsi" w:cs="Arial"/>
          <w:szCs w:val="20"/>
          <w:lang w:eastAsia="en-US"/>
        </w:rPr>
        <w:t xml:space="preserve">tandard. </w:t>
      </w:r>
    </w:p>
    <w:p w14:paraId="273347D6" w14:textId="77777777" w:rsidR="001D7A2F" w:rsidRPr="007C63B4" w:rsidRDefault="001D7A2F" w:rsidP="001D7A2F">
      <w:pPr>
        <w:pStyle w:val="Heading2"/>
        <w:spacing w:after="120"/>
      </w:pPr>
      <w:bookmarkStart w:id="64" w:name="_Toc155686002"/>
      <w:r>
        <w:t>Aggregation of costs and s</w:t>
      </w:r>
      <w:r w:rsidRPr="007C63B4">
        <w:t>ensitivity analysis</w:t>
      </w:r>
      <w:bookmarkEnd w:id="64"/>
    </w:p>
    <w:p w14:paraId="3E49C33A" w14:textId="157267C2" w:rsidR="001D7A2F" w:rsidRPr="002B5B6C" w:rsidRDefault="001D7A2F" w:rsidP="002B5B6C">
      <w:pPr>
        <w:pStyle w:val="Paragraph"/>
      </w:pPr>
      <w:r w:rsidRPr="00967520">
        <w:t>Tab</w:t>
      </w:r>
      <w:r w:rsidRPr="002B5B6C">
        <w:t>le 1</w:t>
      </w:r>
      <w:r w:rsidR="00072AE6" w:rsidRPr="002B5B6C">
        <w:t>2</w:t>
      </w:r>
      <w:r w:rsidRPr="002B5B6C">
        <w:t xml:space="preserve"> below shows the aggregation of expected costs and benefits for each option relative to the status quo over a 10-year period.</w:t>
      </w:r>
    </w:p>
    <w:p w14:paraId="2638704E" w14:textId="33117F27" w:rsidR="001D7A2F" w:rsidRPr="002B5B6C" w:rsidRDefault="001D7A2F" w:rsidP="002B5B6C">
      <w:pPr>
        <w:pStyle w:val="Paragraph"/>
      </w:pPr>
      <w:r w:rsidRPr="002B5B6C">
        <w:t>Based on the quantified costs and benefits</w:t>
      </w:r>
      <w:r w:rsidR="00B94847">
        <w:t>,</w:t>
      </w:r>
      <w:r w:rsidRPr="002B5B6C">
        <w:t xml:space="preserve"> Option 2B is expected to </w:t>
      </w:r>
      <w:r w:rsidR="00F749AE">
        <w:t>yield</w:t>
      </w:r>
      <w:r w:rsidRPr="002B5B6C">
        <w:t xml:space="preserve"> a net benefit while </w:t>
      </w:r>
      <w:r w:rsidR="00F749AE">
        <w:t xml:space="preserve">Option </w:t>
      </w:r>
      <w:r w:rsidRPr="002B5B6C">
        <w:t>2A is not.</w:t>
      </w:r>
    </w:p>
    <w:p w14:paraId="50E52933" w14:textId="2A6CF8DB" w:rsidR="00DD16B2" w:rsidRDefault="001D7A2F" w:rsidP="002B5B6C">
      <w:pPr>
        <w:pStyle w:val="Paragraph"/>
        <w:rPr>
          <w:color w:val="000000"/>
          <w:szCs w:val="20"/>
        </w:rPr>
      </w:pPr>
      <w:bookmarkStart w:id="65" w:name="_Hlk155190940"/>
      <w:r w:rsidRPr="002B5B6C">
        <w:t xml:space="preserve">It is likely that the benefits </w:t>
      </w:r>
      <w:r w:rsidR="007759C1">
        <w:t>extend beyond</w:t>
      </w:r>
      <w:r w:rsidRPr="002B5B6C">
        <w:t xml:space="preserve"> the values presented here, as there are a range of consumer benefits that are not readily quantifiable.</w:t>
      </w:r>
      <w:r w:rsidR="00DD16B2">
        <w:t xml:space="preserve"> </w:t>
      </w:r>
      <w:r w:rsidR="00DD16B2" w:rsidRPr="00DD16B2">
        <w:rPr>
          <w:szCs w:val="20"/>
        </w:rPr>
        <w:t>The</w:t>
      </w:r>
      <w:r w:rsidR="007759C1">
        <w:rPr>
          <w:szCs w:val="20"/>
        </w:rPr>
        <w:t>se</w:t>
      </w:r>
      <w:r w:rsidR="00DD16B2" w:rsidRPr="00DD16B2">
        <w:rPr>
          <w:szCs w:val="20"/>
        </w:rPr>
        <w:t xml:space="preserve"> </w:t>
      </w:r>
      <w:r w:rsidR="00DD16B2" w:rsidRPr="00DD16B2">
        <w:rPr>
          <w:color w:val="000000"/>
          <w:szCs w:val="20"/>
        </w:rPr>
        <w:t xml:space="preserve">unquantifiable benefits are </w:t>
      </w:r>
      <w:r w:rsidR="008A19AD">
        <w:rPr>
          <w:color w:val="000000"/>
          <w:szCs w:val="20"/>
        </w:rPr>
        <w:t>diverse and</w:t>
      </w:r>
      <w:r w:rsidR="00C63338">
        <w:rPr>
          <w:color w:val="000000"/>
          <w:szCs w:val="20"/>
        </w:rPr>
        <w:t xml:space="preserve"> </w:t>
      </w:r>
      <w:r w:rsidR="00DD16B2" w:rsidRPr="00DD16B2">
        <w:rPr>
          <w:color w:val="000000"/>
          <w:szCs w:val="20"/>
        </w:rPr>
        <w:t xml:space="preserve">include significant social advantages for Australians, extending beyond estimated values. By providing appropriate financial support and </w:t>
      </w:r>
      <w:r w:rsidR="008A19AD">
        <w:rPr>
          <w:color w:val="000000"/>
          <w:szCs w:val="20"/>
        </w:rPr>
        <w:t>preventing</w:t>
      </w:r>
      <w:r w:rsidR="00DD16B2" w:rsidRPr="00DD16B2">
        <w:rPr>
          <w:color w:val="000000"/>
          <w:szCs w:val="20"/>
        </w:rPr>
        <w:t xml:space="preserve"> disconnections, the potential benefits encompass </w:t>
      </w:r>
      <w:r w:rsidR="008A19AD">
        <w:rPr>
          <w:color w:val="000000"/>
          <w:szCs w:val="20"/>
        </w:rPr>
        <w:t>averting</w:t>
      </w:r>
      <w:r w:rsidR="00DD16B2" w:rsidRPr="00DD16B2">
        <w:rPr>
          <w:color w:val="000000"/>
          <w:szCs w:val="20"/>
        </w:rPr>
        <w:t xml:space="preserve"> the loss of essential services and </w:t>
      </w:r>
      <w:r w:rsidR="008A19AD">
        <w:rPr>
          <w:color w:val="000000"/>
          <w:szCs w:val="20"/>
        </w:rPr>
        <w:t xml:space="preserve">mitigating </w:t>
      </w:r>
      <w:r w:rsidR="00DD16B2" w:rsidRPr="00DD16B2">
        <w:rPr>
          <w:color w:val="000000"/>
          <w:szCs w:val="20"/>
        </w:rPr>
        <w:t>the subsequent impacts of restricted access to telecommunications.</w:t>
      </w:r>
      <w:r w:rsidR="00C2663E">
        <w:rPr>
          <w:color w:val="000000"/>
          <w:szCs w:val="20"/>
        </w:rPr>
        <w:t xml:space="preserve"> </w:t>
      </w:r>
      <w:r w:rsidR="001F4BEF">
        <w:rPr>
          <w:color w:val="000000"/>
          <w:szCs w:val="20"/>
        </w:rPr>
        <w:t>This goes beyond just a</w:t>
      </w:r>
      <w:r w:rsidR="00C2663E">
        <w:rPr>
          <w:color w:val="000000"/>
          <w:szCs w:val="20"/>
        </w:rPr>
        <w:t xml:space="preserve"> ‘feel good’ benefit </w:t>
      </w:r>
      <w:r w:rsidR="001F4BEF">
        <w:rPr>
          <w:color w:val="000000"/>
          <w:szCs w:val="20"/>
        </w:rPr>
        <w:t>for</w:t>
      </w:r>
      <w:r w:rsidR="00C2663E">
        <w:rPr>
          <w:color w:val="000000"/>
          <w:szCs w:val="20"/>
        </w:rPr>
        <w:t xml:space="preserve"> customers facing financial hardship receiving appropriate assistance, </w:t>
      </w:r>
      <w:r w:rsidR="001F4BEF">
        <w:rPr>
          <w:color w:val="000000"/>
          <w:szCs w:val="20"/>
        </w:rPr>
        <w:t>extending to a</w:t>
      </w:r>
      <w:r w:rsidR="00C2663E">
        <w:rPr>
          <w:color w:val="000000"/>
          <w:szCs w:val="20"/>
        </w:rPr>
        <w:t xml:space="preserve"> broader community </w:t>
      </w:r>
      <w:r w:rsidR="001F4BEF">
        <w:rPr>
          <w:color w:val="000000"/>
          <w:szCs w:val="20"/>
        </w:rPr>
        <w:t xml:space="preserve">satisfaction </w:t>
      </w:r>
      <w:r w:rsidR="00C2663E">
        <w:rPr>
          <w:color w:val="000000"/>
          <w:szCs w:val="20"/>
        </w:rPr>
        <w:t xml:space="preserve">in knowing that those in vulnerable circumstances have </w:t>
      </w:r>
      <w:r w:rsidR="001F4BEF">
        <w:rPr>
          <w:color w:val="000000"/>
          <w:szCs w:val="20"/>
        </w:rPr>
        <w:t>enhanced</w:t>
      </w:r>
      <w:r w:rsidR="00C2663E">
        <w:rPr>
          <w:color w:val="000000"/>
          <w:szCs w:val="20"/>
        </w:rPr>
        <w:t xml:space="preserve"> protections.</w:t>
      </w:r>
    </w:p>
    <w:p w14:paraId="7ED02D16" w14:textId="60E9D092" w:rsidR="00332841" w:rsidRDefault="00332841" w:rsidP="00332841">
      <w:pPr>
        <w:rPr>
          <w:rFonts w:cs="Arial"/>
          <w:szCs w:val="20"/>
        </w:rPr>
      </w:pPr>
      <w:r w:rsidRPr="00E85586">
        <w:rPr>
          <w:rFonts w:cs="Arial"/>
          <w:szCs w:val="20"/>
        </w:rPr>
        <w:t xml:space="preserve">The </w:t>
      </w:r>
      <w:r w:rsidR="008A19AD">
        <w:rPr>
          <w:rFonts w:cs="Arial"/>
          <w:szCs w:val="20"/>
        </w:rPr>
        <w:t>expected</w:t>
      </w:r>
      <w:r w:rsidRPr="00E85586">
        <w:rPr>
          <w:rFonts w:cs="Arial"/>
          <w:szCs w:val="20"/>
        </w:rPr>
        <w:t xml:space="preserve"> </w:t>
      </w:r>
      <w:r w:rsidR="008A19AD">
        <w:rPr>
          <w:rFonts w:cs="Arial"/>
          <w:szCs w:val="20"/>
        </w:rPr>
        <w:t>decrease</w:t>
      </w:r>
      <w:r w:rsidRPr="00E85586">
        <w:rPr>
          <w:rFonts w:cs="Arial"/>
          <w:szCs w:val="20"/>
        </w:rPr>
        <w:t xml:space="preserve"> in disconnections not only </w:t>
      </w:r>
      <w:r w:rsidR="0008323F">
        <w:rPr>
          <w:rFonts w:cs="Arial"/>
          <w:szCs w:val="20"/>
        </w:rPr>
        <w:t>promotes</w:t>
      </w:r>
      <w:r w:rsidRPr="00E85586">
        <w:rPr>
          <w:rFonts w:cs="Arial"/>
          <w:szCs w:val="20"/>
        </w:rPr>
        <w:t xml:space="preserve"> digital inclusion but also </w:t>
      </w:r>
      <w:r w:rsidR="0008323F">
        <w:rPr>
          <w:rFonts w:cs="Arial"/>
          <w:szCs w:val="20"/>
        </w:rPr>
        <w:t>serves</w:t>
      </w:r>
      <w:r w:rsidRPr="00E85586">
        <w:rPr>
          <w:rFonts w:cs="Arial"/>
          <w:szCs w:val="20"/>
        </w:rPr>
        <w:t xml:space="preserve"> as a</w:t>
      </w:r>
      <w:r w:rsidR="00C2663E">
        <w:rPr>
          <w:rFonts w:cs="Arial"/>
          <w:szCs w:val="20"/>
        </w:rPr>
        <w:t>n</w:t>
      </w:r>
      <w:r w:rsidRPr="00E85586">
        <w:rPr>
          <w:rFonts w:cs="Arial"/>
          <w:szCs w:val="20"/>
        </w:rPr>
        <w:t xml:space="preserve"> </w:t>
      </w:r>
      <w:r w:rsidR="00C2663E">
        <w:rPr>
          <w:rFonts w:cs="Arial"/>
          <w:szCs w:val="20"/>
        </w:rPr>
        <w:t>important</w:t>
      </w:r>
      <w:r w:rsidRPr="00E85586">
        <w:rPr>
          <w:rFonts w:cs="Arial"/>
          <w:szCs w:val="20"/>
        </w:rPr>
        <w:t xml:space="preserve"> factor </w:t>
      </w:r>
      <w:r w:rsidR="0008323F">
        <w:rPr>
          <w:rFonts w:cs="Arial"/>
          <w:szCs w:val="20"/>
        </w:rPr>
        <w:t>in countering</w:t>
      </w:r>
      <w:r w:rsidRPr="00E85586">
        <w:rPr>
          <w:rFonts w:cs="Arial"/>
          <w:szCs w:val="20"/>
        </w:rPr>
        <w:t xml:space="preserve"> compromised health, increased loneliness</w:t>
      </w:r>
      <w:r>
        <w:rPr>
          <w:rFonts w:cs="Arial"/>
          <w:szCs w:val="20"/>
        </w:rPr>
        <w:t xml:space="preserve"> and</w:t>
      </w:r>
      <w:r w:rsidRPr="00E85586">
        <w:rPr>
          <w:rFonts w:cs="Arial"/>
          <w:szCs w:val="20"/>
        </w:rPr>
        <w:t xml:space="preserve"> social isolation. Challenges such as </w:t>
      </w:r>
      <w:r w:rsidR="006C675F">
        <w:rPr>
          <w:rFonts w:cs="Arial"/>
          <w:szCs w:val="20"/>
        </w:rPr>
        <w:t>heightened</w:t>
      </w:r>
      <w:r w:rsidRPr="00E85586">
        <w:rPr>
          <w:rFonts w:cs="Arial"/>
          <w:szCs w:val="20"/>
        </w:rPr>
        <w:t xml:space="preserve"> stress and anxiety, potential credit consequences, and vulnerability for specific groups are </w:t>
      </w:r>
      <w:r w:rsidR="006C675F">
        <w:rPr>
          <w:rFonts w:cs="Arial"/>
          <w:szCs w:val="20"/>
        </w:rPr>
        <w:t>alleviated</w:t>
      </w:r>
      <w:r w:rsidRPr="00E85586">
        <w:rPr>
          <w:rFonts w:cs="Arial"/>
          <w:szCs w:val="20"/>
        </w:rPr>
        <w:t xml:space="preserve">. </w:t>
      </w:r>
      <w:r>
        <w:rPr>
          <w:rFonts w:cs="Arial"/>
          <w:szCs w:val="20"/>
        </w:rPr>
        <w:t>P</w:t>
      </w:r>
      <w:r w:rsidRPr="00E85586">
        <w:rPr>
          <w:rFonts w:cs="Arial"/>
          <w:szCs w:val="20"/>
        </w:rPr>
        <w:t xml:space="preserve">roviding appropriate financial support yields far-reaching benefits, </w:t>
      </w:r>
      <w:r w:rsidR="00C63338">
        <w:rPr>
          <w:rFonts w:cs="Arial"/>
          <w:szCs w:val="20"/>
        </w:rPr>
        <w:t>acknowledging</w:t>
      </w:r>
      <w:r w:rsidRPr="00E85586">
        <w:rPr>
          <w:rFonts w:cs="Arial"/>
          <w:szCs w:val="20"/>
        </w:rPr>
        <w:t xml:space="preserve"> the essential </w:t>
      </w:r>
      <w:r w:rsidRPr="00E85586">
        <w:rPr>
          <w:rFonts w:cs="Arial"/>
          <w:szCs w:val="20"/>
        </w:rPr>
        <w:lastRenderedPageBreak/>
        <w:t>role of telecommunications in various activities, including work, education, health, and government support.</w:t>
      </w:r>
    </w:p>
    <w:bookmarkEnd w:id="65"/>
    <w:p w14:paraId="5E3931C8" w14:textId="74AF294C" w:rsidR="001D7A2F" w:rsidRPr="00332841" w:rsidRDefault="001D7A2F" w:rsidP="00332841">
      <w:pPr>
        <w:rPr>
          <w:rFonts w:cs="Arial"/>
          <w:szCs w:val="20"/>
        </w:rPr>
      </w:pPr>
      <w:r w:rsidRPr="002B5B6C">
        <w:t>Option 2B produces a benefit cost</w:t>
      </w:r>
      <w:r>
        <w:t xml:space="preserve"> ratio of 1.63, which indicates that the reform will provide a return of $1.63 for every $1 invested. </w:t>
      </w:r>
      <w:r w:rsidRPr="00DA3177">
        <w:rPr>
          <w:szCs w:val="20"/>
        </w:rPr>
        <w:t xml:space="preserve">Further detail of cost inputs into the CBA are included in Appendix </w:t>
      </w:r>
      <w:r w:rsidR="002C1BE7">
        <w:rPr>
          <w:szCs w:val="20"/>
        </w:rPr>
        <w:t>A</w:t>
      </w:r>
      <w:r w:rsidRPr="00DA3177">
        <w:rPr>
          <w:szCs w:val="20"/>
        </w:rPr>
        <w:t>.</w:t>
      </w:r>
    </w:p>
    <w:p w14:paraId="5337B081" w14:textId="7E01C037" w:rsidR="001D7A2F" w:rsidRDefault="001D7A2F" w:rsidP="00CA0DC2">
      <w:pPr>
        <w:pStyle w:val="Tableheading"/>
      </w:pPr>
      <w:r>
        <w:t>Collated costs and benefits</w:t>
      </w:r>
    </w:p>
    <w:tbl>
      <w:tblPr>
        <w:tblStyle w:val="ACMAtablestyle"/>
        <w:tblW w:w="8926" w:type="dxa"/>
        <w:tblCellMar>
          <w:top w:w="85" w:type="dxa"/>
          <w:left w:w="57" w:type="dxa"/>
          <w:bottom w:w="85" w:type="dxa"/>
          <w:right w:w="57" w:type="dxa"/>
        </w:tblCellMar>
        <w:tblLook w:val="04A0" w:firstRow="1" w:lastRow="0" w:firstColumn="1" w:lastColumn="0" w:noHBand="0" w:noVBand="1"/>
      </w:tblPr>
      <w:tblGrid>
        <w:gridCol w:w="1413"/>
        <w:gridCol w:w="3297"/>
        <w:gridCol w:w="1585"/>
        <w:gridCol w:w="2631"/>
      </w:tblGrid>
      <w:tr w:rsidR="001D7A2F" w:rsidRPr="001E5600" w14:paraId="018ED9B4" w14:textId="77777777" w:rsidTr="00832BE0">
        <w:trPr>
          <w:cnfStyle w:val="100000000000" w:firstRow="1" w:lastRow="0" w:firstColumn="0" w:lastColumn="0" w:oddVBand="0" w:evenVBand="0" w:oddHBand="0" w:evenHBand="0" w:firstRowFirstColumn="0" w:firstRowLastColumn="0" w:lastRowFirstColumn="0" w:lastRowLastColumn="0"/>
          <w:trHeight w:val="300"/>
        </w:trPr>
        <w:tc>
          <w:tcPr>
            <w:tcW w:w="1413" w:type="dxa"/>
            <w:shd w:val="clear" w:color="auto" w:fill="404040"/>
          </w:tcPr>
          <w:p w14:paraId="45010269" w14:textId="77777777" w:rsidR="001D7A2F" w:rsidRPr="001E5600" w:rsidRDefault="001D7A2F" w:rsidP="002B5B6C">
            <w:pPr>
              <w:pStyle w:val="Tableheaderrow"/>
            </w:pPr>
            <w:r>
              <w:t>Stakeholder group</w:t>
            </w:r>
          </w:p>
        </w:tc>
        <w:tc>
          <w:tcPr>
            <w:tcW w:w="3297" w:type="dxa"/>
            <w:shd w:val="clear" w:color="auto" w:fill="404040"/>
            <w:noWrap/>
            <w:hideMark/>
          </w:tcPr>
          <w:p w14:paraId="52C64F4F" w14:textId="77777777" w:rsidR="001D7A2F" w:rsidRPr="001E5600" w:rsidRDefault="001D7A2F" w:rsidP="002B5B6C">
            <w:pPr>
              <w:pStyle w:val="Tableheaderrow"/>
            </w:pPr>
            <w:r>
              <w:t>Quantified cost or benefit</w:t>
            </w:r>
          </w:p>
        </w:tc>
        <w:tc>
          <w:tcPr>
            <w:tcW w:w="1585" w:type="dxa"/>
            <w:shd w:val="clear" w:color="auto" w:fill="404040"/>
            <w:noWrap/>
            <w:hideMark/>
          </w:tcPr>
          <w:p w14:paraId="1CDD6963" w14:textId="77777777" w:rsidR="001D7A2F" w:rsidRPr="001E5600" w:rsidRDefault="001D7A2F" w:rsidP="002B5B6C">
            <w:pPr>
              <w:pStyle w:val="Tableheaderrow"/>
              <w:jc w:val="right"/>
              <w:rPr>
                <w:rFonts w:ascii="Calibri" w:hAnsi="Calibri" w:cs="Calibri"/>
                <w:sz w:val="22"/>
                <w:szCs w:val="22"/>
              </w:rPr>
            </w:pPr>
            <w:r w:rsidRPr="001E5600">
              <w:rPr>
                <w:rFonts w:ascii="Calibri" w:hAnsi="Calibri" w:cs="Calibri"/>
                <w:sz w:val="22"/>
                <w:szCs w:val="22"/>
              </w:rPr>
              <w:t>Option 2A</w:t>
            </w:r>
          </w:p>
        </w:tc>
        <w:tc>
          <w:tcPr>
            <w:tcW w:w="2631" w:type="dxa"/>
            <w:shd w:val="clear" w:color="auto" w:fill="404040"/>
          </w:tcPr>
          <w:p w14:paraId="7520ACB7" w14:textId="77777777" w:rsidR="001D7A2F" w:rsidRPr="001E5600" w:rsidRDefault="001D7A2F" w:rsidP="002B5B6C">
            <w:pPr>
              <w:pStyle w:val="Tableheaderrow"/>
              <w:jc w:val="right"/>
              <w:rPr>
                <w:rFonts w:ascii="Calibri" w:hAnsi="Calibri" w:cs="Calibri"/>
                <w:sz w:val="22"/>
                <w:szCs w:val="22"/>
              </w:rPr>
            </w:pPr>
            <w:r w:rsidRPr="001E5600">
              <w:rPr>
                <w:rFonts w:ascii="Calibri" w:hAnsi="Calibri" w:cs="Calibri"/>
                <w:sz w:val="22"/>
                <w:szCs w:val="22"/>
              </w:rPr>
              <w:t>Option 2B</w:t>
            </w:r>
          </w:p>
        </w:tc>
      </w:tr>
      <w:tr w:rsidR="001D7A2F" w:rsidRPr="00B839CD" w14:paraId="36537E1C" w14:textId="77777777" w:rsidTr="00832BE0">
        <w:trPr>
          <w:cnfStyle w:val="000000100000" w:firstRow="0" w:lastRow="0" w:firstColumn="0" w:lastColumn="0" w:oddVBand="0" w:evenVBand="0" w:oddHBand="1" w:evenHBand="0" w:firstRowFirstColumn="0" w:firstRowLastColumn="0" w:lastRowFirstColumn="0" w:lastRowLastColumn="0"/>
          <w:trHeight w:val="300"/>
        </w:trPr>
        <w:tc>
          <w:tcPr>
            <w:tcW w:w="1413" w:type="dxa"/>
            <w:vMerge w:val="restart"/>
          </w:tcPr>
          <w:p w14:paraId="60426D2F" w14:textId="77777777" w:rsidR="001D7A2F" w:rsidRPr="00B839CD" w:rsidRDefault="001D7A2F" w:rsidP="002B5B6C">
            <w:pPr>
              <w:pStyle w:val="TableBody"/>
              <w:rPr>
                <w:rFonts w:cs="Arial"/>
                <w:szCs w:val="20"/>
              </w:rPr>
            </w:pPr>
            <w:r w:rsidRPr="00B839CD">
              <w:rPr>
                <w:rFonts w:cs="Arial"/>
                <w:szCs w:val="20"/>
              </w:rPr>
              <w:t>ACMA</w:t>
            </w:r>
          </w:p>
        </w:tc>
        <w:tc>
          <w:tcPr>
            <w:tcW w:w="3297" w:type="dxa"/>
            <w:noWrap/>
            <w:hideMark/>
          </w:tcPr>
          <w:p w14:paraId="6F639703" w14:textId="79136091" w:rsidR="001D7A2F" w:rsidRPr="00B839CD" w:rsidRDefault="001D7A2F" w:rsidP="002B5B6C">
            <w:pPr>
              <w:pStyle w:val="TableBody"/>
              <w:rPr>
                <w:rFonts w:cs="Arial"/>
                <w:szCs w:val="20"/>
              </w:rPr>
            </w:pPr>
            <w:r w:rsidRPr="00B839CD">
              <w:rPr>
                <w:rFonts w:cs="Arial"/>
                <w:szCs w:val="20"/>
              </w:rPr>
              <w:t xml:space="preserve">Establishment of new </w:t>
            </w:r>
            <w:r w:rsidR="00CC7B9A">
              <w:rPr>
                <w:rFonts w:cs="Arial"/>
                <w:szCs w:val="20"/>
              </w:rPr>
              <w:t>S</w:t>
            </w:r>
            <w:r w:rsidRPr="00B839CD">
              <w:rPr>
                <w:rFonts w:cs="Arial"/>
                <w:szCs w:val="20"/>
              </w:rPr>
              <w:t>tandard</w:t>
            </w:r>
          </w:p>
        </w:tc>
        <w:tc>
          <w:tcPr>
            <w:tcW w:w="1585" w:type="dxa"/>
            <w:noWrap/>
            <w:hideMark/>
          </w:tcPr>
          <w:p w14:paraId="5AA54BD1" w14:textId="77777777" w:rsidR="001D7A2F" w:rsidRPr="00B839CD" w:rsidRDefault="001D7A2F" w:rsidP="002B5B6C">
            <w:pPr>
              <w:pStyle w:val="TableBody"/>
              <w:jc w:val="right"/>
              <w:rPr>
                <w:rFonts w:cs="Arial"/>
                <w:szCs w:val="20"/>
              </w:rPr>
            </w:pPr>
            <w:r w:rsidRPr="00B839CD">
              <w:rPr>
                <w:rFonts w:cs="Arial"/>
                <w:color w:val="000000"/>
                <w:szCs w:val="20"/>
              </w:rPr>
              <w:t>$0</w:t>
            </w:r>
          </w:p>
        </w:tc>
        <w:tc>
          <w:tcPr>
            <w:tcW w:w="2631" w:type="dxa"/>
          </w:tcPr>
          <w:p w14:paraId="125A8957" w14:textId="77777777" w:rsidR="001D7A2F" w:rsidRPr="00B839CD" w:rsidRDefault="001D7A2F" w:rsidP="002B5B6C">
            <w:pPr>
              <w:pStyle w:val="TableBody"/>
              <w:jc w:val="right"/>
              <w:rPr>
                <w:rFonts w:cs="Arial"/>
                <w:szCs w:val="20"/>
              </w:rPr>
            </w:pPr>
            <w:r w:rsidRPr="00B839CD">
              <w:rPr>
                <w:rFonts w:cs="Arial"/>
                <w:szCs w:val="20"/>
              </w:rPr>
              <w:t>$0</w:t>
            </w:r>
          </w:p>
        </w:tc>
      </w:tr>
      <w:tr w:rsidR="001D7A2F" w:rsidRPr="00B839CD" w14:paraId="3E4CF468" w14:textId="77777777" w:rsidTr="00832BE0">
        <w:trPr>
          <w:cnfStyle w:val="000000010000" w:firstRow="0" w:lastRow="0" w:firstColumn="0" w:lastColumn="0" w:oddVBand="0" w:evenVBand="0" w:oddHBand="0" w:evenHBand="1" w:firstRowFirstColumn="0" w:firstRowLastColumn="0" w:lastRowFirstColumn="0" w:lastRowLastColumn="0"/>
          <w:trHeight w:val="300"/>
        </w:trPr>
        <w:tc>
          <w:tcPr>
            <w:tcW w:w="1413" w:type="dxa"/>
            <w:vMerge/>
          </w:tcPr>
          <w:p w14:paraId="3C19D828" w14:textId="77777777" w:rsidR="001D7A2F" w:rsidRPr="00B839CD" w:rsidRDefault="001D7A2F" w:rsidP="002B5B6C">
            <w:pPr>
              <w:pStyle w:val="TableBody"/>
              <w:rPr>
                <w:rFonts w:cs="Arial"/>
                <w:szCs w:val="20"/>
              </w:rPr>
            </w:pPr>
          </w:p>
        </w:tc>
        <w:tc>
          <w:tcPr>
            <w:tcW w:w="3297" w:type="dxa"/>
            <w:noWrap/>
            <w:hideMark/>
          </w:tcPr>
          <w:p w14:paraId="46864428" w14:textId="5BE677B4" w:rsidR="001D7A2F" w:rsidRPr="00B839CD" w:rsidRDefault="001D7A2F" w:rsidP="002B5B6C">
            <w:pPr>
              <w:pStyle w:val="TableBody"/>
              <w:rPr>
                <w:rFonts w:cs="Arial"/>
                <w:szCs w:val="20"/>
              </w:rPr>
            </w:pPr>
            <w:r w:rsidRPr="00B839CD">
              <w:rPr>
                <w:rFonts w:cs="Arial"/>
                <w:szCs w:val="20"/>
              </w:rPr>
              <w:t xml:space="preserve">Enforcement of new </w:t>
            </w:r>
            <w:r w:rsidR="00CC7B9A">
              <w:rPr>
                <w:rFonts w:cs="Arial"/>
                <w:szCs w:val="20"/>
              </w:rPr>
              <w:t>S</w:t>
            </w:r>
            <w:r w:rsidRPr="00B839CD">
              <w:rPr>
                <w:rFonts w:cs="Arial"/>
                <w:szCs w:val="20"/>
              </w:rPr>
              <w:t>tandard</w:t>
            </w:r>
          </w:p>
        </w:tc>
        <w:tc>
          <w:tcPr>
            <w:tcW w:w="1585" w:type="dxa"/>
            <w:noWrap/>
            <w:hideMark/>
          </w:tcPr>
          <w:p w14:paraId="27F19344" w14:textId="77777777" w:rsidR="001D7A2F" w:rsidRPr="00B839CD" w:rsidRDefault="001D7A2F" w:rsidP="002B5B6C">
            <w:pPr>
              <w:pStyle w:val="TableBody"/>
              <w:jc w:val="right"/>
              <w:rPr>
                <w:rFonts w:cs="Arial"/>
                <w:szCs w:val="20"/>
              </w:rPr>
            </w:pPr>
            <w:r w:rsidRPr="00B839CD">
              <w:rPr>
                <w:rFonts w:cs="Arial"/>
                <w:color w:val="FF0000"/>
                <w:szCs w:val="20"/>
              </w:rPr>
              <w:t>-$208,725</w:t>
            </w:r>
          </w:p>
        </w:tc>
        <w:tc>
          <w:tcPr>
            <w:tcW w:w="2631" w:type="dxa"/>
          </w:tcPr>
          <w:p w14:paraId="79AB5E48" w14:textId="77777777" w:rsidR="001D7A2F" w:rsidRPr="00B839CD" w:rsidRDefault="001D7A2F" w:rsidP="002B5B6C">
            <w:pPr>
              <w:pStyle w:val="TableBody"/>
              <w:jc w:val="right"/>
              <w:rPr>
                <w:rFonts w:cs="Arial"/>
                <w:szCs w:val="20"/>
              </w:rPr>
            </w:pPr>
            <w:r w:rsidRPr="00B839CD">
              <w:rPr>
                <w:rFonts w:cs="Arial"/>
                <w:color w:val="000000"/>
                <w:szCs w:val="20"/>
              </w:rPr>
              <w:t>$2,416,782</w:t>
            </w:r>
          </w:p>
        </w:tc>
      </w:tr>
      <w:tr w:rsidR="001D7A2F" w:rsidRPr="00B839CD" w14:paraId="11D7DE5E" w14:textId="77777777" w:rsidTr="00832BE0">
        <w:trPr>
          <w:cnfStyle w:val="000000100000" w:firstRow="0" w:lastRow="0" w:firstColumn="0" w:lastColumn="0" w:oddVBand="0" w:evenVBand="0" w:oddHBand="1" w:evenHBand="0" w:firstRowFirstColumn="0" w:firstRowLastColumn="0" w:lastRowFirstColumn="0" w:lastRowLastColumn="0"/>
          <w:trHeight w:val="300"/>
        </w:trPr>
        <w:tc>
          <w:tcPr>
            <w:tcW w:w="1413" w:type="dxa"/>
            <w:vMerge/>
          </w:tcPr>
          <w:p w14:paraId="29490430" w14:textId="77777777" w:rsidR="001D7A2F" w:rsidRPr="00B839CD" w:rsidRDefault="001D7A2F" w:rsidP="002B5B6C">
            <w:pPr>
              <w:pStyle w:val="TableBody"/>
              <w:rPr>
                <w:rFonts w:cs="Arial"/>
                <w:szCs w:val="20"/>
              </w:rPr>
            </w:pPr>
          </w:p>
        </w:tc>
        <w:tc>
          <w:tcPr>
            <w:tcW w:w="3297" w:type="dxa"/>
            <w:noWrap/>
            <w:hideMark/>
          </w:tcPr>
          <w:p w14:paraId="71326712" w14:textId="1E24D4F5" w:rsidR="001D7A2F" w:rsidRPr="00B839CD" w:rsidRDefault="001D7A2F" w:rsidP="002B5B6C">
            <w:pPr>
              <w:pStyle w:val="TableBody"/>
              <w:rPr>
                <w:rFonts w:cs="Arial"/>
                <w:szCs w:val="20"/>
              </w:rPr>
            </w:pPr>
            <w:r w:rsidRPr="00B839CD">
              <w:rPr>
                <w:rFonts w:cs="Arial"/>
                <w:szCs w:val="20"/>
              </w:rPr>
              <w:t xml:space="preserve">Education of new </w:t>
            </w:r>
            <w:r w:rsidR="00CC7B9A">
              <w:rPr>
                <w:rFonts w:cs="Arial"/>
                <w:szCs w:val="20"/>
              </w:rPr>
              <w:t>S</w:t>
            </w:r>
            <w:r w:rsidRPr="00B839CD">
              <w:rPr>
                <w:rFonts w:cs="Arial"/>
                <w:szCs w:val="20"/>
              </w:rPr>
              <w:t>tandard</w:t>
            </w:r>
          </w:p>
        </w:tc>
        <w:tc>
          <w:tcPr>
            <w:tcW w:w="1585" w:type="dxa"/>
            <w:noWrap/>
            <w:hideMark/>
          </w:tcPr>
          <w:p w14:paraId="35A9223D" w14:textId="77777777" w:rsidR="001D7A2F" w:rsidRPr="00B839CD" w:rsidRDefault="001D7A2F" w:rsidP="002B5B6C">
            <w:pPr>
              <w:pStyle w:val="TableBody"/>
              <w:jc w:val="right"/>
              <w:rPr>
                <w:rFonts w:cs="Arial"/>
                <w:szCs w:val="20"/>
              </w:rPr>
            </w:pPr>
            <w:r w:rsidRPr="00B839CD">
              <w:rPr>
                <w:rFonts w:cs="Arial"/>
                <w:color w:val="FF0000"/>
                <w:szCs w:val="20"/>
              </w:rPr>
              <w:t>-$70,289</w:t>
            </w:r>
          </w:p>
        </w:tc>
        <w:tc>
          <w:tcPr>
            <w:tcW w:w="2631" w:type="dxa"/>
          </w:tcPr>
          <w:p w14:paraId="34934C03" w14:textId="77777777" w:rsidR="001D7A2F" w:rsidRPr="00B839CD" w:rsidRDefault="001D7A2F" w:rsidP="002B5B6C">
            <w:pPr>
              <w:pStyle w:val="TableBody"/>
              <w:jc w:val="right"/>
              <w:rPr>
                <w:rFonts w:cs="Arial"/>
                <w:szCs w:val="20"/>
              </w:rPr>
            </w:pPr>
            <w:r w:rsidRPr="00B839CD">
              <w:rPr>
                <w:rFonts w:cs="Arial"/>
                <w:color w:val="FF0000"/>
                <w:szCs w:val="20"/>
              </w:rPr>
              <w:t>-$70,289</w:t>
            </w:r>
          </w:p>
        </w:tc>
      </w:tr>
      <w:tr w:rsidR="001D7A2F" w:rsidRPr="00B839CD" w14:paraId="50C16767" w14:textId="77777777" w:rsidTr="00832BE0">
        <w:trPr>
          <w:cnfStyle w:val="000000010000" w:firstRow="0" w:lastRow="0" w:firstColumn="0" w:lastColumn="0" w:oddVBand="0" w:evenVBand="0" w:oddHBand="0" w:evenHBand="1" w:firstRowFirstColumn="0" w:firstRowLastColumn="0" w:lastRowFirstColumn="0" w:lastRowLastColumn="0"/>
          <w:trHeight w:val="300"/>
        </w:trPr>
        <w:tc>
          <w:tcPr>
            <w:tcW w:w="1413" w:type="dxa"/>
            <w:vMerge w:val="restart"/>
          </w:tcPr>
          <w:p w14:paraId="217A765F" w14:textId="77777777" w:rsidR="001D7A2F" w:rsidRPr="00B839CD" w:rsidRDefault="001D7A2F" w:rsidP="002B5B6C">
            <w:pPr>
              <w:pStyle w:val="TableBody"/>
              <w:rPr>
                <w:rFonts w:cs="Arial"/>
                <w:szCs w:val="20"/>
              </w:rPr>
            </w:pPr>
            <w:r w:rsidRPr="00B839CD">
              <w:rPr>
                <w:rFonts w:cs="Arial"/>
                <w:szCs w:val="20"/>
              </w:rPr>
              <w:t>CSPs</w:t>
            </w:r>
          </w:p>
        </w:tc>
        <w:tc>
          <w:tcPr>
            <w:tcW w:w="3297" w:type="dxa"/>
            <w:noWrap/>
            <w:hideMark/>
          </w:tcPr>
          <w:p w14:paraId="721BD328" w14:textId="77777777" w:rsidR="001D7A2F" w:rsidRPr="00B839CD" w:rsidRDefault="001D7A2F" w:rsidP="002B5B6C">
            <w:pPr>
              <w:pStyle w:val="TableBody"/>
              <w:rPr>
                <w:rFonts w:cs="Arial"/>
                <w:szCs w:val="20"/>
              </w:rPr>
            </w:pPr>
            <w:r w:rsidRPr="00B839CD">
              <w:rPr>
                <w:rFonts w:cs="Arial"/>
                <w:szCs w:val="20"/>
              </w:rPr>
              <w:t>Implementation of systems + staff training on systems</w:t>
            </w:r>
          </w:p>
        </w:tc>
        <w:tc>
          <w:tcPr>
            <w:tcW w:w="1585" w:type="dxa"/>
            <w:noWrap/>
            <w:hideMark/>
          </w:tcPr>
          <w:p w14:paraId="30808BA9" w14:textId="77777777" w:rsidR="001D7A2F" w:rsidRPr="00B839CD" w:rsidRDefault="001D7A2F" w:rsidP="002B5B6C">
            <w:pPr>
              <w:pStyle w:val="TableBody"/>
              <w:jc w:val="right"/>
              <w:rPr>
                <w:rFonts w:cs="Arial"/>
                <w:szCs w:val="20"/>
              </w:rPr>
            </w:pPr>
            <w:r w:rsidRPr="00B839CD">
              <w:rPr>
                <w:rFonts w:cs="Arial"/>
                <w:color w:val="FF0000"/>
                <w:szCs w:val="20"/>
              </w:rPr>
              <w:t>-$2,891,820</w:t>
            </w:r>
          </w:p>
        </w:tc>
        <w:tc>
          <w:tcPr>
            <w:tcW w:w="2631" w:type="dxa"/>
          </w:tcPr>
          <w:p w14:paraId="4E7A9C0C" w14:textId="77777777" w:rsidR="001D7A2F" w:rsidRPr="00B839CD" w:rsidRDefault="001D7A2F" w:rsidP="002B5B6C">
            <w:pPr>
              <w:pStyle w:val="TableBody"/>
              <w:jc w:val="right"/>
              <w:rPr>
                <w:rFonts w:cs="Arial"/>
                <w:szCs w:val="20"/>
              </w:rPr>
            </w:pPr>
            <w:r w:rsidRPr="00B839CD">
              <w:rPr>
                <w:rFonts w:cs="Arial"/>
                <w:color w:val="FF0000"/>
                <w:szCs w:val="20"/>
              </w:rPr>
              <w:t>-$5,783,640</w:t>
            </w:r>
          </w:p>
        </w:tc>
      </w:tr>
      <w:tr w:rsidR="001D7A2F" w:rsidRPr="00B839CD" w14:paraId="736878BD" w14:textId="77777777" w:rsidTr="00832BE0">
        <w:trPr>
          <w:cnfStyle w:val="000000100000" w:firstRow="0" w:lastRow="0" w:firstColumn="0" w:lastColumn="0" w:oddVBand="0" w:evenVBand="0" w:oddHBand="1" w:evenHBand="0" w:firstRowFirstColumn="0" w:firstRowLastColumn="0" w:lastRowFirstColumn="0" w:lastRowLastColumn="0"/>
          <w:trHeight w:val="300"/>
        </w:trPr>
        <w:tc>
          <w:tcPr>
            <w:tcW w:w="1413" w:type="dxa"/>
            <w:vMerge/>
          </w:tcPr>
          <w:p w14:paraId="26A8BB9A" w14:textId="77777777" w:rsidR="001D7A2F" w:rsidRPr="00B839CD" w:rsidRDefault="001D7A2F" w:rsidP="002B5B6C">
            <w:pPr>
              <w:pStyle w:val="TableBody"/>
              <w:rPr>
                <w:rFonts w:cs="Arial"/>
                <w:szCs w:val="20"/>
              </w:rPr>
            </w:pPr>
          </w:p>
        </w:tc>
        <w:tc>
          <w:tcPr>
            <w:tcW w:w="3297" w:type="dxa"/>
            <w:noWrap/>
            <w:hideMark/>
          </w:tcPr>
          <w:p w14:paraId="3231CCFA" w14:textId="77777777" w:rsidR="001D7A2F" w:rsidRPr="00B839CD" w:rsidRDefault="001D7A2F" w:rsidP="002B5B6C">
            <w:pPr>
              <w:pStyle w:val="TableBody"/>
              <w:rPr>
                <w:rFonts w:cs="Arial"/>
                <w:szCs w:val="20"/>
              </w:rPr>
            </w:pPr>
            <w:r w:rsidRPr="00B839CD">
              <w:rPr>
                <w:rFonts w:cs="Arial"/>
                <w:szCs w:val="20"/>
              </w:rPr>
              <w:t>Ongoing systems costs + staff training costs</w:t>
            </w:r>
          </w:p>
        </w:tc>
        <w:tc>
          <w:tcPr>
            <w:tcW w:w="1585" w:type="dxa"/>
            <w:noWrap/>
            <w:hideMark/>
          </w:tcPr>
          <w:p w14:paraId="3B9157FB" w14:textId="77777777" w:rsidR="001D7A2F" w:rsidRPr="00B839CD" w:rsidRDefault="001D7A2F" w:rsidP="002B5B6C">
            <w:pPr>
              <w:pStyle w:val="TableBody"/>
              <w:jc w:val="right"/>
              <w:rPr>
                <w:rFonts w:cs="Arial"/>
                <w:szCs w:val="20"/>
              </w:rPr>
            </w:pPr>
            <w:r w:rsidRPr="00B839CD">
              <w:rPr>
                <w:rFonts w:cs="Arial"/>
                <w:color w:val="FF0000"/>
                <w:szCs w:val="20"/>
              </w:rPr>
              <w:t>-$5,993,710</w:t>
            </w:r>
          </w:p>
        </w:tc>
        <w:tc>
          <w:tcPr>
            <w:tcW w:w="2631" w:type="dxa"/>
          </w:tcPr>
          <w:p w14:paraId="51E904C2" w14:textId="77777777" w:rsidR="001D7A2F" w:rsidRPr="00B839CD" w:rsidRDefault="001D7A2F" w:rsidP="002B5B6C">
            <w:pPr>
              <w:pStyle w:val="TableBody"/>
              <w:jc w:val="right"/>
              <w:rPr>
                <w:rFonts w:cs="Arial"/>
                <w:szCs w:val="20"/>
              </w:rPr>
            </w:pPr>
            <w:r w:rsidRPr="00B839CD">
              <w:rPr>
                <w:rFonts w:cs="Arial"/>
                <w:color w:val="FF0000"/>
                <w:szCs w:val="20"/>
              </w:rPr>
              <w:t>-$8,990,564</w:t>
            </w:r>
          </w:p>
        </w:tc>
      </w:tr>
      <w:tr w:rsidR="001D7A2F" w:rsidRPr="00B839CD" w14:paraId="15FFCF7F" w14:textId="77777777" w:rsidTr="00832BE0">
        <w:trPr>
          <w:cnfStyle w:val="000000010000" w:firstRow="0" w:lastRow="0" w:firstColumn="0" w:lastColumn="0" w:oddVBand="0" w:evenVBand="0" w:oddHBand="0" w:evenHBand="1" w:firstRowFirstColumn="0" w:firstRowLastColumn="0" w:lastRowFirstColumn="0" w:lastRowLastColumn="0"/>
          <w:trHeight w:val="300"/>
        </w:trPr>
        <w:tc>
          <w:tcPr>
            <w:tcW w:w="1413" w:type="dxa"/>
            <w:vMerge/>
          </w:tcPr>
          <w:p w14:paraId="09ECEAF1" w14:textId="77777777" w:rsidR="001D7A2F" w:rsidRPr="00B839CD" w:rsidRDefault="001D7A2F" w:rsidP="002B5B6C">
            <w:pPr>
              <w:pStyle w:val="TableBody"/>
              <w:rPr>
                <w:rFonts w:cs="Arial"/>
                <w:szCs w:val="20"/>
              </w:rPr>
            </w:pPr>
          </w:p>
        </w:tc>
        <w:tc>
          <w:tcPr>
            <w:tcW w:w="3297" w:type="dxa"/>
            <w:noWrap/>
            <w:hideMark/>
          </w:tcPr>
          <w:p w14:paraId="60FDD1D3" w14:textId="77777777" w:rsidR="001D7A2F" w:rsidRPr="00B839CD" w:rsidRDefault="001D7A2F" w:rsidP="002B5B6C">
            <w:pPr>
              <w:pStyle w:val="TableBody"/>
              <w:rPr>
                <w:rFonts w:cs="Arial"/>
                <w:szCs w:val="20"/>
              </w:rPr>
            </w:pPr>
            <w:r w:rsidRPr="00B839CD">
              <w:rPr>
                <w:rFonts w:cs="Arial"/>
                <w:szCs w:val="20"/>
              </w:rPr>
              <w:t>We assume other costs impacts for CSPs are neutral</w:t>
            </w:r>
          </w:p>
        </w:tc>
        <w:tc>
          <w:tcPr>
            <w:tcW w:w="1585" w:type="dxa"/>
            <w:noWrap/>
            <w:hideMark/>
          </w:tcPr>
          <w:p w14:paraId="0467874A" w14:textId="77777777" w:rsidR="001D7A2F" w:rsidRPr="00B839CD" w:rsidRDefault="001D7A2F" w:rsidP="002B5B6C">
            <w:pPr>
              <w:pStyle w:val="TableBody"/>
              <w:jc w:val="right"/>
              <w:rPr>
                <w:rFonts w:cs="Arial"/>
                <w:szCs w:val="20"/>
              </w:rPr>
            </w:pPr>
            <w:r w:rsidRPr="00B839CD">
              <w:rPr>
                <w:rFonts w:cs="Arial"/>
                <w:color w:val="000000"/>
                <w:szCs w:val="20"/>
              </w:rPr>
              <w:t>$0</w:t>
            </w:r>
          </w:p>
        </w:tc>
        <w:tc>
          <w:tcPr>
            <w:tcW w:w="2631" w:type="dxa"/>
          </w:tcPr>
          <w:p w14:paraId="12BDCA1F" w14:textId="77777777" w:rsidR="001D7A2F" w:rsidRPr="00B839CD" w:rsidRDefault="001D7A2F" w:rsidP="002B5B6C">
            <w:pPr>
              <w:pStyle w:val="TableBody"/>
              <w:jc w:val="right"/>
              <w:rPr>
                <w:rFonts w:cs="Arial"/>
                <w:szCs w:val="20"/>
              </w:rPr>
            </w:pPr>
            <w:r w:rsidRPr="00B839CD">
              <w:rPr>
                <w:rFonts w:cs="Arial"/>
                <w:color w:val="000000"/>
                <w:szCs w:val="20"/>
              </w:rPr>
              <w:t>$0</w:t>
            </w:r>
          </w:p>
        </w:tc>
      </w:tr>
      <w:tr w:rsidR="001D7A2F" w:rsidRPr="00B839CD" w14:paraId="485B0710" w14:textId="77777777" w:rsidTr="00832BE0">
        <w:trPr>
          <w:cnfStyle w:val="000000100000" w:firstRow="0" w:lastRow="0" w:firstColumn="0" w:lastColumn="0" w:oddVBand="0" w:evenVBand="0" w:oddHBand="1" w:evenHBand="0" w:firstRowFirstColumn="0" w:firstRowLastColumn="0" w:lastRowFirstColumn="0" w:lastRowLastColumn="0"/>
          <w:trHeight w:val="300"/>
        </w:trPr>
        <w:tc>
          <w:tcPr>
            <w:tcW w:w="1413" w:type="dxa"/>
          </w:tcPr>
          <w:p w14:paraId="11C7F283" w14:textId="77777777" w:rsidR="001D7A2F" w:rsidRPr="00B839CD" w:rsidRDefault="001D7A2F" w:rsidP="002B5B6C">
            <w:pPr>
              <w:pStyle w:val="TableBody"/>
              <w:rPr>
                <w:rFonts w:cs="Arial"/>
                <w:szCs w:val="20"/>
              </w:rPr>
            </w:pPr>
            <w:r w:rsidRPr="00B839CD">
              <w:rPr>
                <w:rFonts w:cs="Arial"/>
                <w:szCs w:val="20"/>
              </w:rPr>
              <w:t>TIO</w:t>
            </w:r>
          </w:p>
        </w:tc>
        <w:tc>
          <w:tcPr>
            <w:tcW w:w="3297" w:type="dxa"/>
            <w:noWrap/>
            <w:hideMark/>
          </w:tcPr>
          <w:p w14:paraId="3EAF47FC" w14:textId="0517D6EF" w:rsidR="001D7A2F" w:rsidRPr="00B839CD" w:rsidRDefault="001D7A2F" w:rsidP="002B5B6C">
            <w:pPr>
              <w:pStyle w:val="TableBody"/>
              <w:rPr>
                <w:rFonts w:cs="Arial"/>
                <w:szCs w:val="20"/>
              </w:rPr>
            </w:pPr>
            <w:r w:rsidRPr="00B839CD">
              <w:rPr>
                <w:rFonts w:cs="Arial"/>
                <w:szCs w:val="20"/>
              </w:rPr>
              <w:t xml:space="preserve">Reduction in complaints compared to </w:t>
            </w:r>
            <w:r w:rsidR="002B5B6C">
              <w:rPr>
                <w:rFonts w:cs="Arial"/>
                <w:szCs w:val="20"/>
              </w:rPr>
              <w:t>s</w:t>
            </w:r>
            <w:r w:rsidRPr="00B839CD">
              <w:rPr>
                <w:rFonts w:cs="Arial"/>
                <w:szCs w:val="20"/>
              </w:rPr>
              <w:t>tatus quo</w:t>
            </w:r>
          </w:p>
        </w:tc>
        <w:tc>
          <w:tcPr>
            <w:tcW w:w="1585" w:type="dxa"/>
            <w:noWrap/>
            <w:hideMark/>
          </w:tcPr>
          <w:p w14:paraId="65695175" w14:textId="77777777" w:rsidR="001D7A2F" w:rsidRPr="00B839CD" w:rsidRDefault="001D7A2F" w:rsidP="002B5B6C">
            <w:pPr>
              <w:pStyle w:val="TableBody"/>
              <w:jc w:val="right"/>
              <w:rPr>
                <w:rFonts w:cs="Arial"/>
                <w:szCs w:val="20"/>
              </w:rPr>
            </w:pPr>
            <w:r w:rsidRPr="00B839CD">
              <w:rPr>
                <w:rFonts w:cs="Arial"/>
                <w:color w:val="000000"/>
                <w:szCs w:val="20"/>
              </w:rPr>
              <w:t>$346,801</w:t>
            </w:r>
          </w:p>
        </w:tc>
        <w:tc>
          <w:tcPr>
            <w:tcW w:w="2631" w:type="dxa"/>
          </w:tcPr>
          <w:p w14:paraId="1466D737" w14:textId="77777777" w:rsidR="001D7A2F" w:rsidRPr="00B839CD" w:rsidRDefault="001D7A2F" w:rsidP="002B5B6C">
            <w:pPr>
              <w:pStyle w:val="TableBody"/>
              <w:jc w:val="right"/>
              <w:rPr>
                <w:rFonts w:cs="Arial"/>
                <w:color w:val="FF0000"/>
                <w:szCs w:val="20"/>
              </w:rPr>
            </w:pPr>
            <w:r w:rsidRPr="00B839CD">
              <w:rPr>
                <w:rFonts w:cs="Arial"/>
                <w:color w:val="000000"/>
                <w:szCs w:val="20"/>
              </w:rPr>
              <w:t>$1,486,292</w:t>
            </w:r>
          </w:p>
        </w:tc>
      </w:tr>
      <w:tr w:rsidR="001D7A2F" w:rsidRPr="00B839CD" w14:paraId="068F9810" w14:textId="77777777" w:rsidTr="00832BE0">
        <w:trPr>
          <w:cnfStyle w:val="000000010000" w:firstRow="0" w:lastRow="0" w:firstColumn="0" w:lastColumn="0" w:oddVBand="0" w:evenVBand="0" w:oddHBand="0" w:evenHBand="1" w:firstRowFirstColumn="0" w:firstRowLastColumn="0" w:lastRowFirstColumn="0" w:lastRowLastColumn="0"/>
          <w:trHeight w:val="300"/>
        </w:trPr>
        <w:tc>
          <w:tcPr>
            <w:tcW w:w="1413" w:type="dxa"/>
          </w:tcPr>
          <w:p w14:paraId="672ABF7C" w14:textId="77777777" w:rsidR="001D7A2F" w:rsidRPr="00B839CD" w:rsidRDefault="001D7A2F" w:rsidP="002B5B6C">
            <w:pPr>
              <w:pStyle w:val="TableBody"/>
              <w:rPr>
                <w:rFonts w:cs="Arial"/>
                <w:szCs w:val="20"/>
              </w:rPr>
            </w:pPr>
            <w:r w:rsidRPr="00B839CD">
              <w:rPr>
                <w:rFonts w:cs="Arial"/>
                <w:szCs w:val="20"/>
              </w:rPr>
              <w:t>Customers</w:t>
            </w:r>
          </w:p>
        </w:tc>
        <w:tc>
          <w:tcPr>
            <w:tcW w:w="3297" w:type="dxa"/>
            <w:noWrap/>
            <w:hideMark/>
          </w:tcPr>
          <w:p w14:paraId="6E00ED9B" w14:textId="77777777" w:rsidR="001D7A2F" w:rsidRPr="00B839CD" w:rsidRDefault="001D7A2F" w:rsidP="002B5B6C">
            <w:pPr>
              <w:pStyle w:val="TableBody"/>
              <w:rPr>
                <w:rFonts w:cs="Arial"/>
                <w:szCs w:val="20"/>
              </w:rPr>
            </w:pPr>
            <w:r w:rsidRPr="00B839CD">
              <w:rPr>
                <w:rFonts w:cs="Arial"/>
                <w:szCs w:val="20"/>
              </w:rPr>
              <w:t>Avoided reconnection costs</w:t>
            </w:r>
          </w:p>
        </w:tc>
        <w:tc>
          <w:tcPr>
            <w:tcW w:w="1585" w:type="dxa"/>
            <w:noWrap/>
            <w:hideMark/>
          </w:tcPr>
          <w:p w14:paraId="34A8534A" w14:textId="77777777" w:rsidR="001D7A2F" w:rsidRPr="00B839CD" w:rsidRDefault="001D7A2F" w:rsidP="002B5B6C">
            <w:pPr>
              <w:pStyle w:val="TableBody"/>
              <w:jc w:val="right"/>
              <w:rPr>
                <w:rFonts w:cs="Arial"/>
                <w:szCs w:val="20"/>
              </w:rPr>
            </w:pPr>
            <w:r w:rsidRPr="00B839CD">
              <w:rPr>
                <w:rFonts w:cs="Arial"/>
                <w:color w:val="000000"/>
                <w:szCs w:val="20"/>
              </w:rPr>
              <w:t>$3,734,990</w:t>
            </w:r>
          </w:p>
        </w:tc>
        <w:tc>
          <w:tcPr>
            <w:tcW w:w="2631" w:type="dxa"/>
          </w:tcPr>
          <w:p w14:paraId="388FFAA7" w14:textId="77777777" w:rsidR="001D7A2F" w:rsidRPr="00B839CD" w:rsidRDefault="001D7A2F" w:rsidP="002B5B6C">
            <w:pPr>
              <w:pStyle w:val="TableBody"/>
              <w:jc w:val="right"/>
              <w:rPr>
                <w:rFonts w:cs="Arial"/>
                <w:color w:val="FF0000"/>
                <w:szCs w:val="20"/>
              </w:rPr>
            </w:pPr>
            <w:r w:rsidRPr="00B839CD">
              <w:rPr>
                <w:rFonts w:cs="Arial"/>
                <w:color w:val="000000"/>
                <w:szCs w:val="20"/>
              </w:rPr>
              <w:t>$20,328,098</w:t>
            </w:r>
          </w:p>
        </w:tc>
      </w:tr>
      <w:tr w:rsidR="001D7A2F" w:rsidRPr="00B839CD" w14:paraId="78D56D61" w14:textId="77777777" w:rsidTr="00832BE0">
        <w:trPr>
          <w:cnfStyle w:val="000000100000" w:firstRow="0" w:lastRow="0" w:firstColumn="0" w:lastColumn="0" w:oddVBand="0" w:evenVBand="0" w:oddHBand="1" w:evenHBand="0" w:firstRowFirstColumn="0" w:firstRowLastColumn="0" w:lastRowFirstColumn="0" w:lastRowLastColumn="0"/>
          <w:trHeight w:val="95"/>
        </w:trPr>
        <w:tc>
          <w:tcPr>
            <w:tcW w:w="1413" w:type="dxa"/>
          </w:tcPr>
          <w:p w14:paraId="4DC9448D" w14:textId="77777777" w:rsidR="001D7A2F" w:rsidRPr="00B839CD" w:rsidRDefault="001D7A2F" w:rsidP="002B5B6C">
            <w:pPr>
              <w:pStyle w:val="TableBody"/>
              <w:rPr>
                <w:rFonts w:cs="Arial"/>
                <w:szCs w:val="20"/>
              </w:rPr>
            </w:pPr>
          </w:p>
        </w:tc>
        <w:tc>
          <w:tcPr>
            <w:tcW w:w="3297" w:type="dxa"/>
            <w:noWrap/>
          </w:tcPr>
          <w:p w14:paraId="3D57AB8A" w14:textId="77777777" w:rsidR="001D7A2F" w:rsidRPr="00B839CD" w:rsidRDefault="001D7A2F" w:rsidP="002B5B6C">
            <w:pPr>
              <w:pStyle w:val="TableBody"/>
              <w:rPr>
                <w:rFonts w:cs="Arial"/>
                <w:b/>
                <w:szCs w:val="20"/>
              </w:rPr>
            </w:pPr>
            <w:r w:rsidRPr="00B839CD">
              <w:rPr>
                <w:rFonts w:cs="Arial"/>
                <w:szCs w:val="20"/>
              </w:rPr>
              <w:t>Total costs</w:t>
            </w:r>
          </w:p>
        </w:tc>
        <w:tc>
          <w:tcPr>
            <w:tcW w:w="1585" w:type="dxa"/>
            <w:noWrap/>
          </w:tcPr>
          <w:p w14:paraId="675CB090" w14:textId="77777777" w:rsidR="001D7A2F" w:rsidRPr="00B839CD" w:rsidRDefault="001D7A2F" w:rsidP="002B5B6C">
            <w:pPr>
              <w:pStyle w:val="TableBody"/>
              <w:jc w:val="right"/>
              <w:rPr>
                <w:rFonts w:cs="Arial"/>
                <w:b/>
                <w:szCs w:val="20"/>
              </w:rPr>
            </w:pPr>
            <w:r w:rsidRPr="00B839CD">
              <w:rPr>
                <w:rFonts w:cs="Arial"/>
                <w:color w:val="FF0000"/>
                <w:szCs w:val="20"/>
              </w:rPr>
              <w:t>-$8,955,819</w:t>
            </w:r>
          </w:p>
        </w:tc>
        <w:tc>
          <w:tcPr>
            <w:tcW w:w="2631" w:type="dxa"/>
          </w:tcPr>
          <w:p w14:paraId="69EE5F93" w14:textId="77777777" w:rsidR="001D7A2F" w:rsidRPr="00B839CD" w:rsidRDefault="001D7A2F" w:rsidP="002B5B6C">
            <w:pPr>
              <w:pStyle w:val="TableBody"/>
              <w:jc w:val="right"/>
              <w:rPr>
                <w:rFonts w:cs="Arial"/>
                <w:b/>
                <w:szCs w:val="20"/>
              </w:rPr>
            </w:pPr>
            <w:r w:rsidRPr="00B839CD">
              <w:rPr>
                <w:rFonts w:cs="Arial"/>
                <w:color w:val="FF0000"/>
                <w:szCs w:val="20"/>
              </w:rPr>
              <w:t>-$14,844,493</w:t>
            </w:r>
          </w:p>
        </w:tc>
      </w:tr>
      <w:tr w:rsidR="001D7A2F" w:rsidRPr="00B839CD" w14:paraId="51672CFE" w14:textId="77777777" w:rsidTr="00832BE0">
        <w:trPr>
          <w:cnfStyle w:val="000000010000" w:firstRow="0" w:lastRow="0" w:firstColumn="0" w:lastColumn="0" w:oddVBand="0" w:evenVBand="0" w:oddHBand="0" w:evenHBand="1" w:firstRowFirstColumn="0" w:firstRowLastColumn="0" w:lastRowFirstColumn="0" w:lastRowLastColumn="0"/>
          <w:trHeight w:val="300"/>
        </w:trPr>
        <w:tc>
          <w:tcPr>
            <w:tcW w:w="1413" w:type="dxa"/>
          </w:tcPr>
          <w:p w14:paraId="2ED2206B" w14:textId="77777777" w:rsidR="001D7A2F" w:rsidRPr="00B839CD" w:rsidRDefault="001D7A2F" w:rsidP="002B5B6C">
            <w:pPr>
              <w:pStyle w:val="TableBody"/>
              <w:rPr>
                <w:rFonts w:cs="Arial"/>
                <w:szCs w:val="20"/>
              </w:rPr>
            </w:pPr>
          </w:p>
        </w:tc>
        <w:tc>
          <w:tcPr>
            <w:tcW w:w="3297" w:type="dxa"/>
            <w:noWrap/>
          </w:tcPr>
          <w:p w14:paraId="4E327E37" w14:textId="77777777" w:rsidR="001D7A2F" w:rsidRPr="00B839CD" w:rsidRDefault="001D7A2F" w:rsidP="002B5B6C">
            <w:pPr>
              <w:pStyle w:val="TableBody"/>
              <w:rPr>
                <w:rFonts w:cs="Arial"/>
                <w:b/>
                <w:szCs w:val="20"/>
              </w:rPr>
            </w:pPr>
            <w:r w:rsidRPr="00B839CD">
              <w:rPr>
                <w:rFonts w:cs="Arial"/>
                <w:szCs w:val="20"/>
              </w:rPr>
              <w:t>Total benefits</w:t>
            </w:r>
          </w:p>
        </w:tc>
        <w:tc>
          <w:tcPr>
            <w:tcW w:w="1585" w:type="dxa"/>
            <w:noWrap/>
          </w:tcPr>
          <w:p w14:paraId="0220D98D" w14:textId="77777777" w:rsidR="001D7A2F" w:rsidRPr="00B839CD" w:rsidRDefault="001D7A2F" w:rsidP="002B5B6C">
            <w:pPr>
              <w:pStyle w:val="TableBody"/>
              <w:jc w:val="right"/>
              <w:rPr>
                <w:rFonts w:cs="Arial"/>
                <w:b/>
                <w:szCs w:val="20"/>
              </w:rPr>
            </w:pPr>
            <w:r w:rsidRPr="00B839CD">
              <w:rPr>
                <w:rFonts w:cs="Arial"/>
                <w:color w:val="000000"/>
                <w:szCs w:val="20"/>
              </w:rPr>
              <w:t>$3,873,066</w:t>
            </w:r>
          </w:p>
        </w:tc>
        <w:tc>
          <w:tcPr>
            <w:tcW w:w="2631" w:type="dxa"/>
          </w:tcPr>
          <w:p w14:paraId="4146BA55" w14:textId="77777777" w:rsidR="001D7A2F" w:rsidRPr="00B839CD" w:rsidRDefault="001D7A2F" w:rsidP="002B5B6C">
            <w:pPr>
              <w:pStyle w:val="TableBody"/>
              <w:jc w:val="right"/>
              <w:rPr>
                <w:rFonts w:cs="Arial"/>
                <w:b/>
                <w:szCs w:val="20"/>
              </w:rPr>
            </w:pPr>
            <w:r w:rsidRPr="00B839CD">
              <w:rPr>
                <w:rFonts w:cs="Arial"/>
                <w:color w:val="000000"/>
                <w:szCs w:val="20"/>
              </w:rPr>
              <w:t>$24,231,171</w:t>
            </w:r>
          </w:p>
        </w:tc>
      </w:tr>
      <w:tr w:rsidR="001D7A2F" w:rsidRPr="00B839CD" w14:paraId="60C43D0F" w14:textId="77777777" w:rsidTr="00832BE0">
        <w:trPr>
          <w:cnfStyle w:val="000000100000" w:firstRow="0" w:lastRow="0" w:firstColumn="0" w:lastColumn="0" w:oddVBand="0" w:evenVBand="0" w:oddHBand="1" w:evenHBand="0" w:firstRowFirstColumn="0" w:firstRowLastColumn="0" w:lastRowFirstColumn="0" w:lastRowLastColumn="0"/>
          <w:trHeight w:val="300"/>
        </w:trPr>
        <w:tc>
          <w:tcPr>
            <w:tcW w:w="1413" w:type="dxa"/>
          </w:tcPr>
          <w:p w14:paraId="7E35DC25" w14:textId="77777777" w:rsidR="001D7A2F" w:rsidRPr="00B839CD" w:rsidRDefault="001D7A2F" w:rsidP="002B5B6C">
            <w:pPr>
              <w:pStyle w:val="TableBody"/>
              <w:rPr>
                <w:rFonts w:cs="Arial"/>
                <w:b/>
                <w:bCs/>
                <w:szCs w:val="20"/>
              </w:rPr>
            </w:pPr>
          </w:p>
        </w:tc>
        <w:tc>
          <w:tcPr>
            <w:tcW w:w="3297" w:type="dxa"/>
            <w:noWrap/>
          </w:tcPr>
          <w:p w14:paraId="734B6968" w14:textId="77777777" w:rsidR="001D7A2F" w:rsidRPr="00B839CD" w:rsidRDefault="001D7A2F" w:rsidP="002B5B6C">
            <w:pPr>
              <w:pStyle w:val="TableBody"/>
              <w:rPr>
                <w:rFonts w:cs="Arial"/>
                <w:b/>
                <w:bCs/>
                <w:szCs w:val="20"/>
              </w:rPr>
            </w:pPr>
            <w:r w:rsidRPr="00B839CD">
              <w:rPr>
                <w:rFonts w:cs="Arial"/>
                <w:b/>
                <w:bCs/>
                <w:szCs w:val="20"/>
              </w:rPr>
              <w:t>Net Present Value</w:t>
            </w:r>
          </w:p>
        </w:tc>
        <w:tc>
          <w:tcPr>
            <w:tcW w:w="1585" w:type="dxa"/>
            <w:noWrap/>
          </w:tcPr>
          <w:p w14:paraId="2F179F43" w14:textId="77777777" w:rsidR="001D7A2F" w:rsidRPr="00B839CD" w:rsidRDefault="001D7A2F" w:rsidP="002B5B6C">
            <w:pPr>
              <w:pStyle w:val="TableBody"/>
              <w:jc w:val="right"/>
              <w:rPr>
                <w:rFonts w:cs="Arial"/>
                <w:b/>
                <w:bCs/>
                <w:szCs w:val="20"/>
              </w:rPr>
            </w:pPr>
            <w:r w:rsidRPr="00B839CD">
              <w:rPr>
                <w:rFonts w:cs="Arial"/>
                <w:b/>
                <w:bCs/>
                <w:color w:val="000000"/>
                <w:szCs w:val="20"/>
              </w:rPr>
              <w:t>-$5,082,753</w:t>
            </w:r>
          </w:p>
        </w:tc>
        <w:tc>
          <w:tcPr>
            <w:tcW w:w="2631" w:type="dxa"/>
          </w:tcPr>
          <w:p w14:paraId="38459725" w14:textId="77777777" w:rsidR="001D7A2F" w:rsidRPr="00B839CD" w:rsidRDefault="001D7A2F" w:rsidP="002B5B6C">
            <w:pPr>
              <w:pStyle w:val="TableBody"/>
              <w:jc w:val="right"/>
              <w:rPr>
                <w:rFonts w:cs="Arial"/>
                <w:b/>
                <w:bCs/>
                <w:szCs w:val="20"/>
              </w:rPr>
            </w:pPr>
            <w:r w:rsidRPr="00B839CD">
              <w:rPr>
                <w:rFonts w:cs="Arial"/>
                <w:b/>
                <w:bCs/>
                <w:color w:val="000000"/>
                <w:szCs w:val="20"/>
              </w:rPr>
              <w:t>$9,386,678</w:t>
            </w:r>
          </w:p>
        </w:tc>
      </w:tr>
      <w:tr w:rsidR="001D7A2F" w:rsidRPr="00B839CD" w14:paraId="62031AAF" w14:textId="77777777" w:rsidTr="00832BE0">
        <w:trPr>
          <w:cnfStyle w:val="000000010000" w:firstRow="0" w:lastRow="0" w:firstColumn="0" w:lastColumn="0" w:oddVBand="0" w:evenVBand="0" w:oddHBand="0" w:evenHBand="1" w:firstRowFirstColumn="0" w:firstRowLastColumn="0" w:lastRowFirstColumn="0" w:lastRowLastColumn="0"/>
          <w:trHeight w:val="300"/>
        </w:trPr>
        <w:tc>
          <w:tcPr>
            <w:tcW w:w="1413" w:type="dxa"/>
          </w:tcPr>
          <w:p w14:paraId="63674163" w14:textId="77777777" w:rsidR="001D7A2F" w:rsidRPr="00B839CD" w:rsidRDefault="001D7A2F" w:rsidP="002B5B6C">
            <w:pPr>
              <w:pStyle w:val="TableBody"/>
              <w:rPr>
                <w:rFonts w:cs="Arial"/>
                <w:szCs w:val="20"/>
              </w:rPr>
            </w:pPr>
          </w:p>
        </w:tc>
        <w:tc>
          <w:tcPr>
            <w:tcW w:w="3297" w:type="dxa"/>
            <w:noWrap/>
          </w:tcPr>
          <w:p w14:paraId="0B44641C" w14:textId="77777777" w:rsidR="001D7A2F" w:rsidRPr="00B839CD" w:rsidRDefault="001D7A2F" w:rsidP="002B5B6C">
            <w:pPr>
              <w:pStyle w:val="TableBody"/>
              <w:rPr>
                <w:rFonts w:cs="Arial"/>
                <w:szCs w:val="20"/>
              </w:rPr>
            </w:pPr>
            <w:r w:rsidRPr="00B839CD">
              <w:rPr>
                <w:rFonts w:cs="Arial"/>
                <w:szCs w:val="20"/>
              </w:rPr>
              <w:t>Benefit Cost Ratio</w:t>
            </w:r>
          </w:p>
        </w:tc>
        <w:tc>
          <w:tcPr>
            <w:tcW w:w="1585" w:type="dxa"/>
            <w:noWrap/>
          </w:tcPr>
          <w:p w14:paraId="59C14449" w14:textId="77777777" w:rsidR="001D7A2F" w:rsidRPr="00B839CD" w:rsidRDefault="001D7A2F" w:rsidP="002B5B6C">
            <w:pPr>
              <w:pStyle w:val="TableBody"/>
              <w:jc w:val="right"/>
              <w:rPr>
                <w:rFonts w:cs="Arial"/>
                <w:szCs w:val="20"/>
              </w:rPr>
            </w:pPr>
            <w:r w:rsidRPr="00B839CD">
              <w:rPr>
                <w:rFonts w:cs="Arial"/>
                <w:color w:val="000000"/>
                <w:szCs w:val="20"/>
              </w:rPr>
              <w:t>0.43</w:t>
            </w:r>
          </w:p>
        </w:tc>
        <w:tc>
          <w:tcPr>
            <w:tcW w:w="2631" w:type="dxa"/>
          </w:tcPr>
          <w:p w14:paraId="6665949C" w14:textId="77777777" w:rsidR="001D7A2F" w:rsidRPr="00B839CD" w:rsidRDefault="001D7A2F" w:rsidP="002B5B6C">
            <w:pPr>
              <w:pStyle w:val="TableBody"/>
              <w:jc w:val="right"/>
              <w:rPr>
                <w:rFonts w:cs="Arial"/>
                <w:szCs w:val="20"/>
              </w:rPr>
            </w:pPr>
            <w:r w:rsidRPr="00B839CD">
              <w:rPr>
                <w:rFonts w:cs="Arial"/>
                <w:color w:val="000000"/>
                <w:szCs w:val="20"/>
              </w:rPr>
              <w:t>1.63</w:t>
            </w:r>
          </w:p>
        </w:tc>
      </w:tr>
    </w:tbl>
    <w:p w14:paraId="2864FB14" w14:textId="724492CC" w:rsidR="001D7A2F" w:rsidRDefault="001D7A2F" w:rsidP="007B5360">
      <w:pPr>
        <w:spacing w:after="120"/>
      </w:pPr>
    </w:p>
    <w:p w14:paraId="7F9BDD7F" w14:textId="77777777" w:rsidR="001D7A2F" w:rsidRPr="007C63B4" w:rsidRDefault="001D7A2F" w:rsidP="001D7A2F">
      <w:pPr>
        <w:pStyle w:val="Heading3"/>
      </w:pPr>
      <w:bookmarkStart w:id="66" w:name="_Toc153270573"/>
      <w:bookmarkStart w:id="67" w:name="_Toc155686003"/>
      <w:r>
        <w:t>S</w:t>
      </w:r>
      <w:r w:rsidRPr="007C63B4">
        <w:t>ensitivity analysis</w:t>
      </w:r>
      <w:bookmarkEnd w:id="66"/>
      <w:bookmarkEnd w:id="67"/>
    </w:p>
    <w:p w14:paraId="198D505E" w14:textId="7BEBE5CF" w:rsidR="001D7A2F" w:rsidRPr="00967520" w:rsidRDefault="001D7A2F" w:rsidP="001D7A2F">
      <w:pPr>
        <w:pStyle w:val="Paragraph"/>
      </w:pPr>
      <w:r w:rsidRPr="00967520">
        <w:t>Table 1</w:t>
      </w:r>
      <w:r w:rsidR="00237122">
        <w:t>3</w:t>
      </w:r>
      <w:r w:rsidRPr="00967520">
        <w:t xml:space="preserve"> below </w:t>
      </w:r>
      <w:r>
        <w:t>models the impact of</w:t>
      </w:r>
      <w:r w:rsidRPr="00967520">
        <w:t xml:space="preserve"> different discount rates impact the</w:t>
      </w:r>
      <w:r>
        <w:t xml:space="preserve"> results. While the values alter under the different discount rates</w:t>
      </w:r>
      <w:r w:rsidRPr="00967520">
        <w:t xml:space="preserve">, </w:t>
      </w:r>
      <w:r>
        <w:t xml:space="preserve">the discount rates </w:t>
      </w:r>
      <w:r w:rsidRPr="00967520">
        <w:t xml:space="preserve">do not impact the conclusion that </w:t>
      </w:r>
      <w:r w:rsidR="00A05A0C">
        <w:t>O</w:t>
      </w:r>
      <w:r w:rsidRPr="00967520">
        <w:t>ption 2B is preferable as it is considered to be both more effective at resolving the identified issues, it also is anticipated to deliver a net benefit – even when benefits to consumers are excluded due to difficulties in quantifying these benefits.</w:t>
      </w:r>
    </w:p>
    <w:p w14:paraId="5D50EA1B" w14:textId="27B39171" w:rsidR="001D7A2F" w:rsidRDefault="001D7A2F" w:rsidP="007B5360">
      <w:pPr>
        <w:pStyle w:val="Tableheading"/>
        <w:keepLines/>
      </w:pPr>
      <w:r>
        <w:lastRenderedPageBreak/>
        <w:t xml:space="preserve">Sensitivity analysis </w:t>
      </w:r>
    </w:p>
    <w:tbl>
      <w:tblPr>
        <w:tblStyle w:val="ACMAtablestyle"/>
        <w:tblW w:w="10343" w:type="dxa"/>
        <w:tblCellMar>
          <w:top w:w="85" w:type="dxa"/>
          <w:left w:w="57" w:type="dxa"/>
          <w:bottom w:w="85" w:type="dxa"/>
          <w:right w:w="57" w:type="dxa"/>
        </w:tblCellMar>
        <w:tblLook w:val="04A0" w:firstRow="1" w:lastRow="0" w:firstColumn="1" w:lastColumn="0" w:noHBand="0" w:noVBand="1"/>
      </w:tblPr>
      <w:tblGrid>
        <w:gridCol w:w="1980"/>
        <w:gridCol w:w="1276"/>
        <w:gridCol w:w="1417"/>
        <w:gridCol w:w="1418"/>
        <w:gridCol w:w="1417"/>
        <w:gridCol w:w="1418"/>
        <w:gridCol w:w="1417"/>
      </w:tblGrid>
      <w:tr w:rsidR="001D7A2F" w:rsidRPr="002B5B6C" w14:paraId="0D1E6F81" w14:textId="77777777" w:rsidTr="002B5B6C">
        <w:trPr>
          <w:cnfStyle w:val="100000000000" w:firstRow="1" w:lastRow="0" w:firstColumn="0" w:lastColumn="0" w:oddVBand="0" w:evenVBand="0" w:oddHBand="0" w:evenHBand="0" w:firstRowFirstColumn="0" w:firstRowLastColumn="0" w:lastRowFirstColumn="0" w:lastRowLastColumn="0"/>
          <w:trHeight w:val="300"/>
        </w:trPr>
        <w:tc>
          <w:tcPr>
            <w:tcW w:w="1980" w:type="dxa"/>
            <w:noWrap/>
            <w:hideMark/>
          </w:tcPr>
          <w:p w14:paraId="04320459" w14:textId="77777777" w:rsidR="001D7A2F" w:rsidRPr="002B5B6C" w:rsidRDefault="001D7A2F" w:rsidP="007B5360">
            <w:pPr>
              <w:pStyle w:val="Tableheaderrow"/>
              <w:keepNext/>
              <w:keepLines/>
              <w:jc w:val="right"/>
              <w:rPr>
                <w:rFonts w:cs="Arial"/>
                <w:szCs w:val="20"/>
              </w:rPr>
            </w:pPr>
          </w:p>
        </w:tc>
        <w:tc>
          <w:tcPr>
            <w:tcW w:w="4111" w:type="dxa"/>
            <w:gridSpan w:val="3"/>
            <w:tcBorders>
              <w:right w:val="single" w:sz="4" w:space="0" w:color="FFFFFF" w:themeColor="background1"/>
            </w:tcBorders>
            <w:noWrap/>
            <w:hideMark/>
          </w:tcPr>
          <w:p w14:paraId="0DDD8B73" w14:textId="77777777" w:rsidR="001D7A2F" w:rsidRPr="002B5B6C" w:rsidRDefault="001D7A2F" w:rsidP="007B5360">
            <w:pPr>
              <w:pStyle w:val="Tableheaderrow"/>
              <w:keepNext/>
              <w:keepLines/>
              <w:jc w:val="center"/>
              <w:rPr>
                <w:rFonts w:cs="Arial"/>
                <w:szCs w:val="20"/>
              </w:rPr>
            </w:pPr>
            <w:r w:rsidRPr="002B5B6C">
              <w:rPr>
                <w:rFonts w:cs="Arial"/>
                <w:szCs w:val="20"/>
              </w:rPr>
              <w:t>Option 2A</w:t>
            </w:r>
          </w:p>
        </w:tc>
        <w:tc>
          <w:tcPr>
            <w:tcW w:w="4252" w:type="dxa"/>
            <w:gridSpan w:val="3"/>
            <w:tcBorders>
              <w:left w:val="single" w:sz="4" w:space="0" w:color="FFFFFF" w:themeColor="background1"/>
            </w:tcBorders>
          </w:tcPr>
          <w:p w14:paraId="073B6856" w14:textId="77777777" w:rsidR="001D7A2F" w:rsidRPr="002B5B6C" w:rsidRDefault="001D7A2F" w:rsidP="007B5360">
            <w:pPr>
              <w:pStyle w:val="Tableheaderrow"/>
              <w:keepNext/>
              <w:keepLines/>
              <w:jc w:val="center"/>
              <w:rPr>
                <w:rFonts w:cs="Arial"/>
                <w:szCs w:val="20"/>
              </w:rPr>
            </w:pPr>
            <w:r w:rsidRPr="002B5B6C">
              <w:rPr>
                <w:rFonts w:cs="Arial"/>
                <w:szCs w:val="20"/>
              </w:rPr>
              <w:t>Option 2B</w:t>
            </w:r>
          </w:p>
        </w:tc>
      </w:tr>
      <w:tr w:rsidR="001D7A2F" w:rsidRPr="002B5B6C" w14:paraId="5550A8DB" w14:textId="77777777" w:rsidTr="002B5B6C">
        <w:trPr>
          <w:cnfStyle w:val="000000100000" w:firstRow="0" w:lastRow="0" w:firstColumn="0" w:lastColumn="0" w:oddVBand="0" w:evenVBand="0" w:oddHBand="1" w:evenHBand="0" w:firstRowFirstColumn="0" w:firstRowLastColumn="0" w:lastRowFirstColumn="0" w:lastRowLastColumn="0"/>
          <w:trHeight w:val="300"/>
        </w:trPr>
        <w:tc>
          <w:tcPr>
            <w:tcW w:w="1980" w:type="dxa"/>
            <w:shd w:val="clear" w:color="auto" w:fill="404040"/>
            <w:noWrap/>
            <w:hideMark/>
          </w:tcPr>
          <w:p w14:paraId="63A86D8B" w14:textId="77777777" w:rsidR="001D7A2F" w:rsidRPr="002B5B6C" w:rsidRDefault="001D7A2F" w:rsidP="007B5360">
            <w:pPr>
              <w:pStyle w:val="Tableheaderrow"/>
              <w:keepNext/>
              <w:keepLines/>
              <w:rPr>
                <w:rFonts w:cs="Arial"/>
                <w:color w:val="FFFFFF" w:themeColor="background1"/>
                <w:szCs w:val="20"/>
              </w:rPr>
            </w:pPr>
            <w:r w:rsidRPr="002B5B6C">
              <w:rPr>
                <w:rFonts w:cs="Arial"/>
                <w:color w:val="FFFFFF" w:themeColor="background1"/>
                <w:szCs w:val="20"/>
              </w:rPr>
              <w:t>Discount rate</w:t>
            </w:r>
          </w:p>
        </w:tc>
        <w:tc>
          <w:tcPr>
            <w:tcW w:w="1276" w:type="dxa"/>
            <w:shd w:val="clear" w:color="auto" w:fill="404040"/>
            <w:noWrap/>
            <w:hideMark/>
          </w:tcPr>
          <w:p w14:paraId="4F7F6ADA" w14:textId="77777777" w:rsidR="001D7A2F" w:rsidRPr="002B5B6C" w:rsidRDefault="001D7A2F" w:rsidP="007B5360">
            <w:pPr>
              <w:pStyle w:val="Tableheaderrow"/>
              <w:keepNext/>
              <w:keepLines/>
              <w:jc w:val="right"/>
              <w:rPr>
                <w:rFonts w:cs="Arial"/>
                <w:color w:val="FFFFFF" w:themeColor="background1"/>
                <w:szCs w:val="20"/>
              </w:rPr>
            </w:pPr>
            <w:r w:rsidRPr="002B5B6C">
              <w:rPr>
                <w:rFonts w:cs="Arial"/>
                <w:color w:val="FFFFFF" w:themeColor="background1"/>
                <w:szCs w:val="20"/>
              </w:rPr>
              <w:t>4%</w:t>
            </w:r>
          </w:p>
        </w:tc>
        <w:tc>
          <w:tcPr>
            <w:tcW w:w="1417" w:type="dxa"/>
            <w:shd w:val="clear" w:color="auto" w:fill="404040"/>
            <w:noWrap/>
            <w:hideMark/>
          </w:tcPr>
          <w:p w14:paraId="6633029D" w14:textId="77777777" w:rsidR="001D7A2F" w:rsidRPr="002B5B6C" w:rsidRDefault="001D7A2F" w:rsidP="007B5360">
            <w:pPr>
              <w:pStyle w:val="Tableheaderrow"/>
              <w:keepNext/>
              <w:keepLines/>
              <w:jc w:val="right"/>
              <w:rPr>
                <w:rFonts w:cs="Arial"/>
                <w:color w:val="FFFFFF" w:themeColor="background1"/>
                <w:szCs w:val="20"/>
              </w:rPr>
            </w:pPr>
            <w:r w:rsidRPr="002B5B6C">
              <w:rPr>
                <w:rFonts w:cs="Arial"/>
                <w:color w:val="FFFFFF" w:themeColor="background1"/>
                <w:szCs w:val="20"/>
              </w:rPr>
              <w:t>7%</w:t>
            </w:r>
          </w:p>
        </w:tc>
        <w:tc>
          <w:tcPr>
            <w:tcW w:w="1418" w:type="dxa"/>
            <w:tcBorders>
              <w:right w:val="single" w:sz="4" w:space="0" w:color="FFFFFF" w:themeColor="background1"/>
            </w:tcBorders>
            <w:shd w:val="clear" w:color="auto" w:fill="404040"/>
            <w:noWrap/>
            <w:hideMark/>
          </w:tcPr>
          <w:p w14:paraId="4DF81D92" w14:textId="77777777" w:rsidR="001D7A2F" w:rsidRPr="002B5B6C" w:rsidRDefault="001D7A2F" w:rsidP="007B5360">
            <w:pPr>
              <w:pStyle w:val="Tableheaderrow"/>
              <w:keepNext/>
              <w:keepLines/>
              <w:jc w:val="right"/>
              <w:rPr>
                <w:rFonts w:cs="Arial"/>
                <w:color w:val="FFFFFF" w:themeColor="background1"/>
                <w:szCs w:val="20"/>
              </w:rPr>
            </w:pPr>
            <w:r w:rsidRPr="002B5B6C">
              <w:rPr>
                <w:rFonts w:cs="Arial"/>
                <w:color w:val="FFFFFF" w:themeColor="background1"/>
                <w:szCs w:val="20"/>
              </w:rPr>
              <w:t>10%</w:t>
            </w:r>
          </w:p>
        </w:tc>
        <w:tc>
          <w:tcPr>
            <w:tcW w:w="1417" w:type="dxa"/>
            <w:tcBorders>
              <w:left w:val="single" w:sz="4" w:space="0" w:color="FFFFFF" w:themeColor="background1"/>
            </w:tcBorders>
            <w:shd w:val="clear" w:color="auto" w:fill="404040"/>
          </w:tcPr>
          <w:p w14:paraId="42935064" w14:textId="77777777" w:rsidR="001D7A2F" w:rsidRPr="002B5B6C" w:rsidRDefault="001D7A2F" w:rsidP="007B5360">
            <w:pPr>
              <w:pStyle w:val="Tableheaderrow"/>
              <w:keepNext/>
              <w:keepLines/>
              <w:jc w:val="right"/>
              <w:rPr>
                <w:rFonts w:cs="Arial"/>
                <w:color w:val="FFFFFF" w:themeColor="background1"/>
                <w:szCs w:val="20"/>
              </w:rPr>
            </w:pPr>
            <w:r w:rsidRPr="002B5B6C">
              <w:rPr>
                <w:rFonts w:cs="Arial"/>
                <w:color w:val="FFFFFF" w:themeColor="background1"/>
                <w:szCs w:val="20"/>
              </w:rPr>
              <w:t>4%</w:t>
            </w:r>
          </w:p>
        </w:tc>
        <w:tc>
          <w:tcPr>
            <w:tcW w:w="1418" w:type="dxa"/>
            <w:shd w:val="clear" w:color="auto" w:fill="404040"/>
          </w:tcPr>
          <w:p w14:paraId="287FEAD1" w14:textId="77777777" w:rsidR="001D7A2F" w:rsidRPr="002B5B6C" w:rsidRDefault="001D7A2F" w:rsidP="007B5360">
            <w:pPr>
              <w:pStyle w:val="Tableheaderrow"/>
              <w:keepNext/>
              <w:keepLines/>
              <w:jc w:val="right"/>
              <w:rPr>
                <w:rFonts w:cs="Arial"/>
                <w:color w:val="FFFFFF" w:themeColor="background1"/>
                <w:szCs w:val="20"/>
              </w:rPr>
            </w:pPr>
            <w:r w:rsidRPr="002B5B6C">
              <w:rPr>
                <w:rFonts w:cs="Arial"/>
                <w:color w:val="FFFFFF" w:themeColor="background1"/>
                <w:szCs w:val="20"/>
              </w:rPr>
              <w:t>7%</w:t>
            </w:r>
          </w:p>
        </w:tc>
        <w:tc>
          <w:tcPr>
            <w:tcW w:w="1417" w:type="dxa"/>
            <w:shd w:val="clear" w:color="auto" w:fill="404040"/>
          </w:tcPr>
          <w:p w14:paraId="4E600946" w14:textId="77777777" w:rsidR="001D7A2F" w:rsidRPr="002B5B6C" w:rsidRDefault="001D7A2F" w:rsidP="007B5360">
            <w:pPr>
              <w:pStyle w:val="Tableheaderrow"/>
              <w:keepNext/>
              <w:keepLines/>
              <w:jc w:val="right"/>
              <w:rPr>
                <w:rFonts w:cs="Arial"/>
                <w:color w:val="FFFFFF" w:themeColor="background1"/>
                <w:szCs w:val="20"/>
              </w:rPr>
            </w:pPr>
            <w:r w:rsidRPr="002B5B6C">
              <w:rPr>
                <w:rFonts w:cs="Arial"/>
                <w:color w:val="FFFFFF" w:themeColor="background1"/>
                <w:szCs w:val="20"/>
              </w:rPr>
              <w:t>10%</w:t>
            </w:r>
          </w:p>
        </w:tc>
      </w:tr>
      <w:tr w:rsidR="001D7A2F" w:rsidRPr="002B5B6C" w14:paraId="458B11DB" w14:textId="77777777" w:rsidTr="002B5B6C">
        <w:trPr>
          <w:cnfStyle w:val="000000010000" w:firstRow="0" w:lastRow="0" w:firstColumn="0" w:lastColumn="0" w:oddVBand="0" w:evenVBand="0" w:oddHBand="0" w:evenHBand="1" w:firstRowFirstColumn="0" w:firstRowLastColumn="0" w:lastRowFirstColumn="0" w:lastRowLastColumn="0"/>
          <w:trHeight w:val="300"/>
        </w:trPr>
        <w:tc>
          <w:tcPr>
            <w:tcW w:w="1980" w:type="dxa"/>
            <w:tcBorders>
              <w:top w:val="single" w:sz="18" w:space="0" w:color="auto"/>
              <w:bottom w:val="single" w:sz="4" w:space="0" w:color="auto"/>
            </w:tcBorders>
            <w:noWrap/>
          </w:tcPr>
          <w:p w14:paraId="126ABF04" w14:textId="77777777" w:rsidR="001D7A2F" w:rsidRPr="002B5B6C" w:rsidRDefault="001D7A2F" w:rsidP="007B5360">
            <w:pPr>
              <w:pStyle w:val="TableBody"/>
              <w:keepNext/>
              <w:keepLines/>
              <w:rPr>
                <w:rFonts w:cs="Arial"/>
                <w:b/>
                <w:szCs w:val="20"/>
              </w:rPr>
            </w:pPr>
            <w:r w:rsidRPr="002B5B6C">
              <w:rPr>
                <w:rFonts w:cs="Arial"/>
                <w:szCs w:val="20"/>
              </w:rPr>
              <w:t>Total costs</w:t>
            </w:r>
          </w:p>
        </w:tc>
        <w:tc>
          <w:tcPr>
            <w:tcW w:w="1276" w:type="dxa"/>
            <w:tcBorders>
              <w:top w:val="single" w:sz="18" w:space="0" w:color="auto"/>
              <w:bottom w:val="single" w:sz="4" w:space="0" w:color="auto"/>
            </w:tcBorders>
            <w:noWrap/>
          </w:tcPr>
          <w:p w14:paraId="242EADAF" w14:textId="77777777" w:rsidR="001D7A2F" w:rsidRPr="002B5B6C" w:rsidRDefault="001D7A2F" w:rsidP="007B5360">
            <w:pPr>
              <w:pStyle w:val="TableBody"/>
              <w:keepNext/>
              <w:keepLines/>
              <w:jc w:val="right"/>
              <w:rPr>
                <w:rFonts w:cs="Arial"/>
                <w:b/>
                <w:szCs w:val="20"/>
              </w:rPr>
            </w:pPr>
            <w:r w:rsidRPr="002B5B6C">
              <w:rPr>
                <w:rFonts w:cs="Arial"/>
                <w:color w:val="FF0000"/>
                <w:szCs w:val="20"/>
              </w:rPr>
              <w:t>-$9,802,267</w:t>
            </w:r>
          </w:p>
        </w:tc>
        <w:tc>
          <w:tcPr>
            <w:tcW w:w="1417" w:type="dxa"/>
            <w:tcBorders>
              <w:top w:val="single" w:sz="18" w:space="0" w:color="auto"/>
              <w:bottom w:val="single" w:sz="4" w:space="0" w:color="auto"/>
            </w:tcBorders>
            <w:noWrap/>
          </w:tcPr>
          <w:p w14:paraId="2DC9D304" w14:textId="77777777" w:rsidR="001D7A2F" w:rsidRPr="002B5B6C" w:rsidRDefault="001D7A2F" w:rsidP="007B5360">
            <w:pPr>
              <w:pStyle w:val="TableBody"/>
              <w:keepNext/>
              <w:keepLines/>
              <w:jc w:val="right"/>
              <w:rPr>
                <w:rFonts w:cs="Arial"/>
                <w:b/>
                <w:szCs w:val="20"/>
              </w:rPr>
            </w:pPr>
            <w:r w:rsidRPr="002B5B6C">
              <w:rPr>
                <w:rFonts w:cs="Arial"/>
                <w:color w:val="FF0000"/>
                <w:szCs w:val="20"/>
              </w:rPr>
              <w:t>-$8,955,819</w:t>
            </w:r>
          </w:p>
        </w:tc>
        <w:tc>
          <w:tcPr>
            <w:tcW w:w="1418" w:type="dxa"/>
            <w:tcBorders>
              <w:top w:val="single" w:sz="18" w:space="0" w:color="auto"/>
              <w:bottom w:val="single" w:sz="4" w:space="0" w:color="auto"/>
            </w:tcBorders>
            <w:noWrap/>
          </w:tcPr>
          <w:p w14:paraId="32B0FC06" w14:textId="77777777" w:rsidR="001D7A2F" w:rsidRPr="002B5B6C" w:rsidRDefault="001D7A2F" w:rsidP="007B5360">
            <w:pPr>
              <w:pStyle w:val="TableBody"/>
              <w:keepNext/>
              <w:keepLines/>
              <w:jc w:val="right"/>
              <w:rPr>
                <w:rFonts w:cs="Arial"/>
                <w:b/>
                <w:szCs w:val="20"/>
              </w:rPr>
            </w:pPr>
            <w:r w:rsidRPr="002B5B6C">
              <w:rPr>
                <w:rFonts w:cs="Arial"/>
                <w:color w:val="FF0000"/>
                <w:szCs w:val="20"/>
              </w:rPr>
              <w:t>-$8,260,142</w:t>
            </w:r>
          </w:p>
        </w:tc>
        <w:tc>
          <w:tcPr>
            <w:tcW w:w="1417" w:type="dxa"/>
            <w:tcBorders>
              <w:top w:val="single" w:sz="18" w:space="0" w:color="auto"/>
              <w:bottom w:val="single" w:sz="4" w:space="0" w:color="auto"/>
            </w:tcBorders>
          </w:tcPr>
          <w:p w14:paraId="4AC1352A" w14:textId="77777777" w:rsidR="001D7A2F" w:rsidRPr="002B5B6C" w:rsidRDefault="001D7A2F" w:rsidP="007B5360">
            <w:pPr>
              <w:pStyle w:val="TableBody"/>
              <w:keepNext/>
              <w:keepLines/>
              <w:jc w:val="right"/>
              <w:rPr>
                <w:rFonts w:cs="Arial"/>
                <w:b/>
                <w:szCs w:val="20"/>
              </w:rPr>
            </w:pPr>
            <w:r w:rsidRPr="002B5B6C">
              <w:rPr>
                <w:rFonts w:cs="Arial"/>
                <w:color w:val="FF0000"/>
                <w:szCs w:val="20"/>
              </w:rPr>
              <w:t>-$16,114,166</w:t>
            </w:r>
          </w:p>
        </w:tc>
        <w:tc>
          <w:tcPr>
            <w:tcW w:w="1418" w:type="dxa"/>
            <w:tcBorders>
              <w:top w:val="single" w:sz="18" w:space="0" w:color="auto"/>
              <w:bottom w:val="single" w:sz="4" w:space="0" w:color="auto"/>
            </w:tcBorders>
          </w:tcPr>
          <w:p w14:paraId="712174EE" w14:textId="77777777" w:rsidR="001D7A2F" w:rsidRPr="002B5B6C" w:rsidRDefault="001D7A2F" w:rsidP="007B5360">
            <w:pPr>
              <w:pStyle w:val="TableBody"/>
              <w:keepNext/>
              <w:keepLines/>
              <w:jc w:val="right"/>
              <w:rPr>
                <w:rFonts w:cs="Arial"/>
                <w:b/>
                <w:szCs w:val="20"/>
              </w:rPr>
            </w:pPr>
            <w:r w:rsidRPr="002B5B6C">
              <w:rPr>
                <w:rFonts w:cs="Arial"/>
                <w:color w:val="FF0000"/>
                <w:szCs w:val="20"/>
              </w:rPr>
              <w:t>-$14,844,493</w:t>
            </w:r>
          </w:p>
        </w:tc>
        <w:tc>
          <w:tcPr>
            <w:tcW w:w="1417" w:type="dxa"/>
            <w:tcBorders>
              <w:top w:val="single" w:sz="18" w:space="0" w:color="auto"/>
              <w:bottom w:val="single" w:sz="4" w:space="0" w:color="auto"/>
            </w:tcBorders>
          </w:tcPr>
          <w:p w14:paraId="2B8FC526" w14:textId="77777777" w:rsidR="001D7A2F" w:rsidRPr="002B5B6C" w:rsidRDefault="001D7A2F" w:rsidP="007B5360">
            <w:pPr>
              <w:pStyle w:val="TableBody"/>
              <w:keepNext/>
              <w:keepLines/>
              <w:jc w:val="right"/>
              <w:rPr>
                <w:rFonts w:cs="Arial"/>
                <w:b/>
                <w:szCs w:val="20"/>
              </w:rPr>
            </w:pPr>
            <w:r w:rsidRPr="002B5B6C">
              <w:rPr>
                <w:rFonts w:cs="Arial"/>
                <w:color w:val="FF0000"/>
                <w:szCs w:val="20"/>
              </w:rPr>
              <w:t>-$13,800,979</w:t>
            </w:r>
          </w:p>
        </w:tc>
      </w:tr>
      <w:tr w:rsidR="001D7A2F" w:rsidRPr="002B5B6C" w14:paraId="39B10397" w14:textId="77777777" w:rsidTr="002B5B6C">
        <w:trPr>
          <w:cnfStyle w:val="000000100000" w:firstRow="0" w:lastRow="0" w:firstColumn="0" w:lastColumn="0" w:oddVBand="0" w:evenVBand="0" w:oddHBand="1" w:evenHBand="0" w:firstRowFirstColumn="0" w:firstRowLastColumn="0" w:lastRowFirstColumn="0" w:lastRowLastColumn="0"/>
          <w:trHeight w:val="300"/>
        </w:trPr>
        <w:tc>
          <w:tcPr>
            <w:tcW w:w="1980" w:type="dxa"/>
            <w:tcBorders>
              <w:bottom w:val="single" w:sz="18" w:space="0" w:color="auto"/>
            </w:tcBorders>
            <w:noWrap/>
          </w:tcPr>
          <w:p w14:paraId="0338CA3D" w14:textId="77777777" w:rsidR="001D7A2F" w:rsidRPr="002B5B6C" w:rsidRDefault="001D7A2F" w:rsidP="007B5360">
            <w:pPr>
              <w:pStyle w:val="TableBody"/>
              <w:keepNext/>
              <w:keepLines/>
              <w:rPr>
                <w:rFonts w:cs="Arial"/>
                <w:b/>
                <w:szCs w:val="20"/>
              </w:rPr>
            </w:pPr>
            <w:r w:rsidRPr="002B5B6C">
              <w:rPr>
                <w:rFonts w:cs="Arial"/>
                <w:szCs w:val="20"/>
              </w:rPr>
              <w:t>Total benefits</w:t>
            </w:r>
          </w:p>
        </w:tc>
        <w:tc>
          <w:tcPr>
            <w:tcW w:w="1276" w:type="dxa"/>
            <w:tcBorders>
              <w:bottom w:val="single" w:sz="18" w:space="0" w:color="auto"/>
            </w:tcBorders>
            <w:noWrap/>
          </w:tcPr>
          <w:p w14:paraId="34B34B2C" w14:textId="77777777" w:rsidR="001D7A2F" w:rsidRPr="002B5B6C" w:rsidRDefault="001D7A2F" w:rsidP="007B5360">
            <w:pPr>
              <w:pStyle w:val="TableBody"/>
              <w:keepNext/>
              <w:keepLines/>
              <w:jc w:val="right"/>
              <w:rPr>
                <w:rFonts w:cs="Arial"/>
                <w:b/>
                <w:szCs w:val="20"/>
              </w:rPr>
            </w:pPr>
            <w:r w:rsidRPr="002B5B6C">
              <w:rPr>
                <w:rFonts w:cs="Arial"/>
                <w:color w:val="000000"/>
                <w:szCs w:val="20"/>
              </w:rPr>
              <w:t>$4,578,853</w:t>
            </w:r>
          </w:p>
        </w:tc>
        <w:tc>
          <w:tcPr>
            <w:tcW w:w="1417" w:type="dxa"/>
            <w:tcBorders>
              <w:bottom w:val="single" w:sz="18" w:space="0" w:color="auto"/>
            </w:tcBorders>
            <w:noWrap/>
          </w:tcPr>
          <w:p w14:paraId="5D5795A0" w14:textId="77777777" w:rsidR="001D7A2F" w:rsidRPr="002B5B6C" w:rsidRDefault="001D7A2F" w:rsidP="007B5360">
            <w:pPr>
              <w:pStyle w:val="TableBody"/>
              <w:keepNext/>
              <w:keepLines/>
              <w:jc w:val="right"/>
              <w:rPr>
                <w:rFonts w:cs="Arial"/>
                <w:b/>
                <w:szCs w:val="20"/>
              </w:rPr>
            </w:pPr>
            <w:r w:rsidRPr="002B5B6C">
              <w:rPr>
                <w:rFonts w:cs="Arial"/>
                <w:color w:val="000000"/>
                <w:szCs w:val="20"/>
              </w:rPr>
              <w:t>$3,873,066</w:t>
            </w:r>
          </w:p>
        </w:tc>
        <w:tc>
          <w:tcPr>
            <w:tcW w:w="1418" w:type="dxa"/>
            <w:tcBorders>
              <w:bottom w:val="single" w:sz="18" w:space="0" w:color="auto"/>
            </w:tcBorders>
            <w:noWrap/>
          </w:tcPr>
          <w:p w14:paraId="04140647" w14:textId="77777777" w:rsidR="001D7A2F" w:rsidRPr="002B5B6C" w:rsidRDefault="001D7A2F" w:rsidP="007B5360">
            <w:pPr>
              <w:pStyle w:val="TableBody"/>
              <w:keepNext/>
              <w:keepLines/>
              <w:jc w:val="right"/>
              <w:rPr>
                <w:rFonts w:cs="Arial"/>
                <w:b/>
                <w:szCs w:val="20"/>
              </w:rPr>
            </w:pPr>
            <w:r w:rsidRPr="002B5B6C">
              <w:rPr>
                <w:rFonts w:cs="Arial"/>
                <w:color w:val="000000"/>
                <w:szCs w:val="20"/>
              </w:rPr>
              <w:t>$3,292,995</w:t>
            </w:r>
          </w:p>
        </w:tc>
        <w:tc>
          <w:tcPr>
            <w:tcW w:w="1417" w:type="dxa"/>
            <w:tcBorders>
              <w:bottom w:val="single" w:sz="18" w:space="0" w:color="auto"/>
            </w:tcBorders>
          </w:tcPr>
          <w:p w14:paraId="0F417B88" w14:textId="77777777" w:rsidR="001D7A2F" w:rsidRPr="002B5B6C" w:rsidRDefault="001D7A2F" w:rsidP="007B5360">
            <w:pPr>
              <w:pStyle w:val="TableBody"/>
              <w:keepNext/>
              <w:keepLines/>
              <w:jc w:val="right"/>
              <w:rPr>
                <w:rFonts w:cs="Arial"/>
                <w:b/>
                <w:szCs w:val="20"/>
              </w:rPr>
            </w:pPr>
            <w:r w:rsidRPr="002B5B6C">
              <w:rPr>
                <w:rFonts w:cs="Arial"/>
                <w:color w:val="000000"/>
                <w:szCs w:val="20"/>
              </w:rPr>
              <w:t>$27,821,663</w:t>
            </w:r>
          </w:p>
        </w:tc>
        <w:tc>
          <w:tcPr>
            <w:tcW w:w="1418" w:type="dxa"/>
            <w:tcBorders>
              <w:bottom w:val="single" w:sz="18" w:space="0" w:color="auto"/>
            </w:tcBorders>
          </w:tcPr>
          <w:p w14:paraId="5E2CCA8D" w14:textId="77777777" w:rsidR="001D7A2F" w:rsidRPr="002B5B6C" w:rsidRDefault="001D7A2F" w:rsidP="007B5360">
            <w:pPr>
              <w:pStyle w:val="TableBody"/>
              <w:keepNext/>
              <w:keepLines/>
              <w:jc w:val="right"/>
              <w:rPr>
                <w:rFonts w:cs="Arial"/>
                <w:b/>
                <w:szCs w:val="20"/>
              </w:rPr>
            </w:pPr>
            <w:r w:rsidRPr="002B5B6C">
              <w:rPr>
                <w:rFonts w:cs="Arial"/>
                <w:color w:val="000000"/>
                <w:szCs w:val="20"/>
              </w:rPr>
              <w:t>$24,231,171</w:t>
            </w:r>
          </w:p>
        </w:tc>
        <w:tc>
          <w:tcPr>
            <w:tcW w:w="1417" w:type="dxa"/>
            <w:tcBorders>
              <w:bottom w:val="single" w:sz="18" w:space="0" w:color="auto"/>
            </w:tcBorders>
          </w:tcPr>
          <w:p w14:paraId="77635B43" w14:textId="77777777" w:rsidR="001D7A2F" w:rsidRPr="002B5B6C" w:rsidRDefault="001D7A2F" w:rsidP="007B5360">
            <w:pPr>
              <w:pStyle w:val="TableBody"/>
              <w:keepNext/>
              <w:keepLines/>
              <w:jc w:val="right"/>
              <w:rPr>
                <w:rFonts w:cs="Arial"/>
                <w:b/>
                <w:szCs w:val="20"/>
              </w:rPr>
            </w:pPr>
            <w:r w:rsidRPr="002B5B6C">
              <w:rPr>
                <w:rFonts w:cs="Arial"/>
                <w:color w:val="000000"/>
                <w:szCs w:val="20"/>
              </w:rPr>
              <w:t>$21,281,166</w:t>
            </w:r>
          </w:p>
        </w:tc>
      </w:tr>
      <w:tr w:rsidR="001D7A2F" w:rsidRPr="002B5B6C" w14:paraId="18059B80" w14:textId="77777777" w:rsidTr="002B5B6C">
        <w:trPr>
          <w:cnfStyle w:val="000000010000" w:firstRow="0" w:lastRow="0" w:firstColumn="0" w:lastColumn="0" w:oddVBand="0" w:evenVBand="0" w:oddHBand="0" w:evenHBand="1" w:firstRowFirstColumn="0" w:firstRowLastColumn="0" w:lastRowFirstColumn="0" w:lastRowLastColumn="0"/>
          <w:trHeight w:val="300"/>
        </w:trPr>
        <w:tc>
          <w:tcPr>
            <w:tcW w:w="1980" w:type="dxa"/>
            <w:tcBorders>
              <w:top w:val="single" w:sz="18" w:space="0" w:color="auto"/>
              <w:bottom w:val="single" w:sz="18" w:space="0" w:color="auto"/>
            </w:tcBorders>
            <w:noWrap/>
          </w:tcPr>
          <w:p w14:paraId="56E38136" w14:textId="77777777" w:rsidR="001D7A2F" w:rsidRPr="002B5B6C" w:rsidRDefault="001D7A2F" w:rsidP="007B5360">
            <w:pPr>
              <w:pStyle w:val="TableBody"/>
              <w:keepNext/>
              <w:keepLines/>
              <w:rPr>
                <w:rFonts w:cs="Arial"/>
                <w:szCs w:val="20"/>
              </w:rPr>
            </w:pPr>
            <w:r w:rsidRPr="002B5B6C">
              <w:rPr>
                <w:rFonts w:cs="Arial"/>
                <w:szCs w:val="20"/>
              </w:rPr>
              <w:t>Net Present Value</w:t>
            </w:r>
          </w:p>
        </w:tc>
        <w:tc>
          <w:tcPr>
            <w:tcW w:w="1276" w:type="dxa"/>
            <w:tcBorders>
              <w:top w:val="single" w:sz="18" w:space="0" w:color="auto"/>
              <w:bottom w:val="single" w:sz="18" w:space="0" w:color="auto"/>
            </w:tcBorders>
            <w:noWrap/>
          </w:tcPr>
          <w:p w14:paraId="70E0C7C9" w14:textId="77777777" w:rsidR="001D7A2F" w:rsidRPr="002B5B6C" w:rsidRDefault="001D7A2F" w:rsidP="007B5360">
            <w:pPr>
              <w:pStyle w:val="TableBody"/>
              <w:keepNext/>
              <w:keepLines/>
              <w:jc w:val="right"/>
              <w:rPr>
                <w:rFonts w:cs="Arial"/>
                <w:szCs w:val="20"/>
              </w:rPr>
            </w:pPr>
            <w:r w:rsidRPr="002B5B6C">
              <w:rPr>
                <w:rFonts w:cs="Arial"/>
                <w:color w:val="000000"/>
                <w:szCs w:val="20"/>
              </w:rPr>
              <w:t>-$5,223,414</w:t>
            </w:r>
          </w:p>
        </w:tc>
        <w:tc>
          <w:tcPr>
            <w:tcW w:w="1417" w:type="dxa"/>
            <w:tcBorders>
              <w:top w:val="single" w:sz="18" w:space="0" w:color="auto"/>
              <w:bottom w:val="single" w:sz="18" w:space="0" w:color="auto"/>
            </w:tcBorders>
            <w:noWrap/>
          </w:tcPr>
          <w:p w14:paraId="7A5D5BAF" w14:textId="77777777" w:rsidR="001D7A2F" w:rsidRPr="002B5B6C" w:rsidRDefault="001D7A2F" w:rsidP="007B5360">
            <w:pPr>
              <w:pStyle w:val="TableBody"/>
              <w:keepNext/>
              <w:keepLines/>
              <w:jc w:val="right"/>
              <w:rPr>
                <w:rFonts w:cs="Arial"/>
                <w:szCs w:val="20"/>
              </w:rPr>
            </w:pPr>
            <w:r w:rsidRPr="002B5B6C">
              <w:rPr>
                <w:rFonts w:cs="Arial"/>
                <w:color w:val="000000"/>
                <w:szCs w:val="20"/>
              </w:rPr>
              <w:t>-$5,082,753</w:t>
            </w:r>
          </w:p>
        </w:tc>
        <w:tc>
          <w:tcPr>
            <w:tcW w:w="1418" w:type="dxa"/>
            <w:tcBorders>
              <w:top w:val="single" w:sz="18" w:space="0" w:color="auto"/>
              <w:bottom w:val="single" w:sz="18" w:space="0" w:color="auto"/>
            </w:tcBorders>
            <w:noWrap/>
          </w:tcPr>
          <w:p w14:paraId="6A93378A" w14:textId="77777777" w:rsidR="001D7A2F" w:rsidRPr="002B5B6C" w:rsidRDefault="001D7A2F" w:rsidP="007B5360">
            <w:pPr>
              <w:pStyle w:val="TableBody"/>
              <w:keepNext/>
              <w:keepLines/>
              <w:jc w:val="right"/>
              <w:rPr>
                <w:rFonts w:cs="Arial"/>
                <w:szCs w:val="20"/>
              </w:rPr>
            </w:pPr>
            <w:r w:rsidRPr="002B5B6C">
              <w:rPr>
                <w:rFonts w:cs="Arial"/>
                <w:color w:val="000000"/>
                <w:szCs w:val="20"/>
              </w:rPr>
              <w:t>-$4,967,147</w:t>
            </w:r>
          </w:p>
        </w:tc>
        <w:tc>
          <w:tcPr>
            <w:tcW w:w="1417" w:type="dxa"/>
            <w:tcBorders>
              <w:top w:val="single" w:sz="18" w:space="0" w:color="auto"/>
              <w:bottom w:val="single" w:sz="18" w:space="0" w:color="auto"/>
            </w:tcBorders>
          </w:tcPr>
          <w:p w14:paraId="2CC6A9C9" w14:textId="77777777" w:rsidR="001D7A2F" w:rsidRPr="002B5B6C" w:rsidRDefault="001D7A2F" w:rsidP="007B5360">
            <w:pPr>
              <w:pStyle w:val="TableBody"/>
              <w:keepNext/>
              <w:keepLines/>
              <w:jc w:val="right"/>
              <w:rPr>
                <w:rFonts w:cs="Arial"/>
                <w:szCs w:val="20"/>
              </w:rPr>
            </w:pPr>
            <w:r w:rsidRPr="002B5B6C">
              <w:rPr>
                <w:rFonts w:cs="Arial"/>
                <w:color w:val="000000"/>
                <w:szCs w:val="20"/>
              </w:rPr>
              <w:t>$11,707,497</w:t>
            </w:r>
          </w:p>
        </w:tc>
        <w:tc>
          <w:tcPr>
            <w:tcW w:w="1418" w:type="dxa"/>
            <w:tcBorders>
              <w:top w:val="single" w:sz="18" w:space="0" w:color="auto"/>
              <w:bottom w:val="single" w:sz="18" w:space="0" w:color="auto"/>
            </w:tcBorders>
          </w:tcPr>
          <w:p w14:paraId="5C6C5923" w14:textId="77777777" w:rsidR="001D7A2F" w:rsidRPr="002B5B6C" w:rsidRDefault="001D7A2F" w:rsidP="007B5360">
            <w:pPr>
              <w:pStyle w:val="TableBody"/>
              <w:keepNext/>
              <w:keepLines/>
              <w:jc w:val="right"/>
              <w:rPr>
                <w:rFonts w:cs="Arial"/>
                <w:szCs w:val="20"/>
              </w:rPr>
            </w:pPr>
            <w:r w:rsidRPr="002B5B6C">
              <w:rPr>
                <w:rFonts w:cs="Arial"/>
                <w:color w:val="000000"/>
                <w:szCs w:val="20"/>
              </w:rPr>
              <w:t>$9,386,678</w:t>
            </w:r>
          </w:p>
        </w:tc>
        <w:tc>
          <w:tcPr>
            <w:tcW w:w="1417" w:type="dxa"/>
            <w:tcBorders>
              <w:top w:val="single" w:sz="18" w:space="0" w:color="auto"/>
              <w:bottom w:val="single" w:sz="18" w:space="0" w:color="auto"/>
            </w:tcBorders>
          </w:tcPr>
          <w:p w14:paraId="43A47ABE" w14:textId="77777777" w:rsidR="001D7A2F" w:rsidRPr="002B5B6C" w:rsidRDefault="001D7A2F" w:rsidP="007B5360">
            <w:pPr>
              <w:pStyle w:val="TableBody"/>
              <w:keepNext/>
              <w:keepLines/>
              <w:jc w:val="right"/>
              <w:rPr>
                <w:rFonts w:cs="Arial"/>
                <w:szCs w:val="20"/>
              </w:rPr>
            </w:pPr>
            <w:r w:rsidRPr="002B5B6C">
              <w:rPr>
                <w:rFonts w:cs="Arial"/>
                <w:color w:val="000000"/>
                <w:szCs w:val="20"/>
              </w:rPr>
              <w:t>$7,480,187</w:t>
            </w:r>
          </w:p>
        </w:tc>
      </w:tr>
      <w:tr w:rsidR="001D7A2F" w:rsidRPr="002B5B6C" w14:paraId="7B2AB6AE" w14:textId="77777777" w:rsidTr="002B5B6C">
        <w:trPr>
          <w:cnfStyle w:val="000000100000" w:firstRow="0" w:lastRow="0" w:firstColumn="0" w:lastColumn="0" w:oddVBand="0" w:evenVBand="0" w:oddHBand="1" w:evenHBand="0" w:firstRowFirstColumn="0" w:firstRowLastColumn="0" w:lastRowFirstColumn="0" w:lastRowLastColumn="0"/>
          <w:trHeight w:val="300"/>
        </w:trPr>
        <w:tc>
          <w:tcPr>
            <w:tcW w:w="1980" w:type="dxa"/>
            <w:tcBorders>
              <w:top w:val="single" w:sz="18" w:space="0" w:color="auto"/>
            </w:tcBorders>
            <w:noWrap/>
          </w:tcPr>
          <w:p w14:paraId="2A2B3420" w14:textId="77777777" w:rsidR="001D7A2F" w:rsidRPr="002B5B6C" w:rsidRDefault="001D7A2F" w:rsidP="007B5360">
            <w:pPr>
              <w:pStyle w:val="TableBody"/>
              <w:keepNext/>
              <w:keepLines/>
              <w:rPr>
                <w:rFonts w:cs="Arial"/>
                <w:szCs w:val="20"/>
              </w:rPr>
            </w:pPr>
            <w:r w:rsidRPr="002B5B6C">
              <w:rPr>
                <w:rFonts w:cs="Arial"/>
                <w:szCs w:val="20"/>
              </w:rPr>
              <w:t>Benefit Cost Ratio</w:t>
            </w:r>
          </w:p>
        </w:tc>
        <w:tc>
          <w:tcPr>
            <w:tcW w:w="1276" w:type="dxa"/>
            <w:tcBorders>
              <w:top w:val="single" w:sz="18" w:space="0" w:color="auto"/>
            </w:tcBorders>
            <w:noWrap/>
          </w:tcPr>
          <w:p w14:paraId="567B730F" w14:textId="77777777" w:rsidR="001D7A2F" w:rsidRPr="002B5B6C" w:rsidRDefault="001D7A2F" w:rsidP="007B5360">
            <w:pPr>
              <w:pStyle w:val="TableBody"/>
              <w:keepNext/>
              <w:keepLines/>
              <w:jc w:val="right"/>
              <w:rPr>
                <w:rFonts w:cs="Arial"/>
                <w:szCs w:val="20"/>
              </w:rPr>
            </w:pPr>
            <w:r w:rsidRPr="002B5B6C">
              <w:rPr>
                <w:rFonts w:cs="Arial"/>
                <w:color w:val="000000"/>
                <w:szCs w:val="20"/>
              </w:rPr>
              <w:t>0.47</w:t>
            </w:r>
          </w:p>
        </w:tc>
        <w:tc>
          <w:tcPr>
            <w:tcW w:w="1417" w:type="dxa"/>
            <w:tcBorders>
              <w:top w:val="single" w:sz="18" w:space="0" w:color="auto"/>
            </w:tcBorders>
            <w:noWrap/>
          </w:tcPr>
          <w:p w14:paraId="58F9F292" w14:textId="77777777" w:rsidR="001D7A2F" w:rsidRPr="002B5B6C" w:rsidRDefault="001D7A2F" w:rsidP="007B5360">
            <w:pPr>
              <w:pStyle w:val="TableBody"/>
              <w:keepNext/>
              <w:keepLines/>
              <w:jc w:val="right"/>
              <w:rPr>
                <w:rFonts w:cs="Arial"/>
                <w:szCs w:val="20"/>
              </w:rPr>
            </w:pPr>
            <w:r w:rsidRPr="002B5B6C">
              <w:rPr>
                <w:rFonts w:cs="Arial"/>
                <w:color w:val="000000"/>
                <w:szCs w:val="20"/>
              </w:rPr>
              <w:t>0.43</w:t>
            </w:r>
          </w:p>
        </w:tc>
        <w:tc>
          <w:tcPr>
            <w:tcW w:w="1418" w:type="dxa"/>
            <w:tcBorders>
              <w:top w:val="single" w:sz="18" w:space="0" w:color="auto"/>
            </w:tcBorders>
            <w:noWrap/>
          </w:tcPr>
          <w:p w14:paraId="07DBA901" w14:textId="77777777" w:rsidR="001D7A2F" w:rsidRPr="002B5B6C" w:rsidRDefault="001D7A2F" w:rsidP="007B5360">
            <w:pPr>
              <w:pStyle w:val="TableBody"/>
              <w:keepNext/>
              <w:keepLines/>
              <w:jc w:val="right"/>
              <w:rPr>
                <w:rFonts w:cs="Arial"/>
                <w:szCs w:val="20"/>
              </w:rPr>
            </w:pPr>
            <w:r w:rsidRPr="002B5B6C">
              <w:rPr>
                <w:rFonts w:cs="Arial"/>
                <w:color w:val="000000"/>
                <w:szCs w:val="20"/>
              </w:rPr>
              <w:t>0.40</w:t>
            </w:r>
          </w:p>
        </w:tc>
        <w:tc>
          <w:tcPr>
            <w:tcW w:w="1417" w:type="dxa"/>
            <w:tcBorders>
              <w:top w:val="single" w:sz="18" w:space="0" w:color="auto"/>
            </w:tcBorders>
          </w:tcPr>
          <w:p w14:paraId="10EF364D" w14:textId="77777777" w:rsidR="001D7A2F" w:rsidRPr="002B5B6C" w:rsidRDefault="001D7A2F" w:rsidP="007B5360">
            <w:pPr>
              <w:pStyle w:val="TableBody"/>
              <w:keepNext/>
              <w:keepLines/>
              <w:jc w:val="right"/>
              <w:rPr>
                <w:rFonts w:cs="Arial"/>
                <w:szCs w:val="20"/>
              </w:rPr>
            </w:pPr>
            <w:r w:rsidRPr="002B5B6C">
              <w:rPr>
                <w:rFonts w:cs="Arial"/>
                <w:color w:val="000000"/>
                <w:szCs w:val="20"/>
              </w:rPr>
              <w:t>1.73</w:t>
            </w:r>
          </w:p>
        </w:tc>
        <w:tc>
          <w:tcPr>
            <w:tcW w:w="1418" w:type="dxa"/>
            <w:tcBorders>
              <w:top w:val="single" w:sz="18" w:space="0" w:color="auto"/>
            </w:tcBorders>
          </w:tcPr>
          <w:p w14:paraId="4402DE85" w14:textId="77777777" w:rsidR="001D7A2F" w:rsidRPr="002B5B6C" w:rsidRDefault="001D7A2F" w:rsidP="007B5360">
            <w:pPr>
              <w:pStyle w:val="TableBody"/>
              <w:keepNext/>
              <w:keepLines/>
              <w:jc w:val="right"/>
              <w:rPr>
                <w:rFonts w:cs="Arial"/>
                <w:szCs w:val="20"/>
              </w:rPr>
            </w:pPr>
            <w:r w:rsidRPr="002B5B6C">
              <w:rPr>
                <w:rFonts w:cs="Arial"/>
                <w:color w:val="000000"/>
                <w:szCs w:val="20"/>
              </w:rPr>
              <w:t>1.63</w:t>
            </w:r>
          </w:p>
        </w:tc>
        <w:tc>
          <w:tcPr>
            <w:tcW w:w="1417" w:type="dxa"/>
            <w:tcBorders>
              <w:top w:val="single" w:sz="18" w:space="0" w:color="auto"/>
            </w:tcBorders>
          </w:tcPr>
          <w:p w14:paraId="3D1F7726" w14:textId="77777777" w:rsidR="001D7A2F" w:rsidRPr="002B5B6C" w:rsidRDefault="001D7A2F" w:rsidP="007B5360">
            <w:pPr>
              <w:pStyle w:val="TableBody"/>
              <w:keepNext/>
              <w:keepLines/>
              <w:jc w:val="right"/>
              <w:rPr>
                <w:rFonts w:cs="Arial"/>
                <w:szCs w:val="20"/>
              </w:rPr>
            </w:pPr>
            <w:r w:rsidRPr="002B5B6C">
              <w:rPr>
                <w:rFonts w:cs="Arial"/>
                <w:color w:val="000000"/>
                <w:szCs w:val="20"/>
              </w:rPr>
              <w:t>1.54</w:t>
            </w:r>
          </w:p>
        </w:tc>
      </w:tr>
    </w:tbl>
    <w:p w14:paraId="0025D273" w14:textId="77777777" w:rsidR="00A768D4" w:rsidRDefault="00A768D4" w:rsidP="007B5360">
      <w:pPr>
        <w:spacing w:after="0"/>
        <w:rPr>
          <w:rFonts w:cs="Arial"/>
          <w:szCs w:val="20"/>
        </w:rPr>
      </w:pPr>
    </w:p>
    <w:p w14:paraId="08FD31CE" w14:textId="77777777" w:rsidR="00A768D4" w:rsidRDefault="00A768D4" w:rsidP="007B5360">
      <w:pPr>
        <w:pStyle w:val="Heading2"/>
        <w:spacing w:before="240" w:after="120"/>
      </w:pPr>
      <w:bookmarkStart w:id="68" w:name="_Toc153270574"/>
      <w:bookmarkStart w:id="69" w:name="_Toc155686004"/>
      <w:r w:rsidRPr="001C7B5E">
        <w:t>Regulatory burden measurement</w:t>
      </w:r>
      <w:bookmarkEnd w:id="68"/>
      <w:bookmarkEnd w:id="69"/>
      <w:r w:rsidRPr="001C7B5E">
        <w:t xml:space="preserve"> </w:t>
      </w:r>
    </w:p>
    <w:p w14:paraId="6C433D31" w14:textId="77777777" w:rsidR="001D7A2F" w:rsidRPr="00324231" w:rsidRDefault="00A768D4" w:rsidP="001D7A2F">
      <w:pPr>
        <w:pStyle w:val="Paragraph"/>
      </w:pPr>
      <w:r w:rsidRPr="00826160">
        <w:t xml:space="preserve">Regulatory Burden Measurement </w:t>
      </w:r>
      <w:r w:rsidR="001D7A2F">
        <w:t xml:space="preserve">utilises the same information as the cost benefit analysis but focusses only on the </w:t>
      </w:r>
      <w:r w:rsidR="001D7A2F" w:rsidRPr="00826160">
        <w:t>costs that fall to businesses (including government-owned corporations), community organisations and individuals.</w:t>
      </w:r>
    </w:p>
    <w:p w14:paraId="60C5890F" w14:textId="49E154DE" w:rsidR="00A768D4" w:rsidRPr="00826160" w:rsidRDefault="001D7A2F" w:rsidP="002B5B6C">
      <w:pPr>
        <w:pStyle w:val="Paragraph"/>
      </w:pPr>
      <w:r w:rsidRPr="00826160">
        <w:t>Regulatory Burden Measurement was undertaken in line with Australian Government guidance</w:t>
      </w:r>
      <w:r>
        <w:rPr>
          <w:rStyle w:val="FootnoteReference"/>
        </w:rPr>
        <w:footnoteReference w:id="55"/>
      </w:r>
      <w:r w:rsidRPr="00826160">
        <w:t xml:space="preserve"> </w:t>
      </w:r>
      <w:r>
        <w:t xml:space="preserve">identifies the </w:t>
      </w:r>
      <w:r w:rsidRPr="00210F5E">
        <w:t>average annual change in regulatory costs is measured against ‘business as usual’ costs</w:t>
      </w:r>
      <w:r w:rsidR="006029BE">
        <w:t xml:space="preserve">. </w:t>
      </w:r>
      <w:r>
        <w:t xml:space="preserve">The framework includes consideration of regulatory compliance costs (both administrative costs and substantive compliance costs) as well as delay costs. For this reform no delay costs were identified and so the analysis focussed on the likely compliance </w:t>
      </w:r>
      <w:r w:rsidR="00A768D4" w:rsidRPr="00210F5E">
        <w:t>costs.</w:t>
      </w:r>
    </w:p>
    <w:p w14:paraId="15280029" w14:textId="4557886D" w:rsidR="00A768D4" w:rsidRDefault="00A768D4" w:rsidP="00237122">
      <w:pPr>
        <w:pStyle w:val="Tableheading"/>
      </w:pPr>
      <w:r w:rsidRPr="003D5136">
        <w:t>Average annual regulatory costs (from business as usual)</w:t>
      </w:r>
    </w:p>
    <w:tbl>
      <w:tblPr>
        <w:tblStyle w:val="ABAREStableleftalign"/>
        <w:tblW w:w="10343" w:type="dxa"/>
        <w:tblBorders>
          <w:left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4A0" w:firstRow="1" w:lastRow="0" w:firstColumn="1" w:lastColumn="0" w:noHBand="0" w:noVBand="1"/>
      </w:tblPr>
      <w:tblGrid>
        <w:gridCol w:w="1555"/>
        <w:gridCol w:w="1802"/>
        <w:gridCol w:w="1679"/>
        <w:gridCol w:w="2614"/>
        <w:gridCol w:w="2693"/>
      </w:tblGrid>
      <w:tr w:rsidR="00653C4C" w:rsidRPr="00FF2211" w14:paraId="557E0CCE" w14:textId="77777777" w:rsidTr="007B5360">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55" w:type="dxa"/>
            <w:shd w:val="clear" w:color="auto" w:fill="404040" w:themeFill="text1" w:themeFillTint="BF"/>
            <w:noWrap/>
          </w:tcPr>
          <w:p w14:paraId="4C0EF51F" w14:textId="77777777" w:rsidR="00653C4C" w:rsidRPr="002B5B6C" w:rsidRDefault="00653C4C" w:rsidP="00DB7FB2">
            <w:pPr>
              <w:pStyle w:val="TableBody"/>
              <w:spacing w:before="0"/>
              <w:rPr>
                <w:b/>
                <w:bCs/>
                <w:color w:val="FFFFFF" w:themeColor="background1"/>
              </w:rPr>
            </w:pPr>
          </w:p>
        </w:tc>
        <w:tc>
          <w:tcPr>
            <w:tcW w:w="8788" w:type="dxa"/>
            <w:gridSpan w:val="4"/>
            <w:shd w:val="clear" w:color="auto" w:fill="404040" w:themeFill="text1" w:themeFillTint="BF"/>
            <w:noWrap/>
          </w:tcPr>
          <w:p w14:paraId="763E7792" w14:textId="16B0969B" w:rsidR="00653C4C" w:rsidRPr="002B5B6C" w:rsidRDefault="00653C4C" w:rsidP="00DB7FB2">
            <w:pPr>
              <w:pStyle w:val="TableBody"/>
              <w:spacing w:before="0"/>
              <w:jc w:val="center"/>
              <w:cnfStyle w:val="100000000000" w:firstRow="1" w:lastRow="0" w:firstColumn="0" w:lastColumn="0" w:oddVBand="0" w:evenVBand="0" w:oddHBand="0" w:evenHBand="0" w:firstRowFirstColumn="0" w:firstRowLastColumn="0" w:lastRowFirstColumn="0" w:lastRowLastColumn="0"/>
              <w:rPr>
                <w:b/>
                <w:bCs/>
                <w:color w:val="FFFFFF" w:themeColor="background1"/>
                <w:szCs w:val="20"/>
              </w:rPr>
            </w:pPr>
            <w:r w:rsidRPr="002B5B6C">
              <w:rPr>
                <w:b/>
                <w:bCs/>
                <w:color w:val="FFFFFF" w:themeColor="background1"/>
              </w:rPr>
              <w:t>Change in costs ($ million)</w:t>
            </w:r>
          </w:p>
        </w:tc>
      </w:tr>
      <w:tr w:rsidR="006029BE" w:rsidRPr="00FF2211" w14:paraId="29508555" w14:textId="77777777" w:rsidTr="007B5360">
        <w:trPr>
          <w:trHeight w:val="279"/>
        </w:trPr>
        <w:tc>
          <w:tcPr>
            <w:cnfStyle w:val="001000000000" w:firstRow="0" w:lastRow="0" w:firstColumn="1" w:lastColumn="0" w:oddVBand="0" w:evenVBand="0" w:oddHBand="0" w:evenHBand="0" w:firstRowFirstColumn="0" w:firstRowLastColumn="0" w:lastRowFirstColumn="0" w:lastRowLastColumn="0"/>
            <w:tcW w:w="1555" w:type="dxa"/>
            <w:shd w:val="clear" w:color="auto" w:fill="7F7F7F" w:themeFill="text1" w:themeFillTint="80"/>
            <w:noWrap/>
            <w:hideMark/>
          </w:tcPr>
          <w:p w14:paraId="5F76EC46" w14:textId="119F26D9" w:rsidR="006029BE" w:rsidRPr="002B5B6C" w:rsidRDefault="006029BE" w:rsidP="00DB7FB2">
            <w:pPr>
              <w:pStyle w:val="TableBody"/>
              <w:spacing w:before="0"/>
              <w:rPr>
                <w:b/>
                <w:bCs/>
                <w:color w:val="FFFFFF" w:themeColor="background1"/>
              </w:rPr>
            </w:pPr>
          </w:p>
        </w:tc>
        <w:tc>
          <w:tcPr>
            <w:tcW w:w="1802" w:type="dxa"/>
            <w:shd w:val="clear" w:color="auto" w:fill="7F7F7F" w:themeFill="text1" w:themeFillTint="80"/>
            <w:noWrap/>
            <w:hideMark/>
          </w:tcPr>
          <w:p w14:paraId="7053276C" w14:textId="2BCDEBBC" w:rsidR="006029BE" w:rsidRPr="002B5B6C" w:rsidRDefault="006029BE" w:rsidP="00DB7FB2">
            <w:pPr>
              <w:pStyle w:val="TableBody"/>
              <w:spacing w:before="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2B5B6C">
              <w:rPr>
                <w:b/>
                <w:bCs/>
                <w:color w:val="FFFFFF" w:themeColor="background1"/>
              </w:rPr>
              <w:t>Business</w:t>
            </w:r>
          </w:p>
        </w:tc>
        <w:tc>
          <w:tcPr>
            <w:tcW w:w="1679" w:type="dxa"/>
            <w:shd w:val="clear" w:color="auto" w:fill="7F7F7F" w:themeFill="text1" w:themeFillTint="80"/>
            <w:noWrap/>
            <w:hideMark/>
          </w:tcPr>
          <w:p w14:paraId="411C4CF3" w14:textId="77777777" w:rsidR="006029BE" w:rsidRPr="002B5B6C" w:rsidRDefault="006029BE" w:rsidP="00DB7FB2">
            <w:pPr>
              <w:pStyle w:val="TableBody"/>
              <w:spacing w:before="0"/>
              <w:jc w:val="right"/>
              <w:cnfStyle w:val="000000000000" w:firstRow="0" w:lastRow="0" w:firstColumn="0" w:lastColumn="0" w:oddVBand="0" w:evenVBand="0" w:oddHBand="0" w:evenHBand="0" w:firstRowFirstColumn="0" w:firstRowLastColumn="0" w:lastRowFirstColumn="0" w:lastRowLastColumn="0"/>
              <w:rPr>
                <w:b/>
                <w:bCs/>
                <w:color w:val="FFFFFF" w:themeColor="background1"/>
                <w:szCs w:val="20"/>
              </w:rPr>
            </w:pPr>
            <w:r w:rsidRPr="002B5B6C">
              <w:rPr>
                <w:b/>
                <w:bCs/>
                <w:color w:val="FFFFFF" w:themeColor="background1"/>
                <w:szCs w:val="20"/>
              </w:rPr>
              <w:t>Community organisations</w:t>
            </w:r>
          </w:p>
        </w:tc>
        <w:tc>
          <w:tcPr>
            <w:tcW w:w="2614" w:type="dxa"/>
            <w:shd w:val="clear" w:color="auto" w:fill="7F7F7F" w:themeFill="text1" w:themeFillTint="80"/>
            <w:noWrap/>
            <w:hideMark/>
          </w:tcPr>
          <w:p w14:paraId="75C0E3B6" w14:textId="77777777" w:rsidR="006029BE" w:rsidRPr="002B5B6C" w:rsidRDefault="006029BE" w:rsidP="00DB7FB2">
            <w:pPr>
              <w:pStyle w:val="TableBody"/>
              <w:spacing w:before="0"/>
              <w:jc w:val="right"/>
              <w:cnfStyle w:val="000000000000" w:firstRow="0" w:lastRow="0" w:firstColumn="0" w:lastColumn="0" w:oddVBand="0" w:evenVBand="0" w:oddHBand="0" w:evenHBand="0" w:firstRowFirstColumn="0" w:firstRowLastColumn="0" w:lastRowFirstColumn="0" w:lastRowLastColumn="0"/>
              <w:rPr>
                <w:b/>
                <w:bCs/>
                <w:color w:val="FFFFFF" w:themeColor="background1"/>
                <w:szCs w:val="20"/>
              </w:rPr>
            </w:pPr>
            <w:r w:rsidRPr="002B5B6C">
              <w:rPr>
                <w:b/>
                <w:bCs/>
                <w:color w:val="FFFFFF" w:themeColor="background1"/>
                <w:szCs w:val="20"/>
              </w:rPr>
              <w:t>Individuals</w:t>
            </w:r>
          </w:p>
        </w:tc>
        <w:tc>
          <w:tcPr>
            <w:tcW w:w="2693" w:type="dxa"/>
            <w:shd w:val="clear" w:color="auto" w:fill="7F7F7F" w:themeFill="text1" w:themeFillTint="80"/>
            <w:noWrap/>
            <w:hideMark/>
          </w:tcPr>
          <w:p w14:paraId="03ECAA5E" w14:textId="77777777" w:rsidR="006029BE" w:rsidRPr="002B5B6C" w:rsidRDefault="006029BE" w:rsidP="00DB7FB2">
            <w:pPr>
              <w:pStyle w:val="TableBody"/>
              <w:spacing w:before="0"/>
              <w:jc w:val="right"/>
              <w:cnfStyle w:val="000000000000" w:firstRow="0" w:lastRow="0" w:firstColumn="0" w:lastColumn="0" w:oddVBand="0" w:evenVBand="0" w:oddHBand="0" w:evenHBand="0" w:firstRowFirstColumn="0" w:firstRowLastColumn="0" w:lastRowFirstColumn="0" w:lastRowLastColumn="0"/>
              <w:rPr>
                <w:b/>
                <w:bCs/>
                <w:color w:val="FFFFFF" w:themeColor="background1"/>
                <w:szCs w:val="20"/>
              </w:rPr>
            </w:pPr>
            <w:r w:rsidRPr="002B5B6C">
              <w:rPr>
                <w:b/>
                <w:bCs/>
                <w:color w:val="FFFFFF" w:themeColor="background1"/>
                <w:szCs w:val="20"/>
              </w:rPr>
              <w:t>Total change in costs</w:t>
            </w:r>
          </w:p>
        </w:tc>
      </w:tr>
      <w:tr w:rsidR="006029BE" w:rsidRPr="00FF2211" w14:paraId="4D739DE5" w14:textId="77777777" w:rsidTr="007B5360">
        <w:trPr>
          <w:trHeight w:val="279"/>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117D5AA" w14:textId="77777777" w:rsidR="006029BE" w:rsidRPr="00FF2211" w:rsidRDefault="006029BE" w:rsidP="00DB7FB2">
            <w:pPr>
              <w:pStyle w:val="TableBody"/>
              <w:spacing w:before="0"/>
              <w:rPr>
                <w:rFonts w:cstheme="minorHAnsi"/>
                <w:b/>
                <w:szCs w:val="20"/>
              </w:rPr>
            </w:pPr>
            <w:r>
              <w:rPr>
                <w:rFonts w:cstheme="minorHAnsi"/>
                <w:szCs w:val="20"/>
              </w:rPr>
              <w:t xml:space="preserve">Option 2A </w:t>
            </w:r>
          </w:p>
        </w:tc>
        <w:tc>
          <w:tcPr>
            <w:tcW w:w="1802" w:type="dxa"/>
            <w:noWrap/>
          </w:tcPr>
          <w:p w14:paraId="5A6C8EAF" w14:textId="71745B08" w:rsidR="006029BE" w:rsidRPr="00FF2211" w:rsidRDefault="006029BE" w:rsidP="00DB7FB2">
            <w:pPr>
              <w:pStyle w:val="TableBody"/>
              <w:spacing w:before="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E87FEF">
              <w:t>$1.12</w:t>
            </w:r>
          </w:p>
        </w:tc>
        <w:tc>
          <w:tcPr>
            <w:tcW w:w="1679" w:type="dxa"/>
            <w:noWrap/>
          </w:tcPr>
          <w:p w14:paraId="11AAA4B2" w14:textId="77777777" w:rsidR="006029BE" w:rsidRPr="00FF2211" w:rsidRDefault="006029BE" w:rsidP="00DB7FB2">
            <w:pPr>
              <w:pStyle w:val="TableBody"/>
              <w:spacing w:before="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E87FEF">
              <w:t>$0.00</w:t>
            </w:r>
          </w:p>
        </w:tc>
        <w:tc>
          <w:tcPr>
            <w:tcW w:w="2614" w:type="dxa"/>
            <w:noWrap/>
          </w:tcPr>
          <w:p w14:paraId="5A7D0153" w14:textId="77777777" w:rsidR="006029BE" w:rsidRPr="00FF2211" w:rsidRDefault="006029BE" w:rsidP="00DB7FB2">
            <w:pPr>
              <w:pStyle w:val="TableBody"/>
              <w:spacing w:before="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E87FEF">
              <w:t>-</w:t>
            </w:r>
            <w:r>
              <w:t>$</w:t>
            </w:r>
            <w:r w:rsidRPr="00E87FEF">
              <w:t>0.52  +</w:t>
            </w:r>
            <w:r>
              <w:t xml:space="preserve"> </w:t>
            </w:r>
            <w:r w:rsidRPr="00E87FEF">
              <w:t>unquantified reduction in costs</w:t>
            </w:r>
          </w:p>
        </w:tc>
        <w:tc>
          <w:tcPr>
            <w:tcW w:w="2693" w:type="dxa"/>
            <w:noWrap/>
          </w:tcPr>
          <w:p w14:paraId="08A8C3FE" w14:textId="77777777" w:rsidR="006029BE" w:rsidRPr="00FF2211" w:rsidRDefault="006029BE" w:rsidP="00DB7FB2">
            <w:pPr>
              <w:pStyle w:val="TableBody"/>
              <w:spacing w:before="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t>$</w:t>
            </w:r>
            <w:r w:rsidRPr="00E87FEF">
              <w:t>0.6  +</w:t>
            </w:r>
            <w:r>
              <w:t xml:space="preserve"> </w:t>
            </w:r>
            <w:r w:rsidRPr="00E87FEF">
              <w:t>unquantified reduction in costs</w:t>
            </w:r>
          </w:p>
        </w:tc>
      </w:tr>
      <w:tr w:rsidR="006029BE" w:rsidRPr="00FF2211" w14:paraId="4100AB7C" w14:textId="77777777" w:rsidTr="007B5360">
        <w:trPr>
          <w:trHeight w:val="279"/>
        </w:trPr>
        <w:tc>
          <w:tcPr>
            <w:cnfStyle w:val="001000000000" w:firstRow="0" w:lastRow="0" w:firstColumn="1" w:lastColumn="0" w:oddVBand="0" w:evenVBand="0" w:oddHBand="0" w:evenHBand="0" w:firstRowFirstColumn="0" w:firstRowLastColumn="0" w:lastRowFirstColumn="0" w:lastRowLastColumn="0"/>
            <w:tcW w:w="1555" w:type="dxa"/>
            <w:noWrap/>
          </w:tcPr>
          <w:p w14:paraId="677D43FD" w14:textId="77777777" w:rsidR="006029BE" w:rsidRDefault="006029BE" w:rsidP="00DB7FB2">
            <w:pPr>
              <w:pStyle w:val="TableBody"/>
              <w:spacing w:before="0"/>
              <w:rPr>
                <w:rFonts w:cstheme="minorHAnsi"/>
                <w:szCs w:val="20"/>
              </w:rPr>
            </w:pPr>
            <w:r>
              <w:rPr>
                <w:rFonts w:cstheme="minorHAnsi"/>
                <w:szCs w:val="20"/>
              </w:rPr>
              <w:t>Option 2B</w:t>
            </w:r>
          </w:p>
        </w:tc>
        <w:tc>
          <w:tcPr>
            <w:tcW w:w="1802" w:type="dxa"/>
            <w:noWrap/>
          </w:tcPr>
          <w:p w14:paraId="4BA62D08" w14:textId="723EE516" w:rsidR="006029BE" w:rsidRPr="00FF2211" w:rsidRDefault="006029BE" w:rsidP="00DB7FB2">
            <w:pPr>
              <w:pStyle w:val="TableBody"/>
              <w:spacing w:before="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424CA3">
              <w:t>$1.82</w:t>
            </w:r>
          </w:p>
        </w:tc>
        <w:tc>
          <w:tcPr>
            <w:tcW w:w="1679" w:type="dxa"/>
            <w:noWrap/>
          </w:tcPr>
          <w:p w14:paraId="411A69DE" w14:textId="77777777" w:rsidR="006029BE" w:rsidRPr="00FF2211" w:rsidRDefault="006029BE" w:rsidP="00DB7FB2">
            <w:pPr>
              <w:pStyle w:val="TableBody"/>
              <w:spacing w:before="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424CA3">
              <w:t>$0.00</w:t>
            </w:r>
          </w:p>
        </w:tc>
        <w:tc>
          <w:tcPr>
            <w:tcW w:w="2614" w:type="dxa"/>
            <w:noWrap/>
          </w:tcPr>
          <w:p w14:paraId="2D5C3AF2" w14:textId="77777777" w:rsidR="006029BE" w:rsidRPr="00FF2211" w:rsidRDefault="006029BE" w:rsidP="00DB7FB2">
            <w:pPr>
              <w:pStyle w:val="TableBody"/>
              <w:spacing w:before="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424CA3">
              <w:t>-</w:t>
            </w:r>
            <w:r>
              <w:t>$</w:t>
            </w:r>
            <w:r w:rsidRPr="00424CA3">
              <w:t>2.81  +</w:t>
            </w:r>
            <w:r>
              <w:t xml:space="preserve"> </w:t>
            </w:r>
            <w:r w:rsidRPr="00424CA3">
              <w:t>unquantified reduction in costs</w:t>
            </w:r>
          </w:p>
        </w:tc>
        <w:tc>
          <w:tcPr>
            <w:tcW w:w="2693" w:type="dxa"/>
            <w:noWrap/>
          </w:tcPr>
          <w:p w14:paraId="464E32D3" w14:textId="77777777" w:rsidR="006029BE" w:rsidRPr="00FF2211" w:rsidRDefault="006029BE" w:rsidP="00DB7FB2">
            <w:pPr>
              <w:pStyle w:val="TableBody"/>
              <w:spacing w:before="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424CA3">
              <w:t>-</w:t>
            </w:r>
            <w:r>
              <w:t>$</w:t>
            </w:r>
            <w:r w:rsidRPr="00424CA3">
              <w:t>0.99 +</w:t>
            </w:r>
            <w:r>
              <w:t xml:space="preserve"> </w:t>
            </w:r>
            <w:r w:rsidRPr="00424CA3">
              <w:t>unquantified reduction in costs</w:t>
            </w:r>
          </w:p>
        </w:tc>
      </w:tr>
    </w:tbl>
    <w:p w14:paraId="16797C95" w14:textId="70505F6F" w:rsidR="006029BE" w:rsidRDefault="006029BE" w:rsidP="007B5360">
      <w:pPr>
        <w:pStyle w:val="Bulletlevel1last"/>
        <w:numPr>
          <w:ilvl w:val="0"/>
          <w:numId w:val="0"/>
        </w:numPr>
        <w:spacing w:after="120"/>
      </w:pPr>
    </w:p>
    <w:p w14:paraId="4DAD29A2" w14:textId="4E8AE2FC" w:rsidR="00A768D4" w:rsidRDefault="00A768D4" w:rsidP="00653C4C">
      <w:pPr>
        <w:pStyle w:val="Bulletlevel1last"/>
        <w:numPr>
          <w:ilvl w:val="0"/>
          <w:numId w:val="0"/>
        </w:numPr>
      </w:pPr>
      <w:r>
        <w:t xml:space="preserve">The analysis determined that </w:t>
      </w:r>
      <w:r w:rsidR="00EE08FB">
        <w:t>O</w:t>
      </w:r>
      <w:r>
        <w:t>ption 2A would have a small increase in costs for industry, but this is predicted to be offset by a reduction in costs for individuals – although this is unquantified</w:t>
      </w:r>
      <w:r w:rsidR="0092248D">
        <w:t xml:space="preserve">. </w:t>
      </w:r>
      <w:r w:rsidR="00DD62EF">
        <w:t>The unquantified reduction in costs correlate</w:t>
      </w:r>
      <w:r w:rsidR="00445F29">
        <w:t>s</w:t>
      </w:r>
      <w:r w:rsidR="00DD62EF">
        <w:t xml:space="preserve"> to the </w:t>
      </w:r>
      <w:r w:rsidR="00DD62EF" w:rsidRPr="002B5B6C">
        <w:t>range of consumer benefits</w:t>
      </w:r>
      <w:r w:rsidR="00DD62EF">
        <w:t xml:space="preserve"> </w:t>
      </w:r>
      <w:r w:rsidR="00A13219">
        <w:t>described</w:t>
      </w:r>
      <w:r w:rsidR="00DD62EF">
        <w:t xml:space="preserve"> above</w:t>
      </w:r>
      <w:r w:rsidR="00DD62EF" w:rsidRPr="002B5B6C">
        <w:t xml:space="preserve"> that are not readily</w:t>
      </w:r>
      <w:r w:rsidR="00DD62EF">
        <w:t xml:space="preserve"> quantifiable.  </w:t>
      </w:r>
    </w:p>
    <w:p w14:paraId="206E7A68" w14:textId="78281479" w:rsidR="00A768D4" w:rsidRPr="007514EA" w:rsidRDefault="00A768D4" w:rsidP="00653C4C">
      <w:pPr>
        <w:pStyle w:val="Bulletlevel1last"/>
        <w:numPr>
          <w:ilvl w:val="0"/>
          <w:numId w:val="0"/>
        </w:numPr>
      </w:pPr>
      <w:r>
        <w:t>Option 2B is expected to result in a decrease in costs for industry as well as the predicted reduction in costs for individuals.</w:t>
      </w:r>
    </w:p>
    <w:p w14:paraId="6E436D49" w14:textId="77777777" w:rsidR="000A04C6" w:rsidRPr="00BF41CE" w:rsidRDefault="000A04C6" w:rsidP="000A04C6">
      <w:pPr>
        <w:pStyle w:val="Heading1"/>
      </w:pPr>
      <w:bookmarkStart w:id="70" w:name="_Toc32833706"/>
      <w:bookmarkStart w:id="71" w:name="_Toc32833752"/>
      <w:bookmarkStart w:id="72" w:name="_Toc32833825"/>
      <w:bookmarkStart w:id="73" w:name="_Toc55546925"/>
      <w:bookmarkStart w:id="74" w:name="_Toc56092957"/>
      <w:bookmarkStart w:id="75" w:name="_Toc155686005"/>
      <w:r w:rsidRPr="00BF41CE">
        <w:lastRenderedPageBreak/>
        <w:t>Who was consulted and what did they say?</w:t>
      </w:r>
      <w:bookmarkEnd w:id="70"/>
      <w:bookmarkEnd w:id="71"/>
      <w:bookmarkEnd w:id="72"/>
      <w:bookmarkEnd w:id="73"/>
      <w:bookmarkEnd w:id="74"/>
      <w:bookmarkEnd w:id="75"/>
    </w:p>
    <w:p w14:paraId="3A6D07F8" w14:textId="77777777" w:rsidR="00535BAB" w:rsidRPr="00BF41CE" w:rsidRDefault="00535BAB" w:rsidP="00535BAB">
      <w:pPr>
        <w:pStyle w:val="Heading2"/>
      </w:pPr>
      <w:bookmarkStart w:id="76" w:name="_Toc155686006"/>
      <w:r w:rsidRPr="00BF41CE">
        <w:t>Consultation</w:t>
      </w:r>
      <w:bookmarkEnd w:id="76"/>
    </w:p>
    <w:p w14:paraId="61FF9D5E" w14:textId="7EE92937" w:rsidR="005E7102" w:rsidRPr="00A820BD" w:rsidRDefault="003F3246" w:rsidP="007514EA">
      <w:pPr>
        <w:pStyle w:val="Paragraphbeforelist"/>
      </w:pPr>
      <w:r w:rsidRPr="00A820BD">
        <w:t xml:space="preserve">Extensive consultation has been </w:t>
      </w:r>
      <w:r w:rsidR="004E3255">
        <w:t>undertaken</w:t>
      </w:r>
      <w:r w:rsidR="005C1229">
        <w:t xml:space="preserve"> </w:t>
      </w:r>
      <w:r w:rsidRPr="00A820BD">
        <w:t>leading up to the Minister's directi</w:t>
      </w:r>
      <w:r w:rsidR="000262F1">
        <w:t>on</w:t>
      </w:r>
      <w:r w:rsidRPr="00A820BD">
        <w:t xml:space="preserve"> for the ACMA to establish a standard. </w:t>
      </w:r>
      <w:r w:rsidR="005C1229">
        <w:t>T</w:t>
      </w:r>
      <w:r w:rsidRPr="00A820BD">
        <w:t xml:space="preserve">his </w:t>
      </w:r>
      <w:r w:rsidR="005C1229">
        <w:t>extensive engagement, spanning several years</w:t>
      </w:r>
      <w:r w:rsidR="00C26CF1">
        <w:t>,</w:t>
      </w:r>
      <w:r w:rsidRPr="00A820BD">
        <w:t xml:space="preserve"> involved key stakeholders and </w:t>
      </w:r>
      <w:r w:rsidR="00C26CF1">
        <w:t>diverse</w:t>
      </w:r>
      <w:r w:rsidRPr="00A820BD">
        <w:t xml:space="preserve"> sources, shaping our understanding of crucial consumer protections, </w:t>
      </w:r>
      <w:r w:rsidR="00C26CF1">
        <w:t>with a focus on</w:t>
      </w:r>
      <w:r w:rsidRPr="00A820BD">
        <w:t xml:space="preserve"> addressing financial hardship. The consultation landscape </w:t>
      </w:r>
      <w:r w:rsidR="00C26CF1">
        <w:t>includes</w:t>
      </w:r>
      <w:r w:rsidRPr="00A820BD">
        <w:t>:</w:t>
      </w:r>
    </w:p>
    <w:p w14:paraId="3F22AD7C" w14:textId="6F8E1FBD" w:rsidR="00B472FF" w:rsidRPr="009C2263" w:rsidRDefault="004C5361" w:rsidP="00A05A0C">
      <w:pPr>
        <w:pStyle w:val="Bulletlevel1"/>
      </w:pPr>
      <w:r w:rsidRPr="009C2263">
        <w:t xml:space="preserve">ACMA research </w:t>
      </w:r>
      <w:r w:rsidR="005832BE" w:rsidRPr="009C2263">
        <w:t xml:space="preserve">and reports </w:t>
      </w:r>
      <w:r w:rsidR="00E27523">
        <w:t>over</w:t>
      </w:r>
      <w:r w:rsidRPr="009C2263">
        <w:t xml:space="preserve"> the past </w:t>
      </w:r>
      <w:r w:rsidR="001B07DA">
        <w:t>4</w:t>
      </w:r>
      <w:r w:rsidRPr="009C2263">
        <w:t xml:space="preserve"> years</w:t>
      </w:r>
      <w:r w:rsidR="001D162B">
        <w:t xml:space="preserve"> have been instrumental</w:t>
      </w:r>
      <w:r w:rsidRPr="009C2263">
        <w:t xml:space="preserve">, complemented by insights from diverse stakeholders, culminating in submissions to the TCP Code review. This collective input consistently </w:t>
      </w:r>
      <w:r w:rsidR="00CE3A0A">
        <w:t>highlights</w:t>
      </w:r>
      <w:r w:rsidRPr="009C2263">
        <w:t xml:space="preserve"> the significance of financial hardship as a prevalent issue, </w:t>
      </w:r>
      <w:r w:rsidR="002704D2">
        <w:t>prompting</w:t>
      </w:r>
      <w:r w:rsidRPr="009C2263">
        <w:t xml:space="preserve"> the need for more robust measures aligned with reasonable consumer expectations</w:t>
      </w:r>
      <w:r w:rsidR="00E830DF" w:rsidRPr="009C2263">
        <w:t>.</w:t>
      </w:r>
    </w:p>
    <w:p w14:paraId="39656078" w14:textId="071A24AF" w:rsidR="00E830DF" w:rsidRPr="009C2263" w:rsidRDefault="00DB3163" w:rsidP="00A05A0C">
      <w:pPr>
        <w:pStyle w:val="Bulletlevel1"/>
      </w:pPr>
      <w:r>
        <w:t xml:space="preserve">The </w:t>
      </w:r>
      <w:r w:rsidR="00E830DF" w:rsidRPr="009C2263">
        <w:t>ACMA</w:t>
      </w:r>
      <w:r w:rsidR="00DD1436">
        <w:t xml:space="preserve"> has consistently worked towards </w:t>
      </w:r>
      <w:r w:rsidR="00E6728D">
        <w:t xml:space="preserve">enhancing </w:t>
      </w:r>
      <w:r w:rsidR="00E830DF" w:rsidRPr="009C2263">
        <w:t>financial hardship arrangements</w:t>
      </w:r>
      <w:r w:rsidR="00E6728D">
        <w:t xml:space="preserve"> </w:t>
      </w:r>
      <w:r w:rsidR="00E830DF" w:rsidRPr="009C2263">
        <w:t xml:space="preserve">through research, reports, </w:t>
      </w:r>
      <w:r w:rsidR="00F40B53">
        <w:t>consultation on consumer vulnerability in July 2021</w:t>
      </w:r>
      <w:r w:rsidR="00F40B53">
        <w:rPr>
          <w:rStyle w:val="FootnoteReference"/>
          <w:color w:val="000000"/>
          <w:szCs w:val="20"/>
        </w:rPr>
        <w:footnoteReference w:id="56"/>
      </w:r>
      <w:r w:rsidR="00F40B53">
        <w:t xml:space="preserve">, </w:t>
      </w:r>
      <w:r w:rsidR="00E830DF" w:rsidRPr="009C2263">
        <w:t xml:space="preserve">the issuance of the Statement of Expectations in May 2022, and the What Consumers Want position paper in July 2023. </w:t>
      </w:r>
      <w:r w:rsidR="00E6728D">
        <w:t xml:space="preserve">This commitment has been echoed by the </w:t>
      </w:r>
      <w:r w:rsidR="00E830DF" w:rsidRPr="009C2263">
        <w:t xml:space="preserve">TIO, </w:t>
      </w:r>
      <w:r w:rsidR="00E6728D">
        <w:t xml:space="preserve">the </w:t>
      </w:r>
      <w:r w:rsidR="00E830DF" w:rsidRPr="009C2263">
        <w:t>ACCC, and consumer groups</w:t>
      </w:r>
      <w:r w:rsidR="00E6728D">
        <w:t xml:space="preserve"> such as </w:t>
      </w:r>
      <w:r w:rsidR="00E830DF" w:rsidRPr="009C2263">
        <w:t xml:space="preserve">ACCAN, </w:t>
      </w:r>
      <w:r w:rsidR="00E6728D">
        <w:t>all</w:t>
      </w:r>
      <w:r w:rsidR="00E830DF" w:rsidRPr="009C2263">
        <w:t xml:space="preserve"> advocat</w:t>
      </w:r>
      <w:r w:rsidR="00E6728D">
        <w:t>ing</w:t>
      </w:r>
      <w:r w:rsidR="00E830DF" w:rsidRPr="009C2263">
        <w:t xml:space="preserve"> for decisive action</w:t>
      </w:r>
      <w:r w:rsidR="00542216" w:rsidRPr="009C2263">
        <w:t>.</w:t>
      </w:r>
    </w:p>
    <w:p w14:paraId="2517AA22" w14:textId="73EB72D0" w:rsidR="00827401" w:rsidRPr="009C2263" w:rsidRDefault="00827401" w:rsidP="00A05A0C">
      <w:pPr>
        <w:pStyle w:val="Bulletlevel1"/>
      </w:pPr>
      <w:r w:rsidRPr="009C2263">
        <w:t>Input from current consumer representatives</w:t>
      </w:r>
      <w:r w:rsidRPr="009C2263">
        <w:rPr>
          <w:rStyle w:val="FootnoteReference"/>
          <w:szCs w:val="20"/>
        </w:rPr>
        <w:footnoteReference w:id="57"/>
      </w:r>
      <w:r w:rsidRPr="009C2263">
        <w:t xml:space="preserve"> at the ACMA’s CCF over an extended period</w:t>
      </w:r>
      <w:r w:rsidR="00581A93">
        <w:t xml:space="preserve"> has </w:t>
      </w:r>
      <w:r w:rsidRPr="009C2263">
        <w:t>reinforce</w:t>
      </w:r>
      <w:r w:rsidR="00581A93">
        <w:t>d</w:t>
      </w:r>
      <w:r w:rsidRPr="009C2263">
        <w:t xml:space="preserve"> the </w:t>
      </w:r>
      <w:r w:rsidR="00581A93">
        <w:t>need</w:t>
      </w:r>
      <w:r w:rsidRPr="009C2263">
        <w:t xml:space="preserve"> for more comprehensive financial hardship protections. This sentiment aligns with feedback obtained through public consultations on the Statement of Expectations and one-on-one stakeholder meetings with ACCAN, the Consumer Action Law Centre, Isolated Children's Parent Association, and Westjustice in August and September</w:t>
      </w:r>
      <w:r w:rsidR="0030361B" w:rsidRPr="009C2263">
        <w:t xml:space="preserve"> 2022</w:t>
      </w:r>
      <w:r w:rsidR="004616A4" w:rsidRPr="009C2263">
        <w:t>.</w:t>
      </w:r>
    </w:p>
    <w:p w14:paraId="61B962CE" w14:textId="2EF4D0A3" w:rsidR="004616A4" w:rsidRPr="009C2263" w:rsidRDefault="004616A4" w:rsidP="00A05A0C">
      <w:pPr>
        <w:pStyle w:val="Bulletlevel1last"/>
      </w:pPr>
      <w:r w:rsidRPr="009C2263">
        <w:t xml:space="preserve">A consumer round table convened by the </w:t>
      </w:r>
      <w:r w:rsidR="001B07DA">
        <w:t>m</w:t>
      </w:r>
      <w:r w:rsidRPr="009C2263">
        <w:t>inister in March 2023 facilitated a broader dialogue involving industry and consumer groups, the First Nations Digital Inclusion Advisory Group, the ACMA, and the TIO. Non-industry stakeholders consistently called for direct regulation of consumer protections and tailored information to enhance consumer understanding.</w:t>
      </w:r>
    </w:p>
    <w:p w14:paraId="267C7D2D" w14:textId="629EA339" w:rsidR="005E51AA" w:rsidRPr="006C13A3" w:rsidRDefault="005E51AA" w:rsidP="00A05A0C">
      <w:pPr>
        <w:pStyle w:val="Paragraph"/>
      </w:pPr>
      <w:r w:rsidRPr="006C13A3">
        <w:t xml:space="preserve">This perspective, voiced consistently over time and reflected in submissions to the </w:t>
      </w:r>
      <w:r w:rsidR="006C13A3" w:rsidRPr="006C13A3">
        <w:rPr>
          <w:rFonts w:eastAsiaTheme="minorHAnsi"/>
          <w:color w:val="000000" w:themeColor="text1"/>
        </w:rPr>
        <w:t>Part C of the Consumer Safeguards Review,</w:t>
      </w:r>
      <w:r w:rsidR="006C13A3" w:rsidRPr="006C13A3">
        <w:rPr>
          <w:rStyle w:val="FootnoteReference"/>
          <w:rFonts w:eastAsiaTheme="minorHAnsi"/>
          <w:color w:val="000000" w:themeColor="text1"/>
          <w:szCs w:val="20"/>
        </w:rPr>
        <w:footnoteReference w:id="58"/>
      </w:r>
      <w:r w:rsidR="006C13A3" w:rsidRPr="006C13A3">
        <w:rPr>
          <w:rFonts w:eastAsiaTheme="minorHAnsi"/>
          <w:color w:val="000000" w:themeColor="text1"/>
        </w:rPr>
        <w:t xml:space="preserve"> </w:t>
      </w:r>
      <w:r w:rsidRPr="006C13A3">
        <w:t>and the Communications Alliance TCP Code review discussion paper, emphasi</w:t>
      </w:r>
      <w:r w:rsidR="00D44ADE" w:rsidRPr="006C13A3">
        <w:t>s</w:t>
      </w:r>
      <w:r w:rsidRPr="006C13A3">
        <w:t>es financial hardship as a substantial concern. Stakeholders, including the TIO, ACCC, and ACCAN, contend that direct regulation is necessary to address existing inadequacies and yield better outcomes for consumers by recogni</w:t>
      </w:r>
      <w:r w:rsidR="00E33206" w:rsidRPr="006C13A3">
        <w:t>s</w:t>
      </w:r>
      <w:r w:rsidRPr="006C13A3">
        <w:t xml:space="preserve">ing the fundamental importance of telecommunications services, leveraging government and regulator expertise, and empowering the ACMA to respond promptly </w:t>
      </w:r>
      <w:r w:rsidR="00E115A6" w:rsidRPr="006C13A3">
        <w:t xml:space="preserve">and effectively </w:t>
      </w:r>
      <w:r w:rsidRPr="006C13A3">
        <w:t>to non-c</w:t>
      </w:r>
      <w:r w:rsidR="00E115A6" w:rsidRPr="006C13A3">
        <w:t>ompliance.</w:t>
      </w:r>
    </w:p>
    <w:p w14:paraId="5C021616" w14:textId="4AA074A1" w:rsidR="00F46D8C" w:rsidRDefault="00F46D8C" w:rsidP="00A05A0C">
      <w:pPr>
        <w:pStyle w:val="Paragraph"/>
      </w:pPr>
      <w:r w:rsidRPr="00464A18">
        <w:t xml:space="preserve">The </w:t>
      </w:r>
      <w:r w:rsidR="001B07DA">
        <w:t>m</w:t>
      </w:r>
      <w:r w:rsidRPr="00DF5F6D">
        <w:t>inister</w:t>
      </w:r>
      <w:r w:rsidR="00DF5F6D">
        <w:t xml:space="preserve"> </w:t>
      </w:r>
      <w:r w:rsidR="007E5449" w:rsidRPr="00DF5F6D">
        <w:t>sought input from key stakeholders while developing the Direction</w:t>
      </w:r>
      <w:r w:rsidRPr="00DF5F6D">
        <w:t xml:space="preserve">, with consumer representatives </w:t>
      </w:r>
      <w:r w:rsidR="004C595E" w:rsidRPr="00DF5F6D">
        <w:t xml:space="preserve">reiterating </w:t>
      </w:r>
      <w:r w:rsidRPr="00DF5F6D">
        <w:t>strong suppor</w:t>
      </w:r>
      <w:r w:rsidR="004C595E" w:rsidRPr="00DF5F6D">
        <w:t>t for</w:t>
      </w:r>
      <w:r w:rsidRPr="00DF5F6D">
        <w:t xml:space="preserve"> </w:t>
      </w:r>
      <w:r w:rsidR="00A5592F">
        <w:t>clearly enforceable</w:t>
      </w:r>
      <w:r w:rsidR="008409FC">
        <w:t xml:space="preserve"> and specific</w:t>
      </w:r>
      <w:r w:rsidRPr="00DF5F6D">
        <w:t xml:space="preserve"> regulation.</w:t>
      </w:r>
      <w:r w:rsidRPr="00464A18">
        <w:t xml:space="preserve"> Industry stakeholders, while generally supportive of improving consumer outcomes, did not expressly oppose direct regulation, emphasi</w:t>
      </w:r>
      <w:r w:rsidR="003157B3">
        <w:t>s</w:t>
      </w:r>
      <w:r w:rsidRPr="00464A18">
        <w:t xml:space="preserve">ing the </w:t>
      </w:r>
      <w:r w:rsidRPr="00464A18">
        <w:lastRenderedPageBreak/>
        <w:t>need for practical and effective rules that align with desired consumer outcomes without restricting current flexible relief mechanisms offered by</w:t>
      </w:r>
      <w:r w:rsidR="00464A18" w:rsidRPr="00464A18">
        <w:t xml:space="preserve"> CSPs.</w:t>
      </w:r>
      <w:r w:rsidR="003157B3">
        <w:t xml:space="preserve"> </w:t>
      </w:r>
    </w:p>
    <w:p w14:paraId="7C9E36DE" w14:textId="4A593A2D" w:rsidR="000F78E9" w:rsidRPr="005C7F24" w:rsidRDefault="000F78E9" w:rsidP="00F5117D">
      <w:pPr>
        <w:rPr>
          <w:rFonts w:cs="Arial"/>
          <w:szCs w:val="20"/>
        </w:rPr>
      </w:pPr>
      <w:r w:rsidRPr="005C7F24">
        <w:rPr>
          <w:rFonts w:cs="Arial"/>
          <w:color w:val="000000"/>
          <w:szCs w:val="20"/>
        </w:rPr>
        <w:t xml:space="preserve">The Minister's evidence-based approach in developing the Direction relied on the ACMA's extensive research, reports, </w:t>
      </w:r>
      <w:r w:rsidR="00314D9A" w:rsidRPr="005C7F24">
        <w:rPr>
          <w:rFonts w:cs="Arial"/>
          <w:color w:val="000000"/>
          <w:szCs w:val="20"/>
        </w:rPr>
        <w:t xml:space="preserve">bolstered by TIO reports </w:t>
      </w:r>
      <w:r w:rsidRPr="005C7F24">
        <w:rPr>
          <w:rFonts w:cs="Arial"/>
          <w:color w:val="000000"/>
          <w:szCs w:val="20"/>
        </w:rPr>
        <w:t xml:space="preserve">and </w:t>
      </w:r>
      <w:r w:rsidR="00314D9A" w:rsidRPr="005C7F24">
        <w:rPr>
          <w:rFonts w:cs="Arial"/>
          <w:color w:val="000000"/>
          <w:szCs w:val="20"/>
        </w:rPr>
        <w:t xml:space="preserve">input </w:t>
      </w:r>
      <w:r w:rsidRPr="005C7F24">
        <w:rPr>
          <w:rFonts w:cs="Arial"/>
          <w:color w:val="000000"/>
          <w:szCs w:val="20"/>
        </w:rPr>
        <w:t xml:space="preserve">from consumer representatives. This comprehensive foundation paved the way for subsequent consultation on </w:t>
      </w:r>
      <w:r w:rsidR="005C7F24">
        <w:rPr>
          <w:rFonts w:cs="Arial"/>
          <w:color w:val="000000"/>
          <w:szCs w:val="20"/>
        </w:rPr>
        <w:t xml:space="preserve">a draft industry standard. </w:t>
      </w:r>
      <w:r w:rsidRPr="005C7F24">
        <w:rPr>
          <w:rFonts w:cs="Arial"/>
          <w:color w:val="000000"/>
          <w:szCs w:val="20"/>
        </w:rPr>
        <w:t xml:space="preserve"> </w:t>
      </w:r>
    </w:p>
    <w:p w14:paraId="6525BC18" w14:textId="71FB3A50" w:rsidR="00E520AD" w:rsidRPr="009444D9" w:rsidRDefault="00D966E4" w:rsidP="00317FE4">
      <w:pPr>
        <w:pStyle w:val="Heading3"/>
      </w:pPr>
      <w:bookmarkStart w:id="77" w:name="_Toc155686007"/>
      <w:r w:rsidRPr="009444D9">
        <w:t xml:space="preserve">Consultation on </w:t>
      </w:r>
      <w:r w:rsidR="00A05A0C">
        <w:t>d</w:t>
      </w:r>
      <w:r w:rsidRPr="00A05A0C">
        <w:t>raft Sta</w:t>
      </w:r>
      <w:r w:rsidRPr="009444D9">
        <w:t>ndard</w:t>
      </w:r>
      <w:bookmarkEnd w:id="77"/>
    </w:p>
    <w:p w14:paraId="67D1BD7A" w14:textId="09FCFFCD" w:rsidR="000936D1" w:rsidRDefault="007B0E32" w:rsidP="00653C4C">
      <w:pPr>
        <w:pStyle w:val="Paragraph"/>
      </w:pPr>
      <w:r>
        <w:t xml:space="preserve">Full public consultation </w:t>
      </w:r>
      <w:r w:rsidR="005D421A">
        <w:t xml:space="preserve">on a draft industry </w:t>
      </w:r>
      <w:r w:rsidR="0026174A">
        <w:t>S</w:t>
      </w:r>
      <w:r w:rsidR="005D421A">
        <w:t>tandard</w:t>
      </w:r>
      <w:r w:rsidR="00A26B6E">
        <w:rPr>
          <w:rStyle w:val="FootnoteReference"/>
        </w:rPr>
        <w:footnoteReference w:id="59"/>
      </w:r>
      <w:r w:rsidR="005D421A">
        <w:t xml:space="preserve"> was conducted from </w:t>
      </w:r>
      <w:r w:rsidR="000936D1">
        <w:t xml:space="preserve">24 October 2023 to 24 November 2023. </w:t>
      </w:r>
    </w:p>
    <w:p w14:paraId="7C3CBA4C" w14:textId="5BEE374E" w:rsidR="007B0E32" w:rsidRDefault="000936D1" w:rsidP="00653C4C">
      <w:pPr>
        <w:pStyle w:val="Paragraph"/>
      </w:pPr>
      <w:r>
        <w:t xml:space="preserve">This </w:t>
      </w:r>
      <w:r w:rsidR="00582A63">
        <w:t xml:space="preserve">process </w:t>
      </w:r>
      <w:r w:rsidR="00A71608">
        <w:t xml:space="preserve">included </w:t>
      </w:r>
      <w:r w:rsidR="00530EC2" w:rsidRPr="001D5C79">
        <w:t>targeted consultation with key members of industry, government and consumer groups</w:t>
      </w:r>
      <w:r w:rsidR="00946B0F">
        <w:t xml:space="preserve">, ensuring a </w:t>
      </w:r>
      <w:r w:rsidR="00530EC2">
        <w:t>wide</w:t>
      </w:r>
      <w:r w:rsidR="00530EC2" w:rsidRPr="001D492D">
        <w:t xml:space="preserve"> opportunity for affected stakeholders to give input</w:t>
      </w:r>
      <w:r w:rsidR="00530EC2" w:rsidRPr="001D5C79">
        <w:t>.</w:t>
      </w:r>
      <w:r w:rsidR="00530EC2">
        <w:t xml:space="preserve"> We</w:t>
      </w:r>
      <w:r w:rsidR="00530EC2" w:rsidRPr="00AB273E">
        <w:t xml:space="preserve"> informed key stakeholders of the publication of the documents and invited comment on the draft </w:t>
      </w:r>
      <w:r w:rsidR="002024D3">
        <w:t>S</w:t>
      </w:r>
      <w:r w:rsidR="00530EC2" w:rsidRPr="00AB273E">
        <w:t>tandard and on the issues set out in the consultation paper.</w:t>
      </w:r>
    </w:p>
    <w:p w14:paraId="28317EAB" w14:textId="1390C721" w:rsidR="003C7C98" w:rsidRDefault="003C7C98" w:rsidP="00653C4C">
      <w:pPr>
        <w:pStyle w:val="Paragraphbeforelist"/>
      </w:pPr>
      <w:r>
        <w:t xml:space="preserve">The ACMA </w:t>
      </w:r>
      <w:r w:rsidR="008D7201">
        <w:t>complied</w:t>
      </w:r>
      <w:r>
        <w:t xml:space="preserve"> with statutory</w:t>
      </w:r>
      <w:r>
        <w:rPr>
          <w:i/>
          <w:iCs/>
        </w:rPr>
        <w:t xml:space="preserve"> </w:t>
      </w:r>
      <w:r w:rsidRPr="00B05EBA">
        <w:t xml:space="preserve">consultation obligations </w:t>
      </w:r>
      <w:r w:rsidR="008D7201">
        <w:t>outlined</w:t>
      </w:r>
      <w:r w:rsidRPr="00EA291D">
        <w:t xml:space="preserve"> in subsection 125AA(3) and sections 132, 133, 134, and 135 of the Act </w:t>
      </w:r>
      <w:r>
        <w:t>through:</w:t>
      </w:r>
    </w:p>
    <w:p w14:paraId="0DD53D1E" w14:textId="21A21DD6" w:rsidR="003C7C98" w:rsidRPr="006B39C0" w:rsidRDefault="003C7C98" w:rsidP="00A05A0C">
      <w:pPr>
        <w:pStyle w:val="Bulletlevel1"/>
        <w:numPr>
          <w:ilvl w:val="0"/>
          <w:numId w:val="18"/>
        </w:numPr>
      </w:pPr>
      <w:r w:rsidRPr="006B39C0">
        <w:t>a public notice</w:t>
      </w:r>
      <w:r>
        <w:t xml:space="preserve"> published</w:t>
      </w:r>
      <w:r w:rsidRPr="006B39C0">
        <w:t xml:space="preserve"> in </w:t>
      </w:r>
      <w:r w:rsidR="00687963" w:rsidRPr="00687963">
        <w:t>the Australian newspaper</w:t>
      </w:r>
      <w:r w:rsidR="00687963">
        <w:rPr>
          <w:i/>
          <w:iCs/>
        </w:rPr>
        <w:t xml:space="preserve"> </w:t>
      </w:r>
      <w:r>
        <w:t>on 7 October 2023</w:t>
      </w:r>
      <w:r w:rsidR="00277200">
        <w:t xml:space="preserve"> </w:t>
      </w:r>
      <w:r w:rsidR="00653C4C">
        <w:t>(</w:t>
      </w:r>
      <w:r w:rsidRPr="006B39C0">
        <w:t>a newspaper</w:t>
      </w:r>
      <w:r>
        <w:t xml:space="preserve"> that</w:t>
      </w:r>
      <w:r w:rsidRPr="006B39C0">
        <w:t xml:space="preserve"> </w:t>
      </w:r>
      <w:r>
        <w:t>circulates</w:t>
      </w:r>
      <w:r w:rsidRPr="006B39C0">
        <w:t xml:space="preserve"> in each </w:t>
      </w:r>
      <w:r>
        <w:t>s</w:t>
      </w:r>
      <w:r w:rsidRPr="006B39C0">
        <w:t xml:space="preserve">tate and </w:t>
      </w:r>
      <w:r>
        <w:t>t</w:t>
      </w:r>
      <w:r w:rsidRPr="006B39C0">
        <w:t>erritory</w:t>
      </w:r>
      <w:r w:rsidR="00653C4C">
        <w:t>)</w:t>
      </w:r>
    </w:p>
    <w:p w14:paraId="489656F4" w14:textId="7EF21498" w:rsidR="003C7C98" w:rsidRPr="006B39C0" w:rsidRDefault="003C7C98" w:rsidP="00A05A0C">
      <w:pPr>
        <w:pStyle w:val="Bulletlevel1"/>
        <w:numPr>
          <w:ilvl w:val="0"/>
          <w:numId w:val="18"/>
        </w:numPr>
      </w:pPr>
      <w:r>
        <w:t>public consultation</w:t>
      </w:r>
      <w:r w:rsidRPr="006B39C0">
        <w:t xml:space="preserve"> for a </w:t>
      </w:r>
      <w:r>
        <w:t xml:space="preserve">period of </w:t>
      </w:r>
      <w:r w:rsidR="004C603D">
        <w:t>30</w:t>
      </w:r>
      <w:r>
        <w:t xml:space="preserve"> days</w:t>
      </w:r>
      <w:r>
        <w:rPr>
          <w:rStyle w:val="FootnoteReference"/>
        </w:rPr>
        <w:footnoteReference w:id="60"/>
      </w:r>
    </w:p>
    <w:p w14:paraId="1152952C" w14:textId="3145EE8D" w:rsidR="003C7C98" w:rsidRPr="00362059" w:rsidRDefault="003C7C98" w:rsidP="00A05A0C">
      <w:pPr>
        <w:pStyle w:val="Bulletlevel1last"/>
      </w:pPr>
      <w:r>
        <w:t>consultation</w:t>
      </w:r>
      <w:r w:rsidRPr="006B39C0">
        <w:t xml:space="preserve"> with the </w:t>
      </w:r>
      <w:r>
        <w:t>ACCC</w:t>
      </w:r>
      <w:r w:rsidRPr="006B39C0">
        <w:t xml:space="preserve">, the TIO, the </w:t>
      </w:r>
      <w:r>
        <w:t>Office of the Australian</w:t>
      </w:r>
      <w:r w:rsidRPr="006B39C0">
        <w:t xml:space="preserve"> Information Commissioner</w:t>
      </w:r>
      <w:r>
        <w:t xml:space="preserve"> (OAIC)</w:t>
      </w:r>
      <w:r w:rsidRPr="006B39C0">
        <w:t xml:space="preserve">, </w:t>
      </w:r>
      <w:r>
        <w:t>telecommunications industry bodies, Communications Alliance and consumer bodies</w:t>
      </w:r>
      <w:r w:rsidR="008E5F93">
        <w:t xml:space="preserve"> including </w:t>
      </w:r>
      <w:r>
        <w:t>ACCAN.</w:t>
      </w:r>
    </w:p>
    <w:p w14:paraId="01D81DFE" w14:textId="0B21C994" w:rsidR="009444D9" w:rsidRPr="009444D9" w:rsidRDefault="009444D9" w:rsidP="00317FE4">
      <w:pPr>
        <w:pStyle w:val="Heading3"/>
      </w:pPr>
      <w:bookmarkStart w:id="78" w:name="_Toc155686008"/>
      <w:r w:rsidRPr="009444D9">
        <w:t>Summary of stakeholder feedback</w:t>
      </w:r>
      <w:bookmarkEnd w:id="78"/>
    </w:p>
    <w:p w14:paraId="3F9547BA" w14:textId="0AFF83EC" w:rsidR="000345AE" w:rsidRDefault="009444D9" w:rsidP="00653C4C">
      <w:pPr>
        <w:pStyle w:val="Paragraphbeforelist"/>
      </w:pPr>
      <w:r>
        <w:t xml:space="preserve">The consultation </w:t>
      </w:r>
      <w:r w:rsidR="007F7F73">
        <w:t>invited</w:t>
      </w:r>
      <w:r w:rsidR="00A77032">
        <w:t xml:space="preserve"> comments on several key </w:t>
      </w:r>
      <w:r w:rsidR="006712DA">
        <w:t>issues</w:t>
      </w:r>
      <w:r w:rsidR="00094479">
        <w:t xml:space="preserve"> </w:t>
      </w:r>
      <w:r w:rsidR="00334726">
        <w:t>and</w:t>
      </w:r>
      <w:r w:rsidR="00094479">
        <w:t xml:space="preserve"> general </w:t>
      </w:r>
      <w:r w:rsidR="00070689">
        <w:t>feedback</w:t>
      </w:r>
      <w:r w:rsidR="00094479">
        <w:t>.</w:t>
      </w:r>
      <w:r w:rsidR="0001526E">
        <w:t xml:space="preserve"> </w:t>
      </w:r>
      <w:r w:rsidR="000345AE">
        <w:t xml:space="preserve">The ACMA </w:t>
      </w:r>
      <w:r w:rsidR="000345AE" w:rsidRPr="00FB6027">
        <w:t>received</w:t>
      </w:r>
      <w:r w:rsidR="00875CE8" w:rsidRPr="00FB6027">
        <w:t xml:space="preserve"> 14</w:t>
      </w:r>
      <w:r w:rsidR="000345AE" w:rsidRPr="00FB6027">
        <w:t xml:space="preserve"> submissions</w:t>
      </w:r>
      <w:r w:rsidR="000345AE">
        <w:t xml:space="preserve"> </w:t>
      </w:r>
      <w:r w:rsidR="00C73FF4">
        <w:t>from consumer and industry representatives</w:t>
      </w:r>
      <w:r w:rsidR="007C66B3">
        <w:t xml:space="preserve">, </w:t>
      </w:r>
      <w:r w:rsidR="0027522B">
        <w:t>government organisations</w:t>
      </w:r>
      <w:r w:rsidR="007C66B3">
        <w:t xml:space="preserve"> </w:t>
      </w:r>
      <w:r w:rsidR="00C57EBF">
        <w:t>a</w:t>
      </w:r>
      <w:r w:rsidR="007C66B3">
        <w:t xml:space="preserve">nd </w:t>
      </w:r>
      <w:r w:rsidR="001B07DA">
        <w:t>2</w:t>
      </w:r>
      <w:r w:rsidR="007C66B3">
        <w:t xml:space="preserve"> indi</w:t>
      </w:r>
      <w:r w:rsidR="00C57EBF">
        <w:t>viduals</w:t>
      </w:r>
      <w:r w:rsidR="00BD62FB">
        <w:t>.</w:t>
      </w:r>
      <w:r w:rsidR="0027522B">
        <w:t xml:space="preserve"> </w:t>
      </w:r>
      <w:r w:rsidR="0025512D">
        <w:t>Stakeholders included:</w:t>
      </w:r>
    </w:p>
    <w:p w14:paraId="0774BB9F" w14:textId="72B8BC0B" w:rsidR="00653C4C" w:rsidRDefault="00653C4C" w:rsidP="00DB7FB2">
      <w:pPr>
        <w:pStyle w:val="Bulletlevel1"/>
      </w:pPr>
      <w:r>
        <w:t>consumer groups:</w:t>
      </w:r>
    </w:p>
    <w:p w14:paraId="5858BA81" w14:textId="77777777" w:rsidR="00653C4C" w:rsidRDefault="00653C4C" w:rsidP="00DB7FB2">
      <w:pPr>
        <w:pStyle w:val="Bulletlevel2"/>
        <w:rPr>
          <w:rFonts w:eastAsiaTheme="minorHAnsi"/>
        </w:rPr>
      </w:pPr>
      <w:r>
        <w:rPr>
          <w:rFonts w:eastAsiaTheme="minorHAnsi"/>
        </w:rPr>
        <w:t>ACCAN</w:t>
      </w:r>
    </w:p>
    <w:p w14:paraId="5EF7D2E9" w14:textId="77777777" w:rsidR="00653C4C" w:rsidRDefault="00653C4C" w:rsidP="00DB7FB2">
      <w:pPr>
        <w:pStyle w:val="Bulletlevel2"/>
        <w:rPr>
          <w:rFonts w:eastAsiaTheme="minorHAnsi"/>
        </w:rPr>
      </w:pPr>
      <w:r>
        <w:rPr>
          <w:rFonts w:eastAsiaTheme="minorHAnsi"/>
        </w:rPr>
        <w:t>Uniting (Vic/Tas)</w:t>
      </w:r>
    </w:p>
    <w:p w14:paraId="51FAF617" w14:textId="016F447C" w:rsidR="00653C4C" w:rsidRDefault="00653C4C" w:rsidP="006F5309">
      <w:pPr>
        <w:pStyle w:val="Bulletlevel2"/>
        <w:rPr>
          <w:rFonts w:eastAsiaTheme="minorHAnsi"/>
        </w:rPr>
      </w:pPr>
      <w:r>
        <w:rPr>
          <w:rFonts w:eastAsiaTheme="minorHAnsi"/>
        </w:rPr>
        <w:t>South Australian Council of Social Service (SACOSS)</w:t>
      </w:r>
    </w:p>
    <w:p w14:paraId="24A2F508" w14:textId="3763318F" w:rsidR="00653C4C" w:rsidRDefault="00653C4C" w:rsidP="006F5309">
      <w:pPr>
        <w:pStyle w:val="Bulletlevel1"/>
      </w:pPr>
      <w:r>
        <w:t>industry:</w:t>
      </w:r>
    </w:p>
    <w:p w14:paraId="4E70E034" w14:textId="77777777" w:rsidR="00653C4C" w:rsidRDefault="00653C4C" w:rsidP="006F5309">
      <w:pPr>
        <w:pStyle w:val="Bulletlevel2"/>
        <w:rPr>
          <w:rFonts w:eastAsiaTheme="minorHAnsi"/>
        </w:rPr>
      </w:pPr>
      <w:r>
        <w:rPr>
          <w:rFonts w:eastAsiaTheme="minorHAnsi"/>
        </w:rPr>
        <w:t xml:space="preserve">TPG </w:t>
      </w:r>
    </w:p>
    <w:p w14:paraId="5B560135" w14:textId="77777777" w:rsidR="00653C4C" w:rsidRDefault="00653C4C" w:rsidP="006F5309">
      <w:pPr>
        <w:pStyle w:val="Bulletlevel2"/>
        <w:rPr>
          <w:rFonts w:eastAsiaTheme="minorHAnsi"/>
        </w:rPr>
      </w:pPr>
      <w:r>
        <w:rPr>
          <w:rFonts w:eastAsiaTheme="minorHAnsi"/>
        </w:rPr>
        <w:t xml:space="preserve">Telstra </w:t>
      </w:r>
    </w:p>
    <w:p w14:paraId="0D7931B0" w14:textId="77777777" w:rsidR="00653C4C" w:rsidRDefault="00653C4C" w:rsidP="006F5309">
      <w:pPr>
        <w:pStyle w:val="Bulletlevel2"/>
        <w:rPr>
          <w:rFonts w:eastAsiaTheme="minorHAnsi"/>
        </w:rPr>
      </w:pPr>
      <w:r>
        <w:rPr>
          <w:rFonts w:eastAsiaTheme="minorHAnsi"/>
        </w:rPr>
        <w:t>Optus</w:t>
      </w:r>
    </w:p>
    <w:p w14:paraId="7D73E1D5" w14:textId="77777777" w:rsidR="00653C4C" w:rsidRDefault="00653C4C" w:rsidP="006F5309">
      <w:pPr>
        <w:pStyle w:val="Bulletlevel2"/>
        <w:rPr>
          <w:rFonts w:eastAsiaTheme="minorHAnsi"/>
        </w:rPr>
      </w:pPr>
      <w:r>
        <w:rPr>
          <w:rFonts w:eastAsiaTheme="minorHAnsi"/>
        </w:rPr>
        <w:t>Communications Alliance</w:t>
      </w:r>
    </w:p>
    <w:p w14:paraId="61ABB1B9" w14:textId="77777777" w:rsidR="00653C4C" w:rsidRDefault="00653C4C" w:rsidP="006F5309">
      <w:pPr>
        <w:pStyle w:val="Bulletlevel2"/>
        <w:rPr>
          <w:rFonts w:eastAsiaTheme="minorHAnsi"/>
        </w:rPr>
      </w:pPr>
      <w:r>
        <w:rPr>
          <w:rFonts w:eastAsiaTheme="minorHAnsi"/>
        </w:rPr>
        <w:t>Starlink</w:t>
      </w:r>
    </w:p>
    <w:p w14:paraId="2436925A" w14:textId="547CF281" w:rsidR="00653C4C" w:rsidRDefault="00653C4C" w:rsidP="006F5309">
      <w:pPr>
        <w:pStyle w:val="Bulletlevel2"/>
        <w:rPr>
          <w:rFonts w:eastAsiaTheme="minorHAnsi"/>
        </w:rPr>
      </w:pPr>
      <w:r>
        <w:rPr>
          <w:rFonts w:eastAsiaTheme="minorHAnsi"/>
        </w:rPr>
        <w:t>Internet Association Australia (IAA)</w:t>
      </w:r>
    </w:p>
    <w:p w14:paraId="587024B1" w14:textId="0FA898B5" w:rsidR="00653C4C" w:rsidRDefault="00653C4C" w:rsidP="006F5309">
      <w:pPr>
        <w:pStyle w:val="Bulletlevel1"/>
      </w:pPr>
      <w:r>
        <w:t>government:</w:t>
      </w:r>
    </w:p>
    <w:p w14:paraId="47672F1C" w14:textId="77777777" w:rsidR="00653C4C" w:rsidRDefault="00653C4C" w:rsidP="006F5309">
      <w:pPr>
        <w:pStyle w:val="Bulletlevel2"/>
        <w:rPr>
          <w:rFonts w:eastAsiaTheme="minorHAnsi"/>
        </w:rPr>
      </w:pPr>
      <w:r>
        <w:rPr>
          <w:rFonts w:eastAsiaTheme="minorHAnsi"/>
        </w:rPr>
        <w:t>Office of the Australian Information Commissioner (OIAC)</w:t>
      </w:r>
    </w:p>
    <w:p w14:paraId="5C872681" w14:textId="77777777" w:rsidR="00653C4C" w:rsidRDefault="00653C4C" w:rsidP="006F5309">
      <w:pPr>
        <w:pStyle w:val="Bulletlevel2"/>
        <w:rPr>
          <w:rFonts w:eastAsiaTheme="minorHAnsi"/>
        </w:rPr>
      </w:pPr>
      <w:r>
        <w:rPr>
          <w:rFonts w:eastAsiaTheme="minorHAnsi"/>
        </w:rPr>
        <w:t>ACCC</w:t>
      </w:r>
    </w:p>
    <w:p w14:paraId="66FADB5E" w14:textId="0A2A0086" w:rsidR="00653C4C" w:rsidRDefault="00653C4C" w:rsidP="006F5309">
      <w:pPr>
        <w:pStyle w:val="Bulletlevel2"/>
      </w:pPr>
      <w:r>
        <w:rPr>
          <w:rFonts w:eastAsiaTheme="minorHAnsi"/>
        </w:rPr>
        <w:t>TIO.</w:t>
      </w:r>
    </w:p>
    <w:p w14:paraId="170AA18F" w14:textId="77777777" w:rsidR="00653C4C" w:rsidRDefault="00653C4C" w:rsidP="00653C4C">
      <w:pPr>
        <w:pStyle w:val="Paragraphbeforelist"/>
      </w:pPr>
    </w:p>
    <w:p w14:paraId="1A0DEE8A" w14:textId="77777777" w:rsidR="00070689" w:rsidRDefault="00070689" w:rsidP="00BB1BBC">
      <w:pPr>
        <w:spacing w:after="0"/>
        <w:rPr>
          <w:rFonts w:cs="Arial"/>
        </w:rPr>
      </w:pPr>
    </w:p>
    <w:p w14:paraId="33710D89" w14:textId="0D58374F" w:rsidR="00422836" w:rsidRDefault="00422836" w:rsidP="00653C4C">
      <w:pPr>
        <w:pStyle w:val="Paragraph"/>
      </w:pPr>
      <w:bookmarkStart w:id="79" w:name="_Hlk153878881"/>
      <w:r>
        <w:t>Generally, industry representatives consider the TCP Code to be adequate</w:t>
      </w:r>
      <w:r w:rsidR="00C1686B">
        <w:t xml:space="preserve"> and working well</w:t>
      </w:r>
      <w:r w:rsidR="00893439">
        <w:t>.</w:t>
      </w:r>
      <w:r w:rsidR="00C1686B">
        <w:t xml:space="preserve"> </w:t>
      </w:r>
      <w:r w:rsidR="00381113">
        <w:t>Some i</w:t>
      </w:r>
      <w:r w:rsidR="00C1686B">
        <w:t xml:space="preserve">ndustry representatives have also expressed concern there is insufficient evidence of a need for direct regulation and </w:t>
      </w:r>
      <w:r w:rsidR="00381113">
        <w:t xml:space="preserve">that </w:t>
      </w:r>
      <w:r w:rsidR="00C1686B">
        <w:t xml:space="preserve">referring to telecommunications services as ‘essential’ is problematic given it is not deemed to be essential by law. </w:t>
      </w:r>
      <w:r w:rsidR="00893439">
        <w:t>In general, industry considered the draft Standard overly prescriptive.</w:t>
      </w:r>
      <w:bookmarkEnd w:id="79"/>
      <w:r w:rsidR="00893439">
        <w:t xml:space="preserve"> </w:t>
      </w:r>
      <w:r>
        <w:t xml:space="preserve">In contrast, the TIO, the ACCC and consumer groups were supportive of direct regulation viewing the Standard as a significant improvement over the vague and inadequate protections in the TCP Code, but also identified areas where the draft </w:t>
      </w:r>
      <w:r w:rsidR="0026174A">
        <w:t>S</w:t>
      </w:r>
      <w:r>
        <w:t>tandard should be strengthened.</w:t>
      </w:r>
    </w:p>
    <w:p w14:paraId="072FE0AD" w14:textId="6D79960A" w:rsidR="00DB151B" w:rsidRDefault="00E213A1" w:rsidP="00317FE4">
      <w:pPr>
        <w:pStyle w:val="Paragraphbeforelist"/>
      </w:pPr>
      <w:r>
        <w:t xml:space="preserve">Key themes </w:t>
      </w:r>
      <w:r w:rsidR="003C290C">
        <w:t>from the submissions include:</w:t>
      </w:r>
    </w:p>
    <w:p w14:paraId="5C306ADF" w14:textId="58599A56" w:rsidR="0065753E" w:rsidRDefault="009B4BEF" w:rsidP="00653C4C">
      <w:pPr>
        <w:pStyle w:val="Bulletlevel1"/>
        <w:numPr>
          <w:ilvl w:val="0"/>
          <w:numId w:val="18"/>
        </w:numPr>
      </w:pPr>
      <w:r>
        <w:t>Implementation timeframe – industry members</w:t>
      </w:r>
      <w:r w:rsidR="00114727">
        <w:t xml:space="preserve"> </w:t>
      </w:r>
      <w:r w:rsidR="006B340B">
        <w:t>acknowledg</w:t>
      </w:r>
      <w:r w:rsidR="00A36657">
        <w:t>e</w:t>
      </w:r>
      <w:r w:rsidR="00393525">
        <w:t>d</w:t>
      </w:r>
      <w:r w:rsidR="00114727">
        <w:t xml:space="preserve"> </w:t>
      </w:r>
      <w:r w:rsidR="006B340B">
        <w:t>the Direction</w:t>
      </w:r>
      <w:r w:rsidR="008D4171">
        <w:t>’s</w:t>
      </w:r>
      <w:r w:rsidR="006B340B">
        <w:t xml:space="preserve"> </w:t>
      </w:r>
      <w:r w:rsidR="00114727">
        <w:t>require</w:t>
      </w:r>
      <w:r w:rsidR="008D4171">
        <w:t>ment for</w:t>
      </w:r>
      <w:r w:rsidR="00114727">
        <w:t xml:space="preserve"> </w:t>
      </w:r>
      <w:r w:rsidR="002014AE">
        <w:t>the Standard to take effect from 29 March</w:t>
      </w:r>
      <w:r w:rsidR="002520F3">
        <w:t xml:space="preserve"> </w:t>
      </w:r>
      <w:r w:rsidR="00D55192">
        <w:t>2024</w:t>
      </w:r>
      <w:r w:rsidR="00805989">
        <w:t xml:space="preserve">, </w:t>
      </w:r>
      <w:r w:rsidR="002014AE">
        <w:t xml:space="preserve">but </w:t>
      </w:r>
      <w:r w:rsidR="00FE1AF3">
        <w:t>note</w:t>
      </w:r>
      <w:r w:rsidR="008D4171">
        <w:t xml:space="preserve">d the challenges in meeting this deadline. They suggested </w:t>
      </w:r>
      <w:r w:rsidR="00FE1AF3">
        <w:t xml:space="preserve">an initial focus </w:t>
      </w:r>
      <w:r w:rsidR="0066364D">
        <w:t xml:space="preserve">on education rather than </w:t>
      </w:r>
      <w:r w:rsidR="009E7F27">
        <w:t xml:space="preserve">strict </w:t>
      </w:r>
      <w:r w:rsidR="0066364D">
        <w:t xml:space="preserve">compliance and enforcement. </w:t>
      </w:r>
      <w:r w:rsidR="002014AE">
        <w:t xml:space="preserve"> </w:t>
      </w:r>
    </w:p>
    <w:p w14:paraId="0E2CF38C" w14:textId="5AF3B667" w:rsidR="00C04853" w:rsidRDefault="00C04853" w:rsidP="00653C4C">
      <w:pPr>
        <w:pStyle w:val="Bulletlevel1"/>
        <w:numPr>
          <w:ilvl w:val="0"/>
          <w:numId w:val="18"/>
        </w:numPr>
      </w:pPr>
      <w:r>
        <w:t>Definition of Co</w:t>
      </w:r>
      <w:r w:rsidR="00D519B8">
        <w:t>n</w:t>
      </w:r>
      <w:r>
        <w:t>sumer</w:t>
      </w:r>
      <w:r w:rsidR="00D519B8">
        <w:t xml:space="preserve"> </w:t>
      </w:r>
      <w:r w:rsidR="00F83440">
        <w:t>–</w:t>
      </w:r>
      <w:r w:rsidR="00D519B8">
        <w:t xml:space="preserve"> </w:t>
      </w:r>
      <w:r w:rsidR="00F83440">
        <w:t xml:space="preserve">industry </w:t>
      </w:r>
      <w:r w:rsidR="00424E27">
        <w:t xml:space="preserve">members </w:t>
      </w:r>
      <w:r w:rsidR="00F83440">
        <w:t>argue</w:t>
      </w:r>
      <w:r w:rsidR="008D4171">
        <w:t>d</w:t>
      </w:r>
      <w:r w:rsidR="00F83440">
        <w:t xml:space="preserve"> </w:t>
      </w:r>
      <w:r w:rsidR="00207100">
        <w:t xml:space="preserve">that </w:t>
      </w:r>
      <w:r w:rsidR="003913EF">
        <w:t>the annual spend threshold</w:t>
      </w:r>
      <w:r w:rsidR="00207100">
        <w:t xml:space="preserve"> </w:t>
      </w:r>
      <w:r w:rsidR="005F4B67">
        <w:t xml:space="preserve">in the draft Standard </w:t>
      </w:r>
      <w:r w:rsidR="00207100">
        <w:t xml:space="preserve">would capture CSPs </w:t>
      </w:r>
      <w:r w:rsidR="00E763C3">
        <w:t>beyond resident</w:t>
      </w:r>
      <w:r w:rsidR="00055244">
        <w:t>ial</w:t>
      </w:r>
      <w:r w:rsidR="00E763C3">
        <w:t xml:space="preserve"> and small business cus</w:t>
      </w:r>
      <w:r w:rsidR="000A4A39">
        <w:t>tomers</w:t>
      </w:r>
      <w:r w:rsidR="00EB687F">
        <w:t xml:space="preserve">. They advocated for maintaining </w:t>
      </w:r>
      <w:r w:rsidR="009F1A67">
        <w:t xml:space="preserve">the </w:t>
      </w:r>
      <w:r w:rsidR="009F1A67" w:rsidRPr="009F1A67">
        <w:t xml:space="preserve">spend limit </w:t>
      </w:r>
      <w:r w:rsidR="009F1A67">
        <w:t>of</w:t>
      </w:r>
      <w:r w:rsidR="009F1A67" w:rsidRPr="009F1A67">
        <w:t xml:space="preserve"> $40K</w:t>
      </w:r>
      <w:r w:rsidR="009F1A67">
        <w:t xml:space="preserve"> </w:t>
      </w:r>
      <w:r w:rsidR="006358BC">
        <w:t xml:space="preserve">as outlined </w:t>
      </w:r>
      <w:r w:rsidR="009F1A67">
        <w:t>in</w:t>
      </w:r>
      <w:r w:rsidR="009F1A67" w:rsidRPr="009F1A67">
        <w:t xml:space="preserve"> </w:t>
      </w:r>
      <w:r w:rsidR="009F1A67">
        <w:t xml:space="preserve">the </w:t>
      </w:r>
      <w:r w:rsidR="009F1A67" w:rsidRPr="009F1A67">
        <w:t>TCP Code</w:t>
      </w:r>
      <w:r w:rsidR="00E4643D">
        <w:t xml:space="preserve"> and </w:t>
      </w:r>
      <w:r w:rsidR="00450275">
        <w:t xml:space="preserve">relevant industry standards and service provider determinations. </w:t>
      </w:r>
    </w:p>
    <w:p w14:paraId="5500B716" w14:textId="5EA99BA0" w:rsidR="00055244" w:rsidRDefault="00F1053D" w:rsidP="00653C4C">
      <w:pPr>
        <w:pStyle w:val="Bulletlevel1"/>
        <w:numPr>
          <w:ilvl w:val="0"/>
          <w:numId w:val="18"/>
        </w:numPr>
      </w:pPr>
      <w:r>
        <w:t xml:space="preserve">Definition of financial </w:t>
      </w:r>
      <w:r w:rsidR="007F0407">
        <w:t>hardship</w:t>
      </w:r>
      <w:r w:rsidR="000B0DB3">
        <w:t xml:space="preserve"> </w:t>
      </w:r>
      <w:r w:rsidR="00F81703">
        <w:t>–</w:t>
      </w:r>
      <w:r w:rsidR="007F0407">
        <w:t xml:space="preserve"> </w:t>
      </w:r>
      <w:r w:rsidR="00F81703">
        <w:t>some stakeholders</w:t>
      </w:r>
      <w:r w:rsidR="00FC7F4C">
        <w:t xml:space="preserve"> argue</w:t>
      </w:r>
      <w:r w:rsidR="00C64CF8">
        <w:t>d</w:t>
      </w:r>
      <w:r w:rsidR="00FC7F4C">
        <w:t xml:space="preserve"> </w:t>
      </w:r>
      <w:r w:rsidR="005B31E3">
        <w:t xml:space="preserve">the need </w:t>
      </w:r>
      <w:r w:rsidR="00222B17">
        <w:t>to</w:t>
      </w:r>
      <w:r w:rsidR="005B31E3">
        <w:t xml:space="preserve"> clari</w:t>
      </w:r>
      <w:r w:rsidR="00222B17">
        <w:t>fy</w:t>
      </w:r>
      <w:r w:rsidR="002018C0">
        <w:t xml:space="preserve"> that the list of </w:t>
      </w:r>
      <w:r w:rsidR="0062317C">
        <w:t xml:space="preserve">situations </w:t>
      </w:r>
      <w:r w:rsidR="00222B17">
        <w:t>constituting</w:t>
      </w:r>
      <w:r w:rsidR="00402220">
        <w:t xml:space="preserve"> financial difficulty </w:t>
      </w:r>
      <w:r w:rsidR="00FC7F4C">
        <w:t>is not exhaustive</w:t>
      </w:r>
      <w:r w:rsidR="00F7153A">
        <w:t xml:space="preserve">, while others </w:t>
      </w:r>
      <w:r w:rsidR="00F765C1">
        <w:t xml:space="preserve">sought a broader definition with </w:t>
      </w:r>
      <w:r w:rsidR="00D70EB6">
        <w:t>fewer</w:t>
      </w:r>
      <w:r w:rsidR="00F765C1">
        <w:t xml:space="preserve"> </w:t>
      </w:r>
      <w:r w:rsidR="003B7A53">
        <w:t xml:space="preserve">or no examples. </w:t>
      </w:r>
      <w:r w:rsidR="009E08FF">
        <w:t xml:space="preserve">Industry expressed concern </w:t>
      </w:r>
      <w:r w:rsidR="00D11C66">
        <w:t xml:space="preserve">about </w:t>
      </w:r>
      <w:r w:rsidR="007A3355">
        <w:t xml:space="preserve">the </w:t>
      </w:r>
      <w:r w:rsidR="002F4EE0">
        <w:t>phrase</w:t>
      </w:r>
      <w:r w:rsidR="001703A9">
        <w:t xml:space="preserve"> ‘customer</w:t>
      </w:r>
      <w:r w:rsidR="007A3355">
        <w:t>s</w:t>
      </w:r>
      <w:r w:rsidR="001703A9">
        <w:t xml:space="preserve"> belie</w:t>
      </w:r>
      <w:r w:rsidR="002F4EE0">
        <w:t>ves they can pay</w:t>
      </w:r>
      <w:r w:rsidR="001703A9">
        <w:t xml:space="preserve">’ </w:t>
      </w:r>
      <w:r w:rsidR="00513D9A">
        <w:t>as</w:t>
      </w:r>
      <w:r w:rsidR="007C72A1">
        <w:t xml:space="preserve"> it is subjective and not measurable</w:t>
      </w:r>
      <w:r w:rsidR="002F4EE0">
        <w:t xml:space="preserve">, while </w:t>
      </w:r>
      <w:r w:rsidR="00E46100">
        <w:t>other stakeholders consider it could disincentivise CSPs from offering affordable plans</w:t>
      </w:r>
      <w:r w:rsidR="00513D9A">
        <w:t>.</w:t>
      </w:r>
    </w:p>
    <w:p w14:paraId="789B1FD2" w14:textId="1B4CAA25" w:rsidR="007037DF" w:rsidRDefault="00A20220" w:rsidP="00653C4C">
      <w:pPr>
        <w:pStyle w:val="Bulletlevel1"/>
        <w:numPr>
          <w:ilvl w:val="0"/>
          <w:numId w:val="18"/>
        </w:numPr>
      </w:pPr>
      <w:r>
        <w:t>Use of terminol</w:t>
      </w:r>
      <w:r w:rsidR="00467D71">
        <w:t>o</w:t>
      </w:r>
      <w:r>
        <w:t>gy</w:t>
      </w:r>
      <w:r w:rsidR="000B190C">
        <w:t xml:space="preserve"> </w:t>
      </w:r>
      <w:r w:rsidR="007037DF">
        <w:t xml:space="preserve">– </w:t>
      </w:r>
      <w:r w:rsidR="00DD7115">
        <w:t>many</w:t>
      </w:r>
      <w:r w:rsidR="008C141A">
        <w:t xml:space="preserve"> </w:t>
      </w:r>
      <w:r w:rsidR="00CC77E0">
        <w:t xml:space="preserve">stakeholders expressed concern </w:t>
      </w:r>
      <w:r w:rsidR="007037DF">
        <w:t>that t</w:t>
      </w:r>
      <w:r w:rsidR="007037DF" w:rsidRPr="00E3452D">
        <w:t xml:space="preserve">he term 'financial hardship' </w:t>
      </w:r>
      <w:r w:rsidR="00CC77E0">
        <w:t>could be stigmatising</w:t>
      </w:r>
      <w:r w:rsidR="006953FA">
        <w:t>, potentially deterring customers from seeking assistance</w:t>
      </w:r>
      <w:r w:rsidR="00DD1C54">
        <w:t xml:space="preserve">, and suggested less alienating </w:t>
      </w:r>
      <w:r w:rsidR="00D84324">
        <w:t>language</w:t>
      </w:r>
      <w:r w:rsidR="009673C5" w:rsidRPr="00E3452D">
        <w:t>.</w:t>
      </w:r>
      <w:r w:rsidR="009673C5">
        <w:t xml:space="preserve"> </w:t>
      </w:r>
      <w:r w:rsidR="008142C2">
        <w:t xml:space="preserve">Industry members </w:t>
      </w:r>
      <w:r w:rsidR="005426D4">
        <w:t>expressed concern</w:t>
      </w:r>
      <w:r w:rsidR="00995A7D">
        <w:t xml:space="preserve"> that </w:t>
      </w:r>
      <w:r w:rsidR="004352FF">
        <w:t>financial hardship assistance</w:t>
      </w:r>
      <w:r w:rsidR="00995A7D">
        <w:t xml:space="preserve"> </w:t>
      </w:r>
      <w:r w:rsidR="00D250FB">
        <w:t>should</w:t>
      </w:r>
      <w:r w:rsidR="00502A74">
        <w:t xml:space="preserve"> </w:t>
      </w:r>
      <w:r w:rsidR="004352FF">
        <w:t>only be provided to cover essential elements</w:t>
      </w:r>
      <w:r w:rsidR="00502A74">
        <w:t xml:space="preserve"> of telecommunications </w:t>
      </w:r>
      <w:r w:rsidR="004352FF">
        <w:t>services. Industry noted there was no common consistent legislative definition across state and commonwealth jurisdictions which includes</w:t>
      </w:r>
      <w:r w:rsidR="00A75297">
        <w:t xml:space="preserve"> </w:t>
      </w:r>
      <w:r w:rsidR="00492DEE">
        <w:t xml:space="preserve">telecommunications </w:t>
      </w:r>
      <w:r w:rsidR="004352FF">
        <w:t>as</w:t>
      </w:r>
      <w:r w:rsidR="00492DEE">
        <w:t xml:space="preserve"> an essential service</w:t>
      </w:r>
      <w:r w:rsidR="004352FF">
        <w:t>.</w:t>
      </w:r>
    </w:p>
    <w:p w14:paraId="367186AA" w14:textId="257A72E8" w:rsidR="003E494D" w:rsidRDefault="00093721" w:rsidP="00653C4C">
      <w:pPr>
        <w:pStyle w:val="Bulletlevel1"/>
        <w:numPr>
          <w:ilvl w:val="0"/>
          <w:numId w:val="18"/>
        </w:numPr>
      </w:pPr>
      <w:r>
        <w:t xml:space="preserve">Use of applications forms </w:t>
      </w:r>
      <w:r w:rsidR="004732BF">
        <w:t>–</w:t>
      </w:r>
      <w:r>
        <w:t xml:space="preserve"> </w:t>
      </w:r>
      <w:r w:rsidR="00F2059E">
        <w:t>i</w:t>
      </w:r>
      <w:r w:rsidR="004732BF">
        <w:t xml:space="preserve">ndustry members raised concerns with mandating an application form, noting not all </w:t>
      </w:r>
      <w:r w:rsidR="001F5D3C">
        <w:t>C</w:t>
      </w:r>
      <w:r w:rsidR="004F2406">
        <w:t xml:space="preserve">SPs require a customer to fill out an application form and not all </w:t>
      </w:r>
      <w:r w:rsidR="004732BF">
        <w:t>channels were suitable</w:t>
      </w:r>
      <w:r w:rsidR="00FB6027">
        <w:t>.</w:t>
      </w:r>
      <w:r w:rsidR="004732BF">
        <w:t xml:space="preserve"> </w:t>
      </w:r>
      <w:r w:rsidR="00CC1684">
        <w:t xml:space="preserve">They expressed that it could </w:t>
      </w:r>
      <w:r w:rsidR="00FC773D">
        <w:t xml:space="preserve">be a burden for consumers </w:t>
      </w:r>
      <w:r w:rsidR="007E21C9">
        <w:t>and added unnecessary financial and administrative burden on CSPs.</w:t>
      </w:r>
    </w:p>
    <w:p w14:paraId="182327E1" w14:textId="0E7BCD54" w:rsidR="00C26FC3" w:rsidRDefault="00C26FC3" w:rsidP="00653C4C">
      <w:pPr>
        <w:pStyle w:val="Bulletlevel1"/>
        <w:numPr>
          <w:ilvl w:val="0"/>
          <w:numId w:val="18"/>
        </w:numPr>
      </w:pPr>
      <w:r>
        <w:t xml:space="preserve">Options for </w:t>
      </w:r>
      <w:r w:rsidR="008C141A">
        <w:t>payment</w:t>
      </w:r>
      <w:r w:rsidR="00782D52">
        <w:t>/</w:t>
      </w:r>
      <w:r w:rsidR="00982498">
        <w:t>assistance</w:t>
      </w:r>
      <w:r w:rsidR="00E270DA">
        <w:t xml:space="preserve"> </w:t>
      </w:r>
      <w:r w:rsidR="00BB1BBC">
        <w:t>–</w:t>
      </w:r>
      <w:r>
        <w:t xml:space="preserve"> </w:t>
      </w:r>
      <w:r w:rsidR="007342FB">
        <w:t xml:space="preserve">feedback from </w:t>
      </w:r>
      <w:r>
        <w:t>industry</w:t>
      </w:r>
      <w:r w:rsidR="00BB1BBC">
        <w:t xml:space="preserve"> </w:t>
      </w:r>
      <w:r w:rsidR="007342FB">
        <w:t>indicated that</w:t>
      </w:r>
      <w:r>
        <w:t xml:space="preserve"> </w:t>
      </w:r>
      <w:r w:rsidR="007342FB">
        <w:t>greater clarity</w:t>
      </w:r>
      <w:r w:rsidR="00B70116">
        <w:t xml:space="preserve"> </w:t>
      </w:r>
      <w:r>
        <w:t xml:space="preserve">was </w:t>
      </w:r>
      <w:r w:rsidR="00F2059E">
        <w:t xml:space="preserve">needed </w:t>
      </w:r>
      <w:r w:rsidR="00C01F07">
        <w:t>around the application of payment assistance including</w:t>
      </w:r>
      <w:r w:rsidR="001917AD">
        <w:t xml:space="preserve"> that the options </w:t>
      </w:r>
      <w:r w:rsidR="007342FB">
        <w:t>listed</w:t>
      </w:r>
      <w:r w:rsidR="001917AD">
        <w:t xml:space="preserve"> </w:t>
      </w:r>
      <w:r w:rsidR="00F2059E">
        <w:t>were</w:t>
      </w:r>
      <w:r w:rsidR="001917AD">
        <w:t xml:space="preserve"> non-exclusive</w:t>
      </w:r>
      <w:r w:rsidR="002723A8">
        <w:t>.</w:t>
      </w:r>
    </w:p>
    <w:p w14:paraId="3B86D600" w14:textId="0F43A6CC" w:rsidR="00755FC2" w:rsidRDefault="008E28E7" w:rsidP="00653C4C">
      <w:pPr>
        <w:pStyle w:val="Bulletlevel1last"/>
      </w:pPr>
      <w:r>
        <w:t xml:space="preserve">Transitional arrangements - industry had concerns </w:t>
      </w:r>
      <w:r w:rsidR="00E022DD">
        <w:t xml:space="preserve">the transitional arrangement </w:t>
      </w:r>
      <w:r w:rsidR="005D0DE4">
        <w:t>provisions were overly burdensome</w:t>
      </w:r>
      <w:r w:rsidR="002723A8">
        <w:t>.</w:t>
      </w:r>
    </w:p>
    <w:p w14:paraId="59A6F55C" w14:textId="7C21FD32" w:rsidR="00E91953" w:rsidRDefault="001B1242" w:rsidP="00535BAB">
      <w:pPr>
        <w:pStyle w:val="Paragraph"/>
      </w:pPr>
      <w:r w:rsidRPr="003E7C71">
        <w:t>These issues</w:t>
      </w:r>
      <w:r w:rsidR="00147DFB">
        <w:t xml:space="preserve">, along with editorial feedback from all submissions, have </w:t>
      </w:r>
      <w:r w:rsidRPr="003E7C71">
        <w:t>been considere</w:t>
      </w:r>
      <w:r w:rsidR="00CB7D48">
        <w:t>d</w:t>
      </w:r>
      <w:r w:rsidR="002723A8">
        <w:t xml:space="preserve"> in shaping the approach </w:t>
      </w:r>
      <w:r w:rsidR="002A36BF">
        <w:t>to finalis</w:t>
      </w:r>
      <w:r w:rsidR="00F40B53">
        <w:t>e</w:t>
      </w:r>
      <w:r w:rsidR="002A36BF">
        <w:t xml:space="preserve"> the Standard.</w:t>
      </w:r>
    </w:p>
    <w:p w14:paraId="61D09CB1" w14:textId="4D5476D4" w:rsidR="003B1EC5" w:rsidRPr="008501ED" w:rsidRDefault="003B1EC5" w:rsidP="003B1EC5">
      <w:pPr>
        <w:pStyle w:val="Heading1"/>
        <w:rPr>
          <w:color w:val="auto"/>
        </w:rPr>
      </w:pPr>
      <w:bookmarkStart w:id="80" w:name="_Toc155686009"/>
      <w:r w:rsidRPr="00BF41CE">
        <w:lastRenderedPageBreak/>
        <w:t xml:space="preserve">What is the best option from </w:t>
      </w:r>
      <w:r w:rsidRPr="008501ED">
        <w:rPr>
          <w:color w:val="auto"/>
        </w:rPr>
        <w:t>those considered</w:t>
      </w:r>
      <w:r w:rsidR="00D42327">
        <w:rPr>
          <w:color w:val="auto"/>
        </w:rPr>
        <w:t xml:space="preserve"> and how will it be implemented</w:t>
      </w:r>
      <w:r w:rsidRPr="008501ED">
        <w:rPr>
          <w:color w:val="auto"/>
        </w:rPr>
        <w:t>?</w:t>
      </w:r>
      <w:bookmarkEnd w:id="80"/>
    </w:p>
    <w:p w14:paraId="155560A4" w14:textId="1E319BEE" w:rsidR="00F144D7" w:rsidRPr="00B67591" w:rsidRDefault="00DE0CA7" w:rsidP="003B1EC5">
      <w:pPr>
        <w:pStyle w:val="Paragraph"/>
        <w:rPr>
          <w:szCs w:val="20"/>
        </w:rPr>
      </w:pPr>
      <w:r>
        <w:t>Option 2B –</w:t>
      </w:r>
      <w:r w:rsidR="006F4206">
        <w:t xml:space="preserve"> </w:t>
      </w:r>
      <w:r w:rsidR="00EE08FB">
        <w:t xml:space="preserve">outcomes-based </w:t>
      </w:r>
      <w:r w:rsidR="008409FC">
        <w:t>(</w:t>
      </w:r>
      <w:r w:rsidR="00EE08FB">
        <w:t>enforce</w:t>
      </w:r>
      <w:r w:rsidR="008409FC">
        <w:t>able)</w:t>
      </w:r>
      <w:r w:rsidR="00EE08FB">
        <w:t xml:space="preserve"> </w:t>
      </w:r>
      <w:r w:rsidR="006F4206" w:rsidRPr="00FB6027">
        <w:t xml:space="preserve">- </w:t>
      </w:r>
      <w:r w:rsidRPr="00FB6027">
        <w:t>is the best option</w:t>
      </w:r>
      <w:r w:rsidR="008C7985" w:rsidRPr="00FB6027">
        <w:t xml:space="preserve"> </w:t>
      </w:r>
      <w:r w:rsidR="00EE6AFF" w:rsidRPr="00FB6027">
        <w:t>with</w:t>
      </w:r>
      <w:r w:rsidR="003B1EC5" w:rsidRPr="00FB6027">
        <w:t xml:space="preserve"> the highest net benefit of </w:t>
      </w:r>
      <w:r w:rsidR="00EE6AFF" w:rsidRPr="00FB6027">
        <w:t xml:space="preserve">the </w:t>
      </w:r>
      <w:r w:rsidR="003B1EC5" w:rsidRPr="00FB6027">
        <w:t>options considered</w:t>
      </w:r>
      <w:r w:rsidR="001C4D02" w:rsidRPr="00FB6027">
        <w:t xml:space="preserve"> and more closely aligns with the Direction</w:t>
      </w:r>
      <w:r w:rsidR="003B1EC5" w:rsidRPr="00FB6027">
        <w:t>.</w:t>
      </w:r>
      <w:r w:rsidR="002A7E9D" w:rsidRPr="00FB6027">
        <w:t xml:space="preserve"> </w:t>
      </w:r>
      <w:r w:rsidR="00EE6AFF" w:rsidRPr="00FB6027">
        <w:t>This option</w:t>
      </w:r>
      <w:r w:rsidR="002A7E9D" w:rsidRPr="00FB6027">
        <w:t xml:space="preserve"> most effectively </w:t>
      </w:r>
      <w:r w:rsidR="000C7885" w:rsidRPr="00FB6027">
        <w:t xml:space="preserve">and efficiently addresses identified deficiencies in the TCP Code </w:t>
      </w:r>
      <w:r w:rsidR="00F144D7" w:rsidRPr="00FB6027">
        <w:t>related</w:t>
      </w:r>
      <w:r w:rsidR="000C7885" w:rsidRPr="00FB6027">
        <w:t xml:space="preserve"> to financial hardship</w:t>
      </w:r>
      <w:r w:rsidR="005850F6">
        <w:t xml:space="preserve">. It </w:t>
      </w:r>
      <w:r w:rsidR="00F144D7">
        <w:t xml:space="preserve">ensures customers experiencing financial hardship receive adequate and appropriate support while </w:t>
      </w:r>
      <w:r w:rsidR="005850F6">
        <w:t>staying</w:t>
      </w:r>
      <w:r w:rsidR="00F144D7">
        <w:t xml:space="preserve"> connected to essential telecommunication services.</w:t>
      </w:r>
      <w:r w:rsidR="000C7885">
        <w:t xml:space="preserve"> </w:t>
      </w:r>
      <w:r w:rsidR="00BC276A" w:rsidRPr="00B67591">
        <w:rPr>
          <w:szCs w:val="20"/>
        </w:rPr>
        <w:t>The costs associated with implementing</w:t>
      </w:r>
      <w:r w:rsidR="00EE08FB">
        <w:rPr>
          <w:szCs w:val="20"/>
        </w:rPr>
        <w:t xml:space="preserve"> clearly</w:t>
      </w:r>
      <w:r w:rsidR="00BC276A" w:rsidRPr="00B67591">
        <w:rPr>
          <w:szCs w:val="20"/>
        </w:rPr>
        <w:t xml:space="preserve"> </w:t>
      </w:r>
      <w:r w:rsidR="00EE08FB">
        <w:rPr>
          <w:szCs w:val="20"/>
        </w:rPr>
        <w:t>enforceable</w:t>
      </w:r>
      <w:r w:rsidR="00EE08FB" w:rsidRPr="00B67591">
        <w:rPr>
          <w:szCs w:val="20"/>
        </w:rPr>
        <w:t xml:space="preserve"> </w:t>
      </w:r>
      <w:r w:rsidR="00BC276A" w:rsidRPr="00B67591">
        <w:rPr>
          <w:szCs w:val="20"/>
        </w:rPr>
        <w:t xml:space="preserve">obligations </w:t>
      </w:r>
      <w:r w:rsidR="008409FC">
        <w:rPr>
          <w:szCs w:val="20"/>
        </w:rPr>
        <w:t xml:space="preserve">in key areas </w:t>
      </w:r>
      <w:r w:rsidR="00BC276A" w:rsidRPr="00B67591">
        <w:rPr>
          <w:szCs w:val="20"/>
        </w:rPr>
        <w:t xml:space="preserve">are mitigated as </w:t>
      </w:r>
      <w:r w:rsidR="008409FC">
        <w:rPr>
          <w:szCs w:val="20"/>
        </w:rPr>
        <w:t>some</w:t>
      </w:r>
      <w:r w:rsidR="00BC276A" w:rsidRPr="00B67591">
        <w:rPr>
          <w:szCs w:val="20"/>
        </w:rPr>
        <w:t xml:space="preserve"> align with existing TCP Code provisions.</w:t>
      </w:r>
    </w:p>
    <w:p w14:paraId="6573809B" w14:textId="0D7D0A72" w:rsidR="003C5B86" w:rsidRPr="00CC0FD0" w:rsidRDefault="000E367A" w:rsidP="003B1EC5">
      <w:pPr>
        <w:pStyle w:val="Paragraph"/>
      </w:pPr>
      <w:r>
        <w:t xml:space="preserve">Directly enforceable </w:t>
      </w:r>
      <w:r w:rsidR="000E09FE">
        <w:t xml:space="preserve">and </w:t>
      </w:r>
      <w:r w:rsidR="00EE08FB">
        <w:t xml:space="preserve">clear </w:t>
      </w:r>
      <w:r w:rsidR="009A3927">
        <w:t xml:space="preserve">obligations </w:t>
      </w:r>
      <w:r w:rsidR="00E917D5">
        <w:t xml:space="preserve">have the potential </w:t>
      </w:r>
      <w:r w:rsidR="008D1588">
        <w:t xml:space="preserve">for </w:t>
      </w:r>
      <w:r w:rsidR="00A70970">
        <w:t>significant positive impacts</w:t>
      </w:r>
      <w:r w:rsidR="009445FB">
        <w:t xml:space="preserve">, including proper support for </w:t>
      </w:r>
      <w:r w:rsidR="000931F9">
        <w:t xml:space="preserve">customers </w:t>
      </w:r>
      <w:r w:rsidR="009445FB">
        <w:t>in</w:t>
      </w:r>
      <w:r w:rsidR="000931F9">
        <w:t xml:space="preserve"> financial hardship</w:t>
      </w:r>
      <w:r w:rsidR="00F50712">
        <w:t xml:space="preserve"> and</w:t>
      </w:r>
      <w:r w:rsidR="00037974">
        <w:t xml:space="preserve"> </w:t>
      </w:r>
      <w:r w:rsidR="00E62F67">
        <w:t>minimis</w:t>
      </w:r>
      <w:r w:rsidR="00037974">
        <w:t>ing</w:t>
      </w:r>
      <w:r w:rsidR="00E62F67">
        <w:t xml:space="preserve"> the risk of disconnection</w:t>
      </w:r>
      <w:r w:rsidR="00F50712">
        <w:t>, thus</w:t>
      </w:r>
      <w:r w:rsidR="00E62F67">
        <w:t xml:space="preserve"> </w:t>
      </w:r>
      <w:r w:rsidR="00CC0FD0">
        <w:t>enhanc</w:t>
      </w:r>
      <w:r w:rsidR="00F50712">
        <w:t>ing</w:t>
      </w:r>
      <w:r w:rsidR="00CC0FD0">
        <w:t xml:space="preserve"> consumer</w:t>
      </w:r>
      <w:r w:rsidR="00037974">
        <w:t xml:space="preserve"> </w:t>
      </w:r>
      <w:r w:rsidR="005F6E86">
        <w:t>confidence in the telecommunications industry.</w:t>
      </w:r>
      <w:r w:rsidR="00AE1EF6" w:rsidRPr="00AE1EF6">
        <w:rPr>
          <w:rStyle w:val="FootnoteReference"/>
        </w:rPr>
        <w:t xml:space="preserve"> </w:t>
      </w:r>
      <w:r w:rsidR="00CC0FD0">
        <w:rPr>
          <w:szCs w:val="20"/>
        </w:rPr>
        <w:t>C</w:t>
      </w:r>
      <w:r w:rsidR="0075049E" w:rsidRPr="00AC77DF">
        <w:rPr>
          <w:szCs w:val="20"/>
        </w:rPr>
        <w:t xml:space="preserve">lear and specific obligations </w:t>
      </w:r>
      <w:r w:rsidR="00CC0FD0">
        <w:rPr>
          <w:szCs w:val="20"/>
        </w:rPr>
        <w:t>establish</w:t>
      </w:r>
      <w:r w:rsidR="0075049E" w:rsidRPr="00AC77DF">
        <w:rPr>
          <w:szCs w:val="20"/>
        </w:rPr>
        <w:t xml:space="preserve"> a baseline level of support, </w:t>
      </w:r>
      <w:r w:rsidR="00191923">
        <w:rPr>
          <w:szCs w:val="20"/>
        </w:rPr>
        <w:t>promoting</w:t>
      </w:r>
      <w:r w:rsidR="0075049E" w:rsidRPr="00AC77DF">
        <w:rPr>
          <w:szCs w:val="20"/>
        </w:rPr>
        <w:t xml:space="preserve"> consistency and clarity in financial hardship policies.</w:t>
      </w:r>
    </w:p>
    <w:p w14:paraId="6A26AF59" w14:textId="155B227F" w:rsidR="00374137" w:rsidRPr="00C11D30" w:rsidRDefault="00374137" w:rsidP="00DA5BFA">
      <w:pPr>
        <w:pStyle w:val="Paragraph"/>
      </w:pPr>
      <w:r w:rsidRPr="00C11D30">
        <w:t>Increased awareness of financial hardship arrangements empowers consumers</w:t>
      </w:r>
      <w:r w:rsidR="00673ABC" w:rsidRPr="00C11D30">
        <w:t xml:space="preserve"> by</w:t>
      </w:r>
      <w:r w:rsidR="00A93269" w:rsidRPr="00C11D30">
        <w:t xml:space="preserve"> ensuring </w:t>
      </w:r>
      <w:r w:rsidR="003A679B" w:rsidRPr="00C11D30">
        <w:t>they</w:t>
      </w:r>
      <w:r w:rsidR="00A93269" w:rsidRPr="00AC77DF">
        <w:t xml:space="preserve"> are adequately informed about the availability of financial hardship</w:t>
      </w:r>
      <w:r w:rsidR="00724AD8">
        <w:t xml:space="preserve"> </w:t>
      </w:r>
      <w:r w:rsidR="00A93269">
        <w:t>support and how to access it</w:t>
      </w:r>
      <w:r w:rsidR="00702D16" w:rsidRPr="00DA5BFA">
        <w:t>.</w:t>
      </w:r>
      <w:r w:rsidR="00D75627" w:rsidRPr="00DA5BFA">
        <w:t xml:space="preserve"> </w:t>
      </w:r>
      <w:r w:rsidR="003A679B" w:rsidRPr="00C11D30">
        <w:t>This i</w:t>
      </w:r>
      <w:r w:rsidR="0069018C" w:rsidRPr="00C11D30">
        <w:t>ncreased awareness</w:t>
      </w:r>
      <w:r w:rsidR="00702D16" w:rsidRPr="00C11D30">
        <w:t xml:space="preserve"> can </w:t>
      </w:r>
      <w:r w:rsidR="0069018C" w:rsidRPr="00C11D30">
        <w:t xml:space="preserve">also </w:t>
      </w:r>
      <w:r w:rsidRPr="00C11D30">
        <w:t xml:space="preserve">improve customer relations for CSPs, </w:t>
      </w:r>
      <w:r w:rsidR="0069018C" w:rsidRPr="00C11D30">
        <w:t xml:space="preserve">potentially yielding </w:t>
      </w:r>
      <w:r w:rsidRPr="00C11D30">
        <w:t>reputational benefits.</w:t>
      </w:r>
    </w:p>
    <w:p w14:paraId="43C2E81D" w14:textId="0EE28FE3" w:rsidR="002E1F55" w:rsidRDefault="0096052A" w:rsidP="003B1EC5">
      <w:pPr>
        <w:pStyle w:val="Paragraph"/>
      </w:pPr>
      <w:r>
        <w:t xml:space="preserve">Cost impacts </w:t>
      </w:r>
      <w:r w:rsidR="00827E21">
        <w:t xml:space="preserve">on industry </w:t>
      </w:r>
      <w:r w:rsidR="00036102">
        <w:t xml:space="preserve">should </w:t>
      </w:r>
      <w:r w:rsidR="00B575B5">
        <w:t>only</w:t>
      </w:r>
      <w:r w:rsidR="00827E21">
        <w:t xml:space="preserve"> arise where </w:t>
      </w:r>
      <w:r w:rsidR="00B575B5">
        <w:t>the new rules differ from those already in the TCP Code</w:t>
      </w:r>
      <w:r w:rsidR="00195CE1">
        <w:t xml:space="preserve">, </w:t>
      </w:r>
      <w:r w:rsidR="00450BAD">
        <w:t xml:space="preserve">and </w:t>
      </w:r>
      <w:r w:rsidR="00A03229">
        <w:t xml:space="preserve">these costs </w:t>
      </w:r>
      <w:r w:rsidR="00195CE1">
        <w:t xml:space="preserve">are likely to be mitigated </w:t>
      </w:r>
      <w:r w:rsidR="00A20974">
        <w:t xml:space="preserve">by </w:t>
      </w:r>
      <w:r w:rsidR="003D274F">
        <w:t>existing</w:t>
      </w:r>
      <w:r w:rsidR="00A20974">
        <w:t xml:space="preserve"> arrangements </w:t>
      </w:r>
      <w:r w:rsidR="00DC3F8B">
        <w:t xml:space="preserve">some </w:t>
      </w:r>
      <w:r w:rsidR="00A20974">
        <w:t xml:space="preserve">CSPs already have in place </w:t>
      </w:r>
      <w:r w:rsidR="00855A7B">
        <w:t>for</w:t>
      </w:r>
      <w:r w:rsidR="00DC3F8B">
        <w:t xml:space="preserve"> assist</w:t>
      </w:r>
      <w:r w:rsidR="00855A7B">
        <w:t>ing</w:t>
      </w:r>
      <w:r w:rsidR="00DC3F8B">
        <w:t xml:space="preserve"> customer </w:t>
      </w:r>
      <w:r w:rsidR="003D274F">
        <w:t>in</w:t>
      </w:r>
      <w:r w:rsidR="00DC3F8B">
        <w:t xml:space="preserve"> financial difficult</w:t>
      </w:r>
      <w:r w:rsidR="003D274F">
        <w:t>y.</w:t>
      </w:r>
      <w:r w:rsidR="006A1D41">
        <w:t xml:space="preserve"> </w:t>
      </w:r>
    </w:p>
    <w:p w14:paraId="05034A02" w14:textId="0C164E0F" w:rsidR="0099350E" w:rsidRDefault="00EE08FB" w:rsidP="003B1EC5">
      <w:pPr>
        <w:pStyle w:val="Paragraph"/>
      </w:pPr>
      <w:r>
        <w:t>Clear and direct</w:t>
      </w:r>
      <w:r w:rsidR="00A5592F">
        <w:t>ly</w:t>
      </w:r>
      <w:r>
        <w:t xml:space="preserve"> </w:t>
      </w:r>
      <w:r w:rsidR="001552E1">
        <w:t xml:space="preserve">enforceable obligations </w:t>
      </w:r>
      <w:r w:rsidR="00A0098F">
        <w:t>incentivise compliance</w:t>
      </w:r>
      <w:r w:rsidR="00763018">
        <w:t xml:space="preserve">, potentially </w:t>
      </w:r>
      <w:r w:rsidR="00812DE2">
        <w:t>reducing</w:t>
      </w:r>
      <w:r w:rsidR="00763018">
        <w:t xml:space="preserve"> compla</w:t>
      </w:r>
      <w:r w:rsidR="00770D56">
        <w:t>i</w:t>
      </w:r>
      <w:r w:rsidR="00763018">
        <w:t>nts to the TIO, the ACMA and CSPs</w:t>
      </w:r>
      <w:r w:rsidR="00A0098F">
        <w:t xml:space="preserve"> </w:t>
      </w:r>
      <w:r w:rsidR="00770D56">
        <w:t xml:space="preserve">related to financial hardship and associated costs. </w:t>
      </w:r>
      <w:r w:rsidR="00FD7B8C">
        <w:t xml:space="preserve">They </w:t>
      </w:r>
      <w:r w:rsidR="00837EEE">
        <w:t>ensure consistent practices</w:t>
      </w:r>
      <w:r w:rsidR="00D04480">
        <w:t xml:space="preserve">, </w:t>
      </w:r>
      <w:r w:rsidR="003B1EC5">
        <w:t>enabl</w:t>
      </w:r>
      <w:r w:rsidR="00D04480">
        <w:t>ing</w:t>
      </w:r>
      <w:r w:rsidR="003B1EC5">
        <w:t xml:space="preserve"> the ACMA to monitor and enforce compliance</w:t>
      </w:r>
      <w:r w:rsidR="00AC4C65">
        <w:t xml:space="preserve"> more efficiently.</w:t>
      </w:r>
      <w:r w:rsidR="003B1EC5">
        <w:t xml:space="preserve"> </w:t>
      </w:r>
    </w:p>
    <w:p w14:paraId="092020A8" w14:textId="5257F175" w:rsidR="001B45A8" w:rsidRDefault="0029657E" w:rsidP="003B1EC5">
      <w:pPr>
        <w:pStyle w:val="Paragraph"/>
      </w:pPr>
      <w:r>
        <w:t>Consultation and engagement indicate</w:t>
      </w:r>
      <w:r w:rsidR="00D04480">
        <w:t xml:space="preserve"> </w:t>
      </w:r>
      <w:r w:rsidR="00CC351F">
        <w:t xml:space="preserve">strong </w:t>
      </w:r>
      <w:r w:rsidR="00D04480">
        <w:t xml:space="preserve">support for </w:t>
      </w:r>
      <w:r w:rsidR="00A5592F">
        <w:t>clear and</w:t>
      </w:r>
      <w:r w:rsidR="00BC6D2E">
        <w:t xml:space="preserve"> directly enforceable obligations </w:t>
      </w:r>
      <w:r w:rsidR="00D04480">
        <w:t>from</w:t>
      </w:r>
      <w:r w:rsidR="00BC6D2E">
        <w:t xml:space="preserve"> government and consumer groups. </w:t>
      </w:r>
      <w:r w:rsidR="00D57A00">
        <w:t xml:space="preserve">The </w:t>
      </w:r>
      <w:r w:rsidR="00D04480">
        <w:t xml:space="preserve">TCP Code’s </w:t>
      </w:r>
      <w:r w:rsidR="00D57A00">
        <w:t xml:space="preserve">financial hardship provisions </w:t>
      </w:r>
      <w:r w:rsidR="00CC5C34">
        <w:t xml:space="preserve">demonstrate </w:t>
      </w:r>
      <w:r w:rsidR="00D04480">
        <w:t xml:space="preserve">the </w:t>
      </w:r>
      <w:r w:rsidR="00CC5C34">
        <w:t xml:space="preserve">industry’s general support </w:t>
      </w:r>
      <w:r w:rsidR="00A750EE">
        <w:t xml:space="preserve">of enforceable obligations </w:t>
      </w:r>
      <w:r w:rsidR="00FC7453">
        <w:t>to assist customers experiencing financial hardship.</w:t>
      </w:r>
      <w:r w:rsidR="007666DF">
        <w:t xml:space="preserve"> </w:t>
      </w:r>
    </w:p>
    <w:p w14:paraId="1E4EF4EC" w14:textId="658C9AF2" w:rsidR="0040090D" w:rsidRDefault="0040090D" w:rsidP="0040090D">
      <w:pPr>
        <w:pStyle w:val="Paragraph"/>
      </w:pPr>
      <w:r>
        <w:t>Op</w:t>
      </w:r>
      <w:r w:rsidRPr="00A05A0C">
        <w:t xml:space="preserve">tion 2A </w:t>
      </w:r>
      <w:r w:rsidR="00A05A0C" w:rsidRPr="00A05A0C">
        <w:t>–</w:t>
      </w:r>
      <w:r w:rsidRPr="00A05A0C">
        <w:t xml:space="preserve"> Implemen</w:t>
      </w:r>
      <w:r>
        <w:t>ting the Direction in an outcomes-focussed manner</w:t>
      </w:r>
      <w:r w:rsidR="008409FC">
        <w:t xml:space="preserve"> with significant discretion in all areas</w:t>
      </w:r>
      <w:r>
        <w:t xml:space="preserve"> </w:t>
      </w:r>
      <w:r w:rsidR="00913227">
        <w:t>is</w:t>
      </w:r>
      <w:r w:rsidR="00A131EC">
        <w:t xml:space="preserve"> </w:t>
      </w:r>
      <w:r w:rsidR="006E3B91">
        <w:t xml:space="preserve">unlikely to adequately </w:t>
      </w:r>
      <w:r w:rsidR="00A131EC">
        <w:t xml:space="preserve">address identified </w:t>
      </w:r>
      <w:r w:rsidR="007E104A">
        <w:t>consumer protection</w:t>
      </w:r>
      <w:r w:rsidR="00A131EC">
        <w:t xml:space="preserve"> gaps in the </w:t>
      </w:r>
      <w:r w:rsidR="0047610A">
        <w:t>TCP Code</w:t>
      </w:r>
      <w:r w:rsidR="008409FC">
        <w:t>, nor would it align with the requirements of the direction</w:t>
      </w:r>
      <w:r w:rsidR="009371AC">
        <w:t>. W</w:t>
      </w:r>
      <w:r w:rsidR="0047610A">
        <w:t xml:space="preserve">hile </w:t>
      </w:r>
      <w:r w:rsidR="00125198">
        <w:t xml:space="preserve">an industry standard </w:t>
      </w:r>
      <w:r w:rsidR="00913227">
        <w:t xml:space="preserve">enhances </w:t>
      </w:r>
      <w:r w:rsidR="0047610A">
        <w:t>enforcement options</w:t>
      </w:r>
      <w:r w:rsidR="009371AC">
        <w:t xml:space="preserve">, outcomes focussed </w:t>
      </w:r>
      <w:r w:rsidR="003D5355">
        <w:t xml:space="preserve">regulation </w:t>
      </w:r>
      <w:r w:rsidR="00F31583">
        <w:t>may be challenging</w:t>
      </w:r>
      <w:r w:rsidR="003D5355">
        <w:t xml:space="preserve"> to enforce</w:t>
      </w:r>
      <w:r w:rsidR="00DA5BFA">
        <w:t xml:space="preserve"> and would unlikely offer any substantial improvement in consumer outcomes compared to the TCP Code. </w:t>
      </w:r>
    </w:p>
    <w:p w14:paraId="71DDCFA2" w14:textId="77777777" w:rsidR="00615965" w:rsidRPr="00615965" w:rsidRDefault="00615965" w:rsidP="0095656C">
      <w:pPr>
        <w:pStyle w:val="Heading2"/>
      </w:pPr>
      <w:bookmarkStart w:id="81" w:name="_Toc155686010"/>
      <w:r w:rsidRPr="00615965">
        <w:t>Status quo</w:t>
      </w:r>
      <w:bookmarkEnd w:id="81"/>
    </w:p>
    <w:p w14:paraId="5214B2EF" w14:textId="01D30903" w:rsidR="00481D97" w:rsidRPr="003C59EB" w:rsidRDefault="00FC0091" w:rsidP="003B1EC5">
      <w:pPr>
        <w:pStyle w:val="Paragraph"/>
      </w:pPr>
      <w:r w:rsidRPr="003C59EB">
        <w:t xml:space="preserve">Deferring to </w:t>
      </w:r>
      <w:r w:rsidR="005D7CF2" w:rsidRPr="003C59EB">
        <w:t xml:space="preserve">the TCP Code </w:t>
      </w:r>
      <w:r w:rsidR="00473C52" w:rsidRPr="003C59EB">
        <w:t xml:space="preserve">review </w:t>
      </w:r>
      <w:r w:rsidR="005D7CF2" w:rsidRPr="003C59EB">
        <w:t>process would result in</w:t>
      </w:r>
      <w:r w:rsidR="00F1769C" w:rsidRPr="003C59EB">
        <w:t xml:space="preserve"> significant </w:t>
      </w:r>
      <w:r w:rsidR="005D7CF2" w:rsidRPr="003C59EB">
        <w:t xml:space="preserve">longer time before improvements </w:t>
      </w:r>
      <w:r w:rsidR="00F31583" w:rsidRPr="003C59EB">
        <w:t>are</w:t>
      </w:r>
      <w:r w:rsidR="005D7CF2" w:rsidRPr="003C59EB">
        <w:t xml:space="preserve"> in place</w:t>
      </w:r>
      <w:r w:rsidR="00F1769C" w:rsidRPr="003C59EB">
        <w:t>, not address</w:t>
      </w:r>
      <w:r w:rsidR="00F31583" w:rsidRPr="003C59EB">
        <w:t>ing</w:t>
      </w:r>
      <w:r w:rsidR="00F1769C" w:rsidRPr="003C59EB">
        <w:t xml:space="preserve"> the urgency of the problem. </w:t>
      </w:r>
      <w:r w:rsidR="00F31583" w:rsidRPr="003C59EB">
        <w:t>P</w:t>
      </w:r>
      <w:r w:rsidR="0023755E" w:rsidRPr="003C59EB">
        <w:t>ast</w:t>
      </w:r>
      <w:r w:rsidR="00F711FE" w:rsidRPr="003C59EB">
        <w:t xml:space="preserve"> </w:t>
      </w:r>
      <w:r w:rsidR="0023755E" w:rsidRPr="003C59EB">
        <w:t>experience</w:t>
      </w:r>
      <w:r w:rsidR="00F31583" w:rsidRPr="003C59EB">
        <w:t xml:space="preserve"> indicates a</w:t>
      </w:r>
      <w:r w:rsidR="0023755E" w:rsidRPr="003C59EB">
        <w:t xml:space="preserve"> </w:t>
      </w:r>
      <w:r w:rsidR="005B2968" w:rsidRPr="003C59EB">
        <w:t xml:space="preserve">significant </w:t>
      </w:r>
      <w:r w:rsidR="0023755E" w:rsidRPr="003C59EB">
        <w:t xml:space="preserve">risk </w:t>
      </w:r>
      <w:r w:rsidR="00163B8D">
        <w:t>of</w:t>
      </w:r>
      <w:r w:rsidR="001E13CC" w:rsidRPr="003C59EB">
        <w:t xml:space="preserve"> protracted</w:t>
      </w:r>
      <w:r w:rsidR="0023755E" w:rsidRPr="003C59EB">
        <w:t xml:space="preserve"> </w:t>
      </w:r>
      <w:r w:rsidR="00481E51" w:rsidRPr="003C59EB">
        <w:t xml:space="preserve">negotiations </w:t>
      </w:r>
      <w:r w:rsidR="001E13CC" w:rsidRPr="003C59EB">
        <w:t xml:space="preserve">for a </w:t>
      </w:r>
      <w:r w:rsidR="00481E51" w:rsidRPr="003C59EB">
        <w:t>final updated code</w:t>
      </w:r>
      <w:r w:rsidR="00FB38DB" w:rsidRPr="003C59EB">
        <w:t xml:space="preserve">, </w:t>
      </w:r>
      <w:r w:rsidR="001E13CC" w:rsidRPr="003C59EB">
        <w:t>potentially prompting</w:t>
      </w:r>
      <w:r w:rsidR="00FB38DB" w:rsidRPr="003C59EB">
        <w:t xml:space="preserve"> the ACMA </w:t>
      </w:r>
      <w:r w:rsidR="00294149" w:rsidRPr="003C59EB">
        <w:t xml:space="preserve">to make a standard </w:t>
      </w:r>
      <w:r w:rsidR="005B2968" w:rsidRPr="003C59EB">
        <w:t>if</w:t>
      </w:r>
      <w:r w:rsidR="00C00335" w:rsidRPr="003C59EB">
        <w:t xml:space="preserve"> </w:t>
      </w:r>
      <w:r w:rsidR="0032125A" w:rsidRPr="003C59EB">
        <w:t>the</w:t>
      </w:r>
      <w:r w:rsidR="00C00335" w:rsidRPr="003C59EB">
        <w:t xml:space="preserve"> revised code </w:t>
      </w:r>
      <w:r w:rsidR="0032125A" w:rsidRPr="003C59EB">
        <w:t xml:space="preserve">lacks </w:t>
      </w:r>
      <w:r w:rsidR="00C00335" w:rsidRPr="003C59EB">
        <w:t>adequate consumer safeguards</w:t>
      </w:r>
      <w:r w:rsidR="00C87A8E" w:rsidRPr="003C59EB">
        <w:t>.</w:t>
      </w:r>
    </w:p>
    <w:p w14:paraId="32D2CF1B" w14:textId="77777777" w:rsidR="004559B4" w:rsidRPr="003C59EB" w:rsidRDefault="0032125A" w:rsidP="003B1EC5">
      <w:pPr>
        <w:pStyle w:val="Paragraph"/>
        <w:rPr>
          <w:szCs w:val="20"/>
        </w:rPr>
      </w:pPr>
      <w:r w:rsidRPr="003C59EB">
        <w:lastRenderedPageBreak/>
        <w:t xml:space="preserve">This option </w:t>
      </w:r>
      <w:r w:rsidR="00514D86" w:rsidRPr="003C59EB">
        <w:t>is unlikely to sufficiently</w:t>
      </w:r>
      <w:r w:rsidR="00261DED" w:rsidRPr="003C59EB">
        <w:t xml:space="preserve"> </w:t>
      </w:r>
      <w:r w:rsidR="00DA54E4" w:rsidRPr="003C59EB">
        <w:t xml:space="preserve">protect </w:t>
      </w:r>
      <w:r w:rsidR="004559B4" w:rsidRPr="003C59EB">
        <w:rPr>
          <w:szCs w:val="20"/>
        </w:rPr>
        <w:t>consumers, posing an unacceptable level of harm due to the lack of clear rules for obtaining help during financial difficulties and potential disconnection from essential</w:t>
      </w:r>
      <w:r w:rsidR="004559B4" w:rsidRPr="003C59EB">
        <w:rPr>
          <w:rFonts w:ascii="Segoe UI" w:hAnsi="Segoe UI" w:cs="Segoe UI"/>
          <w:sz w:val="24"/>
        </w:rPr>
        <w:t xml:space="preserve"> </w:t>
      </w:r>
      <w:r w:rsidR="004559B4" w:rsidRPr="003C59EB">
        <w:rPr>
          <w:szCs w:val="20"/>
        </w:rPr>
        <w:t>telecommunications services.</w:t>
      </w:r>
    </w:p>
    <w:p w14:paraId="6A9583D7" w14:textId="77777777" w:rsidR="00953583" w:rsidRDefault="00953583" w:rsidP="00953583">
      <w:pPr>
        <w:pStyle w:val="Heading2"/>
      </w:pPr>
      <w:bookmarkStart w:id="82" w:name="_Toc155686011"/>
      <w:r>
        <w:t>Implementation</w:t>
      </w:r>
      <w:bookmarkEnd w:id="82"/>
      <w:r>
        <w:t xml:space="preserve"> </w:t>
      </w:r>
    </w:p>
    <w:p w14:paraId="33EE41ED" w14:textId="6C452819" w:rsidR="00F81F82" w:rsidRPr="005B5303" w:rsidRDefault="00F81F82" w:rsidP="00F81F82">
      <w:pPr>
        <w:pStyle w:val="Paragraph"/>
        <w:rPr>
          <w:szCs w:val="20"/>
        </w:rPr>
      </w:pPr>
      <w:bookmarkStart w:id="83" w:name="_Hlk155333536"/>
      <w:r w:rsidRPr="005B5303">
        <w:rPr>
          <w:szCs w:val="20"/>
        </w:rPr>
        <w:t>The potential risks associated with implementation include industry opposition and the complexity of implementing effective regulations in a rapidly evolving technological landscape. The</w:t>
      </w:r>
      <w:r w:rsidR="000A5172" w:rsidRPr="005B5303">
        <w:rPr>
          <w:szCs w:val="20"/>
        </w:rPr>
        <w:t xml:space="preserve"> possibility</w:t>
      </w:r>
      <w:r w:rsidR="00CD0EC8" w:rsidRPr="005B5303">
        <w:rPr>
          <w:szCs w:val="20"/>
        </w:rPr>
        <w:t xml:space="preserve"> </w:t>
      </w:r>
      <w:r w:rsidRPr="005B5303">
        <w:rPr>
          <w:szCs w:val="20"/>
        </w:rPr>
        <w:t xml:space="preserve">of industry opposition exists, given concerns about additional regulatory burdens </w:t>
      </w:r>
      <w:r w:rsidR="00C50929" w:rsidRPr="005B5303">
        <w:rPr>
          <w:szCs w:val="20"/>
        </w:rPr>
        <w:t>and</w:t>
      </w:r>
      <w:r w:rsidRPr="005B5303">
        <w:rPr>
          <w:szCs w:val="20"/>
        </w:rPr>
        <w:t xml:space="preserve"> operational flexibility. The consequences could involve resistance to compliance, affecting the success of the Standard.</w:t>
      </w:r>
    </w:p>
    <w:p w14:paraId="64AA0CDB" w14:textId="64AB4D89" w:rsidR="00F81F82" w:rsidRPr="005B5303" w:rsidRDefault="00F81F82" w:rsidP="00953583">
      <w:pPr>
        <w:pStyle w:val="Paragraph"/>
        <w:rPr>
          <w:szCs w:val="20"/>
        </w:rPr>
      </w:pPr>
      <w:r w:rsidRPr="005B5303">
        <w:rPr>
          <w:szCs w:val="20"/>
        </w:rPr>
        <w:t>To mitigate industry opposition, the ACMA has, and will, employ a collaborative approach, engaging in regular and transparent communication to address concerns constructively. The outcomes-based design of the Standard accommodates industry changes, and continuous monitoring will allow for the Standard to be varied based on evaluations of effectiveness. Stakeholder engagement will remain pivotal, together with effective post-implementation enforcement and compliance monitoring.</w:t>
      </w:r>
    </w:p>
    <w:bookmarkEnd w:id="83"/>
    <w:p w14:paraId="04EFCFC3" w14:textId="08BF7C2E" w:rsidR="00953583" w:rsidRPr="003C59EB" w:rsidRDefault="00F81F82" w:rsidP="00953583">
      <w:pPr>
        <w:pStyle w:val="Paragraph"/>
        <w:rPr>
          <w:szCs w:val="20"/>
        </w:rPr>
      </w:pPr>
      <w:r>
        <w:rPr>
          <w:szCs w:val="20"/>
        </w:rPr>
        <w:t xml:space="preserve">It is </w:t>
      </w:r>
      <w:r w:rsidR="00081BCA">
        <w:rPr>
          <w:szCs w:val="20"/>
        </w:rPr>
        <w:t xml:space="preserve">relevant </w:t>
      </w:r>
      <w:r>
        <w:rPr>
          <w:szCs w:val="20"/>
        </w:rPr>
        <w:t>to note that m</w:t>
      </w:r>
      <w:r w:rsidR="00953583" w:rsidRPr="003C59EB">
        <w:rPr>
          <w:szCs w:val="20"/>
        </w:rPr>
        <w:t xml:space="preserve">ost </w:t>
      </w:r>
      <w:r w:rsidR="00ED2C8F" w:rsidRPr="003C59EB">
        <w:rPr>
          <w:szCs w:val="20"/>
        </w:rPr>
        <w:t xml:space="preserve">CSPs </w:t>
      </w:r>
      <w:r w:rsidR="00A11421" w:rsidRPr="003C59EB">
        <w:rPr>
          <w:szCs w:val="20"/>
        </w:rPr>
        <w:t xml:space="preserve">should </w:t>
      </w:r>
      <w:r w:rsidR="008C0259" w:rsidRPr="003C59EB">
        <w:rPr>
          <w:szCs w:val="20"/>
        </w:rPr>
        <w:t xml:space="preserve">already </w:t>
      </w:r>
      <w:r w:rsidR="00A11421" w:rsidRPr="003C59EB">
        <w:rPr>
          <w:szCs w:val="20"/>
        </w:rPr>
        <w:t>have</w:t>
      </w:r>
      <w:r w:rsidR="001571CC" w:rsidRPr="003C59EB">
        <w:rPr>
          <w:szCs w:val="20"/>
        </w:rPr>
        <w:t xml:space="preserve"> systems and</w:t>
      </w:r>
      <w:r w:rsidR="00A11421" w:rsidRPr="003C59EB">
        <w:rPr>
          <w:szCs w:val="20"/>
        </w:rPr>
        <w:t xml:space="preserve"> processes in place for dealing with </w:t>
      </w:r>
      <w:r w:rsidR="00DE4D70" w:rsidRPr="003C59EB">
        <w:rPr>
          <w:szCs w:val="20"/>
        </w:rPr>
        <w:t>customers experiencing financial hardship by complying with existing TCP Code rules</w:t>
      </w:r>
      <w:r w:rsidR="000E37C5" w:rsidRPr="003C59EB">
        <w:rPr>
          <w:szCs w:val="20"/>
        </w:rPr>
        <w:t xml:space="preserve">. </w:t>
      </w:r>
      <w:r w:rsidR="00697E9A" w:rsidRPr="003C59EB">
        <w:rPr>
          <w:szCs w:val="20"/>
        </w:rPr>
        <w:t xml:space="preserve">New policies, systems, and processes will only be necessary where the Standard goes beyond the requirements of the TCP Code </w:t>
      </w:r>
      <w:r w:rsidR="00163B8D">
        <w:rPr>
          <w:szCs w:val="20"/>
        </w:rPr>
        <w:t>or where telcos are not currently compliant with T</w:t>
      </w:r>
      <w:r w:rsidR="003433C3">
        <w:rPr>
          <w:szCs w:val="20"/>
        </w:rPr>
        <w:t>CP Code requirements</w:t>
      </w:r>
      <w:r w:rsidR="00104543" w:rsidRPr="003C59EB">
        <w:rPr>
          <w:szCs w:val="20"/>
        </w:rPr>
        <w:t>.</w:t>
      </w:r>
      <w:r w:rsidR="00F630F9" w:rsidRPr="003C59EB">
        <w:rPr>
          <w:szCs w:val="20"/>
        </w:rPr>
        <w:t xml:space="preserve"> </w:t>
      </w:r>
    </w:p>
    <w:p w14:paraId="66061501" w14:textId="1160F928" w:rsidR="008C3123" w:rsidRPr="003C59EB" w:rsidRDefault="00006B7B" w:rsidP="00953583">
      <w:pPr>
        <w:pStyle w:val="Paragraph"/>
        <w:rPr>
          <w:szCs w:val="20"/>
        </w:rPr>
      </w:pPr>
      <w:r w:rsidRPr="003C59EB">
        <w:rPr>
          <w:szCs w:val="20"/>
        </w:rPr>
        <w:t xml:space="preserve">The </w:t>
      </w:r>
      <w:r w:rsidR="00953583" w:rsidRPr="003C59EB">
        <w:rPr>
          <w:szCs w:val="20"/>
        </w:rPr>
        <w:t xml:space="preserve">industry </w:t>
      </w:r>
      <w:r w:rsidR="0026174A">
        <w:rPr>
          <w:szCs w:val="20"/>
        </w:rPr>
        <w:t>S</w:t>
      </w:r>
      <w:r w:rsidR="00953583" w:rsidRPr="003C59EB">
        <w:rPr>
          <w:szCs w:val="20"/>
        </w:rPr>
        <w:t>tandar</w:t>
      </w:r>
      <w:r w:rsidR="008A6BDD" w:rsidRPr="003C59EB">
        <w:rPr>
          <w:szCs w:val="20"/>
        </w:rPr>
        <w:t xml:space="preserve">d </w:t>
      </w:r>
      <w:r w:rsidR="00131C3A" w:rsidRPr="003C59EB">
        <w:rPr>
          <w:szCs w:val="20"/>
        </w:rPr>
        <w:t xml:space="preserve">will be implemented </w:t>
      </w:r>
      <w:r w:rsidR="00F77ACC" w:rsidRPr="003C59EB">
        <w:rPr>
          <w:szCs w:val="20"/>
        </w:rPr>
        <w:t xml:space="preserve">as outlined in Option 2B and </w:t>
      </w:r>
      <w:r w:rsidR="00953583" w:rsidRPr="003C59EB">
        <w:rPr>
          <w:szCs w:val="20"/>
        </w:rPr>
        <w:t xml:space="preserve">in accordance with </w:t>
      </w:r>
      <w:r w:rsidR="00EB4969" w:rsidRPr="003C59EB">
        <w:rPr>
          <w:szCs w:val="20"/>
        </w:rPr>
        <w:t>the</w:t>
      </w:r>
      <w:r w:rsidR="00953583" w:rsidRPr="003C59EB">
        <w:rPr>
          <w:szCs w:val="20"/>
        </w:rPr>
        <w:t xml:space="preserve"> </w:t>
      </w:r>
      <w:r w:rsidR="00EB4969" w:rsidRPr="003C59EB">
        <w:rPr>
          <w:szCs w:val="20"/>
        </w:rPr>
        <w:t>D</w:t>
      </w:r>
      <w:r w:rsidR="00953583" w:rsidRPr="003C59EB">
        <w:rPr>
          <w:szCs w:val="20"/>
        </w:rPr>
        <w:t>irection</w:t>
      </w:r>
      <w:r w:rsidR="004D2F00" w:rsidRPr="003C59EB">
        <w:rPr>
          <w:szCs w:val="20"/>
        </w:rPr>
        <w:t>. T</w:t>
      </w:r>
      <w:r w:rsidR="00953583" w:rsidRPr="003C59EB">
        <w:rPr>
          <w:szCs w:val="20"/>
        </w:rPr>
        <w:t xml:space="preserve">he </w:t>
      </w:r>
      <w:r w:rsidR="008655B0" w:rsidRPr="003C59EB">
        <w:rPr>
          <w:szCs w:val="20"/>
        </w:rPr>
        <w:t>S</w:t>
      </w:r>
      <w:r w:rsidR="00953583" w:rsidRPr="003C59EB">
        <w:rPr>
          <w:szCs w:val="20"/>
        </w:rPr>
        <w:t xml:space="preserve">tandard must be determined by </w:t>
      </w:r>
      <w:r w:rsidR="008A6BDD" w:rsidRPr="003C59EB">
        <w:rPr>
          <w:szCs w:val="20"/>
        </w:rPr>
        <w:t>15</w:t>
      </w:r>
      <w:r w:rsidR="00953583" w:rsidRPr="003C59EB">
        <w:rPr>
          <w:szCs w:val="20"/>
        </w:rPr>
        <w:t xml:space="preserve"> February 202</w:t>
      </w:r>
      <w:r w:rsidR="008A6BDD" w:rsidRPr="003C59EB">
        <w:rPr>
          <w:szCs w:val="20"/>
        </w:rPr>
        <w:t>4</w:t>
      </w:r>
      <w:r w:rsidR="00953583" w:rsidRPr="003C59EB">
        <w:rPr>
          <w:szCs w:val="20"/>
        </w:rPr>
        <w:t xml:space="preserve"> and commence by </w:t>
      </w:r>
      <w:r w:rsidR="008A6BDD" w:rsidRPr="003C59EB">
        <w:rPr>
          <w:szCs w:val="20"/>
        </w:rPr>
        <w:t>29</w:t>
      </w:r>
      <w:r w:rsidR="00953583" w:rsidRPr="003C59EB">
        <w:rPr>
          <w:szCs w:val="20"/>
        </w:rPr>
        <w:t xml:space="preserve"> </w:t>
      </w:r>
      <w:r w:rsidR="008A6BDD" w:rsidRPr="003C59EB">
        <w:rPr>
          <w:szCs w:val="20"/>
        </w:rPr>
        <w:t>Match</w:t>
      </w:r>
      <w:r w:rsidR="00953583" w:rsidRPr="003C59EB">
        <w:rPr>
          <w:szCs w:val="20"/>
        </w:rPr>
        <w:t xml:space="preserve"> 202</w:t>
      </w:r>
      <w:r w:rsidR="008A6BDD" w:rsidRPr="003C59EB">
        <w:rPr>
          <w:szCs w:val="20"/>
        </w:rPr>
        <w:t>4</w:t>
      </w:r>
      <w:r w:rsidR="00953583" w:rsidRPr="003C59EB">
        <w:rPr>
          <w:szCs w:val="20"/>
        </w:rPr>
        <w:t xml:space="preserve">. </w:t>
      </w:r>
    </w:p>
    <w:p w14:paraId="085A02C6" w14:textId="77777777" w:rsidR="00B7266A" w:rsidRPr="00AC155E" w:rsidRDefault="00B7266A" w:rsidP="00B7266A">
      <w:pPr>
        <w:pStyle w:val="Heading3"/>
      </w:pPr>
      <w:bookmarkStart w:id="84" w:name="_Toc98323771"/>
      <w:bookmarkStart w:id="85" w:name="_Toc155686012"/>
      <w:r w:rsidRPr="00AC155E">
        <w:t>Engagement to support implementation</w:t>
      </w:r>
      <w:bookmarkEnd w:id="84"/>
      <w:bookmarkEnd w:id="85"/>
    </w:p>
    <w:p w14:paraId="692A8176" w14:textId="77777777" w:rsidR="0056089B" w:rsidRDefault="004D2F00" w:rsidP="00B7266A">
      <w:pPr>
        <w:pStyle w:val="Paragraph"/>
      </w:pPr>
      <w:r>
        <w:t>The ACMA</w:t>
      </w:r>
      <w:r w:rsidR="00B7266A">
        <w:t xml:space="preserve"> </w:t>
      </w:r>
      <w:r w:rsidR="00B7266A" w:rsidRPr="005B7072">
        <w:t>intend</w:t>
      </w:r>
      <w:r>
        <w:t>s</w:t>
      </w:r>
      <w:r w:rsidR="00B7266A" w:rsidRPr="005B7072">
        <w:t xml:space="preserve"> to </w:t>
      </w:r>
      <w:r w:rsidR="00B7266A">
        <w:t>engage with</w:t>
      </w:r>
      <w:r w:rsidR="00B7266A" w:rsidRPr="005B7072">
        <w:t xml:space="preserve"> </w:t>
      </w:r>
      <w:r w:rsidR="00B7266A">
        <w:t xml:space="preserve">Communications Alliance to </w:t>
      </w:r>
      <w:r w:rsidR="00B7266A" w:rsidRPr="00B05CF9">
        <w:t xml:space="preserve">ensure </w:t>
      </w:r>
      <w:r w:rsidR="00B7266A">
        <w:t>CSP</w:t>
      </w:r>
      <w:r w:rsidR="00B7266A" w:rsidRPr="00B05CF9">
        <w:t xml:space="preserve">s are aware </w:t>
      </w:r>
      <w:r w:rsidR="00B7266A">
        <w:t xml:space="preserve">and understand </w:t>
      </w:r>
      <w:r w:rsidR="00A969AA">
        <w:t>where the Standard goes beyond the TCP Code</w:t>
      </w:r>
      <w:r w:rsidR="00E04DC4">
        <w:t xml:space="preserve"> requirements</w:t>
      </w:r>
      <w:r w:rsidR="00A969AA">
        <w:t xml:space="preserve">. </w:t>
      </w:r>
      <w:r w:rsidR="00B7266A">
        <w:t xml:space="preserve">This may include </w:t>
      </w:r>
      <w:r w:rsidR="00B7266A" w:rsidRPr="005B7072">
        <w:t>provid</w:t>
      </w:r>
      <w:r w:rsidR="00B7266A">
        <w:t>ing</w:t>
      </w:r>
      <w:r w:rsidR="00B7266A" w:rsidRPr="005B7072">
        <w:t xml:space="preserve"> additional guidance</w:t>
      </w:r>
      <w:r w:rsidR="00B7266A">
        <w:t xml:space="preserve"> leading up to and</w:t>
      </w:r>
      <w:r w:rsidR="00B7266A" w:rsidRPr="005B7072">
        <w:t xml:space="preserve"> following </w:t>
      </w:r>
      <w:r w:rsidR="00B7266A">
        <w:t>their introduction</w:t>
      </w:r>
      <w:r w:rsidR="0010012D">
        <w:t xml:space="preserve">. </w:t>
      </w:r>
    </w:p>
    <w:p w14:paraId="556E5595" w14:textId="55DCE909" w:rsidR="005A1E7B" w:rsidRPr="00BF41CE" w:rsidDel="00343DBF" w:rsidRDefault="005A1E7B" w:rsidP="005A1E7B">
      <w:pPr>
        <w:pStyle w:val="Paragraph"/>
      </w:pPr>
      <w:bookmarkStart w:id="86" w:name="_Toc32833713"/>
      <w:bookmarkStart w:id="87" w:name="_Toc55546932"/>
      <w:bookmarkStart w:id="88" w:name="_Toc83629968"/>
      <w:r>
        <w:t xml:space="preserve">Engagement can also occur through a range of forums including the Communications Alliance TCP Code review working committee and the CCF. Discussion in these forums will enable </w:t>
      </w:r>
      <w:r w:rsidR="00207419">
        <w:t>the ACMA</w:t>
      </w:r>
      <w:r>
        <w:t xml:space="preserve"> to stay informed of and address any implementation concerns that industry may have</w:t>
      </w:r>
      <w:r w:rsidR="00474244">
        <w:t xml:space="preserve">, </w:t>
      </w:r>
      <w:r w:rsidRPr="002F1374">
        <w:t>encourag</w:t>
      </w:r>
      <w:r w:rsidR="00474244">
        <w:t>ing</w:t>
      </w:r>
      <w:r w:rsidRPr="002F1374">
        <w:t xml:space="preserve"> ongoing best</w:t>
      </w:r>
      <w:r>
        <w:t xml:space="preserve"> </w:t>
      </w:r>
      <w:r w:rsidRPr="002F1374">
        <w:t>practice</w:t>
      </w:r>
      <w:r>
        <w:t>.</w:t>
      </w:r>
      <w:bookmarkEnd w:id="86"/>
      <w:bookmarkEnd w:id="87"/>
      <w:bookmarkEnd w:id="88"/>
      <w:r w:rsidR="00CE581C">
        <w:t xml:space="preserve"> The ACMA will work with CSPs if implementation issues are identified.</w:t>
      </w:r>
    </w:p>
    <w:p w14:paraId="1E832657" w14:textId="5F608643" w:rsidR="009D43E5" w:rsidRDefault="009D43E5" w:rsidP="00653C4C">
      <w:pPr>
        <w:pStyle w:val="Bulletlevel1last"/>
        <w:numPr>
          <w:ilvl w:val="0"/>
          <w:numId w:val="0"/>
        </w:numPr>
      </w:pPr>
      <w:r>
        <w:t>Financial hardship is a compliance priority</w:t>
      </w:r>
      <w:r>
        <w:rPr>
          <w:rStyle w:val="FootnoteReference"/>
        </w:rPr>
        <w:footnoteReference w:id="61"/>
      </w:r>
      <w:r>
        <w:t xml:space="preserve"> for the ACMA in 2023-24 </w:t>
      </w:r>
      <w:r w:rsidR="009C33A4">
        <w:t>with</w:t>
      </w:r>
      <w:r w:rsidRPr="005B7072">
        <w:t xml:space="preserve"> activities includ</w:t>
      </w:r>
      <w:r w:rsidR="009C33A4">
        <w:t>ing</w:t>
      </w:r>
      <w:r w:rsidRPr="005B7072">
        <w:t xml:space="preserve"> targeted compliance against the new </w:t>
      </w:r>
      <w:r>
        <w:t>obligation</w:t>
      </w:r>
      <w:r w:rsidRPr="005B7072">
        <w:t>s and potential investigations.</w:t>
      </w:r>
      <w:r>
        <w:t xml:space="preserve"> </w:t>
      </w:r>
      <w:r w:rsidR="00210723">
        <w:t>M</w:t>
      </w:r>
      <w:r>
        <w:t>onitoring complaints received by the TIO</w:t>
      </w:r>
      <w:r w:rsidR="00480C4A">
        <w:t xml:space="preserve"> </w:t>
      </w:r>
      <w:r>
        <w:t xml:space="preserve">and risk-based escalation interventions </w:t>
      </w:r>
      <w:r w:rsidR="00FB33BC">
        <w:t xml:space="preserve">will be undertaken </w:t>
      </w:r>
      <w:r>
        <w:t>where appropriate.</w:t>
      </w:r>
    </w:p>
    <w:p w14:paraId="646A1334" w14:textId="77777777" w:rsidR="00953583" w:rsidRPr="002D0C4C" w:rsidRDefault="00953583" w:rsidP="00953583">
      <w:pPr>
        <w:pStyle w:val="Heading3"/>
      </w:pPr>
      <w:bookmarkStart w:id="89" w:name="_Toc155686013"/>
      <w:r>
        <w:rPr>
          <w:szCs w:val="20"/>
        </w:rPr>
        <w:t>Education campaign</w:t>
      </w:r>
      <w:bookmarkEnd w:id="89"/>
    </w:p>
    <w:p w14:paraId="53427EFE" w14:textId="4E79D8FA" w:rsidR="00E91953" w:rsidRDefault="00953583" w:rsidP="00535BAB">
      <w:pPr>
        <w:pStyle w:val="Paragraph"/>
      </w:pPr>
      <w:r w:rsidRPr="00492686">
        <w:t xml:space="preserve">The ACMA </w:t>
      </w:r>
      <w:r w:rsidR="00FB33BC">
        <w:t>possesses various</w:t>
      </w:r>
      <w:r w:rsidRPr="00492686">
        <w:t xml:space="preserve"> regulatory tools to encourage compliance</w:t>
      </w:r>
      <w:r>
        <w:t>,</w:t>
      </w:r>
      <w:r w:rsidRPr="00492686">
        <w:t xml:space="preserve"> </w:t>
      </w:r>
      <w:r w:rsidR="00FB33BC">
        <w:t>including</w:t>
      </w:r>
      <w:r w:rsidRPr="00492686">
        <w:t xml:space="preserve"> education of industry and </w:t>
      </w:r>
      <w:r>
        <w:t>customers</w:t>
      </w:r>
      <w:r w:rsidRPr="00492686">
        <w:t xml:space="preserve">. </w:t>
      </w:r>
      <w:r w:rsidR="00E30FA6">
        <w:t>S</w:t>
      </w:r>
      <w:r w:rsidR="00B86CF4">
        <w:t xml:space="preserve">takeholder networks </w:t>
      </w:r>
      <w:r w:rsidR="00E30FA6">
        <w:t xml:space="preserve">will be leveraged </w:t>
      </w:r>
      <w:r w:rsidR="00B86CF4">
        <w:t xml:space="preserve">to </w:t>
      </w:r>
      <w:r w:rsidR="007B4BC1">
        <w:t xml:space="preserve">further engage with consumers experiencing financial hardship. </w:t>
      </w:r>
      <w:r w:rsidR="00B86CF4">
        <w:t xml:space="preserve"> </w:t>
      </w:r>
      <w:r w:rsidR="00653783">
        <w:t>A</w:t>
      </w:r>
      <w:r>
        <w:t xml:space="preserve"> modest</w:t>
      </w:r>
      <w:r w:rsidRPr="00492686">
        <w:t xml:space="preserve"> education program may be used to help customers and industry</w:t>
      </w:r>
      <w:r>
        <w:t xml:space="preserve"> </w:t>
      </w:r>
      <w:r w:rsidRPr="00492686">
        <w:t>transition</w:t>
      </w:r>
      <w:r>
        <w:t>.</w:t>
      </w:r>
    </w:p>
    <w:p w14:paraId="2C940385" w14:textId="758F92C2" w:rsidR="003C64A0" w:rsidRDefault="003C64A0" w:rsidP="00653C4C">
      <w:pPr>
        <w:pStyle w:val="Bulletlevel1last"/>
        <w:numPr>
          <w:ilvl w:val="0"/>
          <w:numId w:val="0"/>
        </w:numPr>
      </w:pPr>
      <w:r>
        <w:t xml:space="preserve">Transitional arrangements are </w:t>
      </w:r>
      <w:r w:rsidR="00241E30">
        <w:t>outlined</w:t>
      </w:r>
      <w:r>
        <w:t xml:space="preserve"> in the Standard. </w:t>
      </w:r>
      <w:r w:rsidR="00241E30">
        <w:t>F</w:t>
      </w:r>
      <w:r>
        <w:t xml:space="preserve">eedback from industry </w:t>
      </w:r>
      <w:r w:rsidR="00B11F2D">
        <w:t xml:space="preserve">members has been considered </w:t>
      </w:r>
      <w:r>
        <w:t xml:space="preserve">to ensure </w:t>
      </w:r>
      <w:r w:rsidR="00B11F2D">
        <w:t>these</w:t>
      </w:r>
      <w:r>
        <w:t xml:space="preserve"> arrangements are not overly </w:t>
      </w:r>
      <w:r>
        <w:lastRenderedPageBreak/>
        <w:t xml:space="preserve">burdensome. </w:t>
      </w:r>
      <w:r w:rsidR="00B11F2D">
        <w:t>A v</w:t>
      </w:r>
      <w:r>
        <w:t>ariation to the TCP Code will be required to remove financial hardship obligations once the Standard is made.</w:t>
      </w:r>
    </w:p>
    <w:p w14:paraId="1B5C04C0" w14:textId="77777777" w:rsidR="003C64A0" w:rsidRDefault="003C64A0" w:rsidP="00535BAB">
      <w:pPr>
        <w:pStyle w:val="Paragraph"/>
      </w:pPr>
    </w:p>
    <w:p w14:paraId="1506D6ED" w14:textId="1BEBBF78" w:rsidR="00570046" w:rsidRPr="00BF41CE" w:rsidRDefault="00570046" w:rsidP="00570046">
      <w:pPr>
        <w:pStyle w:val="Heading1"/>
      </w:pPr>
      <w:bookmarkStart w:id="90" w:name="_Toc155686014"/>
      <w:r w:rsidRPr="00BF41CE">
        <w:lastRenderedPageBreak/>
        <w:t>How will you evaluate your chosen option</w:t>
      </w:r>
      <w:r w:rsidR="00953583">
        <w:t xml:space="preserve"> against the success metrics</w:t>
      </w:r>
      <w:r w:rsidRPr="00BF41CE">
        <w:t>?</w:t>
      </w:r>
      <w:bookmarkEnd w:id="90"/>
    </w:p>
    <w:p w14:paraId="43B93389" w14:textId="4BDC5CAF" w:rsidR="00570046" w:rsidRDefault="00570046" w:rsidP="00570046">
      <w:pPr>
        <w:pStyle w:val="Paragraph"/>
      </w:pPr>
      <w:r>
        <w:t xml:space="preserve">The ACMA will monitor </w:t>
      </w:r>
      <w:r w:rsidR="001971BF">
        <w:t xml:space="preserve">and evaluate </w:t>
      </w:r>
      <w:r>
        <w:t xml:space="preserve">the implementation of </w:t>
      </w:r>
      <w:r w:rsidR="00286C96">
        <w:t>the Standard</w:t>
      </w:r>
      <w:r w:rsidR="00EF0C71">
        <w:t xml:space="preserve"> </w:t>
      </w:r>
      <w:r w:rsidR="005C1A55">
        <w:t xml:space="preserve">to ensure it aligns with the objectives </w:t>
      </w:r>
      <w:r w:rsidR="002461BD">
        <w:t>and success metrics outlined in Question 2</w:t>
      </w:r>
      <w:r w:rsidR="00512381">
        <w:t xml:space="preserve"> and g</w:t>
      </w:r>
      <w:r w:rsidR="008055BA">
        <w:t>au</w:t>
      </w:r>
      <w:r w:rsidR="00512381">
        <w:t>ge its effectiveness</w:t>
      </w:r>
      <w:r w:rsidR="002461BD">
        <w:t xml:space="preserve">. This </w:t>
      </w:r>
      <w:r w:rsidR="008055BA">
        <w:t xml:space="preserve">evaluation will be an integral part of </w:t>
      </w:r>
      <w:r w:rsidR="00BB1066">
        <w:t xml:space="preserve">the ACMA’s </w:t>
      </w:r>
      <w:r w:rsidR="006F4976">
        <w:t xml:space="preserve">ongoing regulatory </w:t>
      </w:r>
      <w:r w:rsidR="007A5E6F">
        <w:t>reform, monitoring and compliance activities.</w:t>
      </w:r>
      <w:r w:rsidR="00A66D43">
        <w:t xml:space="preserve"> </w:t>
      </w:r>
    </w:p>
    <w:p w14:paraId="2642F4AA" w14:textId="204C7F70" w:rsidR="001F4145" w:rsidRDefault="00157971" w:rsidP="00F57F10">
      <w:pPr>
        <w:pStyle w:val="Paragraph"/>
        <w:rPr>
          <w:color w:val="374151"/>
          <w:szCs w:val="20"/>
        </w:rPr>
      </w:pPr>
      <w:r>
        <w:rPr>
          <w:color w:val="374151"/>
          <w:szCs w:val="20"/>
        </w:rPr>
        <w:t xml:space="preserve">The post-implementation phase </w:t>
      </w:r>
      <w:r w:rsidR="001F4145" w:rsidRPr="00201315">
        <w:rPr>
          <w:color w:val="374151"/>
          <w:szCs w:val="20"/>
        </w:rPr>
        <w:t>will involve ongoing collaboration between the ACMA and relevant stakeholders. The ACMA will be responsible for an active compliance work program tailored for the Standard</w:t>
      </w:r>
      <w:r w:rsidR="004422C0">
        <w:rPr>
          <w:color w:val="374151"/>
          <w:szCs w:val="20"/>
        </w:rPr>
        <w:t xml:space="preserve"> </w:t>
      </w:r>
      <w:r w:rsidR="001F4145">
        <w:rPr>
          <w:color w:val="374151"/>
          <w:szCs w:val="20"/>
        </w:rPr>
        <w:t xml:space="preserve">and </w:t>
      </w:r>
      <w:r w:rsidR="008823C4">
        <w:rPr>
          <w:color w:val="374151"/>
          <w:szCs w:val="20"/>
        </w:rPr>
        <w:t xml:space="preserve">for </w:t>
      </w:r>
      <w:r w:rsidR="001F4145" w:rsidRPr="00201315">
        <w:rPr>
          <w:color w:val="374151"/>
          <w:szCs w:val="20"/>
        </w:rPr>
        <w:t>evaluating the success metrics</w:t>
      </w:r>
      <w:r w:rsidR="001F4145">
        <w:rPr>
          <w:color w:val="374151"/>
          <w:szCs w:val="20"/>
        </w:rPr>
        <w:t xml:space="preserve">, </w:t>
      </w:r>
      <w:r w:rsidR="008823C4">
        <w:rPr>
          <w:color w:val="374151"/>
          <w:szCs w:val="20"/>
        </w:rPr>
        <w:t>as</w:t>
      </w:r>
      <w:r w:rsidR="001F4145">
        <w:rPr>
          <w:color w:val="374151"/>
          <w:szCs w:val="20"/>
        </w:rPr>
        <w:t xml:space="preserve"> set out below</w:t>
      </w:r>
      <w:r w:rsidR="001F4145" w:rsidRPr="00201315">
        <w:rPr>
          <w:color w:val="374151"/>
          <w:szCs w:val="20"/>
        </w:rPr>
        <w:t xml:space="preserve">. </w:t>
      </w:r>
    </w:p>
    <w:p w14:paraId="6F927A71" w14:textId="48493517" w:rsidR="007A5E6F" w:rsidRDefault="009E598D" w:rsidP="00570046">
      <w:pPr>
        <w:pStyle w:val="Paragraph"/>
      </w:pPr>
      <w:r>
        <w:t>F</w:t>
      </w:r>
      <w:r w:rsidR="007A5E6F">
        <w:t>inancial hardship is a compliance priority for the ACMA</w:t>
      </w:r>
      <w:r w:rsidR="001778AD">
        <w:t xml:space="preserve"> in 2023-24</w:t>
      </w:r>
      <w:r w:rsidR="00AC57E5">
        <w:t>,</w:t>
      </w:r>
      <w:r w:rsidR="001778AD">
        <w:t xml:space="preserve"> and</w:t>
      </w:r>
      <w:r w:rsidR="001055EE">
        <w:t xml:space="preserve"> </w:t>
      </w:r>
      <w:r>
        <w:t>in announcing that it would direct the ACMA to make a Financial Hardship Standard, the Government highlighted the importance of keeping customers connected</w:t>
      </w:r>
      <w:r w:rsidR="00D069C9">
        <w:t xml:space="preserve"> in a media release of 5 September 2023</w:t>
      </w:r>
      <w:r w:rsidR="00653C4C">
        <w:t>.</w:t>
      </w:r>
      <w:r w:rsidR="00D069C9">
        <w:rPr>
          <w:rStyle w:val="FootnoteReference"/>
        </w:rPr>
        <w:footnoteReference w:id="62"/>
      </w:r>
      <w:r>
        <w:t xml:space="preserve"> </w:t>
      </w:r>
      <w:r w:rsidR="00D069C9">
        <w:t>T</w:t>
      </w:r>
      <w:r w:rsidR="005359AB">
        <w:t>he ACMA anticipates that financial hardship will</w:t>
      </w:r>
      <w:r w:rsidR="001055EE">
        <w:t xml:space="preserve"> remain a </w:t>
      </w:r>
      <w:r w:rsidR="00D750EB">
        <w:t>focal point</w:t>
      </w:r>
      <w:r w:rsidR="001055EE">
        <w:t xml:space="preserve"> </w:t>
      </w:r>
      <w:r w:rsidR="005359AB">
        <w:t>for</w:t>
      </w:r>
      <w:r w:rsidR="002F361D">
        <w:t xml:space="preserve"> the foreseeable future.</w:t>
      </w:r>
      <w:r w:rsidR="001055EE">
        <w:t xml:space="preserve"> </w:t>
      </w:r>
    </w:p>
    <w:p w14:paraId="35CC50DF" w14:textId="712B9D0A" w:rsidR="00595C5C" w:rsidRDefault="00570046" w:rsidP="00317FE4">
      <w:pPr>
        <w:pStyle w:val="Paragraphbeforelist"/>
      </w:pPr>
      <w:r>
        <w:t xml:space="preserve">The ACMA will </w:t>
      </w:r>
      <w:r w:rsidR="008F55BB">
        <w:t>implement</w:t>
      </w:r>
      <w:r>
        <w:t xml:space="preserve"> a</w:t>
      </w:r>
      <w:r w:rsidR="00F020ED">
        <w:t xml:space="preserve">n active </w:t>
      </w:r>
      <w:r>
        <w:t xml:space="preserve">compliance work program </w:t>
      </w:r>
      <w:r w:rsidR="008F55BB">
        <w:t xml:space="preserve">specifically tailored </w:t>
      </w:r>
      <w:r>
        <w:t xml:space="preserve">for the </w:t>
      </w:r>
      <w:r w:rsidR="00153418">
        <w:t>S</w:t>
      </w:r>
      <w:r>
        <w:t>tandard</w:t>
      </w:r>
      <w:r w:rsidR="00081063">
        <w:t>, commencing shortly after the Standard comes into effect on 29 March 2024.</w:t>
      </w:r>
      <w:r>
        <w:t xml:space="preserve"> This </w:t>
      </w:r>
      <w:r w:rsidR="008F55BB">
        <w:t xml:space="preserve">program </w:t>
      </w:r>
      <w:r>
        <w:t>will</w:t>
      </w:r>
      <w:r w:rsidR="00081063">
        <w:t xml:space="preserve"> </w:t>
      </w:r>
      <w:r w:rsidR="006C19E7">
        <w:t>inform</w:t>
      </w:r>
      <w:r w:rsidR="00840CDE">
        <w:t xml:space="preserve"> </w:t>
      </w:r>
      <w:r w:rsidR="00671E5E">
        <w:t xml:space="preserve">post-implementation </w:t>
      </w:r>
      <w:r w:rsidR="00840CDE">
        <w:t>decision</w:t>
      </w:r>
      <w:r w:rsidR="006C19E7">
        <w:t>s</w:t>
      </w:r>
      <w:r w:rsidR="00840CDE">
        <w:t xml:space="preserve"> </w:t>
      </w:r>
      <w:r w:rsidR="00FF698E">
        <w:t xml:space="preserve">and </w:t>
      </w:r>
      <w:r w:rsidR="00BC39EE">
        <w:t xml:space="preserve">will </w:t>
      </w:r>
      <w:r w:rsidR="00F079E5">
        <w:t>encompass</w:t>
      </w:r>
      <w:r w:rsidR="00595C5C">
        <w:t>:</w:t>
      </w:r>
    </w:p>
    <w:p w14:paraId="7E78366F" w14:textId="5685DB48" w:rsidR="00595C5C" w:rsidRDefault="00570046" w:rsidP="0095656C">
      <w:pPr>
        <w:pStyle w:val="Bulletlevel1"/>
      </w:pPr>
      <w:r>
        <w:t>monitoring complaints</w:t>
      </w:r>
      <w:r w:rsidR="002A0E13">
        <w:t xml:space="preserve"> relating to financial hardship </w:t>
      </w:r>
      <w:r>
        <w:t>received by the TIO</w:t>
      </w:r>
    </w:p>
    <w:p w14:paraId="5E8947CD" w14:textId="23899AAE" w:rsidR="005905FA" w:rsidRDefault="00F079E5" w:rsidP="0095656C">
      <w:pPr>
        <w:pStyle w:val="Bulletlevel1"/>
      </w:pPr>
      <w:r>
        <w:t xml:space="preserve">scrutiny of </w:t>
      </w:r>
      <w:r w:rsidR="003B65C3">
        <w:t>industry data</w:t>
      </w:r>
      <w:r w:rsidR="00BF5722">
        <w:t xml:space="preserve"> </w:t>
      </w:r>
      <w:r w:rsidR="005905FA">
        <w:t>to assess compliance and identify potential areas of concern</w:t>
      </w:r>
      <w:r w:rsidR="00570046">
        <w:t xml:space="preserve"> </w:t>
      </w:r>
    </w:p>
    <w:p w14:paraId="1FA0FE04" w14:textId="77777777" w:rsidR="003558FF" w:rsidRDefault="00570046" w:rsidP="0095656C">
      <w:pPr>
        <w:pStyle w:val="Bulletlevel1"/>
      </w:pPr>
      <w:r>
        <w:t>escalation processes where appropriate</w:t>
      </w:r>
      <w:r w:rsidR="003558FF">
        <w:t xml:space="preserve">, </w:t>
      </w:r>
      <w:r w:rsidR="00E4686A">
        <w:t>includ</w:t>
      </w:r>
      <w:r w:rsidR="003558FF">
        <w:t>ing</w:t>
      </w:r>
      <w:r>
        <w:t xml:space="preserve"> potential investigations and enforcement activities</w:t>
      </w:r>
      <w:r w:rsidR="003558FF">
        <w:t xml:space="preserve"> where necessary</w:t>
      </w:r>
    </w:p>
    <w:p w14:paraId="19F47C17" w14:textId="6C0AADFD" w:rsidR="007545DF" w:rsidRDefault="003558FF" w:rsidP="0095656C">
      <w:pPr>
        <w:pStyle w:val="Bulletlevel1"/>
      </w:pPr>
      <w:r>
        <w:t>us</w:t>
      </w:r>
      <w:r w:rsidR="004F3A14">
        <w:t>ing</w:t>
      </w:r>
      <w:r w:rsidR="00FB13D2">
        <w:t xml:space="preserve"> the CCF </w:t>
      </w:r>
      <w:r w:rsidR="005E2939">
        <w:t>as a</w:t>
      </w:r>
      <w:r w:rsidR="0022656D">
        <w:t xml:space="preserve"> regular forum </w:t>
      </w:r>
      <w:r w:rsidR="005E2939">
        <w:t>for</w:t>
      </w:r>
      <w:r w:rsidR="0022656D">
        <w:t xml:space="preserve"> monitor</w:t>
      </w:r>
      <w:r w:rsidR="005E2939">
        <w:t>ing</w:t>
      </w:r>
      <w:r w:rsidR="0022656D">
        <w:t xml:space="preserve"> and evaluat</w:t>
      </w:r>
      <w:r w:rsidR="005E2939">
        <w:t>ing</w:t>
      </w:r>
      <w:r w:rsidR="0022656D">
        <w:t xml:space="preserve"> </w:t>
      </w:r>
      <w:r w:rsidR="00297B54">
        <w:t xml:space="preserve">the </w:t>
      </w:r>
      <w:r w:rsidR="005E2939">
        <w:t xml:space="preserve">effectiveness of </w:t>
      </w:r>
      <w:r w:rsidR="00276BA6">
        <w:t>the measures set out in the Standard</w:t>
      </w:r>
    </w:p>
    <w:p w14:paraId="5DF42344" w14:textId="67FDBFAA" w:rsidR="00570046" w:rsidRDefault="007545DF" w:rsidP="0095656C">
      <w:pPr>
        <w:pStyle w:val="Bulletlevel1last"/>
      </w:pPr>
      <w:r>
        <w:t>conducting regular</w:t>
      </w:r>
      <w:r w:rsidR="001C40B7">
        <w:t xml:space="preserve"> </w:t>
      </w:r>
      <w:r w:rsidR="006204B2">
        <w:t xml:space="preserve">consumer experience </w:t>
      </w:r>
      <w:r w:rsidR="003D0547">
        <w:t xml:space="preserve">research </w:t>
      </w:r>
      <w:r>
        <w:t xml:space="preserve">to gain insights </w:t>
      </w:r>
      <w:r w:rsidR="006204B2">
        <w:t>into</w:t>
      </w:r>
      <w:r>
        <w:t xml:space="preserve"> the </w:t>
      </w:r>
      <w:r w:rsidR="00443C74">
        <w:t xml:space="preserve">Standard’s </w:t>
      </w:r>
      <w:r>
        <w:t>impact on consumers.</w:t>
      </w:r>
      <w:r w:rsidR="00FC4B55">
        <w:t xml:space="preserve"> Substantive consumer experience research would commence 18 months after the Standard comes into effect to facilitate closer </w:t>
      </w:r>
      <w:r w:rsidR="004B39C5">
        <w:t>scrutiny</w:t>
      </w:r>
      <w:r w:rsidR="00FC4B55">
        <w:t xml:space="preserve">. </w:t>
      </w:r>
    </w:p>
    <w:p w14:paraId="19FBCCF5" w14:textId="2537D409" w:rsidR="00E83D12" w:rsidRDefault="00E83D12" w:rsidP="00317FE4">
      <w:pPr>
        <w:pStyle w:val="Paragraphbeforelist"/>
      </w:pPr>
      <w:r>
        <w:t xml:space="preserve">Success </w:t>
      </w:r>
      <w:r w:rsidR="007545DF">
        <w:t>in achieving the objectives of the Standard will be measured</w:t>
      </w:r>
      <w:r w:rsidR="00A84CE4">
        <w:t xml:space="preserve"> and evaluated</w:t>
      </w:r>
      <w:r w:rsidR="007545DF">
        <w:t xml:space="preserve"> </w:t>
      </w:r>
      <w:r w:rsidR="003257A5">
        <w:t xml:space="preserve">by the ACMA </w:t>
      </w:r>
      <w:r w:rsidR="001D6EFA">
        <w:t>through the following key metrics</w:t>
      </w:r>
      <w:r w:rsidR="00C17513">
        <w:t xml:space="preserve">: </w:t>
      </w:r>
    </w:p>
    <w:p w14:paraId="43F93BDC" w14:textId="5F253728" w:rsidR="00286C96" w:rsidRDefault="00E354EC" w:rsidP="0095656C">
      <w:pPr>
        <w:pStyle w:val="Bulletlevel1"/>
      </w:pPr>
      <w:r>
        <w:t>comparison of industry’s increased</w:t>
      </w:r>
      <w:r w:rsidR="00286C96" w:rsidRPr="00C65D07">
        <w:t xml:space="preserve"> </w:t>
      </w:r>
      <w:r w:rsidR="00F65BC6">
        <w:t>adoption</w:t>
      </w:r>
      <w:r w:rsidR="00286C96" w:rsidRPr="00C65D07">
        <w:t xml:space="preserve"> of financial hardship arrangements compared to the number of customers experiencing hardship</w:t>
      </w:r>
      <w:r w:rsidR="00286C96">
        <w:t xml:space="preserve"> </w:t>
      </w:r>
    </w:p>
    <w:p w14:paraId="4B7A3359" w14:textId="7E129C1F" w:rsidR="00286C96" w:rsidRDefault="00205735" w:rsidP="0095656C">
      <w:pPr>
        <w:pStyle w:val="Bulletlevel1"/>
      </w:pPr>
      <w:r>
        <w:t xml:space="preserve">measurement of enhanced </w:t>
      </w:r>
      <w:r w:rsidR="00286C96" w:rsidRPr="00C65D07">
        <w:t xml:space="preserve">consumer awareness </w:t>
      </w:r>
      <w:r w:rsidR="0067711C">
        <w:t xml:space="preserve">regarding the availability of </w:t>
      </w:r>
      <w:r w:rsidR="00286C96" w:rsidRPr="00C65D07">
        <w:t xml:space="preserve">financial hardship support </w:t>
      </w:r>
    </w:p>
    <w:p w14:paraId="2A10C1AA" w14:textId="1FFE3686" w:rsidR="00286C96" w:rsidRDefault="00682164" w:rsidP="0095656C">
      <w:pPr>
        <w:pStyle w:val="Bulletlevel1"/>
      </w:pPr>
      <w:r>
        <w:t>a</w:t>
      </w:r>
      <w:r w:rsidR="0067711C">
        <w:t xml:space="preserve">ssessment of the </w:t>
      </w:r>
      <w:r w:rsidR="00852C6F">
        <w:t>accessib</w:t>
      </w:r>
      <w:r w:rsidR="0067711C">
        <w:t>ility of</w:t>
      </w:r>
      <w:r w:rsidR="00286C96" w:rsidRPr="00C65D07">
        <w:t xml:space="preserve"> information about available financial hardship support from </w:t>
      </w:r>
      <w:r w:rsidR="0067711C">
        <w:t>CSPs</w:t>
      </w:r>
      <w:r w:rsidR="00286C96">
        <w:t xml:space="preserve"> </w:t>
      </w:r>
    </w:p>
    <w:p w14:paraId="5FE2528D" w14:textId="6C7AA32C" w:rsidR="00286C96" w:rsidRPr="00662404" w:rsidRDefault="00682164" w:rsidP="0095656C">
      <w:pPr>
        <w:pStyle w:val="Bulletlevel1"/>
      </w:pPr>
      <w:r>
        <w:t>m</w:t>
      </w:r>
      <w:r w:rsidR="00255B49">
        <w:t xml:space="preserve">onitoring and analysis of the decrease </w:t>
      </w:r>
      <w:r w:rsidR="00286C96" w:rsidRPr="00C65D07">
        <w:t>in the number customers disconnected while in financial hardship</w:t>
      </w:r>
    </w:p>
    <w:p w14:paraId="0885C31E" w14:textId="2ABCD4B5" w:rsidR="00286C96" w:rsidRDefault="00682164" w:rsidP="0095656C">
      <w:pPr>
        <w:pStyle w:val="Bulletlevel1"/>
      </w:pPr>
      <w:r>
        <w:lastRenderedPageBreak/>
        <w:t>a</w:t>
      </w:r>
      <w:r w:rsidR="00255B49">
        <w:t xml:space="preserve">nalysis of </w:t>
      </w:r>
      <w:r w:rsidR="00B32702">
        <w:t>the reduction in</w:t>
      </w:r>
      <w:r w:rsidR="00286C96">
        <w:t xml:space="preserve"> complaints received by the TIO from consumers experiencing financial hardship </w:t>
      </w:r>
    </w:p>
    <w:p w14:paraId="0E9B0BDA" w14:textId="31F45354" w:rsidR="00286C96" w:rsidRDefault="00682164" w:rsidP="0095656C">
      <w:pPr>
        <w:pStyle w:val="Bulletlevel1last"/>
      </w:pPr>
      <w:r>
        <w:t>c</w:t>
      </w:r>
      <w:r w:rsidR="00B32702">
        <w:t xml:space="preserve">ollection of </w:t>
      </w:r>
      <w:r w:rsidR="00DB157D">
        <w:t xml:space="preserve">positive </w:t>
      </w:r>
      <w:r w:rsidR="005A4142">
        <w:t>f</w:t>
      </w:r>
      <w:r w:rsidR="00286C96" w:rsidRPr="00C65D07">
        <w:t>eedback from consumer groups and community organisations</w:t>
      </w:r>
      <w:r w:rsidR="0093784D">
        <w:t xml:space="preserve"> confirming </w:t>
      </w:r>
      <w:r w:rsidR="008168F5">
        <w:t xml:space="preserve">successful </w:t>
      </w:r>
      <w:r w:rsidR="00286C96" w:rsidRPr="00C65D07">
        <w:t xml:space="preserve">consumer </w:t>
      </w:r>
      <w:r w:rsidR="00333FB0">
        <w:t>access</w:t>
      </w:r>
      <w:r w:rsidR="008168F5">
        <w:t xml:space="preserve"> to</w:t>
      </w:r>
      <w:r w:rsidR="00286C96" w:rsidRPr="00C65D07">
        <w:t xml:space="preserve"> appropriate financial hardship assistance</w:t>
      </w:r>
      <w:r w:rsidR="00286C96">
        <w:t xml:space="preserve">. </w:t>
      </w:r>
    </w:p>
    <w:p w14:paraId="566C62DA" w14:textId="3CD92435" w:rsidR="00A768D4" w:rsidRPr="00C15EFD" w:rsidRDefault="00C44A48" w:rsidP="00B73A72">
      <w:pPr>
        <w:suppressAutoHyphens/>
        <w:rPr>
          <w:rFonts w:cs="Arial"/>
          <w:szCs w:val="20"/>
        </w:rPr>
      </w:pPr>
      <w:r w:rsidRPr="00B73A72">
        <w:rPr>
          <w:rFonts w:cs="Arial"/>
          <w:szCs w:val="20"/>
        </w:rPr>
        <w:t xml:space="preserve">These success </w:t>
      </w:r>
      <w:r w:rsidR="00B73A72">
        <w:rPr>
          <w:rFonts w:cs="Arial"/>
          <w:szCs w:val="20"/>
        </w:rPr>
        <w:t xml:space="preserve">metrics </w:t>
      </w:r>
      <w:r w:rsidR="00B73A72" w:rsidRPr="00B73A72">
        <w:rPr>
          <w:rFonts w:cs="Arial"/>
          <w:szCs w:val="20"/>
        </w:rPr>
        <w:t xml:space="preserve">will serve as robust indicators of the effectiveness and impact of the Standard, ensuring that it fulfills its objectives in supporting consumers facing </w:t>
      </w:r>
      <w:r w:rsidR="00B73A72" w:rsidRPr="00C15EFD">
        <w:rPr>
          <w:rFonts w:cs="Arial"/>
          <w:szCs w:val="20"/>
        </w:rPr>
        <w:t>financial challenges</w:t>
      </w:r>
      <w:r w:rsidR="00653C4C" w:rsidRPr="00C15EFD">
        <w:rPr>
          <w:rFonts w:cs="Arial"/>
          <w:szCs w:val="20"/>
        </w:rPr>
        <w:t>.</w:t>
      </w:r>
    </w:p>
    <w:p w14:paraId="24ACFC98" w14:textId="4A329CFA" w:rsidR="00FB6610" w:rsidRPr="00C15EFD" w:rsidRDefault="00FB6610" w:rsidP="00FB6610">
      <w:pPr>
        <w:pStyle w:val="Paragraph"/>
        <w:rPr>
          <w:szCs w:val="20"/>
        </w:rPr>
      </w:pPr>
      <w:r w:rsidRPr="00C15EFD">
        <w:rPr>
          <w:szCs w:val="20"/>
        </w:rPr>
        <w:t>Public reporting by the ACMA on the Standard’s outcomes will be an essential aspect of the post-implementation phase. Reporting will detail key metrics, compliance levels, and any identified areas of concern. Actively seeking input from industry stakeholders, consumer groups and the general public will ensure diverse perspectives on the Standard's impact. This iterative process of reporting and consultation will contribute to the ongoing refinement and improvement of the Standard, ensuring that it remains effective and responsive to evolving challenges.</w:t>
      </w:r>
    </w:p>
    <w:p w14:paraId="1945D2DC" w14:textId="77777777" w:rsidR="001F4145" w:rsidRDefault="001F4145" w:rsidP="00B73A72">
      <w:pPr>
        <w:suppressAutoHyphens/>
        <w:rPr>
          <w:rFonts w:cs="Arial"/>
          <w:szCs w:val="20"/>
        </w:rPr>
      </w:pPr>
    </w:p>
    <w:p w14:paraId="2A340B28" w14:textId="77777777" w:rsidR="00653C4C" w:rsidRDefault="00653C4C" w:rsidP="00B73A72">
      <w:pPr>
        <w:suppressAutoHyphens/>
        <w:rPr>
          <w:rFonts w:cs="Arial"/>
          <w:szCs w:val="20"/>
        </w:rPr>
      </w:pPr>
    </w:p>
    <w:p w14:paraId="61C77AD8" w14:textId="77777777" w:rsidR="00653C4C" w:rsidRDefault="00653C4C" w:rsidP="00B73A72">
      <w:pPr>
        <w:suppressAutoHyphens/>
        <w:rPr>
          <w:rFonts w:cs="Arial"/>
          <w:szCs w:val="20"/>
        </w:rPr>
      </w:pPr>
    </w:p>
    <w:p w14:paraId="7E2658F1" w14:textId="77777777" w:rsidR="00653C4C" w:rsidRDefault="00653C4C" w:rsidP="00B73A72">
      <w:pPr>
        <w:suppressAutoHyphens/>
        <w:rPr>
          <w:rFonts w:cs="Arial"/>
          <w:szCs w:val="20"/>
        </w:rPr>
      </w:pPr>
    </w:p>
    <w:p w14:paraId="457D52D3" w14:textId="77777777" w:rsidR="00653C4C" w:rsidRDefault="00653C4C" w:rsidP="00B73A72">
      <w:pPr>
        <w:suppressAutoHyphens/>
        <w:rPr>
          <w:rFonts w:cs="Arial"/>
          <w:szCs w:val="20"/>
        </w:rPr>
      </w:pPr>
    </w:p>
    <w:p w14:paraId="4027A616" w14:textId="0CF2463D" w:rsidR="00653C4C" w:rsidRDefault="00653C4C" w:rsidP="00B73A72">
      <w:pPr>
        <w:suppressAutoHyphens/>
        <w:rPr>
          <w:rFonts w:cs="Arial"/>
          <w:szCs w:val="20"/>
        </w:rPr>
        <w:sectPr w:rsidR="00653C4C" w:rsidSect="00083B2C">
          <w:headerReference w:type="even" r:id="rId38"/>
          <w:headerReference w:type="default" r:id="rId39"/>
          <w:footerReference w:type="even" r:id="rId40"/>
          <w:footerReference w:type="default" r:id="rId41"/>
          <w:pgSz w:w="11906" w:h="16838" w:code="9"/>
          <w:pgMar w:top="1945" w:right="3101" w:bottom="1134" w:left="1134" w:header="709" w:footer="119" w:gutter="0"/>
          <w:pgNumType w:start="1"/>
          <w:cols w:space="708"/>
          <w:docGrid w:linePitch="360"/>
        </w:sectPr>
      </w:pPr>
    </w:p>
    <w:p w14:paraId="71F98E33" w14:textId="71E5B285" w:rsidR="006D200E" w:rsidRDefault="006D200E" w:rsidP="006D200E">
      <w:pPr>
        <w:pStyle w:val="Heading1"/>
      </w:pPr>
      <w:bookmarkStart w:id="91" w:name="_Toc155686015"/>
      <w:bookmarkStart w:id="92" w:name="_Hlk153446091"/>
      <w:r>
        <w:lastRenderedPageBreak/>
        <w:t xml:space="preserve">Appendix </w:t>
      </w:r>
      <w:r w:rsidR="002C1BE7">
        <w:t>A</w:t>
      </w:r>
      <w:r>
        <w:t>: Costs and benefits inputs and data</w:t>
      </w:r>
      <w:bookmarkEnd w:id="91"/>
    </w:p>
    <w:p w14:paraId="0DD12FA5" w14:textId="77777777" w:rsidR="006D200E" w:rsidRDefault="006D200E" w:rsidP="006D200E">
      <w:pPr>
        <w:pStyle w:val="Heading2"/>
        <w:spacing w:after="120"/>
      </w:pPr>
      <w:bookmarkStart w:id="93" w:name="_Toc153270572"/>
      <w:bookmarkStart w:id="94" w:name="_Toc155686016"/>
      <w:bookmarkStart w:id="95" w:name="_Hlk153445634"/>
      <w:r>
        <w:t>Summary list of i</w:t>
      </w:r>
      <w:r w:rsidRPr="00160AB4">
        <w:t>dentified costs and benefits</w:t>
      </w:r>
      <w:bookmarkEnd w:id="93"/>
      <w:bookmarkEnd w:id="94"/>
    </w:p>
    <w:p w14:paraId="2D1D7CD2" w14:textId="7F9F5FAA" w:rsidR="006D200E" w:rsidRPr="00E66F44" w:rsidRDefault="006D200E" w:rsidP="006D200E">
      <w:pPr>
        <w:pStyle w:val="Paragraph"/>
      </w:pPr>
      <w:r>
        <w:t xml:space="preserve">The costs and benefits identified in the previous sections are collated in Table </w:t>
      </w:r>
      <w:r w:rsidR="003D27DB">
        <w:t>15</w:t>
      </w:r>
      <w:r>
        <w:t>.</w:t>
      </w:r>
    </w:p>
    <w:p w14:paraId="5F4A60C0" w14:textId="7B561593" w:rsidR="006D200E" w:rsidRDefault="006D200E" w:rsidP="003D27DB">
      <w:pPr>
        <w:pStyle w:val="Tableheading"/>
      </w:pPr>
      <w:r>
        <w:t>Summary of costs and benefits identified for each stakeholder group</w:t>
      </w:r>
    </w:p>
    <w:tbl>
      <w:tblPr>
        <w:tblStyle w:val="ACMAtablestyle"/>
        <w:tblW w:w="14940" w:type="dxa"/>
        <w:tblCellMar>
          <w:top w:w="85" w:type="dxa"/>
          <w:left w:w="57" w:type="dxa"/>
          <w:bottom w:w="85" w:type="dxa"/>
          <w:right w:w="57" w:type="dxa"/>
        </w:tblCellMar>
        <w:tblLook w:val="04A0" w:firstRow="1" w:lastRow="0" w:firstColumn="1" w:lastColumn="0" w:noHBand="0" w:noVBand="1"/>
      </w:tblPr>
      <w:tblGrid>
        <w:gridCol w:w="2400"/>
        <w:gridCol w:w="3120"/>
        <w:gridCol w:w="3120"/>
        <w:gridCol w:w="2554"/>
        <w:gridCol w:w="3746"/>
      </w:tblGrid>
      <w:tr w:rsidR="006D200E" w:rsidRPr="004120D1" w14:paraId="73BE9248" w14:textId="77777777" w:rsidTr="007B5360">
        <w:trPr>
          <w:cnfStyle w:val="100000000000" w:firstRow="1" w:lastRow="0" w:firstColumn="0" w:lastColumn="0" w:oddVBand="0" w:evenVBand="0" w:oddHBand="0" w:evenHBand="0" w:firstRowFirstColumn="0" w:firstRowLastColumn="0" w:lastRowFirstColumn="0" w:lastRowLastColumn="0"/>
          <w:trHeight w:val="76"/>
        </w:trPr>
        <w:tc>
          <w:tcPr>
            <w:tcW w:w="2400" w:type="dxa"/>
            <w:vMerge w:val="restart"/>
            <w:tcBorders>
              <w:right w:val="single" w:sz="4" w:space="0" w:color="auto"/>
            </w:tcBorders>
            <w:hideMark/>
          </w:tcPr>
          <w:p w14:paraId="01F64BF6" w14:textId="7F9E78FF" w:rsidR="006D200E" w:rsidRPr="004120D1" w:rsidRDefault="006D200E" w:rsidP="003C4D21">
            <w:pPr>
              <w:spacing w:after="0" w:line="240" w:lineRule="auto"/>
              <w:rPr>
                <w:rFonts w:cs="Arial"/>
                <w:b/>
                <w:bCs/>
                <w:szCs w:val="20"/>
              </w:rPr>
            </w:pPr>
            <w:r w:rsidRPr="004120D1">
              <w:rPr>
                <w:rFonts w:cs="Arial"/>
                <w:b/>
                <w:bCs/>
                <w:szCs w:val="20"/>
              </w:rPr>
              <w:t> Stakeholder group</w:t>
            </w:r>
          </w:p>
        </w:tc>
        <w:tc>
          <w:tcPr>
            <w:tcW w:w="6240" w:type="dxa"/>
            <w:gridSpan w:val="2"/>
            <w:tcBorders>
              <w:left w:val="single" w:sz="4" w:space="0" w:color="auto"/>
              <w:right w:val="single" w:sz="4" w:space="0" w:color="auto"/>
            </w:tcBorders>
            <w:hideMark/>
          </w:tcPr>
          <w:p w14:paraId="60CCD157" w14:textId="77777777" w:rsidR="006D200E" w:rsidRPr="004120D1" w:rsidRDefault="006D200E" w:rsidP="00832BE0">
            <w:pPr>
              <w:spacing w:after="0" w:line="240" w:lineRule="auto"/>
              <w:jc w:val="center"/>
              <w:rPr>
                <w:rFonts w:cs="Arial"/>
                <w:b/>
                <w:bCs/>
                <w:szCs w:val="20"/>
              </w:rPr>
            </w:pPr>
            <w:r w:rsidRPr="004120D1">
              <w:rPr>
                <w:rFonts w:cs="Arial"/>
                <w:b/>
                <w:bCs/>
                <w:szCs w:val="20"/>
              </w:rPr>
              <w:t>Option 2A relative to the base case</w:t>
            </w:r>
          </w:p>
        </w:tc>
        <w:tc>
          <w:tcPr>
            <w:tcW w:w="6300" w:type="dxa"/>
            <w:gridSpan w:val="2"/>
            <w:tcBorders>
              <w:left w:val="single" w:sz="4" w:space="0" w:color="auto"/>
            </w:tcBorders>
            <w:hideMark/>
          </w:tcPr>
          <w:p w14:paraId="2C87E08F" w14:textId="77777777" w:rsidR="006D200E" w:rsidRPr="004120D1" w:rsidRDefault="006D200E" w:rsidP="00832BE0">
            <w:pPr>
              <w:spacing w:after="0" w:line="240" w:lineRule="auto"/>
              <w:jc w:val="center"/>
              <w:rPr>
                <w:rFonts w:cs="Arial"/>
                <w:b/>
                <w:bCs/>
                <w:szCs w:val="20"/>
              </w:rPr>
            </w:pPr>
            <w:r w:rsidRPr="004120D1">
              <w:rPr>
                <w:rFonts w:cs="Arial"/>
                <w:b/>
                <w:bCs/>
                <w:szCs w:val="20"/>
              </w:rPr>
              <w:t>Option 2B relative to the base case</w:t>
            </w:r>
          </w:p>
        </w:tc>
      </w:tr>
      <w:tr w:rsidR="006D200E" w:rsidRPr="004120D1" w14:paraId="01A7B01C" w14:textId="77777777" w:rsidTr="007B5360">
        <w:trPr>
          <w:cnfStyle w:val="000000100000" w:firstRow="0" w:lastRow="0" w:firstColumn="0" w:lastColumn="0" w:oddVBand="0" w:evenVBand="0" w:oddHBand="1" w:evenHBand="0" w:firstRowFirstColumn="0" w:firstRowLastColumn="0" w:lastRowFirstColumn="0" w:lastRowLastColumn="0"/>
          <w:trHeight w:val="154"/>
        </w:trPr>
        <w:tc>
          <w:tcPr>
            <w:tcW w:w="2400" w:type="dxa"/>
            <w:vMerge/>
            <w:hideMark/>
          </w:tcPr>
          <w:p w14:paraId="70FEC72B" w14:textId="77777777" w:rsidR="006D200E" w:rsidRPr="004120D1" w:rsidRDefault="006D200E" w:rsidP="003C4D21">
            <w:pPr>
              <w:spacing w:after="0" w:line="240" w:lineRule="auto"/>
              <w:rPr>
                <w:rFonts w:cs="Arial"/>
                <w:b/>
                <w:bCs/>
                <w:color w:val="FFFFFF" w:themeColor="background1"/>
                <w:szCs w:val="20"/>
              </w:rPr>
            </w:pPr>
          </w:p>
        </w:tc>
        <w:tc>
          <w:tcPr>
            <w:tcW w:w="3120" w:type="dxa"/>
            <w:shd w:val="clear" w:color="auto" w:fill="404040"/>
            <w:hideMark/>
          </w:tcPr>
          <w:p w14:paraId="792BB5ED" w14:textId="77777777" w:rsidR="006D200E" w:rsidRPr="004120D1" w:rsidRDefault="006D200E" w:rsidP="003C4D21">
            <w:pPr>
              <w:spacing w:after="0" w:line="240" w:lineRule="auto"/>
              <w:rPr>
                <w:rFonts w:cs="Arial"/>
                <w:b/>
                <w:bCs/>
                <w:color w:val="FFFFFF" w:themeColor="background1"/>
                <w:szCs w:val="20"/>
              </w:rPr>
            </w:pPr>
            <w:r w:rsidRPr="004120D1">
              <w:rPr>
                <w:rFonts w:cs="Arial"/>
                <w:b/>
                <w:bCs/>
                <w:color w:val="FFFFFF" w:themeColor="background1"/>
                <w:szCs w:val="20"/>
              </w:rPr>
              <w:t xml:space="preserve">Cost </w:t>
            </w:r>
          </w:p>
        </w:tc>
        <w:tc>
          <w:tcPr>
            <w:tcW w:w="3120" w:type="dxa"/>
            <w:shd w:val="clear" w:color="auto" w:fill="404040"/>
            <w:hideMark/>
          </w:tcPr>
          <w:p w14:paraId="1CEF484D" w14:textId="77777777" w:rsidR="006D200E" w:rsidRPr="004120D1" w:rsidRDefault="006D200E" w:rsidP="003C4D21">
            <w:pPr>
              <w:spacing w:after="0" w:line="240" w:lineRule="auto"/>
              <w:rPr>
                <w:rFonts w:cs="Arial"/>
                <w:b/>
                <w:bCs/>
                <w:color w:val="FFFFFF" w:themeColor="background1"/>
                <w:szCs w:val="20"/>
              </w:rPr>
            </w:pPr>
            <w:r w:rsidRPr="004120D1">
              <w:rPr>
                <w:rFonts w:cs="Arial"/>
                <w:b/>
                <w:bCs/>
                <w:color w:val="FFFFFF" w:themeColor="background1"/>
                <w:szCs w:val="20"/>
              </w:rPr>
              <w:t>Benefit</w:t>
            </w:r>
          </w:p>
        </w:tc>
        <w:tc>
          <w:tcPr>
            <w:tcW w:w="2554" w:type="dxa"/>
            <w:shd w:val="clear" w:color="auto" w:fill="404040"/>
            <w:hideMark/>
          </w:tcPr>
          <w:p w14:paraId="22B5678C" w14:textId="77777777" w:rsidR="006D200E" w:rsidRPr="004120D1" w:rsidRDefault="006D200E" w:rsidP="003C4D21">
            <w:pPr>
              <w:spacing w:after="0" w:line="240" w:lineRule="auto"/>
              <w:rPr>
                <w:rFonts w:cs="Arial"/>
                <w:b/>
                <w:bCs/>
                <w:color w:val="FFFFFF" w:themeColor="background1"/>
                <w:szCs w:val="20"/>
              </w:rPr>
            </w:pPr>
            <w:r w:rsidRPr="004120D1">
              <w:rPr>
                <w:rFonts w:cs="Arial"/>
                <w:b/>
                <w:bCs/>
                <w:color w:val="FFFFFF" w:themeColor="background1"/>
                <w:szCs w:val="20"/>
              </w:rPr>
              <w:t xml:space="preserve">Cost </w:t>
            </w:r>
          </w:p>
        </w:tc>
        <w:tc>
          <w:tcPr>
            <w:tcW w:w="3746" w:type="dxa"/>
            <w:shd w:val="clear" w:color="auto" w:fill="404040"/>
            <w:hideMark/>
          </w:tcPr>
          <w:p w14:paraId="24523AD4" w14:textId="77777777" w:rsidR="006D200E" w:rsidRPr="004120D1" w:rsidRDefault="006D200E" w:rsidP="003C4D21">
            <w:pPr>
              <w:spacing w:after="0" w:line="240" w:lineRule="auto"/>
              <w:rPr>
                <w:rFonts w:cs="Arial"/>
                <w:b/>
                <w:bCs/>
                <w:color w:val="FFFFFF" w:themeColor="background1"/>
                <w:szCs w:val="20"/>
              </w:rPr>
            </w:pPr>
            <w:r w:rsidRPr="004120D1">
              <w:rPr>
                <w:rFonts w:cs="Arial"/>
                <w:b/>
                <w:bCs/>
                <w:color w:val="FFFFFF" w:themeColor="background1"/>
                <w:szCs w:val="20"/>
              </w:rPr>
              <w:t>Benefit</w:t>
            </w:r>
          </w:p>
        </w:tc>
      </w:tr>
      <w:tr w:rsidR="006D200E" w:rsidRPr="00FD4065" w14:paraId="42AD0B38" w14:textId="77777777" w:rsidTr="003C4D21">
        <w:trPr>
          <w:cnfStyle w:val="000000010000" w:firstRow="0" w:lastRow="0" w:firstColumn="0" w:lastColumn="0" w:oddVBand="0" w:evenVBand="0" w:oddHBand="0" w:evenHBand="1" w:firstRowFirstColumn="0" w:firstRowLastColumn="0" w:lastRowFirstColumn="0" w:lastRowLastColumn="0"/>
          <w:trHeight w:val="1095"/>
        </w:trPr>
        <w:tc>
          <w:tcPr>
            <w:tcW w:w="2400" w:type="dxa"/>
            <w:hideMark/>
          </w:tcPr>
          <w:p w14:paraId="191BD487" w14:textId="77777777" w:rsidR="006D200E" w:rsidRPr="00FD4065" w:rsidRDefault="006D200E" w:rsidP="003C4D21">
            <w:pPr>
              <w:spacing w:after="0" w:line="240" w:lineRule="auto"/>
              <w:rPr>
                <w:rFonts w:cs="Arial"/>
                <w:b/>
                <w:bCs/>
                <w:color w:val="000000"/>
                <w:szCs w:val="20"/>
              </w:rPr>
            </w:pPr>
            <w:r w:rsidRPr="00FD4065">
              <w:rPr>
                <w:rFonts w:cs="Arial"/>
                <w:b/>
                <w:bCs/>
                <w:color w:val="000000"/>
                <w:szCs w:val="20"/>
              </w:rPr>
              <w:t>Government (ACMA)</w:t>
            </w:r>
          </w:p>
        </w:tc>
        <w:tc>
          <w:tcPr>
            <w:tcW w:w="3120" w:type="dxa"/>
          </w:tcPr>
          <w:p w14:paraId="5BB4F4EB" w14:textId="60235BAC" w:rsidR="006D200E" w:rsidRPr="0091213A" w:rsidRDefault="006D200E" w:rsidP="003C4D21">
            <w:pPr>
              <w:spacing w:after="80" w:line="240" w:lineRule="auto"/>
              <w:rPr>
                <w:rFonts w:cs="Arial"/>
                <w:color w:val="000000"/>
                <w:szCs w:val="20"/>
              </w:rPr>
            </w:pPr>
            <w:r w:rsidRPr="0091213A">
              <w:rPr>
                <w:rFonts w:cs="Arial"/>
                <w:color w:val="000000"/>
                <w:szCs w:val="20"/>
              </w:rPr>
              <w:t xml:space="preserve">Establishment of new </w:t>
            </w:r>
            <w:r w:rsidR="00C52E9A">
              <w:rPr>
                <w:rFonts w:cs="Arial"/>
                <w:color w:val="000000"/>
                <w:szCs w:val="20"/>
              </w:rPr>
              <w:t>S</w:t>
            </w:r>
            <w:r w:rsidRPr="0091213A">
              <w:rPr>
                <w:rFonts w:cs="Arial"/>
                <w:color w:val="000000"/>
                <w:szCs w:val="20"/>
              </w:rPr>
              <w:t>tandard</w:t>
            </w:r>
          </w:p>
          <w:p w14:paraId="4824B15A" w14:textId="4780ADC0" w:rsidR="006D200E" w:rsidRPr="0091213A" w:rsidRDefault="006D200E" w:rsidP="003C4D21">
            <w:pPr>
              <w:spacing w:after="80" w:line="240" w:lineRule="auto"/>
              <w:rPr>
                <w:rFonts w:cs="Arial"/>
                <w:color w:val="000000"/>
                <w:szCs w:val="20"/>
              </w:rPr>
            </w:pPr>
            <w:r w:rsidRPr="0091213A">
              <w:rPr>
                <w:rFonts w:cs="Arial"/>
                <w:color w:val="000000"/>
                <w:szCs w:val="20"/>
              </w:rPr>
              <w:t xml:space="preserve">Enforcement of new </w:t>
            </w:r>
            <w:r w:rsidR="00C52E9A">
              <w:rPr>
                <w:rFonts w:cs="Arial"/>
                <w:color w:val="000000"/>
                <w:szCs w:val="20"/>
              </w:rPr>
              <w:t>S</w:t>
            </w:r>
            <w:r w:rsidRPr="0091213A">
              <w:rPr>
                <w:rFonts w:cs="Arial"/>
                <w:color w:val="000000"/>
                <w:szCs w:val="20"/>
              </w:rPr>
              <w:t>tandard</w:t>
            </w:r>
          </w:p>
          <w:p w14:paraId="42B4A0E9" w14:textId="77777777" w:rsidR="006D200E" w:rsidRPr="00FD4065" w:rsidRDefault="006D200E" w:rsidP="003C4D21">
            <w:pPr>
              <w:spacing w:after="0" w:line="240" w:lineRule="auto"/>
              <w:rPr>
                <w:rFonts w:cs="Arial"/>
                <w:color w:val="000000"/>
                <w:szCs w:val="20"/>
              </w:rPr>
            </w:pPr>
            <w:r w:rsidRPr="0091213A">
              <w:rPr>
                <w:rFonts w:cs="Arial"/>
                <w:color w:val="000000"/>
                <w:szCs w:val="20"/>
              </w:rPr>
              <w:t>More education for both industry and consumers</w:t>
            </w:r>
          </w:p>
        </w:tc>
        <w:tc>
          <w:tcPr>
            <w:tcW w:w="3120" w:type="dxa"/>
            <w:hideMark/>
          </w:tcPr>
          <w:p w14:paraId="268DF4F8" w14:textId="77777777" w:rsidR="006D200E" w:rsidRPr="00FD4065" w:rsidRDefault="006D200E" w:rsidP="003C4D21">
            <w:pPr>
              <w:spacing w:after="0" w:line="240" w:lineRule="auto"/>
              <w:rPr>
                <w:rFonts w:cs="Arial"/>
                <w:color w:val="000000"/>
                <w:szCs w:val="20"/>
              </w:rPr>
            </w:pPr>
            <w:r w:rsidRPr="00FD4065">
              <w:rPr>
                <w:rFonts w:cs="Arial"/>
                <w:color w:val="000000"/>
                <w:szCs w:val="20"/>
              </w:rPr>
              <w:t>Reduced numbers of complaints to regulator</w:t>
            </w:r>
          </w:p>
        </w:tc>
        <w:tc>
          <w:tcPr>
            <w:tcW w:w="2554" w:type="dxa"/>
            <w:hideMark/>
          </w:tcPr>
          <w:p w14:paraId="2EFB9E45" w14:textId="2E96778B" w:rsidR="006D200E" w:rsidRPr="00FD4065" w:rsidRDefault="006D200E" w:rsidP="003C4D21">
            <w:pPr>
              <w:spacing w:after="80" w:line="240" w:lineRule="auto"/>
              <w:rPr>
                <w:rFonts w:cs="Arial"/>
                <w:color w:val="000000"/>
                <w:szCs w:val="20"/>
              </w:rPr>
            </w:pPr>
            <w:r w:rsidRPr="00FD4065">
              <w:rPr>
                <w:rFonts w:cs="Arial"/>
                <w:color w:val="000000"/>
                <w:szCs w:val="20"/>
              </w:rPr>
              <w:t xml:space="preserve">Establishment of new </w:t>
            </w:r>
            <w:r w:rsidR="00C52E9A">
              <w:rPr>
                <w:rFonts w:cs="Arial"/>
                <w:color w:val="000000"/>
                <w:szCs w:val="20"/>
              </w:rPr>
              <w:t>S</w:t>
            </w:r>
            <w:r w:rsidRPr="00FD4065">
              <w:rPr>
                <w:rFonts w:cs="Arial"/>
                <w:color w:val="000000"/>
                <w:szCs w:val="20"/>
              </w:rPr>
              <w:t>tandard</w:t>
            </w:r>
          </w:p>
          <w:p w14:paraId="05F37E2F" w14:textId="5D74CC56" w:rsidR="006D200E" w:rsidRPr="00FD4065" w:rsidRDefault="006D200E" w:rsidP="003C4D21">
            <w:pPr>
              <w:spacing w:after="0" w:line="240" w:lineRule="auto"/>
              <w:rPr>
                <w:rFonts w:cs="Arial"/>
                <w:color w:val="000000"/>
                <w:szCs w:val="20"/>
              </w:rPr>
            </w:pPr>
            <w:r w:rsidRPr="00FD4065">
              <w:rPr>
                <w:rFonts w:cs="Arial"/>
                <w:color w:val="000000"/>
                <w:szCs w:val="20"/>
              </w:rPr>
              <w:t xml:space="preserve">Enforcement of new </w:t>
            </w:r>
            <w:r w:rsidR="00C52E9A">
              <w:rPr>
                <w:rFonts w:cs="Arial"/>
                <w:color w:val="000000"/>
                <w:szCs w:val="20"/>
              </w:rPr>
              <w:t>S</w:t>
            </w:r>
            <w:r w:rsidRPr="00FD4065">
              <w:rPr>
                <w:rFonts w:cs="Arial"/>
                <w:color w:val="000000"/>
                <w:szCs w:val="20"/>
              </w:rPr>
              <w:t>tandard</w:t>
            </w:r>
            <w:r w:rsidRPr="00FD4065">
              <w:rPr>
                <w:rFonts w:ascii="Calibri" w:hAnsi="Calibri" w:cs="Calibri"/>
                <w:color w:val="000000"/>
                <w:sz w:val="22"/>
                <w:szCs w:val="22"/>
              </w:rPr>
              <w:t> </w:t>
            </w:r>
          </w:p>
        </w:tc>
        <w:tc>
          <w:tcPr>
            <w:tcW w:w="3746" w:type="dxa"/>
            <w:hideMark/>
          </w:tcPr>
          <w:p w14:paraId="693C7EA1" w14:textId="77777777" w:rsidR="006D200E" w:rsidRPr="00FD4065" w:rsidRDefault="006D200E" w:rsidP="003C4D21">
            <w:pPr>
              <w:spacing w:after="80" w:line="240" w:lineRule="auto"/>
              <w:rPr>
                <w:rFonts w:cs="Arial"/>
                <w:color w:val="000000"/>
                <w:szCs w:val="20"/>
              </w:rPr>
            </w:pPr>
            <w:r w:rsidRPr="00FD4065">
              <w:rPr>
                <w:rFonts w:cs="Arial"/>
                <w:color w:val="000000"/>
                <w:szCs w:val="20"/>
              </w:rPr>
              <w:t>Reduced numbers of complaints to regulator</w:t>
            </w:r>
          </w:p>
          <w:p w14:paraId="50D2D11C" w14:textId="760690A0" w:rsidR="006D200E" w:rsidRPr="00FD4065" w:rsidRDefault="006D200E" w:rsidP="003C4D21">
            <w:pPr>
              <w:spacing w:after="0" w:line="240" w:lineRule="auto"/>
              <w:rPr>
                <w:rFonts w:cs="Arial"/>
                <w:color w:val="000000"/>
                <w:szCs w:val="20"/>
              </w:rPr>
            </w:pPr>
            <w:r w:rsidRPr="00FD4065">
              <w:rPr>
                <w:rFonts w:cs="Arial"/>
                <w:color w:val="000000"/>
                <w:szCs w:val="20"/>
              </w:rPr>
              <w:t>(</w:t>
            </w:r>
            <w:r w:rsidR="00A05A0C">
              <w:rPr>
                <w:rFonts w:cs="Arial"/>
                <w:color w:val="000000"/>
                <w:szCs w:val="20"/>
              </w:rPr>
              <w:t>O</w:t>
            </w:r>
            <w:r w:rsidRPr="00FD4065">
              <w:rPr>
                <w:rFonts w:cs="Arial"/>
                <w:color w:val="000000"/>
                <w:szCs w:val="20"/>
              </w:rPr>
              <w:t>ption 2</w:t>
            </w:r>
            <w:r w:rsidR="00A05A0C">
              <w:rPr>
                <w:rFonts w:cs="Arial"/>
                <w:color w:val="000000"/>
                <w:szCs w:val="20"/>
              </w:rPr>
              <w:t>B</w:t>
            </w:r>
            <w:r w:rsidRPr="00FD4065">
              <w:rPr>
                <w:rFonts w:cs="Arial"/>
                <w:color w:val="000000"/>
                <w:szCs w:val="20"/>
              </w:rPr>
              <w:t xml:space="preserve"> – dealt with quickly)  as its easier to enforce than 2A </w:t>
            </w:r>
            <w:r w:rsidRPr="00FD4065">
              <w:rPr>
                <w:rFonts w:cs="Arial"/>
                <w:color w:val="FF0000"/>
                <w:szCs w:val="20"/>
              </w:rPr>
              <w:t> </w:t>
            </w:r>
          </w:p>
        </w:tc>
      </w:tr>
      <w:tr w:rsidR="006D200E" w:rsidRPr="00FD4065" w14:paraId="504B2F12" w14:textId="77777777" w:rsidTr="003C4D21">
        <w:trPr>
          <w:cnfStyle w:val="000000100000" w:firstRow="0" w:lastRow="0" w:firstColumn="0" w:lastColumn="0" w:oddVBand="0" w:evenVBand="0" w:oddHBand="1" w:evenHBand="0" w:firstRowFirstColumn="0" w:firstRowLastColumn="0" w:lastRowFirstColumn="0" w:lastRowLastColumn="0"/>
          <w:trHeight w:val="364"/>
        </w:trPr>
        <w:tc>
          <w:tcPr>
            <w:tcW w:w="2400" w:type="dxa"/>
            <w:hideMark/>
          </w:tcPr>
          <w:p w14:paraId="03943A57" w14:textId="77777777" w:rsidR="006D200E" w:rsidRPr="00FD4065" w:rsidRDefault="006D200E" w:rsidP="003C4D21">
            <w:pPr>
              <w:spacing w:after="0" w:line="240" w:lineRule="auto"/>
              <w:rPr>
                <w:rFonts w:cs="Arial"/>
                <w:b/>
                <w:bCs/>
                <w:color w:val="000000"/>
                <w:szCs w:val="20"/>
              </w:rPr>
            </w:pPr>
            <w:r w:rsidRPr="00FD4065">
              <w:rPr>
                <w:rFonts w:cs="Arial"/>
                <w:b/>
                <w:bCs/>
                <w:color w:val="000000"/>
                <w:szCs w:val="20"/>
              </w:rPr>
              <w:t>Telecommunications Industry Ombudsman</w:t>
            </w:r>
          </w:p>
        </w:tc>
        <w:tc>
          <w:tcPr>
            <w:tcW w:w="3120" w:type="dxa"/>
            <w:hideMark/>
          </w:tcPr>
          <w:p w14:paraId="688ECAA9" w14:textId="77777777" w:rsidR="006D200E" w:rsidRPr="00FD4065" w:rsidRDefault="006D200E" w:rsidP="003C4D21">
            <w:pPr>
              <w:spacing w:after="0" w:line="240" w:lineRule="auto"/>
              <w:rPr>
                <w:rFonts w:cs="Arial"/>
                <w:color w:val="000000"/>
                <w:szCs w:val="20"/>
              </w:rPr>
            </w:pPr>
            <w:r w:rsidRPr="00FD4065">
              <w:rPr>
                <w:rFonts w:cs="Arial"/>
                <w:color w:val="000000"/>
                <w:szCs w:val="20"/>
              </w:rPr>
              <w:t> </w:t>
            </w:r>
          </w:p>
        </w:tc>
        <w:tc>
          <w:tcPr>
            <w:tcW w:w="3120" w:type="dxa"/>
            <w:hideMark/>
          </w:tcPr>
          <w:p w14:paraId="490191EE" w14:textId="77777777" w:rsidR="006D200E" w:rsidRPr="00FD4065" w:rsidRDefault="006D200E" w:rsidP="003C4D21">
            <w:pPr>
              <w:spacing w:after="0" w:line="240" w:lineRule="auto"/>
              <w:rPr>
                <w:rFonts w:cs="Arial"/>
                <w:color w:val="000000"/>
                <w:szCs w:val="20"/>
              </w:rPr>
            </w:pPr>
            <w:r w:rsidRPr="00FD4065">
              <w:rPr>
                <w:rFonts w:cs="Arial"/>
                <w:color w:val="000000"/>
                <w:szCs w:val="20"/>
              </w:rPr>
              <w:t>Reduced numbers of complaints to TIO</w:t>
            </w:r>
          </w:p>
        </w:tc>
        <w:tc>
          <w:tcPr>
            <w:tcW w:w="2554" w:type="dxa"/>
            <w:hideMark/>
          </w:tcPr>
          <w:p w14:paraId="5C483DD0" w14:textId="77777777" w:rsidR="006D200E" w:rsidRPr="00FD4065" w:rsidRDefault="006D200E" w:rsidP="003C4D21">
            <w:pPr>
              <w:spacing w:after="0" w:line="240" w:lineRule="auto"/>
              <w:rPr>
                <w:rFonts w:cs="Arial"/>
                <w:color w:val="000000"/>
                <w:szCs w:val="20"/>
              </w:rPr>
            </w:pPr>
            <w:r w:rsidRPr="00FD4065">
              <w:rPr>
                <w:rFonts w:cs="Arial"/>
                <w:color w:val="000000"/>
                <w:szCs w:val="20"/>
              </w:rPr>
              <w:t> </w:t>
            </w:r>
          </w:p>
        </w:tc>
        <w:tc>
          <w:tcPr>
            <w:tcW w:w="3746" w:type="dxa"/>
            <w:hideMark/>
          </w:tcPr>
          <w:p w14:paraId="5A78330C" w14:textId="77777777" w:rsidR="006D200E" w:rsidRPr="00FD4065" w:rsidRDefault="006D200E" w:rsidP="003C4D21">
            <w:pPr>
              <w:spacing w:after="0" w:line="240" w:lineRule="auto"/>
              <w:rPr>
                <w:rFonts w:cs="Arial"/>
                <w:color w:val="000000"/>
                <w:szCs w:val="20"/>
              </w:rPr>
            </w:pPr>
            <w:r w:rsidRPr="00FD4065">
              <w:rPr>
                <w:rFonts w:cs="Arial"/>
                <w:color w:val="000000"/>
                <w:szCs w:val="20"/>
              </w:rPr>
              <w:t>Reduced numbers of complaints to TIO</w:t>
            </w:r>
          </w:p>
        </w:tc>
      </w:tr>
      <w:tr w:rsidR="006D200E" w:rsidRPr="00FD4065" w14:paraId="47C03BE7" w14:textId="77777777" w:rsidTr="003C4D21">
        <w:trPr>
          <w:cnfStyle w:val="000000010000" w:firstRow="0" w:lastRow="0" w:firstColumn="0" w:lastColumn="0" w:oddVBand="0" w:evenVBand="0" w:oddHBand="0" w:evenHBand="1" w:firstRowFirstColumn="0" w:firstRowLastColumn="0" w:lastRowFirstColumn="0" w:lastRowLastColumn="0"/>
          <w:trHeight w:val="1117"/>
        </w:trPr>
        <w:tc>
          <w:tcPr>
            <w:tcW w:w="2400" w:type="dxa"/>
            <w:hideMark/>
          </w:tcPr>
          <w:p w14:paraId="6F59ABF7" w14:textId="77777777" w:rsidR="006D200E" w:rsidRPr="00FD4065" w:rsidRDefault="006D200E" w:rsidP="003C4D21">
            <w:pPr>
              <w:spacing w:after="0" w:line="240" w:lineRule="auto"/>
              <w:rPr>
                <w:rFonts w:cs="Arial"/>
                <w:b/>
                <w:bCs/>
                <w:color w:val="000000"/>
                <w:szCs w:val="20"/>
              </w:rPr>
            </w:pPr>
            <w:r w:rsidRPr="00FD4065">
              <w:rPr>
                <w:rFonts w:cs="Arial"/>
                <w:b/>
                <w:bCs/>
                <w:color w:val="000000"/>
                <w:szCs w:val="20"/>
              </w:rPr>
              <w:t xml:space="preserve">CSPs </w:t>
            </w:r>
            <w:r w:rsidRPr="00FD4065">
              <w:rPr>
                <w:rFonts w:cs="Arial"/>
                <w:b/>
                <w:bCs/>
                <w:color w:val="000000"/>
                <w:szCs w:val="20"/>
              </w:rPr>
              <w:br/>
              <w:t>~350</w:t>
            </w:r>
          </w:p>
        </w:tc>
        <w:tc>
          <w:tcPr>
            <w:tcW w:w="3120" w:type="dxa"/>
            <w:hideMark/>
          </w:tcPr>
          <w:p w14:paraId="5E27082F" w14:textId="64CFEBF6" w:rsidR="006D200E" w:rsidRPr="00FD4065" w:rsidRDefault="006D200E" w:rsidP="003C4D21">
            <w:pPr>
              <w:spacing w:after="80" w:line="240" w:lineRule="auto"/>
              <w:rPr>
                <w:rFonts w:cs="Arial"/>
                <w:color w:val="000000"/>
                <w:szCs w:val="20"/>
              </w:rPr>
            </w:pPr>
            <w:r w:rsidRPr="00FD4065">
              <w:rPr>
                <w:rFonts w:cs="Arial"/>
                <w:color w:val="000000"/>
                <w:szCs w:val="20"/>
              </w:rPr>
              <w:t xml:space="preserve">Change over costs to meet new </w:t>
            </w:r>
            <w:r w:rsidR="00C52E9A">
              <w:rPr>
                <w:rFonts w:cs="Arial"/>
                <w:color w:val="000000"/>
                <w:szCs w:val="20"/>
              </w:rPr>
              <w:t>S</w:t>
            </w:r>
            <w:r w:rsidRPr="00FD4065">
              <w:rPr>
                <w:rFonts w:cs="Arial"/>
                <w:color w:val="000000"/>
                <w:szCs w:val="20"/>
              </w:rPr>
              <w:t>tandard</w:t>
            </w:r>
          </w:p>
          <w:p w14:paraId="1A71CAD1" w14:textId="179C2BB7" w:rsidR="006D200E" w:rsidRPr="00FD4065" w:rsidRDefault="006D200E" w:rsidP="003C4D21">
            <w:pPr>
              <w:spacing w:after="0" w:line="240" w:lineRule="auto"/>
              <w:rPr>
                <w:rFonts w:cs="Arial"/>
                <w:color w:val="000000"/>
                <w:szCs w:val="20"/>
              </w:rPr>
            </w:pPr>
            <w:r w:rsidRPr="00FD4065">
              <w:rPr>
                <w:rFonts w:cs="Arial"/>
                <w:color w:val="000000"/>
                <w:szCs w:val="20"/>
              </w:rPr>
              <w:t xml:space="preserve">Ongoing costs to meet new </w:t>
            </w:r>
            <w:r w:rsidR="00C52E9A">
              <w:rPr>
                <w:rFonts w:cs="Arial"/>
                <w:color w:val="000000"/>
                <w:szCs w:val="20"/>
              </w:rPr>
              <w:t>S</w:t>
            </w:r>
            <w:r w:rsidRPr="00FD4065">
              <w:rPr>
                <w:rFonts w:cs="Arial"/>
                <w:color w:val="000000"/>
                <w:szCs w:val="20"/>
              </w:rPr>
              <w:t>tandard (engage with FH customers)</w:t>
            </w:r>
            <w:r w:rsidRPr="00FD4065">
              <w:rPr>
                <w:rFonts w:ascii="Calibri" w:hAnsi="Calibri" w:cs="Calibri"/>
                <w:color w:val="000000"/>
                <w:sz w:val="22"/>
                <w:szCs w:val="22"/>
              </w:rPr>
              <w:t> </w:t>
            </w:r>
          </w:p>
        </w:tc>
        <w:tc>
          <w:tcPr>
            <w:tcW w:w="3120" w:type="dxa"/>
            <w:hideMark/>
          </w:tcPr>
          <w:p w14:paraId="1A7E824E" w14:textId="77777777" w:rsidR="006D200E" w:rsidRPr="00FD4065" w:rsidRDefault="006D200E" w:rsidP="003C4D21">
            <w:pPr>
              <w:spacing w:after="80" w:line="240" w:lineRule="auto"/>
              <w:rPr>
                <w:rFonts w:cs="Arial"/>
                <w:color w:val="000000"/>
                <w:szCs w:val="20"/>
              </w:rPr>
            </w:pPr>
            <w:r w:rsidRPr="00FD4065">
              <w:rPr>
                <w:rFonts w:cs="Arial"/>
                <w:color w:val="000000"/>
                <w:szCs w:val="20"/>
              </w:rPr>
              <w:t>Reduced complaints to CSP</w:t>
            </w:r>
          </w:p>
          <w:p w14:paraId="02599DAA" w14:textId="77777777" w:rsidR="006D200E" w:rsidRPr="00FD4065" w:rsidRDefault="006D200E" w:rsidP="003C4D21">
            <w:pPr>
              <w:spacing w:after="80" w:line="240" w:lineRule="auto"/>
              <w:rPr>
                <w:rFonts w:cs="Arial"/>
                <w:color w:val="000000"/>
                <w:szCs w:val="20"/>
              </w:rPr>
            </w:pPr>
            <w:r w:rsidRPr="00FD4065">
              <w:rPr>
                <w:rFonts w:cs="Arial"/>
                <w:color w:val="000000"/>
                <w:szCs w:val="20"/>
              </w:rPr>
              <w:t>Reduced debt collection costs</w:t>
            </w:r>
          </w:p>
          <w:p w14:paraId="4302467E" w14:textId="77777777" w:rsidR="006D200E" w:rsidRPr="00FD4065" w:rsidRDefault="006D200E" w:rsidP="003C4D21">
            <w:pPr>
              <w:spacing w:after="80" w:line="240" w:lineRule="auto"/>
              <w:rPr>
                <w:rFonts w:cs="Arial"/>
                <w:color w:val="000000"/>
                <w:szCs w:val="20"/>
              </w:rPr>
            </w:pPr>
            <w:r w:rsidRPr="00FD4065">
              <w:rPr>
                <w:rFonts w:cs="Arial"/>
                <w:color w:val="000000"/>
                <w:szCs w:val="20"/>
              </w:rPr>
              <w:t>Reduced disconnection/ reconnection</w:t>
            </w:r>
          </w:p>
        </w:tc>
        <w:tc>
          <w:tcPr>
            <w:tcW w:w="2554" w:type="dxa"/>
            <w:hideMark/>
          </w:tcPr>
          <w:p w14:paraId="49573168" w14:textId="5D45BBCF" w:rsidR="006D200E" w:rsidRPr="00FD4065" w:rsidRDefault="006D200E" w:rsidP="003C4D21">
            <w:pPr>
              <w:spacing w:after="80" w:line="240" w:lineRule="auto"/>
              <w:rPr>
                <w:rFonts w:cs="Arial"/>
                <w:color w:val="000000"/>
                <w:szCs w:val="20"/>
              </w:rPr>
            </w:pPr>
            <w:r w:rsidRPr="00FD4065">
              <w:rPr>
                <w:rFonts w:cs="Arial"/>
                <w:color w:val="000000"/>
                <w:szCs w:val="20"/>
              </w:rPr>
              <w:t xml:space="preserve">Change over costs to meet new </w:t>
            </w:r>
            <w:r w:rsidR="00C52E9A">
              <w:rPr>
                <w:rFonts w:cs="Arial"/>
                <w:color w:val="000000"/>
                <w:szCs w:val="20"/>
              </w:rPr>
              <w:t>S</w:t>
            </w:r>
            <w:r w:rsidRPr="00FD4065">
              <w:rPr>
                <w:rFonts w:cs="Arial"/>
                <w:color w:val="000000"/>
                <w:szCs w:val="20"/>
              </w:rPr>
              <w:t>tandard (systems/ processes/Education)</w:t>
            </w:r>
          </w:p>
          <w:p w14:paraId="310F4743" w14:textId="5742D41B" w:rsidR="006D200E" w:rsidRPr="00FD4065" w:rsidRDefault="006D200E" w:rsidP="003C4D21">
            <w:pPr>
              <w:spacing w:after="0" w:line="240" w:lineRule="auto"/>
              <w:rPr>
                <w:rFonts w:cs="Arial"/>
                <w:color w:val="000000"/>
                <w:szCs w:val="20"/>
              </w:rPr>
            </w:pPr>
            <w:r w:rsidRPr="00FD4065">
              <w:rPr>
                <w:rFonts w:cs="Arial"/>
                <w:color w:val="000000"/>
                <w:szCs w:val="20"/>
              </w:rPr>
              <w:t xml:space="preserve">Ongoing costs to meet new </w:t>
            </w:r>
            <w:r w:rsidR="00C52E9A">
              <w:rPr>
                <w:rFonts w:cs="Arial"/>
                <w:color w:val="000000"/>
                <w:szCs w:val="20"/>
              </w:rPr>
              <w:t>S</w:t>
            </w:r>
            <w:r w:rsidRPr="00FD4065">
              <w:rPr>
                <w:rFonts w:cs="Arial"/>
                <w:color w:val="000000"/>
                <w:szCs w:val="20"/>
              </w:rPr>
              <w:t>tandard (engage with FH customers)</w:t>
            </w:r>
            <w:r w:rsidRPr="00FD4065">
              <w:rPr>
                <w:rFonts w:ascii="Calibri" w:hAnsi="Calibri" w:cs="Calibri"/>
                <w:color w:val="000000"/>
                <w:sz w:val="22"/>
                <w:szCs w:val="22"/>
              </w:rPr>
              <w:t> </w:t>
            </w:r>
          </w:p>
        </w:tc>
        <w:tc>
          <w:tcPr>
            <w:tcW w:w="3746" w:type="dxa"/>
            <w:hideMark/>
          </w:tcPr>
          <w:p w14:paraId="322D9F12" w14:textId="77777777" w:rsidR="006D200E" w:rsidRPr="00FD4065" w:rsidRDefault="006D200E" w:rsidP="003C4D21">
            <w:pPr>
              <w:spacing w:after="80" w:line="240" w:lineRule="auto"/>
              <w:rPr>
                <w:rFonts w:cs="Arial"/>
                <w:color w:val="000000"/>
                <w:szCs w:val="20"/>
              </w:rPr>
            </w:pPr>
            <w:r w:rsidRPr="00FD4065">
              <w:rPr>
                <w:rFonts w:cs="Arial"/>
                <w:color w:val="000000"/>
                <w:szCs w:val="20"/>
              </w:rPr>
              <w:t>Reduced complaints to CSP</w:t>
            </w:r>
          </w:p>
          <w:p w14:paraId="1B3C4531" w14:textId="77777777" w:rsidR="006D200E" w:rsidRPr="00FD4065" w:rsidRDefault="006D200E" w:rsidP="003C4D21">
            <w:pPr>
              <w:spacing w:after="80" w:line="240" w:lineRule="auto"/>
              <w:rPr>
                <w:rFonts w:cs="Arial"/>
                <w:color w:val="000000"/>
                <w:szCs w:val="20"/>
              </w:rPr>
            </w:pPr>
            <w:r w:rsidRPr="00FD4065">
              <w:rPr>
                <w:rFonts w:cs="Arial"/>
                <w:color w:val="000000"/>
                <w:szCs w:val="20"/>
              </w:rPr>
              <w:t>Reduced debt collection costs</w:t>
            </w:r>
          </w:p>
          <w:p w14:paraId="72371F7F" w14:textId="77777777" w:rsidR="006D200E" w:rsidRPr="00FD4065" w:rsidRDefault="006D200E" w:rsidP="003C4D21">
            <w:pPr>
              <w:spacing w:after="0" w:line="240" w:lineRule="auto"/>
              <w:rPr>
                <w:rFonts w:cs="Arial"/>
                <w:color w:val="000000"/>
                <w:szCs w:val="20"/>
              </w:rPr>
            </w:pPr>
            <w:r w:rsidRPr="00FD4065">
              <w:rPr>
                <w:rFonts w:cs="Arial"/>
                <w:color w:val="000000"/>
                <w:szCs w:val="20"/>
              </w:rPr>
              <w:t>Reduced disconnection/ reconnection</w:t>
            </w:r>
          </w:p>
        </w:tc>
      </w:tr>
      <w:tr w:rsidR="006D200E" w:rsidRPr="00FD4065" w14:paraId="20BD76A6" w14:textId="77777777" w:rsidTr="003C4D21">
        <w:trPr>
          <w:cnfStyle w:val="000000100000" w:firstRow="0" w:lastRow="0" w:firstColumn="0" w:lastColumn="0" w:oddVBand="0" w:evenVBand="0" w:oddHBand="1" w:evenHBand="0" w:firstRowFirstColumn="0" w:firstRowLastColumn="0" w:lastRowFirstColumn="0" w:lastRowLastColumn="0"/>
          <w:trHeight w:val="765"/>
        </w:trPr>
        <w:tc>
          <w:tcPr>
            <w:tcW w:w="2400" w:type="dxa"/>
            <w:vMerge w:val="restart"/>
            <w:hideMark/>
          </w:tcPr>
          <w:p w14:paraId="34C6F4FF" w14:textId="77777777" w:rsidR="006D200E" w:rsidRPr="00FD4065" w:rsidRDefault="006D200E" w:rsidP="003C4D21">
            <w:pPr>
              <w:spacing w:after="0" w:line="240" w:lineRule="auto"/>
              <w:rPr>
                <w:rFonts w:cs="Arial"/>
                <w:b/>
                <w:bCs/>
                <w:color w:val="000000"/>
                <w:szCs w:val="20"/>
              </w:rPr>
            </w:pPr>
            <w:r w:rsidRPr="00FD4065">
              <w:rPr>
                <w:rFonts w:cs="Arial"/>
                <w:b/>
                <w:bCs/>
                <w:color w:val="000000"/>
                <w:szCs w:val="20"/>
              </w:rPr>
              <w:t>Customers in Financial Hardship</w:t>
            </w:r>
          </w:p>
        </w:tc>
        <w:tc>
          <w:tcPr>
            <w:tcW w:w="3120" w:type="dxa"/>
            <w:vMerge w:val="restart"/>
            <w:hideMark/>
          </w:tcPr>
          <w:p w14:paraId="4FB19993" w14:textId="77777777" w:rsidR="006D200E" w:rsidRPr="00FD4065" w:rsidRDefault="006D200E" w:rsidP="003C4D21">
            <w:pPr>
              <w:spacing w:after="0" w:line="240" w:lineRule="auto"/>
              <w:rPr>
                <w:rFonts w:cs="Arial"/>
                <w:color w:val="000000"/>
                <w:szCs w:val="20"/>
              </w:rPr>
            </w:pPr>
            <w:r w:rsidRPr="00FD4065">
              <w:rPr>
                <w:rFonts w:cs="Arial"/>
                <w:color w:val="000000"/>
                <w:szCs w:val="20"/>
              </w:rPr>
              <w:t>Have to engage with CSP in a financial hardship plan</w:t>
            </w:r>
          </w:p>
        </w:tc>
        <w:tc>
          <w:tcPr>
            <w:tcW w:w="3120" w:type="dxa"/>
            <w:hideMark/>
          </w:tcPr>
          <w:p w14:paraId="6B5D8C6B" w14:textId="77777777" w:rsidR="006D200E" w:rsidRPr="00FD4065" w:rsidRDefault="006D200E" w:rsidP="003C4D21">
            <w:pPr>
              <w:spacing w:after="0" w:line="240" w:lineRule="auto"/>
              <w:rPr>
                <w:rFonts w:cs="Arial"/>
                <w:color w:val="000000"/>
                <w:szCs w:val="20"/>
              </w:rPr>
            </w:pPr>
            <w:r w:rsidRPr="00FD4065">
              <w:rPr>
                <w:rFonts w:cs="Arial"/>
                <w:color w:val="000000"/>
                <w:szCs w:val="20"/>
              </w:rPr>
              <w:t>Reduced costs to customers of disconnection/reconnection – (Financial &amp; Time)</w:t>
            </w:r>
          </w:p>
        </w:tc>
        <w:tc>
          <w:tcPr>
            <w:tcW w:w="2554" w:type="dxa"/>
            <w:vMerge w:val="restart"/>
            <w:hideMark/>
          </w:tcPr>
          <w:p w14:paraId="7EE0D3E9" w14:textId="77777777" w:rsidR="006D200E" w:rsidRPr="00FD4065" w:rsidRDefault="006D200E" w:rsidP="003C4D21">
            <w:pPr>
              <w:spacing w:after="0" w:line="240" w:lineRule="auto"/>
              <w:rPr>
                <w:rFonts w:cs="Arial"/>
                <w:color w:val="000000"/>
                <w:szCs w:val="20"/>
              </w:rPr>
            </w:pPr>
            <w:r w:rsidRPr="00FD4065">
              <w:rPr>
                <w:rFonts w:cs="Arial"/>
                <w:color w:val="000000"/>
                <w:szCs w:val="20"/>
              </w:rPr>
              <w:t>Have to engage with CSP in a financial hardship plan</w:t>
            </w:r>
          </w:p>
        </w:tc>
        <w:tc>
          <w:tcPr>
            <w:tcW w:w="3746" w:type="dxa"/>
            <w:hideMark/>
          </w:tcPr>
          <w:p w14:paraId="122E9958" w14:textId="77777777" w:rsidR="006D200E" w:rsidRPr="00FD4065" w:rsidRDefault="006D200E" w:rsidP="003C4D21">
            <w:pPr>
              <w:spacing w:after="0" w:line="240" w:lineRule="auto"/>
              <w:rPr>
                <w:rFonts w:cs="Arial"/>
                <w:color w:val="000000"/>
                <w:szCs w:val="20"/>
              </w:rPr>
            </w:pPr>
            <w:r w:rsidRPr="00FD4065">
              <w:rPr>
                <w:rFonts w:cs="Arial"/>
                <w:color w:val="000000"/>
                <w:szCs w:val="20"/>
              </w:rPr>
              <w:t>Reduced costs to customers of disconnection/reconnection – (Financial &amp; Time)</w:t>
            </w:r>
          </w:p>
        </w:tc>
      </w:tr>
      <w:tr w:rsidR="006D200E" w:rsidRPr="00FD4065" w14:paraId="317867D3" w14:textId="77777777" w:rsidTr="003C4D21">
        <w:trPr>
          <w:cnfStyle w:val="000000010000" w:firstRow="0" w:lastRow="0" w:firstColumn="0" w:lastColumn="0" w:oddVBand="0" w:evenVBand="0" w:oddHBand="0" w:evenHBand="1" w:firstRowFirstColumn="0" w:firstRowLastColumn="0" w:lastRowFirstColumn="0" w:lastRowLastColumn="0"/>
          <w:trHeight w:val="510"/>
        </w:trPr>
        <w:tc>
          <w:tcPr>
            <w:tcW w:w="2400" w:type="dxa"/>
            <w:vMerge/>
            <w:hideMark/>
          </w:tcPr>
          <w:p w14:paraId="1F7D8231" w14:textId="77777777" w:rsidR="006D200E" w:rsidRPr="00FD4065" w:rsidRDefault="006D200E" w:rsidP="003C4D21">
            <w:pPr>
              <w:spacing w:after="0" w:line="240" w:lineRule="auto"/>
              <w:rPr>
                <w:rFonts w:cs="Arial"/>
                <w:b/>
                <w:bCs/>
                <w:color w:val="000000"/>
                <w:szCs w:val="20"/>
              </w:rPr>
            </w:pPr>
          </w:p>
        </w:tc>
        <w:tc>
          <w:tcPr>
            <w:tcW w:w="3120" w:type="dxa"/>
            <w:vMerge/>
            <w:hideMark/>
          </w:tcPr>
          <w:p w14:paraId="2CF85B02" w14:textId="77777777" w:rsidR="006D200E" w:rsidRPr="00FD4065" w:rsidRDefault="006D200E" w:rsidP="003C4D21">
            <w:pPr>
              <w:spacing w:after="0" w:line="240" w:lineRule="auto"/>
              <w:rPr>
                <w:rFonts w:cs="Arial"/>
                <w:color w:val="000000"/>
                <w:szCs w:val="20"/>
              </w:rPr>
            </w:pPr>
          </w:p>
        </w:tc>
        <w:tc>
          <w:tcPr>
            <w:tcW w:w="3120" w:type="dxa"/>
            <w:hideMark/>
          </w:tcPr>
          <w:p w14:paraId="4EC820F6" w14:textId="77777777" w:rsidR="006D200E" w:rsidRPr="00FD4065" w:rsidRDefault="006D200E" w:rsidP="003C4D21">
            <w:pPr>
              <w:spacing w:after="0" w:line="240" w:lineRule="auto"/>
              <w:rPr>
                <w:rFonts w:cs="Arial"/>
                <w:color w:val="000000"/>
                <w:szCs w:val="20"/>
              </w:rPr>
            </w:pPr>
            <w:r w:rsidRPr="00FD4065">
              <w:rPr>
                <w:rFonts w:cs="Arial"/>
                <w:color w:val="000000"/>
                <w:szCs w:val="20"/>
              </w:rPr>
              <w:t>Loss of services (disadvantage) for people who are disconnected</w:t>
            </w:r>
          </w:p>
        </w:tc>
        <w:tc>
          <w:tcPr>
            <w:tcW w:w="2554" w:type="dxa"/>
            <w:vMerge/>
            <w:hideMark/>
          </w:tcPr>
          <w:p w14:paraId="6EA550E9" w14:textId="77777777" w:rsidR="006D200E" w:rsidRPr="00FD4065" w:rsidRDefault="006D200E" w:rsidP="003C4D21">
            <w:pPr>
              <w:spacing w:after="0" w:line="240" w:lineRule="auto"/>
              <w:rPr>
                <w:rFonts w:cs="Arial"/>
                <w:color w:val="000000"/>
                <w:szCs w:val="20"/>
              </w:rPr>
            </w:pPr>
          </w:p>
        </w:tc>
        <w:tc>
          <w:tcPr>
            <w:tcW w:w="3746" w:type="dxa"/>
            <w:hideMark/>
          </w:tcPr>
          <w:p w14:paraId="571DE8CA" w14:textId="77777777" w:rsidR="006D200E" w:rsidRPr="00FD4065" w:rsidRDefault="006D200E" w:rsidP="003C4D21">
            <w:pPr>
              <w:spacing w:after="0" w:line="240" w:lineRule="auto"/>
              <w:rPr>
                <w:rFonts w:cs="Arial"/>
                <w:color w:val="000000"/>
                <w:szCs w:val="20"/>
              </w:rPr>
            </w:pPr>
            <w:r w:rsidRPr="00FD4065">
              <w:rPr>
                <w:rFonts w:cs="Arial"/>
                <w:color w:val="000000"/>
                <w:szCs w:val="20"/>
              </w:rPr>
              <w:t>Loss of services (disadvantage) for people who are disconnected</w:t>
            </w:r>
          </w:p>
        </w:tc>
      </w:tr>
      <w:tr w:rsidR="006D200E" w:rsidRPr="00FD4065" w14:paraId="3D02BE40" w14:textId="77777777" w:rsidTr="003C4D21">
        <w:trPr>
          <w:cnfStyle w:val="000000100000" w:firstRow="0" w:lastRow="0" w:firstColumn="0" w:lastColumn="0" w:oddVBand="0" w:evenVBand="0" w:oddHBand="1" w:evenHBand="0" w:firstRowFirstColumn="0" w:firstRowLastColumn="0" w:lastRowFirstColumn="0" w:lastRowLastColumn="0"/>
          <w:trHeight w:val="525"/>
        </w:trPr>
        <w:tc>
          <w:tcPr>
            <w:tcW w:w="2400" w:type="dxa"/>
            <w:vMerge/>
            <w:hideMark/>
          </w:tcPr>
          <w:p w14:paraId="7333C657" w14:textId="77777777" w:rsidR="006D200E" w:rsidRPr="00FD4065" w:rsidRDefault="006D200E" w:rsidP="003C4D21">
            <w:pPr>
              <w:spacing w:after="0" w:line="240" w:lineRule="auto"/>
              <w:rPr>
                <w:rFonts w:cs="Arial"/>
                <w:b/>
                <w:bCs/>
                <w:color w:val="000000"/>
                <w:szCs w:val="20"/>
              </w:rPr>
            </w:pPr>
          </w:p>
        </w:tc>
        <w:tc>
          <w:tcPr>
            <w:tcW w:w="3120" w:type="dxa"/>
            <w:vMerge/>
            <w:hideMark/>
          </w:tcPr>
          <w:p w14:paraId="244CFCC1" w14:textId="77777777" w:rsidR="006D200E" w:rsidRPr="00FD4065" w:rsidRDefault="006D200E" w:rsidP="003C4D21">
            <w:pPr>
              <w:spacing w:after="0" w:line="240" w:lineRule="auto"/>
              <w:rPr>
                <w:rFonts w:cs="Arial"/>
                <w:color w:val="000000"/>
                <w:szCs w:val="20"/>
              </w:rPr>
            </w:pPr>
          </w:p>
        </w:tc>
        <w:tc>
          <w:tcPr>
            <w:tcW w:w="3120" w:type="dxa"/>
            <w:hideMark/>
          </w:tcPr>
          <w:p w14:paraId="38894969" w14:textId="77777777" w:rsidR="006D200E" w:rsidRPr="00FD4065" w:rsidRDefault="006D200E" w:rsidP="003C4D21">
            <w:pPr>
              <w:spacing w:after="0" w:line="240" w:lineRule="auto"/>
              <w:rPr>
                <w:rFonts w:cs="Arial"/>
                <w:color w:val="000000"/>
                <w:szCs w:val="20"/>
              </w:rPr>
            </w:pPr>
            <w:r w:rsidRPr="00FD4065">
              <w:rPr>
                <w:rFonts w:cs="Arial"/>
                <w:color w:val="000000"/>
                <w:szCs w:val="20"/>
              </w:rPr>
              <w:t>Lower number seeking financial counselling</w:t>
            </w:r>
          </w:p>
        </w:tc>
        <w:tc>
          <w:tcPr>
            <w:tcW w:w="2554" w:type="dxa"/>
            <w:vMerge/>
            <w:hideMark/>
          </w:tcPr>
          <w:p w14:paraId="05D21E0F" w14:textId="77777777" w:rsidR="006D200E" w:rsidRPr="00FD4065" w:rsidRDefault="006D200E" w:rsidP="003C4D21">
            <w:pPr>
              <w:spacing w:after="0" w:line="240" w:lineRule="auto"/>
              <w:rPr>
                <w:rFonts w:cs="Arial"/>
                <w:color w:val="000000"/>
                <w:szCs w:val="20"/>
              </w:rPr>
            </w:pPr>
          </w:p>
        </w:tc>
        <w:tc>
          <w:tcPr>
            <w:tcW w:w="3746" w:type="dxa"/>
            <w:hideMark/>
          </w:tcPr>
          <w:p w14:paraId="68D7E1EA" w14:textId="77777777" w:rsidR="006D200E" w:rsidRPr="00FD4065" w:rsidRDefault="006D200E" w:rsidP="003C4D21">
            <w:pPr>
              <w:spacing w:after="0" w:line="240" w:lineRule="auto"/>
              <w:rPr>
                <w:rFonts w:cs="Arial"/>
                <w:color w:val="000000"/>
                <w:szCs w:val="20"/>
              </w:rPr>
            </w:pPr>
            <w:r w:rsidRPr="00FD4065">
              <w:rPr>
                <w:rFonts w:cs="Arial"/>
                <w:color w:val="000000"/>
                <w:szCs w:val="20"/>
              </w:rPr>
              <w:t>Lower number seeking financial counselling</w:t>
            </w:r>
          </w:p>
        </w:tc>
      </w:tr>
      <w:tr w:rsidR="006D200E" w:rsidRPr="00FD4065" w14:paraId="18B87475" w14:textId="77777777" w:rsidTr="003C4D21">
        <w:trPr>
          <w:cnfStyle w:val="000000010000" w:firstRow="0" w:lastRow="0" w:firstColumn="0" w:lastColumn="0" w:oddVBand="0" w:evenVBand="0" w:oddHBand="0" w:evenHBand="1" w:firstRowFirstColumn="0" w:firstRowLastColumn="0" w:lastRowFirstColumn="0" w:lastRowLastColumn="0"/>
          <w:trHeight w:val="510"/>
        </w:trPr>
        <w:tc>
          <w:tcPr>
            <w:tcW w:w="2400" w:type="dxa"/>
            <w:hideMark/>
          </w:tcPr>
          <w:p w14:paraId="2D497AD6" w14:textId="77777777" w:rsidR="006D200E" w:rsidRPr="00FD4065" w:rsidRDefault="006D200E" w:rsidP="003C4D21">
            <w:pPr>
              <w:spacing w:after="0" w:line="240" w:lineRule="auto"/>
              <w:rPr>
                <w:rFonts w:cs="Arial"/>
                <w:b/>
                <w:bCs/>
                <w:color w:val="000000"/>
                <w:szCs w:val="20"/>
              </w:rPr>
            </w:pPr>
            <w:r w:rsidRPr="00FD4065">
              <w:rPr>
                <w:rFonts w:cs="Arial"/>
                <w:b/>
                <w:bCs/>
                <w:color w:val="000000"/>
                <w:szCs w:val="20"/>
              </w:rPr>
              <w:lastRenderedPageBreak/>
              <w:t>Broader community</w:t>
            </w:r>
          </w:p>
        </w:tc>
        <w:tc>
          <w:tcPr>
            <w:tcW w:w="3120" w:type="dxa"/>
            <w:hideMark/>
          </w:tcPr>
          <w:p w14:paraId="76FA388F" w14:textId="77777777" w:rsidR="006D200E" w:rsidRPr="00FD4065" w:rsidRDefault="006D200E" w:rsidP="003C4D21">
            <w:pPr>
              <w:spacing w:after="0" w:line="240" w:lineRule="auto"/>
              <w:rPr>
                <w:rFonts w:cs="Arial"/>
                <w:color w:val="000000"/>
                <w:szCs w:val="20"/>
              </w:rPr>
            </w:pPr>
            <w:r w:rsidRPr="00FD4065">
              <w:rPr>
                <w:rFonts w:cs="Arial"/>
                <w:color w:val="000000"/>
                <w:szCs w:val="20"/>
              </w:rPr>
              <w:t> </w:t>
            </w:r>
          </w:p>
        </w:tc>
        <w:tc>
          <w:tcPr>
            <w:tcW w:w="3120" w:type="dxa"/>
            <w:hideMark/>
          </w:tcPr>
          <w:p w14:paraId="7858B776" w14:textId="67C68DEC" w:rsidR="006D200E" w:rsidRPr="00FD4065" w:rsidRDefault="00D069C9" w:rsidP="003C4D21">
            <w:pPr>
              <w:spacing w:after="0" w:line="240" w:lineRule="auto"/>
              <w:rPr>
                <w:rFonts w:cs="Arial"/>
                <w:color w:val="000000"/>
                <w:szCs w:val="20"/>
              </w:rPr>
            </w:pPr>
            <w:r>
              <w:rPr>
                <w:rFonts w:cs="Arial"/>
                <w:color w:val="000000"/>
                <w:szCs w:val="20"/>
              </w:rPr>
              <w:t>Not having people prevented from engaging with work, education and online services</w:t>
            </w:r>
            <w:r w:rsidR="001E7442">
              <w:rPr>
                <w:rFonts w:cs="Arial"/>
                <w:color w:val="000000"/>
                <w:szCs w:val="20"/>
              </w:rPr>
              <w:t xml:space="preserve"> </w:t>
            </w:r>
            <w:r w:rsidR="006D200E" w:rsidRPr="00FD4065">
              <w:rPr>
                <w:rFonts w:cs="Arial"/>
                <w:color w:val="000000"/>
                <w:szCs w:val="20"/>
              </w:rPr>
              <w:t>(reduction in disconnections)</w:t>
            </w:r>
          </w:p>
        </w:tc>
        <w:tc>
          <w:tcPr>
            <w:tcW w:w="2554" w:type="dxa"/>
            <w:hideMark/>
          </w:tcPr>
          <w:p w14:paraId="7E833142" w14:textId="77777777" w:rsidR="006D200E" w:rsidRPr="00FD4065" w:rsidRDefault="006D200E" w:rsidP="003C4D21">
            <w:pPr>
              <w:spacing w:after="0" w:line="240" w:lineRule="auto"/>
              <w:rPr>
                <w:rFonts w:cs="Arial"/>
                <w:color w:val="000000"/>
                <w:szCs w:val="20"/>
              </w:rPr>
            </w:pPr>
            <w:r w:rsidRPr="00FD4065">
              <w:rPr>
                <w:rFonts w:cs="Arial"/>
                <w:color w:val="000000"/>
                <w:szCs w:val="20"/>
              </w:rPr>
              <w:t> </w:t>
            </w:r>
          </w:p>
        </w:tc>
        <w:tc>
          <w:tcPr>
            <w:tcW w:w="3746" w:type="dxa"/>
            <w:hideMark/>
          </w:tcPr>
          <w:p w14:paraId="0A05B9E0" w14:textId="798FC14B" w:rsidR="006D200E" w:rsidRPr="00FD4065" w:rsidRDefault="00D069C9" w:rsidP="003C4D21">
            <w:pPr>
              <w:spacing w:after="0" w:line="240" w:lineRule="auto"/>
              <w:rPr>
                <w:rFonts w:cs="Arial"/>
                <w:color w:val="000000"/>
                <w:szCs w:val="20"/>
              </w:rPr>
            </w:pPr>
            <w:r>
              <w:rPr>
                <w:rFonts w:cs="Arial"/>
                <w:color w:val="000000"/>
                <w:szCs w:val="20"/>
              </w:rPr>
              <w:t>Not having people prevented from engaging with work, education and online services</w:t>
            </w:r>
            <w:r w:rsidR="001E7442">
              <w:rPr>
                <w:rFonts w:cs="Arial"/>
                <w:color w:val="000000"/>
                <w:szCs w:val="20"/>
              </w:rPr>
              <w:t xml:space="preserve"> </w:t>
            </w:r>
            <w:r w:rsidRPr="00FD4065">
              <w:rPr>
                <w:rFonts w:cs="Arial"/>
                <w:color w:val="000000"/>
                <w:szCs w:val="20"/>
              </w:rPr>
              <w:t>(reduction in disconnections)</w:t>
            </w:r>
          </w:p>
        </w:tc>
      </w:tr>
      <w:bookmarkEnd w:id="95"/>
    </w:tbl>
    <w:p w14:paraId="1E94616C" w14:textId="77777777" w:rsidR="006D200E" w:rsidRDefault="006D200E" w:rsidP="006D200E">
      <w:pPr>
        <w:rPr>
          <w:bdr w:val="single" w:sz="4" w:space="0" w:color="auto"/>
        </w:rPr>
      </w:pPr>
    </w:p>
    <w:p w14:paraId="1FCBEDFF" w14:textId="77777777" w:rsidR="00653C4C" w:rsidRDefault="00653C4C" w:rsidP="006D200E">
      <w:pPr>
        <w:rPr>
          <w:bdr w:val="single" w:sz="4" w:space="0" w:color="auto"/>
        </w:rPr>
      </w:pPr>
    </w:p>
    <w:p w14:paraId="77587B2D" w14:textId="4C70D5EE" w:rsidR="00653C4C" w:rsidRDefault="00653C4C" w:rsidP="006D200E">
      <w:pPr>
        <w:rPr>
          <w:bdr w:val="single" w:sz="4" w:space="0" w:color="auto"/>
        </w:rPr>
        <w:sectPr w:rsidR="00653C4C" w:rsidSect="002F2BD6">
          <w:headerReference w:type="even" r:id="rId42"/>
          <w:headerReference w:type="default" r:id="rId43"/>
          <w:footerReference w:type="even" r:id="rId44"/>
          <w:footerReference w:type="default" r:id="rId45"/>
          <w:pgSz w:w="16838" w:h="11906" w:orient="landscape" w:code="9"/>
          <w:pgMar w:top="1134" w:right="1945" w:bottom="1276" w:left="1134" w:header="709" w:footer="119" w:gutter="0"/>
          <w:cols w:space="708"/>
          <w:docGrid w:linePitch="360"/>
        </w:sectPr>
      </w:pPr>
    </w:p>
    <w:p w14:paraId="187A62EA" w14:textId="77777777" w:rsidR="006D200E" w:rsidRPr="005A2F97" w:rsidRDefault="006D200E" w:rsidP="006D200E">
      <w:pPr>
        <w:pStyle w:val="Paragraph"/>
      </w:pPr>
    </w:p>
    <w:p w14:paraId="42FCCCFA" w14:textId="4F9F57F7" w:rsidR="006D200E" w:rsidRPr="007D3BF1" w:rsidRDefault="006D200E" w:rsidP="00EF5AF9">
      <w:pPr>
        <w:pStyle w:val="Heading2"/>
      </w:pPr>
      <w:bookmarkStart w:id="96" w:name="_Toc155686017"/>
      <w:r>
        <w:t>Summary of costs and benefits for cost model</w:t>
      </w:r>
      <w:bookmarkEnd w:id="96"/>
    </w:p>
    <w:p w14:paraId="7413A2D2" w14:textId="3E8A6AB8" w:rsidR="00521968" w:rsidRDefault="00521968" w:rsidP="00521968">
      <w:pPr>
        <w:pStyle w:val="Tableheading"/>
      </w:pPr>
      <w:r>
        <w:t>Summary of costs and benefits per cost model</w:t>
      </w:r>
    </w:p>
    <w:tbl>
      <w:tblPr>
        <w:tblStyle w:val="ACMAtablestyle"/>
        <w:tblW w:w="14452" w:type="dxa"/>
        <w:tblLayout w:type="fixed"/>
        <w:tblCellMar>
          <w:top w:w="85" w:type="dxa"/>
          <w:left w:w="57" w:type="dxa"/>
          <w:bottom w:w="85" w:type="dxa"/>
          <w:right w:w="57" w:type="dxa"/>
        </w:tblCellMar>
        <w:tblLook w:val="04A0" w:firstRow="1" w:lastRow="0" w:firstColumn="1" w:lastColumn="0" w:noHBand="0" w:noVBand="1"/>
      </w:tblPr>
      <w:tblGrid>
        <w:gridCol w:w="1413"/>
        <w:gridCol w:w="1984"/>
        <w:gridCol w:w="941"/>
        <w:gridCol w:w="2720"/>
        <w:gridCol w:w="949"/>
        <w:gridCol w:w="949"/>
        <w:gridCol w:w="1115"/>
        <w:gridCol w:w="949"/>
        <w:gridCol w:w="1184"/>
        <w:gridCol w:w="1008"/>
        <w:gridCol w:w="1240"/>
      </w:tblGrid>
      <w:tr w:rsidR="00E6203C" w:rsidRPr="009C0B71" w14:paraId="69BC0415" w14:textId="77777777" w:rsidTr="00832BE0">
        <w:trPr>
          <w:cnfStyle w:val="100000000000" w:firstRow="1" w:lastRow="0" w:firstColumn="0" w:lastColumn="0" w:oddVBand="0" w:evenVBand="0" w:oddHBand="0" w:evenHBand="0" w:firstRowFirstColumn="0" w:firstRowLastColumn="0" w:lastRowFirstColumn="0" w:lastRowLastColumn="0"/>
        </w:trPr>
        <w:tc>
          <w:tcPr>
            <w:tcW w:w="1413" w:type="dxa"/>
            <w:vMerge w:val="restart"/>
            <w:noWrap/>
            <w:hideMark/>
          </w:tcPr>
          <w:p w14:paraId="77507473" w14:textId="77777777" w:rsidR="006D200E" w:rsidRPr="003C4D21" w:rsidRDefault="006D200E" w:rsidP="005D0959">
            <w:pPr>
              <w:spacing w:after="0" w:line="240" w:lineRule="auto"/>
              <w:contextualSpacing/>
              <w:rPr>
                <w:rFonts w:cs="Arial"/>
                <w:b/>
                <w:bCs/>
                <w:szCs w:val="20"/>
              </w:rPr>
            </w:pPr>
            <w:r w:rsidRPr="003C4D21">
              <w:rPr>
                <w:rFonts w:cs="Arial"/>
                <w:b/>
                <w:bCs/>
                <w:szCs w:val="20"/>
              </w:rPr>
              <w:t>Stakeholder</w:t>
            </w:r>
          </w:p>
        </w:tc>
        <w:tc>
          <w:tcPr>
            <w:tcW w:w="1984" w:type="dxa"/>
            <w:vMerge w:val="restart"/>
            <w:noWrap/>
            <w:hideMark/>
          </w:tcPr>
          <w:p w14:paraId="6490539D" w14:textId="77777777" w:rsidR="006D200E" w:rsidRPr="003C4D21" w:rsidRDefault="006D200E" w:rsidP="005D0959">
            <w:pPr>
              <w:spacing w:after="0" w:line="240" w:lineRule="auto"/>
              <w:contextualSpacing/>
              <w:rPr>
                <w:rFonts w:cs="Arial"/>
                <w:b/>
                <w:bCs/>
                <w:szCs w:val="20"/>
              </w:rPr>
            </w:pPr>
            <w:r w:rsidRPr="003C4D21">
              <w:rPr>
                <w:rFonts w:cs="Arial"/>
                <w:b/>
                <w:bCs/>
                <w:szCs w:val="20"/>
              </w:rPr>
              <w:t>Impact</w:t>
            </w:r>
          </w:p>
        </w:tc>
        <w:tc>
          <w:tcPr>
            <w:tcW w:w="941" w:type="dxa"/>
            <w:vMerge w:val="restart"/>
            <w:noWrap/>
            <w:hideMark/>
          </w:tcPr>
          <w:p w14:paraId="0FE4A759" w14:textId="77777777" w:rsidR="006D200E" w:rsidRPr="003C4D21" w:rsidRDefault="006D200E" w:rsidP="005D0959">
            <w:pPr>
              <w:spacing w:after="0" w:line="240" w:lineRule="auto"/>
              <w:contextualSpacing/>
              <w:rPr>
                <w:rFonts w:cs="Arial"/>
                <w:b/>
                <w:bCs/>
                <w:szCs w:val="20"/>
              </w:rPr>
            </w:pPr>
            <w:r w:rsidRPr="003C4D21">
              <w:rPr>
                <w:rFonts w:cs="Arial"/>
                <w:b/>
                <w:bCs/>
                <w:szCs w:val="20"/>
              </w:rPr>
              <w:t>Type</w:t>
            </w:r>
          </w:p>
        </w:tc>
        <w:tc>
          <w:tcPr>
            <w:tcW w:w="2720" w:type="dxa"/>
            <w:vMerge w:val="restart"/>
            <w:noWrap/>
            <w:hideMark/>
          </w:tcPr>
          <w:p w14:paraId="51F4B7BB" w14:textId="77777777" w:rsidR="006D200E" w:rsidRPr="003C4D21" w:rsidRDefault="006D200E" w:rsidP="005D0959">
            <w:pPr>
              <w:spacing w:after="0" w:line="240" w:lineRule="auto"/>
              <w:contextualSpacing/>
              <w:rPr>
                <w:rFonts w:cs="Arial"/>
                <w:b/>
                <w:bCs/>
                <w:szCs w:val="20"/>
              </w:rPr>
            </w:pPr>
            <w:r w:rsidRPr="003C4D21">
              <w:rPr>
                <w:rFonts w:cs="Arial"/>
                <w:b/>
                <w:bCs/>
                <w:szCs w:val="20"/>
              </w:rPr>
              <w:t>Comment</w:t>
            </w:r>
          </w:p>
        </w:tc>
        <w:tc>
          <w:tcPr>
            <w:tcW w:w="1898" w:type="dxa"/>
            <w:gridSpan w:val="2"/>
            <w:noWrap/>
            <w:hideMark/>
          </w:tcPr>
          <w:p w14:paraId="343955D4" w14:textId="74E735CB" w:rsidR="006D200E" w:rsidRPr="003C4D21" w:rsidRDefault="006D200E" w:rsidP="00832BE0">
            <w:pPr>
              <w:spacing w:after="0" w:line="240" w:lineRule="auto"/>
              <w:contextualSpacing/>
              <w:jc w:val="center"/>
              <w:rPr>
                <w:rFonts w:cs="Arial"/>
                <w:b/>
                <w:bCs/>
                <w:szCs w:val="20"/>
              </w:rPr>
            </w:pPr>
            <w:r w:rsidRPr="003C4D21">
              <w:rPr>
                <w:rFonts w:cs="Arial"/>
                <w:b/>
                <w:bCs/>
                <w:szCs w:val="20"/>
              </w:rPr>
              <w:t xml:space="preserve">Base </w:t>
            </w:r>
            <w:r w:rsidR="007A3E9B">
              <w:rPr>
                <w:rFonts w:cs="Arial"/>
                <w:b/>
                <w:bCs/>
                <w:szCs w:val="20"/>
              </w:rPr>
              <w:t>c</w:t>
            </w:r>
            <w:r w:rsidRPr="003C4D21">
              <w:rPr>
                <w:rFonts w:cs="Arial"/>
                <w:b/>
                <w:bCs/>
                <w:szCs w:val="20"/>
              </w:rPr>
              <w:t>ase</w:t>
            </w:r>
          </w:p>
        </w:tc>
        <w:tc>
          <w:tcPr>
            <w:tcW w:w="2064" w:type="dxa"/>
            <w:gridSpan w:val="2"/>
            <w:noWrap/>
            <w:hideMark/>
          </w:tcPr>
          <w:p w14:paraId="169E7824" w14:textId="33710C28" w:rsidR="006D200E" w:rsidRPr="003C4D21" w:rsidRDefault="00E40B65" w:rsidP="00832BE0">
            <w:pPr>
              <w:spacing w:after="0" w:line="240" w:lineRule="auto"/>
              <w:contextualSpacing/>
              <w:jc w:val="center"/>
              <w:rPr>
                <w:rFonts w:cs="Arial"/>
                <w:b/>
                <w:bCs/>
                <w:szCs w:val="20"/>
              </w:rPr>
            </w:pPr>
            <w:r w:rsidRPr="003C4D21">
              <w:rPr>
                <w:rFonts w:cs="Arial"/>
                <w:b/>
                <w:bCs/>
                <w:szCs w:val="20"/>
              </w:rPr>
              <w:t xml:space="preserve">Option </w:t>
            </w:r>
            <w:r w:rsidR="006D200E" w:rsidRPr="003C4D21">
              <w:rPr>
                <w:rFonts w:cs="Arial"/>
                <w:b/>
                <w:bCs/>
                <w:szCs w:val="20"/>
              </w:rPr>
              <w:t>2A</w:t>
            </w:r>
          </w:p>
        </w:tc>
        <w:tc>
          <w:tcPr>
            <w:tcW w:w="3432" w:type="dxa"/>
            <w:gridSpan w:val="3"/>
            <w:noWrap/>
            <w:hideMark/>
          </w:tcPr>
          <w:p w14:paraId="5873B38D" w14:textId="12EC3798" w:rsidR="006D200E" w:rsidRPr="003C4D21" w:rsidRDefault="00E40B65" w:rsidP="00832BE0">
            <w:pPr>
              <w:spacing w:after="0" w:line="240" w:lineRule="auto"/>
              <w:contextualSpacing/>
              <w:jc w:val="center"/>
              <w:rPr>
                <w:rFonts w:cs="Arial"/>
                <w:b/>
                <w:bCs/>
                <w:szCs w:val="20"/>
              </w:rPr>
            </w:pPr>
            <w:r w:rsidRPr="003C4D21">
              <w:rPr>
                <w:rFonts w:cs="Arial"/>
                <w:b/>
                <w:bCs/>
                <w:szCs w:val="20"/>
              </w:rPr>
              <w:t xml:space="preserve">Option </w:t>
            </w:r>
            <w:r w:rsidR="006D200E" w:rsidRPr="003C4D21">
              <w:rPr>
                <w:rFonts w:cs="Arial"/>
                <w:b/>
                <w:bCs/>
                <w:szCs w:val="20"/>
              </w:rPr>
              <w:t>2B</w:t>
            </w:r>
          </w:p>
        </w:tc>
      </w:tr>
      <w:tr w:rsidR="00D72523" w:rsidRPr="00E10BAF" w14:paraId="2321DE16" w14:textId="77777777" w:rsidTr="00E6203C">
        <w:trPr>
          <w:cnfStyle w:val="000000100000" w:firstRow="0" w:lastRow="0" w:firstColumn="0" w:lastColumn="0" w:oddVBand="0" w:evenVBand="0" w:oddHBand="1" w:evenHBand="0" w:firstRowFirstColumn="0" w:firstRowLastColumn="0" w:lastRowFirstColumn="0" w:lastRowLastColumn="0"/>
        </w:trPr>
        <w:tc>
          <w:tcPr>
            <w:tcW w:w="1413" w:type="dxa"/>
            <w:vMerge/>
            <w:noWrap/>
            <w:hideMark/>
          </w:tcPr>
          <w:p w14:paraId="6CF58DFD" w14:textId="77777777" w:rsidR="006D200E" w:rsidRPr="003C4D21" w:rsidRDefault="006D200E" w:rsidP="005D0959">
            <w:pPr>
              <w:spacing w:after="0" w:line="240" w:lineRule="auto"/>
              <w:contextualSpacing/>
              <w:rPr>
                <w:rFonts w:cs="Arial"/>
                <w:b/>
                <w:bCs/>
                <w:color w:val="000000"/>
                <w:szCs w:val="20"/>
              </w:rPr>
            </w:pPr>
          </w:p>
        </w:tc>
        <w:tc>
          <w:tcPr>
            <w:tcW w:w="1984" w:type="dxa"/>
            <w:vMerge/>
            <w:noWrap/>
            <w:hideMark/>
          </w:tcPr>
          <w:p w14:paraId="2355267C" w14:textId="77777777" w:rsidR="006D200E" w:rsidRPr="003C4D21" w:rsidRDefault="006D200E" w:rsidP="005D0959">
            <w:pPr>
              <w:spacing w:after="0" w:line="240" w:lineRule="auto"/>
              <w:contextualSpacing/>
              <w:rPr>
                <w:rFonts w:cs="Arial"/>
                <w:b/>
                <w:bCs/>
                <w:color w:val="000000"/>
                <w:szCs w:val="20"/>
              </w:rPr>
            </w:pPr>
          </w:p>
        </w:tc>
        <w:tc>
          <w:tcPr>
            <w:tcW w:w="941" w:type="dxa"/>
            <w:vMerge/>
            <w:noWrap/>
            <w:hideMark/>
          </w:tcPr>
          <w:p w14:paraId="14B23B64" w14:textId="77777777" w:rsidR="006D200E" w:rsidRPr="003C4D21" w:rsidRDefault="006D200E" w:rsidP="005D0959">
            <w:pPr>
              <w:spacing w:after="0" w:line="240" w:lineRule="auto"/>
              <w:contextualSpacing/>
              <w:rPr>
                <w:rFonts w:cs="Arial"/>
                <w:b/>
                <w:bCs/>
                <w:color w:val="000000"/>
                <w:szCs w:val="20"/>
              </w:rPr>
            </w:pPr>
          </w:p>
        </w:tc>
        <w:tc>
          <w:tcPr>
            <w:tcW w:w="0" w:type="dxa"/>
            <w:vMerge/>
            <w:noWrap/>
            <w:hideMark/>
          </w:tcPr>
          <w:p w14:paraId="149D24BA" w14:textId="77777777" w:rsidR="006D200E" w:rsidRPr="003C4D21" w:rsidRDefault="006D200E" w:rsidP="005D0959">
            <w:pPr>
              <w:spacing w:after="0" w:line="240" w:lineRule="auto"/>
              <w:contextualSpacing/>
              <w:rPr>
                <w:rFonts w:cs="Arial"/>
                <w:b/>
                <w:bCs/>
                <w:color w:val="000000"/>
                <w:szCs w:val="20"/>
              </w:rPr>
            </w:pPr>
          </w:p>
        </w:tc>
        <w:tc>
          <w:tcPr>
            <w:tcW w:w="949" w:type="dxa"/>
            <w:shd w:val="clear" w:color="auto" w:fill="404040"/>
            <w:noWrap/>
            <w:hideMark/>
          </w:tcPr>
          <w:p w14:paraId="6B96AC4A" w14:textId="78BC33C5" w:rsidR="006D200E" w:rsidRPr="003C4D21" w:rsidRDefault="006D200E" w:rsidP="003C4D21">
            <w:pPr>
              <w:spacing w:after="0" w:line="240" w:lineRule="auto"/>
              <w:contextualSpacing/>
              <w:jc w:val="right"/>
              <w:rPr>
                <w:rFonts w:cs="Arial"/>
                <w:b/>
                <w:bCs/>
                <w:color w:val="FFFFFF" w:themeColor="background1"/>
                <w:szCs w:val="20"/>
              </w:rPr>
            </w:pPr>
            <w:r w:rsidRPr="003C4D21">
              <w:rPr>
                <w:rFonts w:cs="Arial"/>
                <w:b/>
                <w:bCs/>
                <w:color w:val="FFFFFF" w:themeColor="background1"/>
                <w:szCs w:val="20"/>
              </w:rPr>
              <w:t xml:space="preserve">First </w:t>
            </w:r>
            <w:r w:rsidR="00E6203C">
              <w:rPr>
                <w:rFonts w:cs="Arial"/>
                <w:b/>
                <w:bCs/>
                <w:color w:val="FFFFFF" w:themeColor="background1"/>
                <w:szCs w:val="20"/>
              </w:rPr>
              <w:br/>
            </w:r>
            <w:r w:rsidRPr="003C4D21">
              <w:rPr>
                <w:rFonts w:cs="Arial"/>
                <w:b/>
                <w:bCs/>
                <w:color w:val="FFFFFF" w:themeColor="background1"/>
                <w:szCs w:val="20"/>
              </w:rPr>
              <w:t>year</w:t>
            </w:r>
          </w:p>
        </w:tc>
        <w:tc>
          <w:tcPr>
            <w:tcW w:w="949" w:type="dxa"/>
            <w:shd w:val="clear" w:color="auto" w:fill="404040"/>
            <w:noWrap/>
            <w:hideMark/>
          </w:tcPr>
          <w:p w14:paraId="0E5C7FFB" w14:textId="77777777" w:rsidR="006D200E" w:rsidRPr="003C4D21" w:rsidRDefault="006D200E" w:rsidP="003C4D21">
            <w:pPr>
              <w:spacing w:after="0" w:line="240" w:lineRule="auto"/>
              <w:contextualSpacing/>
              <w:jc w:val="right"/>
              <w:rPr>
                <w:rFonts w:cs="Arial"/>
                <w:b/>
                <w:bCs/>
                <w:color w:val="FFFFFF" w:themeColor="background1"/>
                <w:szCs w:val="20"/>
              </w:rPr>
            </w:pPr>
            <w:r w:rsidRPr="003C4D21">
              <w:rPr>
                <w:rFonts w:cs="Arial"/>
                <w:b/>
                <w:bCs/>
                <w:color w:val="FFFFFF" w:themeColor="background1"/>
                <w:szCs w:val="20"/>
              </w:rPr>
              <w:t>Ongoing</w:t>
            </w:r>
          </w:p>
        </w:tc>
        <w:tc>
          <w:tcPr>
            <w:tcW w:w="1115" w:type="dxa"/>
            <w:shd w:val="clear" w:color="auto" w:fill="404040"/>
            <w:noWrap/>
            <w:hideMark/>
          </w:tcPr>
          <w:p w14:paraId="0DA685A5" w14:textId="044DBE43" w:rsidR="006D200E" w:rsidRPr="003C4D21" w:rsidRDefault="006D200E" w:rsidP="003C4D21">
            <w:pPr>
              <w:spacing w:after="0" w:line="240" w:lineRule="auto"/>
              <w:contextualSpacing/>
              <w:jc w:val="right"/>
              <w:rPr>
                <w:rFonts w:cs="Arial"/>
                <w:b/>
                <w:bCs/>
                <w:color w:val="FFFFFF" w:themeColor="background1"/>
                <w:szCs w:val="20"/>
              </w:rPr>
            </w:pPr>
            <w:r w:rsidRPr="003C4D21">
              <w:rPr>
                <w:rFonts w:cs="Arial"/>
                <w:b/>
                <w:bCs/>
                <w:color w:val="FFFFFF" w:themeColor="background1"/>
                <w:szCs w:val="20"/>
              </w:rPr>
              <w:t xml:space="preserve">First </w:t>
            </w:r>
            <w:r w:rsidR="003C4D21">
              <w:rPr>
                <w:rFonts w:cs="Arial"/>
                <w:b/>
                <w:bCs/>
                <w:color w:val="FFFFFF" w:themeColor="background1"/>
                <w:szCs w:val="20"/>
              </w:rPr>
              <w:br/>
            </w:r>
            <w:r w:rsidRPr="003C4D21">
              <w:rPr>
                <w:rFonts w:cs="Arial"/>
                <w:b/>
                <w:bCs/>
                <w:color w:val="FFFFFF" w:themeColor="background1"/>
                <w:szCs w:val="20"/>
              </w:rPr>
              <w:t>year</w:t>
            </w:r>
          </w:p>
        </w:tc>
        <w:tc>
          <w:tcPr>
            <w:tcW w:w="949" w:type="dxa"/>
            <w:shd w:val="clear" w:color="auto" w:fill="404040"/>
            <w:noWrap/>
            <w:hideMark/>
          </w:tcPr>
          <w:p w14:paraId="4861CD07" w14:textId="77777777" w:rsidR="006D200E" w:rsidRPr="003C4D21" w:rsidRDefault="006D200E" w:rsidP="003C4D21">
            <w:pPr>
              <w:spacing w:after="0" w:line="240" w:lineRule="auto"/>
              <w:contextualSpacing/>
              <w:jc w:val="right"/>
              <w:rPr>
                <w:rFonts w:cs="Arial"/>
                <w:b/>
                <w:bCs/>
                <w:color w:val="FFFFFF" w:themeColor="background1"/>
                <w:szCs w:val="20"/>
              </w:rPr>
            </w:pPr>
            <w:r w:rsidRPr="003C4D21">
              <w:rPr>
                <w:rFonts w:cs="Arial"/>
                <w:b/>
                <w:bCs/>
                <w:color w:val="FFFFFF" w:themeColor="background1"/>
                <w:szCs w:val="20"/>
              </w:rPr>
              <w:t>Ongoing</w:t>
            </w:r>
          </w:p>
        </w:tc>
        <w:tc>
          <w:tcPr>
            <w:tcW w:w="1184" w:type="dxa"/>
            <w:shd w:val="clear" w:color="auto" w:fill="404040"/>
            <w:noWrap/>
            <w:hideMark/>
          </w:tcPr>
          <w:p w14:paraId="6B036752" w14:textId="035D0669" w:rsidR="006D200E" w:rsidRPr="003C4D21" w:rsidRDefault="006D200E" w:rsidP="003C4D21">
            <w:pPr>
              <w:spacing w:after="0" w:line="240" w:lineRule="auto"/>
              <w:contextualSpacing/>
              <w:jc w:val="right"/>
              <w:rPr>
                <w:rFonts w:cs="Arial"/>
                <w:b/>
                <w:bCs/>
                <w:color w:val="FFFFFF" w:themeColor="background1"/>
                <w:szCs w:val="20"/>
              </w:rPr>
            </w:pPr>
            <w:r w:rsidRPr="003C4D21">
              <w:rPr>
                <w:rFonts w:cs="Arial"/>
                <w:b/>
                <w:bCs/>
                <w:color w:val="FFFFFF" w:themeColor="background1"/>
                <w:szCs w:val="20"/>
              </w:rPr>
              <w:t xml:space="preserve">First </w:t>
            </w:r>
            <w:r w:rsidR="00E6203C">
              <w:rPr>
                <w:rFonts w:cs="Arial"/>
                <w:b/>
                <w:bCs/>
                <w:color w:val="FFFFFF" w:themeColor="background1"/>
                <w:szCs w:val="20"/>
              </w:rPr>
              <w:br/>
            </w:r>
            <w:r w:rsidRPr="003C4D21">
              <w:rPr>
                <w:rFonts w:cs="Arial"/>
                <w:b/>
                <w:bCs/>
                <w:color w:val="FFFFFF" w:themeColor="background1"/>
                <w:szCs w:val="20"/>
              </w:rPr>
              <w:t>year</w:t>
            </w:r>
          </w:p>
        </w:tc>
        <w:tc>
          <w:tcPr>
            <w:tcW w:w="1008" w:type="dxa"/>
            <w:shd w:val="clear" w:color="auto" w:fill="404040"/>
            <w:noWrap/>
            <w:hideMark/>
          </w:tcPr>
          <w:p w14:paraId="7C9FB690" w14:textId="38C9FFB5" w:rsidR="006D200E" w:rsidRPr="003C4D21" w:rsidRDefault="006D200E" w:rsidP="003C4D21">
            <w:pPr>
              <w:spacing w:after="0" w:line="240" w:lineRule="auto"/>
              <w:contextualSpacing/>
              <w:jc w:val="right"/>
              <w:rPr>
                <w:rFonts w:cs="Arial"/>
                <w:b/>
                <w:bCs/>
                <w:color w:val="FFFFFF" w:themeColor="background1"/>
                <w:szCs w:val="20"/>
              </w:rPr>
            </w:pPr>
            <w:r w:rsidRPr="003C4D21">
              <w:rPr>
                <w:rFonts w:cs="Arial"/>
                <w:b/>
                <w:bCs/>
                <w:color w:val="FFFFFF" w:themeColor="background1"/>
                <w:szCs w:val="20"/>
              </w:rPr>
              <w:t xml:space="preserve">Second </w:t>
            </w:r>
            <w:r w:rsidR="00E6203C">
              <w:rPr>
                <w:rFonts w:cs="Arial"/>
                <w:b/>
                <w:bCs/>
                <w:color w:val="FFFFFF" w:themeColor="background1"/>
                <w:szCs w:val="20"/>
              </w:rPr>
              <w:br/>
            </w:r>
            <w:r w:rsidRPr="003C4D21">
              <w:rPr>
                <w:rFonts w:cs="Arial"/>
                <w:b/>
                <w:bCs/>
                <w:color w:val="FFFFFF" w:themeColor="background1"/>
                <w:szCs w:val="20"/>
              </w:rPr>
              <w:t>year</w:t>
            </w:r>
          </w:p>
        </w:tc>
        <w:tc>
          <w:tcPr>
            <w:tcW w:w="1240" w:type="dxa"/>
            <w:shd w:val="clear" w:color="auto" w:fill="404040"/>
            <w:noWrap/>
            <w:hideMark/>
          </w:tcPr>
          <w:p w14:paraId="162BA33B" w14:textId="127C2DFF" w:rsidR="006D200E" w:rsidRPr="003C4D21" w:rsidRDefault="006D200E" w:rsidP="003C4D21">
            <w:pPr>
              <w:spacing w:after="0" w:line="240" w:lineRule="auto"/>
              <w:contextualSpacing/>
              <w:jc w:val="right"/>
              <w:rPr>
                <w:rFonts w:cs="Arial"/>
                <w:b/>
                <w:bCs/>
                <w:color w:val="FFFFFF" w:themeColor="background1"/>
                <w:szCs w:val="20"/>
              </w:rPr>
            </w:pPr>
            <w:r w:rsidRPr="003C4D21">
              <w:rPr>
                <w:rFonts w:cs="Arial"/>
                <w:b/>
                <w:bCs/>
                <w:color w:val="FFFFFF" w:themeColor="background1"/>
                <w:szCs w:val="20"/>
              </w:rPr>
              <w:t xml:space="preserve">Third </w:t>
            </w:r>
            <w:r w:rsidR="003C4D21">
              <w:rPr>
                <w:rFonts w:cs="Arial"/>
                <w:b/>
                <w:bCs/>
                <w:color w:val="FFFFFF" w:themeColor="background1"/>
                <w:szCs w:val="20"/>
              </w:rPr>
              <w:br/>
            </w:r>
            <w:r w:rsidRPr="003C4D21">
              <w:rPr>
                <w:rFonts w:cs="Arial"/>
                <w:b/>
                <w:bCs/>
                <w:color w:val="FFFFFF" w:themeColor="background1"/>
                <w:szCs w:val="20"/>
              </w:rPr>
              <w:t>year</w:t>
            </w:r>
          </w:p>
        </w:tc>
      </w:tr>
      <w:tr w:rsidR="00E6203C" w:rsidRPr="00E10BAF" w14:paraId="5A022AF6" w14:textId="77777777" w:rsidTr="0095656C">
        <w:trPr>
          <w:cnfStyle w:val="000000010000" w:firstRow="0" w:lastRow="0" w:firstColumn="0" w:lastColumn="0" w:oddVBand="0" w:evenVBand="0" w:oddHBand="0" w:evenHBand="1" w:firstRowFirstColumn="0" w:firstRowLastColumn="0" w:lastRowFirstColumn="0" w:lastRowLastColumn="0"/>
        </w:trPr>
        <w:tc>
          <w:tcPr>
            <w:tcW w:w="1413" w:type="dxa"/>
            <w:vMerge w:val="restart"/>
            <w:noWrap/>
            <w:hideMark/>
          </w:tcPr>
          <w:p w14:paraId="6551A8B0" w14:textId="77777777" w:rsidR="006D200E" w:rsidRPr="009F252C" w:rsidRDefault="006D200E" w:rsidP="003C4D21">
            <w:pPr>
              <w:spacing w:after="0" w:line="240" w:lineRule="auto"/>
              <w:contextualSpacing/>
              <w:rPr>
                <w:rFonts w:cs="Arial"/>
                <w:b/>
                <w:bCs/>
                <w:color w:val="000000"/>
                <w:szCs w:val="20"/>
              </w:rPr>
            </w:pPr>
            <w:r w:rsidRPr="009F252C">
              <w:rPr>
                <w:rFonts w:cs="Arial"/>
                <w:b/>
                <w:bCs/>
                <w:color w:val="000000"/>
                <w:szCs w:val="20"/>
              </w:rPr>
              <w:t>Government (ACMA)</w:t>
            </w:r>
          </w:p>
        </w:tc>
        <w:tc>
          <w:tcPr>
            <w:tcW w:w="1984" w:type="dxa"/>
            <w:hideMark/>
          </w:tcPr>
          <w:p w14:paraId="08C158B5" w14:textId="609C53B3" w:rsidR="006D200E" w:rsidRPr="009F252C" w:rsidRDefault="006D200E" w:rsidP="005D0959">
            <w:pPr>
              <w:spacing w:after="0" w:line="240" w:lineRule="auto"/>
              <w:contextualSpacing/>
              <w:rPr>
                <w:rFonts w:cs="Arial"/>
                <w:color w:val="000000"/>
                <w:szCs w:val="20"/>
              </w:rPr>
            </w:pPr>
            <w:r w:rsidRPr="009F252C">
              <w:rPr>
                <w:rFonts w:cs="Arial"/>
                <w:color w:val="000000"/>
                <w:szCs w:val="20"/>
              </w:rPr>
              <w:t xml:space="preserve">Establishment/ review of </w:t>
            </w:r>
            <w:r w:rsidR="00BD5EAC">
              <w:rPr>
                <w:rFonts w:cs="Arial"/>
                <w:color w:val="000000"/>
                <w:szCs w:val="20"/>
              </w:rPr>
              <w:t>S</w:t>
            </w:r>
            <w:r w:rsidRPr="009F252C">
              <w:rPr>
                <w:rFonts w:cs="Arial"/>
                <w:color w:val="000000"/>
                <w:szCs w:val="20"/>
              </w:rPr>
              <w:t>tandard or code</w:t>
            </w:r>
          </w:p>
        </w:tc>
        <w:tc>
          <w:tcPr>
            <w:tcW w:w="941" w:type="dxa"/>
            <w:noWrap/>
            <w:hideMark/>
          </w:tcPr>
          <w:p w14:paraId="7C74D963" w14:textId="77777777" w:rsidR="006D200E" w:rsidRPr="009F252C" w:rsidRDefault="006D200E" w:rsidP="005D0959">
            <w:pPr>
              <w:spacing w:after="0" w:line="240" w:lineRule="auto"/>
              <w:contextualSpacing/>
              <w:rPr>
                <w:rFonts w:cs="Arial"/>
                <w:color w:val="000000"/>
                <w:szCs w:val="20"/>
              </w:rPr>
            </w:pPr>
            <w:r w:rsidRPr="009F252C">
              <w:rPr>
                <w:rFonts w:cs="Arial"/>
                <w:color w:val="000000"/>
                <w:szCs w:val="20"/>
              </w:rPr>
              <w:t>Cost</w:t>
            </w:r>
          </w:p>
        </w:tc>
        <w:tc>
          <w:tcPr>
            <w:tcW w:w="0" w:type="dxa"/>
            <w:hideMark/>
          </w:tcPr>
          <w:p w14:paraId="29C4AFAA" w14:textId="6507ADB2" w:rsidR="006D200E" w:rsidRPr="009F252C" w:rsidRDefault="006D200E" w:rsidP="005D0959">
            <w:pPr>
              <w:spacing w:after="0" w:line="240" w:lineRule="auto"/>
              <w:contextualSpacing/>
              <w:rPr>
                <w:rFonts w:cs="Arial"/>
                <w:color w:val="000000"/>
                <w:szCs w:val="20"/>
              </w:rPr>
            </w:pPr>
            <w:r w:rsidRPr="009F252C">
              <w:rPr>
                <w:rFonts w:cs="Arial"/>
                <w:color w:val="000000"/>
                <w:szCs w:val="20"/>
              </w:rPr>
              <w:t xml:space="preserve">ACMA indicated that it would have reviewed TCP Code in any case. </w:t>
            </w:r>
            <w:r w:rsidR="00267D6F" w:rsidRPr="009F252C">
              <w:rPr>
                <w:rFonts w:cs="Arial"/>
                <w:color w:val="000000"/>
                <w:szCs w:val="20"/>
              </w:rPr>
              <w:t>So,</w:t>
            </w:r>
            <w:r w:rsidRPr="009F252C">
              <w:rPr>
                <w:rFonts w:cs="Arial"/>
                <w:color w:val="000000"/>
                <w:szCs w:val="20"/>
              </w:rPr>
              <w:t xml:space="preserve"> no additional incremental cost for Option 2A and 2B compared to Option 1. </w:t>
            </w:r>
          </w:p>
        </w:tc>
        <w:tc>
          <w:tcPr>
            <w:tcW w:w="949" w:type="dxa"/>
            <w:noWrap/>
            <w:hideMark/>
          </w:tcPr>
          <w:p w14:paraId="7993DA9B"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$312,395</w:t>
            </w:r>
          </w:p>
        </w:tc>
        <w:tc>
          <w:tcPr>
            <w:tcW w:w="949" w:type="dxa"/>
            <w:noWrap/>
            <w:hideMark/>
          </w:tcPr>
          <w:p w14:paraId="383661F2"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 $0</w:t>
            </w:r>
          </w:p>
        </w:tc>
        <w:tc>
          <w:tcPr>
            <w:tcW w:w="1115" w:type="dxa"/>
            <w:noWrap/>
            <w:hideMark/>
          </w:tcPr>
          <w:p w14:paraId="195861A6"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$312,395</w:t>
            </w:r>
          </w:p>
        </w:tc>
        <w:tc>
          <w:tcPr>
            <w:tcW w:w="949" w:type="dxa"/>
            <w:noWrap/>
            <w:hideMark/>
          </w:tcPr>
          <w:p w14:paraId="6EA6E3E2"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 $0</w:t>
            </w:r>
          </w:p>
        </w:tc>
        <w:tc>
          <w:tcPr>
            <w:tcW w:w="1184" w:type="dxa"/>
            <w:noWrap/>
            <w:hideMark/>
          </w:tcPr>
          <w:p w14:paraId="1381595A"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$312,395</w:t>
            </w:r>
          </w:p>
        </w:tc>
        <w:tc>
          <w:tcPr>
            <w:tcW w:w="1008" w:type="dxa"/>
            <w:noWrap/>
            <w:hideMark/>
          </w:tcPr>
          <w:p w14:paraId="644D9C19" w14:textId="77777777" w:rsidR="006D200E" w:rsidRPr="009F252C" w:rsidRDefault="006D200E" w:rsidP="003C4D21">
            <w:pPr>
              <w:spacing w:after="0" w:line="240" w:lineRule="auto"/>
              <w:contextualSpacing/>
              <w:jc w:val="right"/>
              <w:rPr>
                <w:rFonts w:cs="Arial"/>
                <w:szCs w:val="20"/>
              </w:rPr>
            </w:pPr>
            <w:r w:rsidRPr="009F252C">
              <w:rPr>
                <w:rFonts w:cs="Arial"/>
                <w:color w:val="000000"/>
                <w:szCs w:val="20"/>
              </w:rPr>
              <w:t>$0</w:t>
            </w:r>
          </w:p>
        </w:tc>
        <w:tc>
          <w:tcPr>
            <w:tcW w:w="1240" w:type="dxa"/>
            <w:noWrap/>
            <w:hideMark/>
          </w:tcPr>
          <w:p w14:paraId="106A5316"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 $0</w:t>
            </w:r>
          </w:p>
        </w:tc>
      </w:tr>
      <w:tr w:rsidR="00E6203C" w:rsidRPr="00E10BAF" w14:paraId="768F6F76" w14:textId="77777777" w:rsidTr="0095656C">
        <w:trPr>
          <w:cnfStyle w:val="000000100000" w:firstRow="0" w:lastRow="0" w:firstColumn="0" w:lastColumn="0" w:oddVBand="0" w:evenVBand="0" w:oddHBand="1" w:evenHBand="0" w:firstRowFirstColumn="0" w:firstRowLastColumn="0" w:lastRowFirstColumn="0" w:lastRowLastColumn="0"/>
        </w:trPr>
        <w:tc>
          <w:tcPr>
            <w:tcW w:w="1413" w:type="dxa"/>
            <w:vMerge/>
            <w:hideMark/>
          </w:tcPr>
          <w:p w14:paraId="20371382" w14:textId="77777777" w:rsidR="006D200E" w:rsidRPr="009F252C" w:rsidRDefault="006D200E" w:rsidP="005D0959">
            <w:pPr>
              <w:spacing w:after="0" w:line="240" w:lineRule="auto"/>
              <w:contextualSpacing/>
              <w:rPr>
                <w:rFonts w:cs="Arial"/>
                <w:b/>
                <w:bCs/>
                <w:color w:val="000000"/>
                <w:szCs w:val="20"/>
              </w:rPr>
            </w:pPr>
          </w:p>
        </w:tc>
        <w:tc>
          <w:tcPr>
            <w:tcW w:w="1984" w:type="dxa"/>
            <w:hideMark/>
          </w:tcPr>
          <w:p w14:paraId="7BF42A87" w14:textId="6843D8A9" w:rsidR="006D200E" w:rsidRPr="009F252C" w:rsidRDefault="006D200E" w:rsidP="005D0959">
            <w:pPr>
              <w:spacing w:after="0" w:line="240" w:lineRule="auto"/>
              <w:contextualSpacing/>
              <w:rPr>
                <w:rFonts w:cs="Arial"/>
                <w:color w:val="000000"/>
                <w:szCs w:val="20"/>
              </w:rPr>
            </w:pPr>
            <w:r w:rsidRPr="009F252C">
              <w:rPr>
                <w:rFonts w:cs="Arial"/>
                <w:color w:val="000000"/>
                <w:szCs w:val="20"/>
              </w:rPr>
              <w:t xml:space="preserve">Enforcement of new </w:t>
            </w:r>
            <w:r w:rsidR="00BD5EAC">
              <w:rPr>
                <w:rFonts w:cs="Arial"/>
                <w:color w:val="000000"/>
                <w:szCs w:val="20"/>
              </w:rPr>
              <w:t>S</w:t>
            </w:r>
            <w:r w:rsidRPr="009F252C">
              <w:rPr>
                <w:rFonts w:cs="Arial"/>
                <w:color w:val="000000"/>
                <w:szCs w:val="20"/>
              </w:rPr>
              <w:t>tandard</w:t>
            </w:r>
          </w:p>
        </w:tc>
        <w:tc>
          <w:tcPr>
            <w:tcW w:w="941" w:type="dxa"/>
            <w:noWrap/>
            <w:hideMark/>
          </w:tcPr>
          <w:p w14:paraId="6110881C" w14:textId="77777777" w:rsidR="006D200E" w:rsidRPr="009F252C" w:rsidRDefault="006D200E" w:rsidP="005D0959">
            <w:pPr>
              <w:spacing w:after="0" w:line="240" w:lineRule="auto"/>
              <w:contextualSpacing/>
              <w:rPr>
                <w:rFonts w:cs="Arial"/>
                <w:color w:val="000000"/>
                <w:szCs w:val="20"/>
              </w:rPr>
            </w:pPr>
            <w:r>
              <w:rPr>
                <w:rFonts w:cs="Arial"/>
                <w:color w:val="000000"/>
                <w:szCs w:val="20"/>
              </w:rPr>
              <w:t>C</w:t>
            </w:r>
            <w:r w:rsidRPr="009F252C">
              <w:rPr>
                <w:rFonts w:cs="Arial"/>
                <w:color w:val="000000"/>
                <w:szCs w:val="20"/>
              </w:rPr>
              <w:t>ost</w:t>
            </w:r>
          </w:p>
        </w:tc>
        <w:tc>
          <w:tcPr>
            <w:tcW w:w="0" w:type="dxa"/>
            <w:hideMark/>
          </w:tcPr>
          <w:p w14:paraId="524278CE" w14:textId="0DDBB50C" w:rsidR="006D200E" w:rsidRPr="009F252C" w:rsidRDefault="006D200E" w:rsidP="005D0959">
            <w:pPr>
              <w:spacing w:after="0" w:line="240" w:lineRule="auto"/>
              <w:contextualSpacing/>
              <w:rPr>
                <w:rFonts w:cs="Arial"/>
                <w:color w:val="000000"/>
                <w:szCs w:val="20"/>
              </w:rPr>
            </w:pPr>
            <w:r w:rsidRPr="009F252C">
              <w:rPr>
                <w:rFonts w:cs="Arial"/>
                <w:color w:val="000000"/>
                <w:szCs w:val="20"/>
              </w:rPr>
              <w:t xml:space="preserve">ACMA staff time on enforcing new </w:t>
            </w:r>
            <w:r w:rsidR="00493407">
              <w:rPr>
                <w:rFonts w:cs="Arial"/>
                <w:color w:val="000000"/>
                <w:szCs w:val="20"/>
              </w:rPr>
              <w:t>S</w:t>
            </w:r>
            <w:r w:rsidRPr="009F252C">
              <w:rPr>
                <w:rFonts w:cs="Arial"/>
                <w:color w:val="000000"/>
                <w:szCs w:val="20"/>
              </w:rPr>
              <w:t xml:space="preserve">tandard Option 2A (outcomes based) requires increased staff time comparted to Option 2B </w:t>
            </w:r>
          </w:p>
        </w:tc>
        <w:tc>
          <w:tcPr>
            <w:tcW w:w="949" w:type="dxa"/>
            <w:noWrap/>
            <w:hideMark/>
          </w:tcPr>
          <w:p w14:paraId="5B21607C"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$984,045</w:t>
            </w:r>
          </w:p>
        </w:tc>
        <w:tc>
          <w:tcPr>
            <w:tcW w:w="949" w:type="dxa"/>
            <w:noWrap/>
            <w:hideMark/>
          </w:tcPr>
          <w:p w14:paraId="2A7F533C"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$984,045</w:t>
            </w:r>
          </w:p>
        </w:tc>
        <w:tc>
          <w:tcPr>
            <w:tcW w:w="1115" w:type="dxa"/>
            <w:noWrap/>
            <w:hideMark/>
          </w:tcPr>
          <w:p w14:paraId="71A8E4A2"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$1,124,623</w:t>
            </w:r>
          </w:p>
        </w:tc>
        <w:tc>
          <w:tcPr>
            <w:tcW w:w="949" w:type="dxa"/>
            <w:noWrap/>
            <w:hideMark/>
          </w:tcPr>
          <w:p w14:paraId="775811C2"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$843,467</w:t>
            </w:r>
          </w:p>
        </w:tc>
        <w:tc>
          <w:tcPr>
            <w:tcW w:w="1184" w:type="dxa"/>
            <w:noWrap/>
            <w:hideMark/>
          </w:tcPr>
          <w:p w14:paraId="08AE49DF"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$984,045</w:t>
            </w:r>
          </w:p>
        </w:tc>
        <w:tc>
          <w:tcPr>
            <w:tcW w:w="1008" w:type="dxa"/>
            <w:noWrap/>
            <w:hideMark/>
          </w:tcPr>
          <w:p w14:paraId="2154B65F"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$702,889</w:t>
            </w:r>
          </w:p>
        </w:tc>
        <w:tc>
          <w:tcPr>
            <w:tcW w:w="1240" w:type="dxa"/>
            <w:noWrap/>
            <w:hideMark/>
          </w:tcPr>
          <w:p w14:paraId="49E5237E"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$421,734</w:t>
            </w:r>
          </w:p>
        </w:tc>
      </w:tr>
      <w:tr w:rsidR="00E6203C" w:rsidRPr="00E10BAF" w14:paraId="1A66F4C3" w14:textId="77777777" w:rsidTr="0095656C">
        <w:trPr>
          <w:cnfStyle w:val="000000010000" w:firstRow="0" w:lastRow="0" w:firstColumn="0" w:lastColumn="0" w:oddVBand="0" w:evenVBand="0" w:oddHBand="0" w:evenHBand="1" w:firstRowFirstColumn="0" w:firstRowLastColumn="0" w:lastRowFirstColumn="0" w:lastRowLastColumn="0"/>
        </w:trPr>
        <w:tc>
          <w:tcPr>
            <w:tcW w:w="1413" w:type="dxa"/>
            <w:vMerge/>
            <w:hideMark/>
          </w:tcPr>
          <w:p w14:paraId="77B40823" w14:textId="77777777" w:rsidR="006D200E" w:rsidRPr="009F252C" w:rsidRDefault="006D200E" w:rsidP="005D0959">
            <w:pPr>
              <w:spacing w:after="0" w:line="240" w:lineRule="auto"/>
              <w:contextualSpacing/>
              <w:rPr>
                <w:rFonts w:cs="Arial"/>
                <w:b/>
                <w:bCs/>
                <w:color w:val="000000"/>
                <w:szCs w:val="20"/>
              </w:rPr>
            </w:pPr>
          </w:p>
        </w:tc>
        <w:tc>
          <w:tcPr>
            <w:tcW w:w="1984" w:type="dxa"/>
            <w:noWrap/>
            <w:hideMark/>
          </w:tcPr>
          <w:p w14:paraId="50A913BC" w14:textId="77777777" w:rsidR="006D200E" w:rsidRPr="009F252C" w:rsidRDefault="006D200E" w:rsidP="005D0959">
            <w:pPr>
              <w:spacing w:after="0" w:line="240" w:lineRule="auto"/>
              <w:contextualSpacing/>
              <w:rPr>
                <w:rFonts w:cs="Arial"/>
                <w:color w:val="000000"/>
                <w:szCs w:val="20"/>
              </w:rPr>
            </w:pPr>
            <w:r w:rsidRPr="009F252C">
              <w:rPr>
                <w:rFonts w:cs="Arial"/>
                <w:color w:val="000000"/>
                <w:szCs w:val="20"/>
              </w:rPr>
              <w:t>More education for both industry and consumers</w:t>
            </w:r>
          </w:p>
        </w:tc>
        <w:tc>
          <w:tcPr>
            <w:tcW w:w="941" w:type="dxa"/>
            <w:noWrap/>
            <w:hideMark/>
          </w:tcPr>
          <w:p w14:paraId="0166F83B" w14:textId="77777777" w:rsidR="006D200E" w:rsidRPr="009F252C" w:rsidRDefault="006D200E" w:rsidP="005D0959">
            <w:pPr>
              <w:spacing w:after="0" w:line="240" w:lineRule="auto"/>
              <w:contextualSpacing/>
              <w:rPr>
                <w:rFonts w:cs="Arial"/>
                <w:color w:val="000000"/>
                <w:szCs w:val="20"/>
              </w:rPr>
            </w:pPr>
            <w:r>
              <w:rPr>
                <w:rFonts w:cs="Arial"/>
                <w:color w:val="000000"/>
                <w:szCs w:val="20"/>
              </w:rPr>
              <w:t>C</w:t>
            </w:r>
            <w:r w:rsidRPr="009F252C">
              <w:rPr>
                <w:rFonts w:cs="Arial"/>
                <w:color w:val="000000"/>
                <w:szCs w:val="20"/>
              </w:rPr>
              <w:t>ost</w:t>
            </w:r>
          </w:p>
        </w:tc>
        <w:tc>
          <w:tcPr>
            <w:tcW w:w="0" w:type="dxa"/>
            <w:noWrap/>
            <w:hideMark/>
          </w:tcPr>
          <w:p w14:paraId="664D963F" w14:textId="40BD452E" w:rsidR="006D200E" w:rsidRPr="009F252C" w:rsidRDefault="006D200E" w:rsidP="005D0959">
            <w:pPr>
              <w:spacing w:after="0" w:line="240" w:lineRule="auto"/>
              <w:contextualSpacing/>
              <w:rPr>
                <w:rFonts w:cs="Arial"/>
                <w:color w:val="000000"/>
                <w:szCs w:val="20"/>
              </w:rPr>
            </w:pPr>
            <w:r w:rsidRPr="009F252C">
              <w:rPr>
                <w:rFonts w:cs="Arial"/>
                <w:color w:val="000000"/>
                <w:szCs w:val="20"/>
              </w:rPr>
              <w:t xml:space="preserve">ACMA staff time on educating both industry &amp; customers on </w:t>
            </w:r>
            <w:r w:rsidR="00493407">
              <w:rPr>
                <w:rFonts w:cs="Arial"/>
                <w:color w:val="000000"/>
                <w:szCs w:val="20"/>
              </w:rPr>
              <w:t>S</w:t>
            </w:r>
            <w:r w:rsidRPr="009F252C">
              <w:rPr>
                <w:rFonts w:cs="Arial"/>
                <w:color w:val="000000"/>
                <w:szCs w:val="20"/>
              </w:rPr>
              <w:t xml:space="preserve">tandard </w:t>
            </w:r>
          </w:p>
        </w:tc>
        <w:tc>
          <w:tcPr>
            <w:tcW w:w="949" w:type="dxa"/>
            <w:noWrap/>
            <w:hideMark/>
          </w:tcPr>
          <w:p w14:paraId="4989CC2C"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$35,144</w:t>
            </w:r>
          </w:p>
        </w:tc>
        <w:tc>
          <w:tcPr>
            <w:tcW w:w="949" w:type="dxa"/>
            <w:noWrap/>
            <w:hideMark/>
          </w:tcPr>
          <w:p w14:paraId="466A9EC2"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$35,144</w:t>
            </w:r>
          </w:p>
        </w:tc>
        <w:tc>
          <w:tcPr>
            <w:tcW w:w="1115" w:type="dxa"/>
            <w:noWrap/>
            <w:hideMark/>
          </w:tcPr>
          <w:p w14:paraId="03594C1A"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$70,289</w:t>
            </w:r>
          </w:p>
        </w:tc>
        <w:tc>
          <w:tcPr>
            <w:tcW w:w="949" w:type="dxa"/>
            <w:noWrap/>
            <w:hideMark/>
          </w:tcPr>
          <w:p w14:paraId="13C929D6"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$35,144</w:t>
            </w:r>
          </w:p>
        </w:tc>
        <w:tc>
          <w:tcPr>
            <w:tcW w:w="1184" w:type="dxa"/>
            <w:noWrap/>
            <w:hideMark/>
          </w:tcPr>
          <w:p w14:paraId="2756A68C"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$70,289</w:t>
            </w:r>
          </w:p>
        </w:tc>
        <w:tc>
          <w:tcPr>
            <w:tcW w:w="1008" w:type="dxa"/>
            <w:noWrap/>
            <w:hideMark/>
          </w:tcPr>
          <w:p w14:paraId="42401E5A"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$35,144</w:t>
            </w:r>
          </w:p>
        </w:tc>
        <w:tc>
          <w:tcPr>
            <w:tcW w:w="1240" w:type="dxa"/>
            <w:noWrap/>
            <w:hideMark/>
          </w:tcPr>
          <w:p w14:paraId="30D94634"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$35,144</w:t>
            </w:r>
          </w:p>
        </w:tc>
      </w:tr>
      <w:tr w:rsidR="00E6203C" w:rsidRPr="00E10BAF" w14:paraId="0586DE41" w14:textId="77777777" w:rsidTr="00E6203C">
        <w:trPr>
          <w:cnfStyle w:val="000000100000" w:firstRow="0" w:lastRow="0" w:firstColumn="0" w:lastColumn="0" w:oddVBand="0" w:evenVBand="0" w:oddHBand="1" w:evenHBand="0" w:firstRowFirstColumn="0" w:firstRowLastColumn="0" w:lastRowFirstColumn="0" w:lastRowLastColumn="0"/>
        </w:trPr>
        <w:tc>
          <w:tcPr>
            <w:tcW w:w="1413" w:type="dxa"/>
            <w:hideMark/>
          </w:tcPr>
          <w:p w14:paraId="7AC89555" w14:textId="729F76BA" w:rsidR="006D200E" w:rsidRPr="009F252C" w:rsidRDefault="003C4D21" w:rsidP="005D0959">
            <w:pPr>
              <w:spacing w:after="0" w:line="240" w:lineRule="auto"/>
              <w:contextualSpacing/>
              <w:rPr>
                <w:rFonts w:cs="Arial"/>
                <w:b/>
                <w:bCs/>
                <w:color w:val="000000"/>
                <w:szCs w:val="20"/>
              </w:rPr>
            </w:pPr>
            <w:r>
              <w:rPr>
                <w:rFonts w:cs="Arial"/>
                <w:b/>
                <w:bCs/>
                <w:color w:val="000000"/>
                <w:szCs w:val="20"/>
              </w:rPr>
              <w:t>TIO</w:t>
            </w:r>
          </w:p>
        </w:tc>
        <w:tc>
          <w:tcPr>
            <w:tcW w:w="1984" w:type="dxa"/>
            <w:hideMark/>
          </w:tcPr>
          <w:p w14:paraId="7C15DC6E" w14:textId="77777777" w:rsidR="006D200E" w:rsidRPr="009F252C" w:rsidRDefault="006D200E" w:rsidP="005D0959">
            <w:pPr>
              <w:spacing w:after="0" w:line="240" w:lineRule="auto"/>
              <w:contextualSpacing/>
              <w:rPr>
                <w:rFonts w:cs="Arial"/>
                <w:color w:val="000000"/>
                <w:szCs w:val="20"/>
              </w:rPr>
            </w:pPr>
            <w:r w:rsidRPr="009F252C">
              <w:rPr>
                <w:rFonts w:cs="Arial"/>
                <w:color w:val="000000"/>
                <w:szCs w:val="20"/>
              </w:rPr>
              <w:t>Reduced numbers of complaints to TIO</w:t>
            </w:r>
          </w:p>
        </w:tc>
        <w:tc>
          <w:tcPr>
            <w:tcW w:w="941" w:type="dxa"/>
            <w:noWrap/>
            <w:hideMark/>
          </w:tcPr>
          <w:p w14:paraId="6DB66038" w14:textId="77777777" w:rsidR="006D200E" w:rsidRPr="009F252C" w:rsidRDefault="006D200E" w:rsidP="005D0959">
            <w:pPr>
              <w:spacing w:after="0" w:line="240" w:lineRule="auto"/>
              <w:contextualSpacing/>
              <w:rPr>
                <w:rFonts w:cs="Arial"/>
                <w:color w:val="000000"/>
                <w:szCs w:val="20"/>
              </w:rPr>
            </w:pPr>
            <w:r w:rsidRPr="009F252C">
              <w:rPr>
                <w:rFonts w:cs="Arial"/>
                <w:color w:val="000000"/>
                <w:szCs w:val="20"/>
              </w:rPr>
              <w:t>Benefit</w:t>
            </w:r>
          </w:p>
        </w:tc>
        <w:tc>
          <w:tcPr>
            <w:tcW w:w="2720" w:type="dxa"/>
            <w:hideMark/>
          </w:tcPr>
          <w:p w14:paraId="089632B8" w14:textId="77777777" w:rsidR="006D200E" w:rsidRPr="009F252C" w:rsidRDefault="006D200E" w:rsidP="005D0959">
            <w:pPr>
              <w:spacing w:after="0" w:line="240" w:lineRule="auto"/>
              <w:contextualSpacing/>
              <w:rPr>
                <w:rFonts w:cs="Arial"/>
                <w:color w:val="000000"/>
                <w:szCs w:val="20"/>
              </w:rPr>
            </w:pPr>
            <w:r w:rsidRPr="009F252C">
              <w:rPr>
                <w:rFonts w:cs="Arial"/>
                <w:color w:val="000000"/>
                <w:szCs w:val="20"/>
              </w:rPr>
              <w:t>Reduction in TIO staff time dealing with complaints (reduced numbers of complaints)</w:t>
            </w:r>
          </w:p>
        </w:tc>
        <w:tc>
          <w:tcPr>
            <w:tcW w:w="949" w:type="dxa"/>
            <w:hideMark/>
          </w:tcPr>
          <w:p w14:paraId="05245F64"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 </w:t>
            </w:r>
          </w:p>
        </w:tc>
        <w:tc>
          <w:tcPr>
            <w:tcW w:w="949" w:type="dxa"/>
            <w:hideMark/>
          </w:tcPr>
          <w:p w14:paraId="5F6C28B0"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 </w:t>
            </w:r>
          </w:p>
        </w:tc>
        <w:tc>
          <w:tcPr>
            <w:tcW w:w="2064" w:type="dxa"/>
            <w:gridSpan w:val="2"/>
            <w:hideMark/>
          </w:tcPr>
          <w:p w14:paraId="5361CBF7"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-$53,229 compared to base case per year</w:t>
            </w:r>
          </w:p>
        </w:tc>
        <w:tc>
          <w:tcPr>
            <w:tcW w:w="3432" w:type="dxa"/>
            <w:gridSpan w:val="3"/>
            <w:hideMark/>
          </w:tcPr>
          <w:p w14:paraId="69DAAF60"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-$228,126 compared to base case per year</w:t>
            </w:r>
          </w:p>
        </w:tc>
      </w:tr>
      <w:tr w:rsidR="00E6203C" w:rsidRPr="00E10BAF" w14:paraId="3296FCF3" w14:textId="77777777" w:rsidTr="00AF4C0C">
        <w:trPr>
          <w:cnfStyle w:val="000000010000" w:firstRow="0" w:lastRow="0" w:firstColumn="0" w:lastColumn="0" w:oddVBand="0" w:evenVBand="0" w:oddHBand="0" w:evenHBand="1" w:firstRowFirstColumn="0" w:firstRowLastColumn="0" w:lastRowFirstColumn="0" w:lastRowLastColumn="0"/>
        </w:trPr>
        <w:tc>
          <w:tcPr>
            <w:tcW w:w="1413" w:type="dxa"/>
            <w:vMerge w:val="restart"/>
            <w:noWrap/>
            <w:hideMark/>
          </w:tcPr>
          <w:p w14:paraId="22091811" w14:textId="77777777" w:rsidR="006D200E" w:rsidRPr="009F252C" w:rsidRDefault="006D200E" w:rsidP="003C4D21">
            <w:pPr>
              <w:spacing w:after="0" w:line="240" w:lineRule="auto"/>
              <w:contextualSpacing/>
              <w:rPr>
                <w:rFonts w:cs="Arial"/>
                <w:b/>
                <w:bCs/>
                <w:color w:val="000000"/>
                <w:szCs w:val="20"/>
              </w:rPr>
            </w:pPr>
            <w:r w:rsidRPr="009F252C">
              <w:rPr>
                <w:rFonts w:cs="Arial"/>
                <w:b/>
                <w:bCs/>
                <w:color w:val="000000"/>
                <w:szCs w:val="20"/>
              </w:rPr>
              <w:lastRenderedPageBreak/>
              <w:t xml:space="preserve">CSPs </w:t>
            </w:r>
          </w:p>
        </w:tc>
        <w:tc>
          <w:tcPr>
            <w:tcW w:w="1984" w:type="dxa"/>
            <w:hideMark/>
          </w:tcPr>
          <w:p w14:paraId="51ECFD58" w14:textId="3813DBEA" w:rsidR="006D200E" w:rsidRPr="009F252C" w:rsidRDefault="006D200E" w:rsidP="005D0959">
            <w:pPr>
              <w:spacing w:after="0" w:line="240" w:lineRule="auto"/>
              <w:contextualSpacing/>
              <w:rPr>
                <w:rFonts w:cs="Arial"/>
                <w:color w:val="000000"/>
                <w:szCs w:val="20"/>
              </w:rPr>
            </w:pPr>
            <w:r w:rsidRPr="009F252C">
              <w:rPr>
                <w:rFonts w:cs="Arial"/>
                <w:color w:val="000000"/>
                <w:szCs w:val="20"/>
              </w:rPr>
              <w:t xml:space="preserve">Change over costs to meet new </w:t>
            </w:r>
            <w:r w:rsidR="00493407">
              <w:rPr>
                <w:rFonts w:cs="Arial"/>
                <w:color w:val="000000"/>
                <w:szCs w:val="20"/>
              </w:rPr>
              <w:t>S</w:t>
            </w:r>
            <w:r w:rsidRPr="009F252C">
              <w:rPr>
                <w:rFonts w:cs="Arial"/>
                <w:color w:val="000000"/>
                <w:szCs w:val="20"/>
              </w:rPr>
              <w:t>tandard</w:t>
            </w:r>
          </w:p>
        </w:tc>
        <w:tc>
          <w:tcPr>
            <w:tcW w:w="941" w:type="dxa"/>
            <w:noWrap/>
            <w:hideMark/>
          </w:tcPr>
          <w:p w14:paraId="0BC00984" w14:textId="77777777" w:rsidR="006D200E" w:rsidRPr="009F252C" w:rsidRDefault="006D200E" w:rsidP="005D0959">
            <w:pPr>
              <w:spacing w:after="0" w:line="240" w:lineRule="auto"/>
              <w:contextualSpacing/>
              <w:rPr>
                <w:rFonts w:cs="Arial"/>
                <w:color w:val="000000"/>
                <w:szCs w:val="20"/>
              </w:rPr>
            </w:pPr>
            <w:r w:rsidRPr="009F252C">
              <w:rPr>
                <w:rFonts w:cs="Arial"/>
                <w:color w:val="000000"/>
                <w:szCs w:val="20"/>
              </w:rPr>
              <w:t>Cost</w:t>
            </w:r>
          </w:p>
        </w:tc>
        <w:tc>
          <w:tcPr>
            <w:tcW w:w="0" w:type="dxa"/>
          </w:tcPr>
          <w:p w14:paraId="6139B9AF" w14:textId="6CE8708E" w:rsidR="006D200E" w:rsidRPr="009F252C" w:rsidRDefault="006D200E" w:rsidP="005D0959">
            <w:pPr>
              <w:spacing w:after="0" w:line="240" w:lineRule="auto"/>
              <w:contextualSpacing/>
              <w:rPr>
                <w:rFonts w:cs="Arial"/>
                <w:color w:val="000000"/>
                <w:szCs w:val="20"/>
              </w:rPr>
            </w:pPr>
            <w:r w:rsidRPr="009F252C">
              <w:rPr>
                <w:rFonts w:cs="Arial"/>
                <w:color w:val="000000"/>
                <w:szCs w:val="20"/>
              </w:rPr>
              <w:t xml:space="preserve">Establishment costs to work with new </w:t>
            </w:r>
            <w:r w:rsidR="00FF3508">
              <w:rPr>
                <w:rFonts w:cs="Arial"/>
                <w:color w:val="000000"/>
                <w:szCs w:val="20"/>
              </w:rPr>
              <w:t>S</w:t>
            </w:r>
            <w:r w:rsidRPr="009F252C">
              <w:rPr>
                <w:rFonts w:cs="Arial"/>
                <w:color w:val="000000"/>
                <w:szCs w:val="20"/>
              </w:rPr>
              <w:t>tandard or new legal requirements - includes system and process costs</w:t>
            </w:r>
          </w:p>
        </w:tc>
        <w:tc>
          <w:tcPr>
            <w:tcW w:w="949" w:type="dxa"/>
            <w:noWrap/>
            <w:hideMark/>
          </w:tcPr>
          <w:p w14:paraId="7E955945"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 </w:t>
            </w:r>
          </w:p>
        </w:tc>
        <w:tc>
          <w:tcPr>
            <w:tcW w:w="949" w:type="dxa"/>
            <w:noWrap/>
            <w:hideMark/>
          </w:tcPr>
          <w:p w14:paraId="428E9F15"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 </w:t>
            </w:r>
          </w:p>
        </w:tc>
        <w:tc>
          <w:tcPr>
            <w:tcW w:w="1115" w:type="dxa"/>
            <w:hideMark/>
          </w:tcPr>
          <w:p w14:paraId="7479BB92"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$2,891,820</w:t>
            </w:r>
          </w:p>
        </w:tc>
        <w:tc>
          <w:tcPr>
            <w:tcW w:w="949" w:type="dxa"/>
          </w:tcPr>
          <w:p w14:paraId="7D1DD329" w14:textId="77777777" w:rsidR="006D200E" w:rsidRPr="009F252C" w:rsidRDefault="006D200E" w:rsidP="003C4D21">
            <w:pPr>
              <w:spacing w:after="0" w:line="240" w:lineRule="auto"/>
              <w:contextualSpacing/>
              <w:jc w:val="right"/>
              <w:rPr>
                <w:rFonts w:cs="Arial"/>
                <w:color w:val="000000"/>
                <w:szCs w:val="20"/>
              </w:rPr>
            </w:pPr>
          </w:p>
        </w:tc>
        <w:tc>
          <w:tcPr>
            <w:tcW w:w="1184" w:type="dxa"/>
            <w:hideMark/>
          </w:tcPr>
          <w:p w14:paraId="7C3AC74C"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$5,783,640</w:t>
            </w:r>
          </w:p>
        </w:tc>
        <w:tc>
          <w:tcPr>
            <w:tcW w:w="1008" w:type="dxa"/>
          </w:tcPr>
          <w:p w14:paraId="75FCB51A" w14:textId="77777777" w:rsidR="006D200E" w:rsidRPr="009F252C" w:rsidRDefault="006D200E" w:rsidP="003C4D21">
            <w:pPr>
              <w:spacing w:after="0" w:line="240" w:lineRule="auto"/>
              <w:contextualSpacing/>
              <w:jc w:val="right"/>
              <w:rPr>
                <w:rFonts w:cs="Arial"/>
                <w:color w:val="000000"/>
                <w:szCs w:val="20"/>
              </w:rPr>
            </w:pPr>
          </w:p>
        </w:tc>
        <w:tc>
          <w:tcPr>
            <w:tcW w:w="1240" w:type="dxa"/>
          </w:tcPr>
          <w:p w14:paraId="7ABCA871" w14:textId="77777777" w:rsidR="006D200E" w:rsidRPr="009F252C" w:rsidRDefault="006D200E" w:rsidP="003C4D21">
            <w:pPr>
              <w:spacing w:after="0" w:line="240" w:lineRule="auto"/>
              <w:contextualSpacing/>
              <w:jc w:val="right"/>
              <w:rPr>
                <w:rFonts w:cs="Arial"/>
                <w:color w:val="000000"/>
                <w:szCs w:val="20"/>
              </w:rPr>
            </w:pPr>
          </w:p>
        </w:tc>
      </w:tr>
      <w:tr w:rsidR="00E6203C" w:rsidRPr="00E10BAF" w14:paraId="696E8849" w14:textId="77777777" w:rsidTr="00AF4C0C">
        <w:trPr>
          <w:cnfStyle w:val="000000100000" w:firstRow="0" w:lastRow="0" w:firstColumn="0" w:lastColumn="0" w:oddVBand="0" w:evenVBand="0" w:oddHBand="1" w:evenHBand="0" w:firstRowFirstColumn="0" w:firstRowLastColumn="0" w:lastRowFirstColumn="0" w:lastRowLastColumn="0"/>
        </w:trPr>
        <w:tc>
          <w:tcPr>
            <w:tcW w:w="1413" w:type="dxa"/>
            <w:vMerge/>
            <w:hideMark/>
          </w:tcPr>
          <w:p w14:paraId="6572C088" w14:textId="77777777" w:rsidR="006D200E" w:rsidRPr="009F252C" w:rsidRDefault="006D200E" w:rsidP="005D0959">
            <w:pPr>
              <w:spacing w:after="0" w:line="240" w:lineRule="auto"/>
              <w:contextualSpacing/>
              <w:rPr>
                <w:rFonts w:cs="Arial"/>
                <w:color w:val="000000"/>
                <w:szCs w:val="20"/>
              </w:rPr>
            </w:pPr>
          </w:p>
        </w:tc>
        <w:tc>
          <w:tcPr>
            <w:tcW w:w="1984" w:type="dxa"/>
            <w:hideMark/>
          </w:tcPr>
          <w:p w14:paraId="7E50FB77" w14:textId="2C32DB8B" w:rsidR="006D200E" w:rsidRPr="009F252C" w:rsidRDefault="006D200E" w:rsidP="005D0959">
            <w:pPr>
              <w:spacing w:after="0" w:line="240" w:lineRule="auto"/>
              <w:contextualSpacing/>
              <w:rPr>
                <w:rFonts w:cs="Arial"/>
                <w:color w:val="000000"/>
                <w:szCs w:val="20"/>
              </w:rPr>
            </w:pPr>
            <w:r w:rsidRPr="009F252C">
              <w:rPr>
                <w:rFonts w:cs="Arial"/>
                <w:color w:val="000000"/>
                <w:szCs w:val="20"/>
              </w:rPr>
              <w:t xml:space="preserve">Ongoing costs to meet new </w:t>
            </w:r>
            <w:r w:rsidR="00493407">
              <w:rPr>
                <w:rFonts w:cs="Arial"/>
                <w:color w:val="000000"/>
                <w:szCs w:val="20"/>
              </w:rPr>
              <w:t>S</w:t>
            </w:r>
            <w:r w:rsidRPr="009F252C">
              <w:rPr>
                <w:rFonts w:cs="Arial"/>
                <w:color w:val="000000"/>
                <w:szCs w:val="20"/>
              </w:rPr>
              <w:t xml:space="preserve">tandard (engage with </w:t>
            </w:r>
            <w:r w:rsidR="000C6331">
              <w:rPr>
                <w:rFonts w:cs="Arial"/>
                <w:color w:val="000000"/>
                <w:szCs w:val="20"/>
              </w:rPr>
              <w:t>financial hardship</w:t>
            </w:r>
            <w:r w:rsidR="000C6331" w:rsidRPr="009F252C">
              <w:rPr>
                <w:rFonts w:cs="Arial"/>
                <w:color w:val="000000"/>
                <w:szCs w:val="20"/>
              </w:rPr>
              <w:t xml:space="preserve"> </w:t>
            </w:r>
            <w:r w:rsidRPr="009F252C">
              <w:rPr>
                <w:rFonts w:cs="Arial"/>
                <w:color w:val="000000"/>
                <w:szCs w:val="20"/>
              </w:rPr>
              <w:t>customers)</w:t>
            </w:r>
          </w:p>
        </w:tc>
        <w:tc>
          <w:tcPr>
            <w:tcW w:w="941" w:type="dxa"/>
            <w:noWrap/>
            <w:hideMark/>
          </w:tcPr>
          <w:p w14:paraId="03CC112D" w14:textId="77777777" w:rsidR="006D200E" w:rsidRPr="009F252C" w:rsidRDefault="006D200E" w:rsidP="005D0959">
            <w:pPr>
              <w:spacing w:after="0" w:line="240" w:lineRule="auto"/>
              <w:contextualSpacing/>
              <w:rPr>
                <w:rFonts w:cs="Arial"/>
                <w:color w:val="000000"/>
                <w:szCs w:val="20"/>
              </w:rPr>
            </w:pPr>
            <w:r>
              <w:rPr>
                <w:rFonts w:cs="Arial"/>
                <w:color w:val="000000"/>
                <w:szCs w:val="20"/>
              </w:rPr>
              <w:t>C</w:t>
            </w:r>
            <w:r w:rsidRPr="009F252C">
              <w:rPr>
                <w:rFonts w:cs="Arial"/>
                <w:color w:val="000000"/>
                <w:szCs w:val="20"/>
              </w:rPr>
              <w:t>ost</w:t>
            </w:r>
          </w:p>
        </w:tc>
        <w:tc>
          <w:tcPr>
            <w:tcW w:w="2720" w:type="dxa"/>
            <w:noWrap/>
            <w:hideMark/>
          </w:tcPr>
          <w:p w14:paraId="46BB9216" w14:textId="361D22F6" w:rsidR="006D200E" w:rsidRPr="009F252C" w:rsidRDefault="006D200E" w:rsidP="005D0959">
            <w:pPr>
              <w:spacing w:after="0" w:line="240" w:lineRule="auto"/>
              <w:contextualSpacing/>
              <w:rPr>
                <w:rFonts w:cs="Arial"/>
                <w:color w:val="000000"/>
                <w:szCs w:val="20"/>
              </w:rPr>
            </w:pPr>
            <w:r w:rsidRPr="009F252C">
              <w:rPr>
                <w:rFonts w:cs="Arial"/>
                <w:color w:val="000000"/>
                <w:szCs w:val="20"/>
              </w:rPr>
              <w:t xml:space="preserve"> On going costs of to align with new </w:t>
            </w:r>
            <w:r w:rsidR="00FF3508">
              <w:rPr>
                <w:rFonts w:cs="Arial"/>
                <w:color w:val="000000"/>
                <w:szCs w:val="20"/>
              </w:rPr>
              <w:t>S</w:t>
            </w:r>
            <w:r w:rsidRPr="009F252C">
              <w:rPr>
                <w:rFonts w:cs="Arial"/>
                <w:color w:val="000000"/>
                <w:szCs w:val="20"/>
              </w:rPr>
              <w:t>tandards/processes</w:t>
            </w:r>
          </w:p>
        </w:tc>
        <w:tc>
          <w:tcPr>
            <w:tcW w:w="949" w:type="dxa"/>
            <w:noWrap/>
            <w:hideMark/>
          </w:tcPr>
          <w:p w14:paraId="24E02C50"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 </w:t>
            </w:r>
          </w:p>
        </w:tc>
        <w:tc>
          <w:tcPr>
            <w:tcW w:w="949" w:type="dxa"/>
            <w:noWrap/>
            <w:hideMark/>
          </w:tcPr>
          <w:p w14:paraId="4710B621"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 </w:t>
            </w:r>
          </w:p>
        </w:tc>
        <w:tc>
          <w:tcPr>
            <w:tcW w:w="1115" w:type="dxa"/>
            <w:noWrap/>
            <w:hideMark/>
          </w:tcPr>
          <w:p w14:paraId="6727EB40" w14:textId="77777777" w:rsidR="006D200E" w:rsidRPr="009F252C" w:rsidRDefault="006D200E" w:rsidP="003C4D21">
            <w:pPr>
              <w:spacing w:after="0" w:line="240" w:lineRule="auto"/>
              <w:contextualSpacing/>
              <w:jc w:val="right"/>
              <w:rPr>
                <w:rFonts w:cs="Arial"/>
                <w:color w:val="000000"/>
                <w:szCs w:val="20"/>
              </w:rPr>
            </w:pPr>
          </w:p>
        </w:tc>
        <w:tc>
          <w:tcPr>
            <w:tcW w:w="949" w:type="dxa"/>
            <w:noWrap/>
            <w:hideMark/>
          </w:tcPr>
          <w:p w14:paraId="0178D93C"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$919,953</w:t>
            </w:r>
          </w:p>
        </w:tc>
        <w:tc>
          <w:tcPr>
            <w:tcW w:w="1184" w:type="dxa"/>
            <w:hideMark/>
          </w:tcPr>
          <w:p w14:paraId="14328441" w14:textId="77777777" w:rsidR="006D200E" w:rsidRPr="009F252C" w:rsidRDefault="006D200E" w:rsidP="003C4D21">
            <w:pPr>
              <w:spacing w:after="0" w:line="240" w:lineRule="auto"/>
              <w:contextualSpacing/>
              <w:jc w:val="right"/>
              <w:rPr>
                <w:rFonts w:cs="Arial"/>
                <w:color w:val="000000"/>
                <w:szCs w:val="20"/>
              </w:rPr>
            </w:pPr>
          </w:p>
        </w:tc>
        <w:tc>
          <w:tcPr>
            <w:tcW w:w="2248" w:type="dxa"/>
            <w:gridSpan w:val="2"/>
            <w:hideMark/>
          </w:tcPr>
          <w:p w14:paraId="71086098"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$1,379,930</w:t>
            </w:r>
          </w:p>
        </w:tc>
      </w:tr>
      <w:tr w:rsidR="00E6203C" w:rsidRPr="00E10BAF" w14:paraId="26ECDFEB" w14:textId="77777777" w:rsidTr="00AF4C0C">
        <w:trPr>
          <w:cnfStyle w:val="000000010000" w:firstRow="0" w:lastRow="0" w:firstColumn="0" w:lastColumn="0" w:oddVBand="0" w:evenVBand="0" w:oddHBand="0" w:evenHBand="1" w:firstRowFirstColumn="0" w:firstRowLastColumn="0" w:lastRowFirstColumn="0" w:lastRowLastColumn="0"/>
        </w:trPr>
        <w:tc>
          <w:tcPr>
            <w:tcW w:w="1413" w:type="dxa"/>
            <w:vMerge/>
            <w:hideMark/>
          </w:tcPr>
          <w:p w14:paraId="506F51AE" w14:textId="77777777" w:rsidR="006D200E" w:rsidRPr="009F252C" w:rsidRDefault="006D200E" w:rsidP="005D0959">
            <w:pPr>
              <w:spacing w:after="0" w:line="240" w:lineRule="auto"/>
              <w:contextualSpacing/>
              <w:rPr>
                <w:rFonts w:cs="Arial"/>
                <w:color w:val="000000"/>
                <w:szCs w:val="20"/>
              </w:rPr>
            </w:pPr>
          </w:p>
        </w:tc>
        <w:tc>
          <w:tcPr>
            <w:tcW w:w="1984" w:type="dxa"/>
            <w:hideMark/>
          </w:tcPr>
          <w:p w14:paraId="599D4F09" w14:textId="77777777" w:rsidR="006D200E" w:rsidRPr="009F252C" w:rsidRDefault="006D200E" w:rsidP="005D0959">
            <w:pPr>
              <w:spacing w:after="0" w:line="240" w:lineRule="auto"/>
              <w:contextualSpacing/>
              <w:rPr>
                <w:rFonts w:cs="Arial"/>
                <w:color w:val="000000"/>
                <w:szCs w:val="20"/>
              </w:rPr>
            </w:pPr>
            <w:r w:rsidRPr="009F252C">
              <w:rPr>
                <w:rFonts w:cs="Arial"/>
                <w:color w:val="000000"/>
                <w:szCs w:val="20"/>
              </w:rPr>
              <w:t>Reduced reconnection costs</w:t>
            </w:r>
          </w:p>
        </w:tc>
        <w:tc>
          <w:tcPr>
            <w:tcW w:w="941" w:type="dxa"/>
            <w:noWrap/>
            <w:hideMark/>
          </w:tcPr>
          <w:p w14:paraId="02EDE969" w14:textId="77777777" w:rsidR="006D200E" w:rsidRPr="009F252C" w:rsidRDefault="006D200E" w:rsidP="005D0959">
            <w:pPr>
              <w:spacing w:after="0" w:line="240" w:lineRule="auto"/>
              <w:contextualSpacing/>
              <w:rPr>
                <w:rFonts w:cs="Arial"/>
                <w:color w:val="000000"/>
                <w:szCs w:val="20"/>
              </w:rPr>
            </w:pPr>
            <w:r w:rsidRPr="009F252C">
              <w:rPr>
                <w:rFonts w:cs="Arial"/>
                <w:color w:val="000000"/>
                <w:szCs w:val="20"/>
              </w:rPr>
              <w:t>Benefit</w:t>
            </w:r>
          </w:p>
        </w:tc>
        <w:tc>
          <w:tcPr>
            <w:tcW w:w="2720" w:type="dxa"/>
            <w:noWrap/>
            <w:hideMark/>
          </w:tcPr>
          <w:p w14:paraId="7C200C26" w14:textId="77777777" w:rsidR="006D200E" w:rsidRPr="009F252C" w:rsidRDefault="006D200E" w:rsidP="005D0959">
            <w:pPr>
              <w:spacing w:after="0" w:line="240" w:lineRule="auto"/>
              <w:contextualSpacing/>
              <w:rPr>
                <w:rFonts w:cs="Arial"/>
                <w:color w:val="000000"/>
                <w:szCs w:val="20"/>
              </w:rPr>
            </w:pPr>
            <w:r w:rsidRPr="009F252C">
              <w:rPr>
                <w:rFonts w:cs="Arial"/>
                <w:color w:val="000000"/>
                <w:szCs w:val="20"/>
              </w:rPr>
              <w:t> Reduction in disconnection/reconnection costs for Telecom companies</w:t>
            </w:r>
          </w:p>
        </w:tc>
        <w:tc>
          <w:tcPr>
            <w:tcW w:w="949" w:type="dxa"/>
            <w:hideMark/>
          </w:tcPr>
          <w:p w14:paraId="747F180C"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 </w:t>
            </w:r>
          </w:p>
        </w:tc>
        <w:tc>
          <w:tcPr>
            <w:tcW w:w="949" w:type="dxa"/>
            <w:hideMark/>
          </w:tcPr>
          <w:p w14:paraId="4ACA7A12"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 </w:t>
            </w:r>
          </w:p>
        </w:tc>
        <w:tc>
          <w:tcPr>
            <w:tcW w:w="2064" w:type="dxa"/>
            <w:gridSpan w:val="2"/>
            <w:hideMark/>
          </w:tcPr>
          <w:p w14:paraId="54B9EC2A"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-$668,483 compared to base case per year </w:t>
            </w:r>
          </w:p>
        </w:tc>
        <w:tc>
          <w:tcPr>
            <w:tcW w:w="3432" w:type="dxa"/>
            <w:gridSpan w:val="3"/>
            <w:hideMark/>
          </w:tcPr>
          <w:p w14:paraId="7BA5E91C" w14:textId="77777777" w:rsidR="006D200E" w:rsidRPr="009F252C" w:rsidRDefault="006D200E" w:rsidP="003C4D21">
            <w:pPr>
              <w:spacing w:after="0" w:line="240" w:lineRule="auto"/>
              <w:contextualSpacing/>
              <w:jc w:val="right"/>
              <w:rPr>
                <w:rFonts w:cs="Arial"/>
                <w:color w:val="000000"/>
                <w:szCs w:val="20"/>
              </w:rPr>
            </w:pPr>
            <w:r w:rsidRPr="009F252C">
              <w:rPr>
                <w:rFonts w:cs="Arial"/>
                <w:color w:val="000000"/>
                <w:szCs w:val="20"/>
              </w:rPr>
              <w:t>-$3,638,294 compared to base case per year </w:t>
            </w:r>
          </w:p>
        </w:tc>
      </w:tr>
    </w:tbl>
    <w:p w14:paraId="685700E0" w14:textId="77777777" w:rsidR="006D200E" w:rsidRDefault="006D200E" w:rsidP="006D200E">
      <w:pPr>
        <w:rPr>
          <w:rFonts w:cs="Arial"/>
          <w:szCs w:val="20"/>
        </w:rPr>
      </w:pPr>
    </w:p>
    <w:bookmarkEnd w:id="92"/>
    <w:p w14:paraId="12E034B7" w14:textId="77777777" w:rsidR="00D07BB6" w:rsidRDefault="00D07BB6" w:rsidP="006D200E">
      <w:pPr>
        <w:rPr>
          <w:rFonts w:cs="Arial"/>
          <w:szCs w:val="20"/>
        </w:rPr>
      </w:pPr>
    </w:p>
    <w:p w14:paraId="052CD8A7" w14:textId="0F9CF142" w:rsidR="003C4D21" w:rsidRDefault="003C4D21" w:rsidP="006D200E">
      <w:pPr>
        <w:rPr>
          <w:rFonts w:cs="Arial"/>
          <w:szCs w:val="20"/>
        </w:rPr>
        <w:sectPr w:rsidR="003C4D21" w:rsidSect="003C4D21">
          <w:pgSz w:w="16840" w:h="11907" w:orient="landscape" w:code="9"/>
          <w:pgMar w:top="1134" w:right="1945" w:bottom="3101" w:left="1134" w:header="709" w:footer="119" w:gutter="0"/>
          <w:cols w:space="708"/>
          <w:docGrid w:linePitch="360"/>
        </w:sectPr>
      </w:pPr>
    </w:p>
    <w:p w14:paraId="0B72917C" w14:textId="77777777" w:rsidR="006D200E" w:rsidRDefault="006D200E" w:rsidP="006D200E">
      <w:pPr>
        <w:pStyle w:val="Heading2"/>
      </w:pPr>
      <w:bookmarkStart w:id="97" w:name="_Ref153458587"/>
      <w:bookmarkStart w:id="98" w:name="_Toc155686018"/>
      <w:r>
        <w:lastRenderedPageBreak/>
        <w:t>CSP costs</w:t>
      </w:r>
      <w:bookmarkEnd w:id="97"/>
      <w:bookmarkEnd w:id="98"/>
    </w:p>
    <w:p w14:paraId="4543FC6B" w14:textId="77777777" w:rsidR="006D200E" w:rsidRPr="00095568" w:rsidRDefault="006D200E" w:rsidP="006D200E">
      <w:pPr>
        <w:pStyle w:val="Paragraphbeforelist"/>
        <w:rPr>
          <w:rFonts w:eastAsia="Calibri"/>
          <w:lang w:eastAsia="en-US"/>
        </w:rPr>
      </w:pPr>
      <w:r w:rsidRPr="00095568">
        <w:rPr>
          <w:rFonts w:eastAsia="Calibri"/>
          <w:lang w:eastAsia="en-US"/>
        </w:rPr>
        <w:t xml:space="preserve">For the purposes of this </w:t>
      </w:r>
      <w:r>
        <w:rPr>
          <w:rFonts w:eastAsia="Calibri"/>
          <w:lang w:eastAsia="en-US"/>
        </w:rPr>
        <w:t>impact analysis</w:t>
      </w:r>
      <w:r w:rsidRPr="00095568">
        <w:rPr>
          <w:rFonts w:eastAsia="Calibri"/>
          <w:lang w:eastAsia="en-US"/>
        </w:rPr>
        <w:t xml:space="preserve">, </w:t>
      </w:r>
      <w:r>
        <w:rPr>
          <w:rFonts w:eastAsia="Calibri"/>
          <w:lang w:eastAsia="en-US"/>
        </w:rPr>
        <w:t>CSP</w:t>
      </w:r>
      <w:r w:rsidRPr="00095568">
        <w:rPr>
          <w:rFonts w:eastAsia="Calibri"/>
          <w:lang w:eastAsia="en-US"/>
        </w:rPr>
        <w:t xml:space="preserve">s have been characterised as follows (based on the volume of </w:t>
      </w:r>
      <w:r>
        <w:rPr>
          <w:rFonts w:eastAsia="Calibri"/>
          <w:lang w:eastAsia="en-US"/>
        </w:rPr>
        <w:t>services in operation</w:t>
      </w:r>
      <w:r w:rsidRPr="00095568">
        <w:rPr>
          <w:rFonts w:eastAsia="Calibri"/>
          <w:lang w:eastAsia="en-US"/>
        </w:rPr>
        <w:t>):</w:t>
      </w:r>
    </w:p>
    <w:p w14:paraId="5C375B74" w14:textId="77777777" w:rsidR="006D200E" w:rsidRPr="00AF4C0C" w:rsidRDefault="006D200E" w:rsidP="00AF4C0C">
      <w:pPr>
        <w:pStyle w:val="Bulletlevel1"/>
      </w:pPr>
      <w:r w:rsidRPr="00793F20">
        <w:rPr>
          <w:lang w:eastAsia="en-US"/>
        </w:rPr>
        <w:t>2</w:t>
      </w:r>
      <w:r>
        <w:rPr>
          <w:lang w:eastAsia="en-US"/>
        </w:rPr>
        <w:t xml:space="preserve"> </w:t>
      </w:r>
      <w:r w:rsidRPr="00793F20">
        <w:rPr>
          <w:lang w:eastAsia="en-US"/>
        </w:rPr>
        <w:t>large C</w:t>
      </w:r>
      <w:r w:rsidRPr="00AF4C0C">
        <w:t>SPs (over 10 million services)</w:t>
      </w:r>
    </w:p>
    <w:p w14:paraId="52BC4F06" w14:textId="77777777" w:rsidR="006D200E" w:rsidRPr="00AF4C0C" w:rsidRDefault="006D200E" w:rsidP="00AF4C0C">
      <w:pPr>
        <w:pStyle w:val="Bulletlevel1"/>
      </w:pPr>
      <w:r w:rsidRPr="00AF4C0C">
        <w:t>4 medium CSPs (1 million to 10 million services)</w:t>
      </w:r>
    </w:p>
    <w:p w14:paraId="1D3089E0" w14:textId="77777777" w:rsidR="006D200E" w:rsidRPr="00793F20" w:rsidRDefault="006D200E" w:rsidP="00AF4C0C">
      <w:pPr>
        <w:pStyle w:val="Bulletlevel1"/>
        <w:rPr>
          <w:lang w:eastAsia="en-US"/>
        </w:rPr>
      </w:pPr>
      <w:r w:rsidRPr="00AF4C0C">
        <w:t>27 small C</w:t>
      </w:r>
      <w:r w:rsidRPr="00793F20">
        <w:rPr>
          <w:lang w:eastAsia="en-US"/>
        </w:rPr>
        <w:t>SPs</w:t>
      </w:r>
      <w:r>
        <w:rPr>
          <w:lang w:eastAsia="en-US"/>
        </w:rPr>
        <w:t xml:space="preserve"> (</w:t>
      </w:r>
      <w:r w:rsidRPr="00793F20">
        <w:rPr>
          <w:lang w:eastAsia="en-US"/>
        </w:rPr>
        <w:t>30,000 to 1 million services</w:t>
      </w:r>
      <w:r>
        <w:rPr>
          <w:lang w:eastAsia="en-US"/>
        </w:rPr>
        <w:t>)</w:t>
      </w:r>
    </w:p>
    <w:p w14:paraId="6A26110B" w14:textId="020DBA6E" w:rsidR="006D200E" w:rsidRPr="00793F20" w:rsidRDefault="006D200E" w:rsidP="00AF4C0C">
      <w:pPr>
        <w:pStyle w:val="Bulletlevel1last"/>
        <w:rPr>
          <w:lang w:eastAsia="en-US"/>
        </w:rPr>
      </w:pPr>
      <w:r w:rsidRPr="00793F20">
        <w:rPr>
          <w:lang w:eastAsia="en-US"/>
        </w:rPr>
        <w:t>317</w:t>
      </w:r>
      <w:r>
        <w:rPr>
          <w:lang w:eastAsia="en-US"/>
        </w:rPr>
        <w:t xml:space="preserve"> </w:t>
      </w:r>
      <w:r w:rsidRPr="00793F20">
        <w:rPr>
          <w:lang w:eastAsia="en-US"/>
        </w:rPr>
        <w:t xml:space="preserve">very small </w:t>
      </w:r>
      <w:r>
        <w:rPr>
          <w:lang w:eastAsia="en-US"/>
        </w:rPr>
        <w:t>CSPs (</w:t>
      </w:r>
      <w:r w:rsidRPr="00793F20">
        <w:rPr>
          <w:lang w:eastAsia="en-US"/>
        </w:rPr>
        <w:t>1 to 30,000 services</w:t>
      </w:r>
      <w:r>
        <w:rPr>
          <w:lang w:eastAsia="en-US"/>
        </w:rPr>
        <w:t>)</w:t>
      </w:r>
      <w:r w:rsidR="00971BA3">
        <w:rPr>
          <w:lang w:eastAsia="en-US"/>
        </w:rPr>
        <w:t>.</w:t>
      </w:r>
    </w:p>
    <w:p w14:paraId="5168B573" w14:textId="77777777" w:rsidR="006D200E" w:rsidRPr="00D8056F" w:rsidRDefault="006D200E" w:rsidP="006D200E">
      <w:r>
        <w:t>The following tables outline the costs for CSPs used in the CBA.</w:t>
      </w:r>
    </w:p>
    <w:p w14:paraId="3905F08B" w14:textId="3F4152D3" w:rsidR="006D200E" w:rsidRDefault="006D200E" w:rsidP="00521968">
      <w:pPr>
        <w:pStyle w:val="Tableheading"/>
      </w:pPr>
      <w:bookmarkStart w:id="99" w:name="_Ref153458476"/>
      <w:r>
        <w:t xml:space="preserve">Year 1 costs for CSPs under </w:t>
      </w:r>
      <w:r w:rsidR="00A05A0C">
        <w:t>O</w:t>
      </w:r>
      <w:r>
        <w:t>ption 2A</w:t>
      </w:r>
      <w:bookmarkEnd w:id="99"/>
    </w:p>
    <w:tbl>
      <w:tblPr>
        <w:tblStyle w:val="ACMAtablestyle"/>
        <w:tblW w:w="10289" w:type="dxa"/>
        <w:tblCellMar>
          <w:top w:w="85" w:type="dxa"/>
          <w:left w:w="57" w:type="dxa"/>
          <w:bottom w:w="85" w:type="dxa"/>
          <w:right w:w="57" w:type="dxa"/>
        </w:tblCellMar>
        <w:tblLook w:val="04A0" w:firstRow="1" w:lastRow="0" w:firstColumn="1" w:lastColumn="0" w:noHBand="0" w:noVBand="1"/>
      </w:tblPr>
      <w:tblGrid>
        <w:gridCol w:w="3397"/>
        <w:gridCol w:w="1418"/>
        <w:gridCol w:w="1559"/>
        <w:gridCol w:w="1276"/>
        <w:gridCol w:w="1134"/>
        <w:gridCol w:w="1505"/>
      </w:tblGrid>
      <w:tr w:rsidR="006D200E" w:rsidRPr="003E230C" w14:paraId="64D541C2" w14:textId="77777777" w:rsidTr="00D205E7">
        <w:trPr>
          <w:cnfStyle w:val="100000000000" w:firstRow="1" w:lastRow="0" w:firstColumn="0" w:lastColumn="0" w:oddVBand="0" w:evenVBand="0" w:oddHBand="0" w:evenHBand="0" w:firstRowFirstColumn="0" w:firstRowLastColumn="0" w:lastRowFirstColumn="0" w:lastRowLastColumn="0"/>
          <w:trHeight w:val="540"/>
        </w:trPr>
        <w:tc>
          <w:tcPr>
            <w:tcW w:w="3397" w:type="dxa"/>
            <w:hideMark/>
          </w:tcPr>
          <w:p w14:paraId="33E9D053" w14:textId="77777777" w:rsidR="006D200E" w:rsidRPr="003E230C" w:rsidRDefault="006D200E" w:rsidP="00971BA3">
            <w:pPr>
              <w:pStyle w:val="Paragraph"/>
              <w:spacing w:after="0"/>
              <w:rPr>
                <w:b/>
                <w:bCs/>
              </w:rPr>
            </w:pPr>
          </w:p>
        </w:tc>
        <w:tc>
          <w:tcPr>
            <w:tcW w:w="1418" w:type="dxa"/>
            <w:hideMark/>
          </w:tcPr>
          <w:p w14:paraId="2BE9D319" w14:textId="77777777" w:rsidR="006D200E" w:rsidRPr="003E230C" w:rsidRDefault="006D200E" w:rsidP="00AF4C0C">
            <w:pPr>
              <w:pStyle w:val="Paragraph"/>
              <w:spacing w:after="0"/>
              <w:jc w:val="right"/>
              <w:rPr>
                <w:b/>
                <w:bCs/>
              </w:rPr>
            </w:pPr>
            <w:r w:rsidRPr="003E230C">
              <w:rPr>
                <w:b/>
                <w:bCs/>
              </w:rPr>
              <w:t>System build</w:t>
            </w:r>
          </w:p>
        </w:tc>
        <w:tc>
          <w:tcPr>
            <w:tcW w:w="1559" w:type="dxa"/>
            <w:noWrap/>
            <w:hideMark/>
          </w:tcPr>
          <w:p w14:paraId="445442D8" w14:textId="4232E16B" w:rsidR="006D200E" w:rsidRPr="003E230C" w:rsidRDefault="006D200E" w:rsidP="00AF4C0C">
            <w:pPr>
              <w:pStyle w:val="Paragraph"/>
              <w:spacing w:after="0"/>
              <w:jc w:val="right"/>
              <w:rPr>
                <w:b/>
                <w:bCs/>
              </w:rPr>
            </w:pPr>
            <w:r w:rsidRPr="003E230C">
              <w:rPr>
                <w:b/>
                <w:bCs/>
              </w:rPr>
              <w:t xml:space="preserve">Time </w:t>
            </w:r>
            <w:r w:rsidR="00D205E7">
              <w:rPr>
                <w:b/>
                <w:bCs/>
              </w:rPr>
              <w:br/>
            </w:r>
            <w:r w:rsidRPr="003E230C">
              <w:rPr>
                <w:b/>
                <w:bCs/>
              </w:rPr>
              <w:t>(hours)</w:t>
            </w:r>
          </w:p>
        </w:tc>
        <w:tc>
          <w:tcPr>
            <w:tcW w:w="1276" w:type="dxa"/>
            <w:noWrap/>
            <w:hideMark/>
          </w:tcPr>
          <w:p w14:paraId="6F952D5C" w14:textId="77777777" w:rsidR="006D200E" w:rsidRPr="003E230C" w:rsidRDefault="006D200E" w:rsidP="00AF4C0C">
            <w:pPr>
              <w:pStyle w:val="Paragraph"/>
              <w:spacing w:after="0"/>
              <w:jc w:val="right"/>
              <w:rPr>
                <w:b/>
                <w:bCs/>
              </w:rPr>
            </w:pPr>
            <w:r w:rsidRPr="003E230C">
              <w:rPr>
                <w:b/>
                <w:bCs/>
              </w:rPr>
              <w:t>Businesses</w:t>
            </w:r>
          </w:p>
        </w:tc>
        <w:tc>
          <w:tcPr>
            <w:tcW w:w="1134" w:type="dxa"/>
            <w:hideMark/>
          </w:tcPr>
          <w:p w14:paraId="48FA1AE8" w14:textId="77777777" w:rsidR="006D200E" w:rsidRPr="003E230C" w:rsidRDefault="006D200E" w:rsidP="00AF4C0C">
            <w:pPr>
              <w:pStyle w:val="Paragraph"/>
              <w:spacing w:after="0"/>
              <w:jc w:val="right"/>
              <w:rPr>
                <w:b/>
                <w:bCs/>
              </w:rPr>
            </w:pPr>
            <w:r w:rsidRPr="003E230C">
              <w:rPr>
                <w:b/>
                <w:bCs/>
              </w:rPr>
              <w:t>Rate/hour ($)</w:t>
            </w:r>
          </w:p>
        </w:tc>
        <w:tc>
          <w:tcPr>
            <w:tcW w:w="1505" w:type="dxa"/>
            <w:noWrap/>
            <w:hideMark/>
          </w:tcPr>
          <w:p w14:paraId="3DE7131E" w14:textId="035A34DE" w:rsidR="006D200E" w:rsidRPr="003E230C" w:rsidRDefault="006D200E" w:rsidP="00AF4C0C">
            <w:pPr>
              <w:pStyle w:val="Paragraph"/>
              <w:spacing w:after="0"/>
              <w:jc w:val="right"/>
              <w:rPr>
                <w:b/>
                <w:bCs/>
              </w:rPr>
            </w:pPr>
            <w:r w:rsidRPr="003E230C">
              <w:rPr>
                <w:b/>
                <w:bCs/>
              </w:rPr>
              <w:t xml:space="preserve">Totals </w:t>
            </w:r>
            <w:r w:rsidR="00E41DDE">
              <w:rPr>
                <w:b/>
                <w:bCs/>
              </w:rPr>
              <w:br/>
            </w:r>
            <w:r w:rsidRPr="003E230C">
              <w:rPr>
                <w:b/>
                <w:bCs/>
              </w:rPr>
              <w:t>($)</w:t>
            </w:r>
          </w:p>
        </w:tc>
      </w:tr>
      <w:tr w:rsidR="006D200E" w:rsidRPr="003E230C" w14:paraId="51C24C51" w14:textId="77777777" w:rsidTr="00D205E7">
        <w:trPr>
          <w:cnfStyle w:val="000000100000" w:firstRow="0" w:lastRow="0" w:firstColumn="0" w:lastColumn="0" w:oddVBand="0" w:evenVBand="0" w:oddHBand="1" w:evenHBand="0" w:firstRowFirstColumn="0" w:firstRowLastColumn="0" w:lastRowFirstColumn="0" w:lastRowLastColumn="0"/>
          <w:trHeight w:val="278"/>
        </w:trPr>
        <w:tc>
          <w:tcPr>
            <w:tcW w:w="10289" w:type="dxa"/>
            <w:gridSpan w:val="6"/>
            <w:noWrap/>
            <w:hideMark/>
          </w:tcPr>
          <w:p w14:paraId="6448A3D7" w14:textId="77777777" w:rsidR="006D200E" w:rsidRPr="003E230C" w:rsidRDefault="006D200E" w:rsidP="00D205E7">
            <w:pPr>
              <w:pStyle w:val="Paragraph"/>
              <w:spacing w:after="0"/>
            </w:pPr>
            <w:r w:rsidRPr="003E230C">
              <w:rPr>
                <w:b/>
                <w:bCs/>
              </w:rPr>
              <w:t>Large CSPs</w:t>
            </w:r>
          </w:p>
        </w:tc>
      </w:tr>
      <w:tr w:rsidR="006D200E" w:rsidRPr="003E230C" w14:paraId="24F687C0" w14:textId="77777777" w:rsidTr="00D205E7">
        <w:trPr>
          <w:cnfStyle w:val="000000010000" w:firstRow="0" w:lastRow="0" w:firstColumn="0" w:lastColumn="0" w:oddVBand="0" w:evenVBand="0" w:oddHBand="0" w:evenHBand="1" w:firstRowFirstColumn="0" w:firstRowLastColumn="0" w:lastRowFirstColumn="0" w:lastRowLastColumn="0"/>
          <w:trHeight w:val="288"/>
        </w:trPr>
        <w:tc>
          <w:tcPr>
            <w:tcW w:w="3397" w:type="dxa"/>
            <w:hideMark/>
          </w:tcPr>
          <w:p w14:paraId="25F697C5" w14:textId="77777777" w:rsidR="006D200E" w:rsidRPr="003E230C" w:rsidRDefault="006D200E" w:rsidP="00971BA3">
            <w:pPr>
              <w:pStyle w:val="Paragraph"/>
              <w:spacing w:after="0"/>
            </w:pPr>
            <w:r w:rsidRPr="003E230C">
              <w:t>Automate manual systems to enhance processes</w:t>
            </w:r>
          </w:p>
        </w:tc>
        <w:tc>
          <w:tcPr>
            <w:tcW w:w="1418" w:type="dxa"/>
            <w:hideMark/>
          </w:tcPr>
          <w:p w14:paraId="002919F7" w14:textId="77777777" w:rsidR="006D200E" w:rsidRPr="003E230C" w:rsidRDefault="006D200E" w:rsidP="00AF4C0C">
            <w:pPr>
              <w:pStyle w:val="Paragraph"/>
              <w:spacing w:after="0"/>
              <w:jc w:val="right"/>
            </w:pPr>
            <w:r w:rsidRPr="003E230C">
              <w:t xml:space="preserve">$50,000 </w:t>
            </w:r>
          </w:p>
        </w:tc>
        <w:tc>
          <w:tcPr>
            <w:tcW w:w="1559" w:type="dxa"/>
            <w:noWrap/>
            <w:hideMark/>
          </w:tcPr>
          <w:p w14:paraId="43D5D174" w14:textId="77777777" w:rsidR="006D200E" w:rsidRPr="003E230C" w:rsidRDefault="006D200E" w:rsidP="00AF4C0C">
            <w:pPr>
              <w:pStyle w:val="Paragraph"/>
              <w:spacing w:after="0"/>
              <w:jc w:val="right"/>
            </w:pPr>
          </w:p>
        </w:tc>
        <w:tc>
          <w:tcPr>
            <w:tcW w:w="1276" w:type="dxa"/>
            <w:noWrap/>
            <w:hideMark/>
          </w:tcPr>
          <w:p w14:paraId="7CD115DF" w14:textId="77777777" w:rsidR="006D200E" w:rsidRPr="003E230C" w:rsidRDefault="006D200E" w:rsidP="00AF4C0C">
            <w:pPr>
              <w:pStyle w:val="Paragraph"/>
              <w:spacing w:after="0"/>
              <w:jc w:val="right"/>
            </w:pPr>
            <w:r w:rsidRPr="003E230C">
              <w:t>2</w:t>
            </w:r>
          </w:p>
        </w:tc>
        <w:tc>
          <w:tcPr>
            <w:tcW w:w="1134" w:type="dxa"/>
            <w:hideMark/>
          </w:tcPr>
          <w:p w14:paraId="7C410637" w14:textId="77777777" w:rsidR="006D200E" w:rsidRPr="003E230C" w:rsidRDefault="006D200E" w:rsidP="00AF4C0C">
            <w:pPr>
              <w:pStyle w:val="Paragraph"/>
              <w:spacing w:after="0"/>
              <w:jc w:val="right"/>
            </w:pPr>
          </w:p>
        </w:tc>
        <w:tc>
          <w:tcPr>
            <w:tcW w:w="1505" w:type="dxa"/>
            <w:noWrap/>
            <w:hideMark/>
          </w:tcPr>
          <w:p w14:paraId="65987612" w14:textId="77777777" w:rsidR="006D200E" w:rsidRPr="003E230C" w:rsidRDefault="006D200E" w:rsidP="00AF4C0C">
            <w:pPr>
              <w:pStyle w:val="Paragraph"/>
              <w:spacing w:after="0"/>
              <w:jc w:val="right"/>
            </w:pPr>
            <w:r w:rsidRPr="003E230C">
              <w:t>$100,000</w:t>
            </w:r>
          </w:p>
        </w:tc>
      </w:tr>
      <w:tr w:rsidR="006D200E" w:rsidRPr="003E230C" w14:paraId="167BA039" w14:textId="77777777" w:rsidTr="00D205E7">
        <w:trPr>
          <w:cnfStyle w:val="000000100000" w:firstRow="0" w:lastRow="0" w:firstColumn="0" w:lastColumn="0" w:oddVBand="0" w:evenVBand="0" w:oddHBand="1" w:evenHBand="0" w:firstRowFirstColumn="0" w:firstRowLastColumn="0" w:lastRowFirstColumn="0" w:lastRowLastColumn="0"/>
          <w:trHeight w:val="221"/>
        </w:trPr>
        <w:tc>
          <w:tcPr>
            <w:tcW w:w="3397" w:type="dxa"/>
            <w:hideMark/>
          </w:tcPr>
          <w:p w14:paraId="20C2AA37" w14:textId="77777777" w:rsidR="006D200E" w:rsidRPr="003E230C" w:rsidRDefault="006D200E" w:rsidP="00971BA3">
            <w:pPr>
              <w:pStyle w:val="Paragraph"/>
              <w:spacing w:after="0"/>
            </w:pPr>
            <w:r w:rsidRPr="003E230C">
              <w:t>Staff training</w:t>
            </w:r>
          </w:p>
        </w:tc>
        <w:tc>
          <w:tcPr>
            <w:tcW w:w="1418" w:type="dxa"/>
            <w:hideMark/>
          </w:tcPr>
          <w:p w14:paraId="6708D52C" w14:textId="77777777" w:rsidR="006D200E" w:rsidRPr="003E230C" w:rsidRDefault="006D200E" w:rsidP="00AF4C0C">
            <w:pPr>
              <w:pStyle w:val="Paragraph"/>
              <w:spacing w:after="0"/>
              <w:jc w:val="right"/>
            </w:pPr>
          </w:p>
        </w:tc>
        <w:tc>
          <w:tcPr>
            <w:tcW w:w="1559" w:type="dxa"/>
            <w:hideMark/>
          </w:tcPr>
          <w:p w14:paraId="58E6E6FA" w14:textId="77777777" w:rsidR="006D200E" w:rsidRPr="003E230C" w:rsidRDefault="006D200E" w:rsidP="00AF4C0C">
            <w:pPr>
              <w:pStyle w:val="Paragraph"/>
              <w:spacing w:after="0"/>
              <w:jc w:val="right"/>
            </w:pPr>
            <w:r w:rsidRPr="003E230C">
              <w:t>160</w:t>
            </w:r>
          </w:p>
        </w:tc>
        <w:tc>
          <w:tcPr>
            <w:tcW w:w="1276" w:type="dxa"/>
            <w:noWrap/>
            <w:hideMark/>
          </w:tcPr>
          <w:p w14:paraId="2D37F789" w14:textId="77777777" w:rsidR="006D200E" w:rsidRPr="003E230C" w:rsidRDefault="006D200E" w:rsidP="00AF4C0C">
            <w:pPr>
              <w:pStyle w:val="Paragraph"/>
              <w:spacing w:after="0"/>
              <w:jc w:val="right"/>
            </w:pPr>
            <w:r w:rsidRPr="003E230C">
              <w:t>2</w:t>
            </w:r>
          </w:p>
        </w:tc>
        <w:tc>
          <w:tcPr>
            <w:tcW w:w="1134" w:type="dxa"/>
            <w:hideMark/>
          </w:tcPr>
          <w:p w14:paraId="57202021" w14:textId="77777777" w:rsidR="006D200E" w:rsidRPr="003E230C" w:rsidRDefault="006D200E" w:rsidP="00AF4C0C">
            <w:pPr>
              <w:pStyle w:val="Paragraph"/>
              <w:spacing w:after="0"/>
              <w:jc w:val="right"/>
            </w:pPr>
            <w:r w:rsidRPr="003E230C">
              <w:t xml:space="preserve">$73 </w:t>
            </w:r>
          </w:p>
        </w:tc>
        <w:tc>
          <w:tcPr>
            <w:tcW w:w="1505" w:type="dxa"/>
            <w:noWrap/>
            <w:hideMark/>
          </w:tcPr>
          <w:p w14:paraId="067D7845" w14:textId="77777777" w:rsidR="006D200E" w:rsidRPr="003E230C" w:rsidRDefault="006D200E" w:rsidP="00AF4C0C">
            <w:pPr>
              <w:pStyle w:val="Paragraph"/>
              <w:spacing w:after="0"/>
              <w:jc w:val="right"/>
            </w:pPr>
            <w:r w:rsidRPr="003E230C">
              <w:t>$23,360</w:t>
            </w:r>
          </w:p>
        </w:tc>
      </w:tr>
      <w:tr w:rsidR="006D200E" w:rsidRPr="003E230C" w14:paraId="73E74A07" w14:textId="77777777" w:rsidTr="00D205E7">
        <w:trPr>
          <w:cnfStyle w:val="000000010000" w:firstRow="0" w:lastRow="0" w:firstColumn="0" w:lastColumn="0" w:oddVBand="0" w:evenVBand="0" w:oddHBand="0" w:evenHBand="1" w:firstRowFirstColumn="0" w:firstRowLastColumn="0" w:lastRowFirstColumn="0" w:lastRowLastColumn="0"/>
          <w:trHeight w:val="278"/>
        </w:trPr>
        <w:tc>
          <w:tcPr>
            <w:tcW w:w="8784" w:type="dxa"/>
            <w:gridSpan w:val="5"/>
            <w:hideMark/>
          </w:tcPr>
          <w:p w14:paraId="1FBE642E" w14:textId="77777777" w:rsidR="006D200E" w:rsidRPr="003E230C" w:rsidRDefault="006D200E" w:rsidP="00971BA3">
            <w:pPr>
              <w:pStyle w:val="Paragraph"/>
              <w:spacing w:after="0"/>
            </w:pPr>
            <w:r w:rsidRPr="003E230C">
              <w:rPr>
                <w:b/>
                <w:bCs/>
              </w:rPr>
              <w:t>TOTAL</w:t>
            </w:r>
          </w:p>
        </w:tc>
        <w:tc>
          <w:tcPr>
            <w:tcW w:w="1505" w:type="dxa"/>
            <w:noWrap/>
            <w:hideMark/>
          </w:tcPr>
          <w:p w14:paraId="6615F866" w14:textId="77777777" w:rsidR="006D200E" w:rsidRPr="003E230C" w:rsidRDefault="006D200E" w:rsidP="00AF4C0C">
            <w:pPr>
              <w:pStyle w:val="Paragraph"/>
              <w:spacing w:after="0"/>
              <w:jc w:val="right"/>
              <w:rPr>
                <w:b/>
                <w:bCs/>
              </w:rPr>
            </w:pPr>
            <w:r w:rsidRPr="003E230C">
              <w:rPr>
                <w:b/>
                <w:bCs/>
              </w:rPr>
              <w:t>$123,360</w:t>
            </w:r>
          </w:p>
        </w:tc>
      </w:tr>
      <w:tr w:rsidR="006D200E" w:rsidRPr="003E230C" w14:paraId="7A476996" w14:textId="77777777" w:rsidTr="00D205E7">
        <w:trPr>
          <w:cnfStyle w:val="000000100000" w:firstRow="0" w:lastRow="0" w:firstColumn="0" w:lastColumn="0" w:oddVBand="0" w:evenVBand="0" w:oddHBand="1" w:evenHBand="0" w:firstRowFirstColumn="0" w:firstRowLastColumn="0" w:lastRowFirstColumn="0" w:lastRowLastColumn="0"/>
          <w:trHeight w:val="278"/>
        </w:trPr>
        <w:tc>
          <w:tcPr>
            <w:tcW w:w="10289" w:type="dxa"/>
            <w:gridSpan w:val="6"/>
            <w:hideMark/>
          </w:tcPr>
          <w:p w14:paraId="0B0FDABE" w14:textId="77777777" w:rsidR="006D200E" w:rsidRPr="003E230C" w:rsidRDefault="006D200E" w:rsidP="00971BA3">
            <w:pPr>
              <w:pStyle w:val="Paragraph"/>
              <w:spacing w:after="0"/>
            </w:pPr>
            <w:r w:rsidRPr="003E230C">
              <w:rPr>
                <w:b/>
                <w:bCs/>
              </w:rPr>
              <w:t>Medium CSPs</w:t>
            </w:r>
          </w:p>
        </w:tc>
      </w:tr>
      <w:tr w:rsidR="006D200E" w:rsidRPr="003E230C" w14:paraId="1DD0EC57" w14:textId="77777777" w:rsidTr="00D205E7">
        <w:trPr>
          <w:cnfStyle w:val="000000010000" w:firstRow="0" w:lastRow="0" w:firstColumn="0" w:lastColumn="0" w:oddVBand="0" w:evenVBand="0" w:oddHBand="0" w:evenHBand="1" w:firstRowFirstColumn="0" w:firstRowLastColumn="0" w:lastRowFirstColumn="0" w:lastRowLastColumn="0"/>
          <w:trHeight w:val="221"/>
        </w:trPr>
        <w:tc>
          <w:tcPr>
            <w:tcW w:w="3397" w:type="dxa"/>
            <w:hideMark/>
          </w:tcPr>
          <w:p w14:paraId="20AA9309" w14:textId="77777777" w:rsidR="006D200E" w:rsidRPr="003E230C" w:rsidRDefault="006D200E" w:rsidP="00971BA3">
            <w:pPr>
              <w:pStyle w:val="Paragraph"/>
              <w:spacing w:after="0"/>
            </w:pPr>
            <w:r w:rsidRPr="003E230C">
              <w:t>Automate manual systems to enhance processes</w:t>
            </w:r>
          </w:p>
        </w:tc>
        <w:tc>
          <w:tcPr>
            <w:tcW w:w="1418" w:type="dxa"/>
            <w:hideMark/>
          </w:tcPr>
          <w:p w14:paraId="4AD77757" w14:textId="77777777" w:rsidR="006D200E" w:rsidRPr="003E230C" w:rsidRDefault="006D200E" w:rsidP="00AF4C0C">
            <w:pPr>
              <w:pStyle w:val="Paragraph"/>
              <w:spacing w:after="0"/>
              <w:jc w:val="right"/>
            </w:pPr>
            <w:r w:rsidRPr="003E230C">
              <w:t xml:space="preserve">$15,000 </w:t>
            </w:r>
          </w:p>
        </w:tc>
        <w:tc>
          <w:tcPr>
            <w:tcW w:w="1559" w:type="dxa"/>
            <w:hideMark/>
          </w:tcPr>
          <w:p w14:paraId="470A31DA" w14:textId="77777777" w:rsidR="006D200E" w:rsidRPr="003E230C" w:rsidRDefault="006D200E" w:rsidP="00AF4C0C">
            <w:pPr>
              <w:pStyle w:val="Paragraph"/>
              <w:spacing w:after="0"/>
              <w:jc w:val="right"/>
            </w:pPr>
          </w:p>
        </w:tc>
        <w:tc>
          <w:tcPr>
            <w:tcW w:w="1276" w:type="dxa"/>
            <w:noWrap/>
            <w:hideMark/>
          </w:tcPr>
          <w:p w14:paraId="6D274B97" w14:textId="77777777" w:rsidR="006D200E" w:rsidRPr="003E230C" w:rsidRDefault="006D200E" w:rsidP="00AF4C0C">
            <w:pPr>
              <w:pStyle w:val="Paragraph"/>
              <w:spacing w:after="0"/>
              <w:jc w:val="right"/>
            </w:pPr>
            <w:r w:rsidRPr="003E230C">
              <w:t>4</w:t>
            </w:r>
          </w:p>
        </w:tc>
        <w:tc>
          <w:tcPr>
            <w:tcW w:w="1134" w:type="dxa"/>
            <w:hideMark/>
          </w:tcPr>
          <w:p w14:paraId="178BC011" w14:textId="77777777" w:rsidR="006D200E" w:rsidRPr="003E230C" w:rsidRDefault="006D200E" w:rsidP="00AF4C0C">
            <w:pPr>
              <w:pStyle w:val="Paragraph"/>
              <w:spacing w:after="0"/>
              <w:jc w:val="right"/>
            </w:pPr>
          </w:p>
        </w:tc>
        <w:tc>
          <w:tcPr>
            <w:tcW w:w="1505" w:type="dxa"/>
            <w:noWrap/>
            <w:hideMark/>
          </w:tcPr>
          <w:p w14:paraId="67540857" w14:textId="77777777" w:rsidR="006D200E" w:rsidRPr="003E230C" w:rsidRDefault="006D200E" w:rsidP="00AF4C0C">
            <w:pPr>
              <w:pStyle w:val="Paragraph"/>
              <w:spacing w:after="0"/>
              <w:jc w:val="right"/>
            </w:pPr>
            <w:r w:rsidRPr="003E230C">
              <w:t>$60,000</w:t>
            </w:r>
          </w:p>
        </w:tc>
      </w:tr>
      <w:tr w:rsidR="006D200E" w:rsidRPr="003E230C" w14:paraId="6DBA94FF" w14:textId="77777777" w:rsidTr="00D205E7">
        <w:trPr>
          <w:cnfStyle w:val="000000100000" w:firstRow="0" w:lastRow="0" w:firstColumn="0" w:lastColumn="0" w:oddVBand="0" w:evenVBand="0" w:oddHBand="1" w:evenHBand="0" w:firstRowFirstColumn="0" w:firstRowLastColumn="0" w:lastRowFirstColumn="0" w:lastRowLastColumn="0"/>
          <w:trHeight w:val="198"/>
        </w:trPr>
        <w:tc>
          <w:tcPr>
            <w:tcW w:w="3397" w:type="dxa"/>
            <w:hideMark/>
          </w:tcPr>
          <w:p w14:paraId="73078D4F" w14:textId="77777777" w:rsidR="006D200E" w:rsidRPr="003E230C" w:rsidRDefault="006D200E" w:rsidP="00971BA3">
            <w:pPr>
              <w:pStyle w:val="Paragraph"/>
              <w:spacing w:after="0"/>
            </w:pPr>
            <w:r w:rsidRPr="003E230C">
              <w:t>Staff training</w:t>
            </w:r>
          </w:p>
        </w:tc>
        <w:tc>
          <w:tcPr>
            <w:tcW w:w="1418" w:type="dxa"/>
            <w:hideMark/>
          </w:tcPr>
          <w:p w14:paraId="03C50963" w14:textId="77777777" w:rsidR="006D200E" w:rsidRPr="003E230C" w:rsidRDefault="006D200E" w:rsidP="00AF4C0C">
            <w:pPr>
              <w:pStyle w:val="Paragraph"/>
              <w:spacing w:after="0"/>
              <w:jc w:val="right"/>
            </w:pPr>
          </w:p>
        </w:tc>
        <w:tc>
          <w:tcPr>
            <w:tcW w:w="1559" w:type="dxa"/>
            <w:hideMark/>
          </w:tcPr>
          <w:p w14:paraId="3905CDD8" w14:textId="77777777" w:rsidR="006D200E" w:rsidRPr="003E230C" w:rsidRDefault="006D200E" w:rsidP="00AF4C0C">
            <w:pPr>
              <w:pStyle w:val="Paragraph"/>
              <w:spacing w:after="0"/>
              <w:jc w:val="right"/>
            </w:pPr>
            <w:r w:rsidRPr="003E230C">
              <w:t>130</w:t>
            </w:r>
          </w:p>
        </w:tc>
        <w:tc>
          <w:tcPr>
            <w:tcW w:w="1276" w:type="dxa"/>
            <w:noWrap/>
            <w:hideMark/>
          </w:tcPr>
          <w:p w14:paraId="2EB697C2" w14:textId="77777777" w:rsidR="006D200E" w:rsidRPr="003E230C" w:rsidRDefault="006D200E" w:rsidP="00AF4C0C">
            <w:pPr>
              <w:pStyle w:val="Paragraph"/>
              <w:spacing w:after="0"/>
              <w:jc w:val="right"/>
            </w:pPr>
            <w:r w:rsidRPr="003E230C">
              <w:t>4</w:t>
            </w:r>
          </w:p>
        </w:tc>
        <w:tc>
          <w:tcPr>
            <w:tcW w:w="1134" w:type="dxa"/>
            <w:hideMark/>
          </w:tcPr>
          <w:p w14:paraId="2DE8C179" w14:textId="77777777" w:rsidR="006D200E" w:rsidRPr="003E230C" w:rsidRDefault="006D200E" w:rsidP="00AF4C0C">
            <w:pPr>
              <w:pStyle w:val="Paragraph"/>
              <w:spacing w:after="0"/>
              <w:jc w:val="right"/>
            </w:pPr>
            <w:r w:rsidRPr="003E230C">
              <w:t xml:space="preserve">$73 </w:t>
            </w:r>
          </w:p>
        </w:tc>
        <w:tc>
          <w:tcPr>
            <w:tcW w:w="1505" w:type="dxa"/>
            <w:noWrap/>
            <w:hideMark/>
          </w:tcPr>
          <w:p w14:paraId="55530A2F" w14:textId="77777777" w:rsidR="006D200E" w:rsidRPr="003E230C" w:rsidRDefault="006D200E" w:rsidP="00AF4C0C">
            <w:pPr>
              <w:pStyle w:val="Paragraph"/>
              <w:spacing w:after="0"/>
              <w:jc w:val="right"/>
            </w:pPr>
            <w:r w:rsidRPr="003E230C">
              <w:t>$37,960</w:t>
            </w:r>
          </w:p>
        </w:tc>
      </w:tr>
      <w:tr w:rsidR="006D200E" w:rsidRPr="003E230C" w14:paraId="4B275408" w14:textId="77777777" w:rsidTr="00D205E7">
        <w:trPr>
          <w:cnfStyle w:val="000000010000" w:firstRow="0" w:lastRow="0" w:firstColumn="0" w:lastColumn="0" w:oddVBand="0" w:evenVBand="0" w:oddHBand="0" w:evenHBand="1" w:firstRowFirstColumn="0" w:firstRowLastColumn="0" w:lastRowFirstColumn="0" w:lastRowLastColumn="0"/>
          <w:trHeight w:val="270"/>
        </w:trPr>
        <w:tc>
          <w:tcPr>
            <w:tcW w:w="8784" w:type="dxa"/>
            <w:gridSpan w:val="5"/>
            <w:hideMark/>
          </w:tcPr>
          <w:p w14:paraId="29F2F85E" w14:textId="77777777" w:rsidR="006D200E" w:rsidRPr="003E230C" w:rsidRDefault="006D200E" w:rsidP="00971BA3">
            <w:pPr>
              <w:pStyle w:val="Paragraph"/>
              <w:spacing w:after="0"/>
            </w:pPr>
            <w:r w:rsidRPr="003E230C">
              <w:rPr>
                <w:b/>
                <w:bCs/>
              </w:rPr>
              <w:t>TOTAL</w:t>
            </w:r>
          </w:p>
        </w:tc>
        <w:tc>
          <w:tcPr>
            <w:tcW w:w="1505" w:type="dxa"/>
            <w:noWrap/>
            <w:hideMark/>
          </w:tcPr>
          <w:p w14:paraId="692F0031" w14:textId="77777777" w:rsidR="006D200E" w:rsidRPr="003E230C" w:rsidRDefault="006D200E" w:rsidP="00AF4C0C">
            <w:pPr>
              <w:pStyle w:val="Paragraph"/>
              <w:spacing w:after="0"/>
              <w:jc w:val="right"/>
              <w:rPr>
                <w:b/>
                <w:bCs/>
              </w:rPr>
            </w:pPr>
            <w:r w:rsidRPr="003E230C">
              <w:rPr>
                <w:b/>
                <w:bCs/>
              </w:rPr>
              <w:t>$97,960</w:t>
            </w:r>
          </w:p>
        </w:tc>
      </w:tr>
      <w:tr w:rsidR="006D200E" w:rsidRPr="003E230C" w14:paraId="3CDC7674" w14:textId="77777777" w:rsidTr="00D205E7">
        <w:trPr>
          <w:cnfStyle w:val="000000100000" w:firstRow="0" w:lastRow="0" w:firstColumn="0" w:lastColumn="0" w:oddVBand="0" w:evenVBand="0" w:oddHBand="1" w:evenHBand="0" w:firstRowFirstColumn="0" w:firstRowLastColumn="0" w:lastRowFirstColumn="0" w:lastRowLastColumn="0"/>
          <w:trHeight w:val="270"/>
        </w:trPr>
        <w:tc>
          <w:tcPr>
            <w:tcW w:w="10289" w:type="dxa"/>
            <w:gridSpan w:val="6"/>
            <w:hideMark/>
          </w:tcPr>
          <w:p w14:paraId="3ECF96E4" w14:textId="77777777" w:rsidR="006D200E" w:rsidRPr="003E230C" w:rsidRDefault="006D200E" w:rsidP="00971BA3">
            <w:pPr>
              <w:pStyle w:val="Paragraph"/>
              <w:spacing w:after="0"/>
            </w:pPr>
            <w:r w:rsidRPr="003E230C">
              <w:rPr>
                <w:b/>
                <w:bCs/>
              </w:rPr>
              <w:t>Small CSPs</w:t>
            </w:r>
          </w:p>
        </w:tc>
      </w:tr>
      <w:tr w:rsidR="006D200E" w:rsidRPr="003E230C" w14:paraId="5F203EB4" w14:textId="77777777" w:rsidTr="00D205E7">
        <w:trPr>
          <w:cnfStyle w:val="000000010000" w:firstRow="0" w:lastRow="0" w:firstColumn="0" w:lastColumn="0" w:oddVBand="0" w:evenVBand="0" w:oddHBand="0" w:evenHBand="1" w:firstRowFirstColumn="0" w:firstRowLastColumn="0" w:lastRowFirstColumn="0" w:lastRowLastColumn="0"/>
          <w:trHeight w:val="211"/>
        </w:trPr>
        <w:tc>
          <w:tcPr>
            <w:tcW w:w="3397" w:type="dxa"/>
            <w:hideMark/>
          </w:tcPr>
          <w:p w14:paraId="70B920DF" w14:textId="77777777" w:rsidR="006D200E" w:rsidRPr="003E230C" w:rsidRDefault="006D200E" w:rsidP="00971BA3">
            <w:pPr>
              <w:pStyle w:val="Paragraph"/>
              <w:spacing w:after="0"/>
            </w:pPr>
            <w:r w:rsidRPr="003E230C">
              <w:t>Automate manual systems to enhance processes</w:t>
            </w:r>
          </w:p>
        </w:tc>
        <w:tc>
          <w:tcPr>
            <w:tcW w:w="1418" w:type="dxa"/>
            <w:hideMark/>
          </w:tcPr>
          <w:p w14:paraId="092EF7F6" w14:textId="77777777" w:rsidR="006D200E" w:rsidRPr="003E230C" w:rsidRDefault="006D200E" w:rsidP="00AF4C0C">
            <w:pPr>
              <w:pStyle w:val="Paragraph"/>
              <w:spacing w:after="0"/>
              <w:jc w:val="right"/>
            </w:pPr>
            <w:r w:rsidRPr="003E230C">
              <w:t xml:space="preserve">$2,000 </w:t>
            </w:r>
          </w:p>
        </w:tc>
        <w:tc>
          <w:tcPr>
            <w:tcW w:w="1559" w:type="dxa"/>
            <w:hideMark/>
          </w:tcPr>
          <w:p w14:paraId="69EB5009" w14:textId="77777777" w:rsidR="006D200E" w:rsidRPr="003E230C" w:rsidRDefault="006D200E" w:rsidP="00AF4C0C">
            <w:pPr>
              <w:pStyle w:val="Paragraph"/>
              <w:spacing w:after="0"/>
              <w:jc w:val="right"/>
            </w:pPr>
          </w:p>
        </w:tc>
        <w:tc>
          <w:tcPr>
            <w:tcW w:w="1276" w:type="dxa"/>
            <w:noWrap/>
            <w:hideMark/>
          </w:tcPr>
          <w:p w14:paraId="036A67E7" w14:textId="77777777" w:rsidR="006D200E" w:rsidRPr="003E230C" w:rsidRDefault="006D200E" w:rsidP="00AF4C0C">
            <w:pPr>
              <w:pStyle w:val="Paragraph"/>
              <w:spacing w:after="0"/>
              <w:jc w:val="right"/>
            </w:pPr>
            <w:r w:rsidRPr="003E230C">
              <w:t>27</w:t>
            </w:r>
          </w:p>
        </w:tc>
        <w:tc>
          <w:tcPr>
            <w:tcW w:w="1134" w:type="dxa"/>
            <w:hideMark/>
          </w:tcPr>
          <w:p w14:paraId="2420BB59" w14:textId="77777777" w:rsidR="006D200E" w:rsidRPr="003E230C" w:rsidRDefault="006D200E" w:rsidP="00AF4C0C">
            <w:pPr>
              <w:pStyle w:val="Paragraph"/>
              <w:spacing w:after="0"/>
              <w:jc w:val="right"/>
            </w:pPr>
          </w:p>
        </w:tc>
        <w:tc>
          <w:tcPr>
            <w:tcW w:w="1505" w:type="dxa"/>
            <w:noWrap/>
            <w:hideMark/>
          </w:tcPr>
          <w:p w14:paraId="16C0022D" w14:textId="77777777" w:rsidR="006D200E" w:rsidRPr="003E230C" w:rsidRDefault="006D200E" w:rsidP="00AF4C0C">
            <w:pPr>
              <w:pStyle w:val="Paragraph"/>
              <w:spacing w:after="0"/>
              <w:jc w:val="right"/>
            </w:pPr>
            <w:r w:rsidRPr="003E230C">
              <w:t>$54,000</w:t>
            </w:r>
          </w:p>
        </w:tc>
      </w:tr>
      <w:tr w:rsidR="006D200E" w:rsidRPr="003E230C" w14:paraId="33ABD294" w14:textId="77777777" w:rsidTr="00D205E7">
        <w:trPr>
          <w:cnfStyle w:val="000000100000" w:firstRow="0" w:lastRow="0" w:firstColumn="0" w:lastColumn="0" w:oddVBand="0" w:evenVBand="0" w:oddHBand="1" w:evenHBand="0" w:firstRowFirstColumn="0" w:firstRowLastColumn="0" w:lastRowFirstColumn="0" w:lastRowLastColumn="0"/>
          <w:trHeight w:val="42"/>
        </w:trPr>
        <w:tc>
          <w:tcPr>
            <w:tcW w:w="3397" w:type="dxa"/>
            <w:hideMark/>
          </w:tcPr>
          <w:p w14:paraId="73126EBB" w14:textId="77777777" w:rsidR="006D200E" w:rsidRPr="003E230C" w:rsidRDefault="006D200E" w:rsidP="00971BA3">
            <w:pPr>
              <w:pStyle w:val="Paragraph"/>
              <w:spacing w:after="0"/>
            </w:pPr>
            <w:r w:rsidRPr="003E230C">
              <w:t>Staff training</w:t>
            </w:r>
          </w:p>
        </w:tc>
        <w:tc>
          <w:tcPr>
            <w:tcW w:w="1418" w:type="dxa"/>
            <w:hideMark/>
          </w:tcPr>
          <w:p w14:paraId="252EF8FE" w14:textId="77777777" w:rsidR="006D200E" w:rsidRPr="003E230C" w:rsidRDefault="006D200E" w:rsidP="00AF4C0C">
            <w:pPr>
              <w:pStyle w:val="Paragraph"/>
              <w:spacing w:after="0"/>
              <w:jc w:val="right"/>
            </w:pPr>
          </w:p>
        </w:tc>
        <w:tc>
          <w:tcPr>
            <w:tcW w:w="1559" w:type="dxa"/>
            <w:hideMark/>
          </w:tcPr>
          <w:p w14:paraId="1612E1E5" w14:textId="77777777" w:rsidR="006D200E" w:rsidRPr="003E230C" w:rsidRDefault="006D200E" w:rsidP="00AF4C0C">
            <w:pPr>
              <w:pStyle w:val="Paragraph"/>
              <w:spacing w:after="0"/>
              <w:jc w:val="right"/>
            </w:pPr>
            <w:r w:rsidRPr="003E230C">
              <w:t>110</w:t>
            </w:r>
          </w:p>
        </w:tc>
        <w:tc>
          <w:tcPr>
            <w:tcW w:w="1276" w:type="dxa"/>
            <w:noWrap/>
            <w:hideMark/>
          </w:tcPr>
          <w:p w14:paraId="6D70DBD1" w14:textId="77777777" w:rsidR="006D200E" w:rsidRPr="003E230C" w:rsidRDefault="006D200E" w:rsidP="00AF4C0C">
            <w:pPr>
              <w:pStyle w:val="Paragraph"/>
              <w:spacing w:after="0"/>
              <w:jc w:val="right"/>
            </w:pPr>
            <w:r w:rsidRPr="003E230C">
              <w:t>27</w:t>
            </w:r>
          </w:p>
        </w:tc>
        <w:tc>
          <w:tcPr>
            <w:tcW w:w="1134" w:type="dxa"/>
            <w:hideMark/>
          </w:tcPr>
          <w:p w14:paraId="1DADC1A9" w14:textId="77777777" w:rsidR="006D200E" w:rsidRPr="003E230C" w:rsidRDefault="006D200E" w:rsidP="00AF4C0C">
            <w:pPr>
              <w:pStyle w:val="Paragraph"/>
              <w:spacing w:after="0"/>
              <w:jc w:val="right"/>
            </w:pPr>
            <w:r w:rsidRPr="003E230C">
              <w:t xml:space="preserve">$73 </w:t>
            </w:r>
          </w:p>
        </w:tc>
        <w:tc>
          <w:tcPr>
            <w:tcW w:w="1505" w:type="dxa"/>
            <w:noWrap/>
            <w:hideMark/>
          </w:tcPr>
          <w:p w14:paraId="2DEB370E" w14:textId="77777777" w:rsidR="006D200E" w:rsidRPr="003E230C" w:rsidRDefault="006D200E" w:rsidP="00AF4C0C">
            <w:pPr>
              <w:pStyle w:val="Paragraph"/>
              <w:spacing w:after="0"/>
              <w:jc w:val="right"/>
            </w:pPr>
            <w:r w:rsidRPr="003E230C">
              <w:t>$216,810</w:t>
            </w:r>
          </w:p>
        </w:tc>
      </w:tr>
      <w:tr w:rsidR="006D200E" w:rsidRPr="003E230C" w14:paraId="2CF2AF39" w14:textId="77777777" w:rsidTr="00D205E7">
        <w:trPr>
          <w:cnfStyle w:val="000000010000" w:firstRow="0" w:lastRow="0" w:firstColumn="0" w:lastColumn="0" w:oddVBand="0" w:evenVBand="0" w:oddHBand="0" w:evenHBand="1" w:firstRowFirstColumn="0" w:firstRowLastColumn="0" w:lastRowFirstColumn="0" w:lastRowLastColumn="0"/>
          <w:trHeight w:val="270"/>
        </w:trPr>
        <w:tc>
          <w:tcPr>
            <w:tcW w:w="8784" w:type="dxa"/>
            <w:gridSpan w:val="5"/>
            <w:hideMark/>
          </w:tcPr>
          <w:p w14:paraId="61BA3DF9" w14:textId="77777777" w:rsidR="006D200E" w:rsidRPr="003E230C" w:rsidRDefault="006D200E" w:rsidP="00971BA3">
            <w:pPr>
              <w:pStyle w:val="Paragraph"/>
              <w:spacing w:after="0"/>
            </w:pPr>
            <w:r w:rsidRPr="003E230C">
              <w:rPr>
                <w:b/>
                <w:bCs/>
              </w:rPr>
              <w:t>TOTAL</w:t>
            </w:r>
          </w:p>
        </w:tc>
        <w:tc>
          <w:tcPr>
            <w:tcW w:w="1505" w:type="dxa"/>
            <w:noWrap/>
            <w:hideMark/>
          </w:tcPr>
          <w:p w14:paraId="40E85ADD" w14:textId="77777777" w:rsidR="006D200E" w:rsidRPr="003E230C" w:rsidRDefault="006D200E" w:rsidP="00AF4C0C">
            <w:pPr>
              <w:pStyle w:val="Paragraph"/>
              <w:spacing w:after="0"/>
              <w:jc w:val="right"/>
              <w:rPr>
                <w:b/>
                <w:bCs/>
              </w:rPr>
            </w:pPr>
            <w:r w:rsidRPr="003E230C">
              <w:rPr>
                <w:b/>
                <w:bCs/>
              </w:rPr>
              <w:t>$270,810</w:t>
            </w:r>
          </w:p>
        </w:tc>
      </w:tr>
      <w:tr w:rsidR="006D200E" w:rsidRPr="003E230C" w14:paraId="2089E091" w14:textId="77777777" w:rsidTr="00D205E7">
        <w:trPr>
          <w:cnfStyle w:val="000000100000" w:firstRow="0" w:lastRow="0" w:firstColumn="0" w:lastColumn="0" w:oddVBand="0" w:evenVBand="0" w:oddHBand="1" w:evenHBand="0" w:firstRowFirstColumn="0" w:firstRowLastColumn="0" w:lastRowFirstColumn="0" w:lastRowLastColumn="0"/>
          <w:trHeight w:val="270"/>
        </w:trPr>
        <w:tc>
          <w:tcPr>
            <w:tcW w:w="10289" w:type="dxa"/>
            <w:gridSpan w:val="6"/>
            <w:hideMark/>
          </w:tcPr>
          <w:p w14:paraId="7538D680" w14:textId="55B3EA9D" w:rsidR="006D200E" w:rsidRPr="003E230C" w:rsidRDefault="006D200E" w:rsidP="00971BA3">
            <w:pPr>
              <w:pStyle w:val="Paragraph"/>
              <w:spacing w:after="0"/>
            </w:pPr>
            <w:r w:rsidRPr="003E230C">
              <w:rPr>
                <w:b/>
                <w:bCs/>
              </w:rPr>
              <w:t xml:space="preserve">Very </w:t>
            </w:r>
            <w:r w:rsidR="00D205E7">
              <w:rPr>
                <w:b/>
                <w:bCs/>
              </w:rPr>
              <w:t>s</w:t>
            </w:r>
            <w:r w:rsidRPr="003E230C">
              <w:rPr>
                <w:b/>
                <w:bCs/>
              </w:rPr>
              <w:t>mall CSPs</w:t>
            </w:r>
          </w:p>
        </w:tc>
      </w:tr>
      <w:tr w:rsidR="006D200E" w:rsidRPr="003E230C" w14:paraId="3E7576C9" w14:textId="77777777" w:rsidTr="00D205E7">
        <w:trPr>
          <w:cnfStyle w:val="000000010000" w:firstRow="0" w:lastRow="0" w:firstColumn="0" w:lastColumn="0" w:oddVBand="0" w:evenVBand="0" w:oddHBand="0" w:evenHBand="1" w:firstRowFirstColumn="0" w:firstRowLastColumn="0" w:lastRowFirstColumn="0" w:lastRowLastColumn="0"/>
          <w:trHeight w:val="344"/>
        </w:trPr>
        <w:tc>
          <w:tcPr>
            <w:tcW w:w="3397" w:type="dxa"/>
            <w:hideMark/>
          </w:tcPr>
          <w:p w14:paraId="6478DC16" w14:textId="77777777" w:rsidR="006D200E" w:rsidRPr="003E230C" w:rsidRDefault="006D200E" w:rsidP="00971BA3">
            <w:pPr>
              <w:pStyle w:val="Paragraph"/>
              <w:spacing w:after="0"/>
            </w:pPr>
            <w:r w:rsidRPr="003E230C">
              <w:t>Automate manual systems to enhance processes</w:t>
            </w:r>
          </w:p>
        </w:tc>
        <w:tc>
          <w:tcPr>
            <w:tcW w:w="1418" w:type="dxa"/>
            <w:hideMark/>
          </w:tcPr>
          <w:p w14:paraId="0BA027CA" w14:textId="77777777" w:rsidR="006D200E" w:rsidRPr="003E230C" w:rsidRDefault="006D200E" w:rsidP="00AF4C0C">
            <w:pPr>
              <w:pStyle w:val="Paragraph"/>
              <w:spacing w:after="0"/>
              <w:jc w:val="right"/>
            </w:pPr>
            <w:r w:rsidRPr="003E230C">
              <w:t xml:space="preserve">$1,000 </w:t>
            </w:r>
          </w:p>
        </w:tc>
        <w:tc>
          <w:tcPr>
            <w:tcW w:w="1559" w:type="dxa"/>
            <w:hideMark/>
          </w:tcPr>
          <w:p w14:paraId="1A232429" w14:textId="77777777" w:rsidR="006D200E" w:rsidRPr="003E230C" w:rsidRDefault="006D200E" w:rsidP="00AF4C0C">
            <w:pPr>
              <w:pStyle w:val="Paragraph"/>
              <w:spacing w:after="0"/>
              <w:jc w:val="right"/>
            </w:pPr>
          </w:p>
        </w:tc>
        <w:tc>
          <w:tcPr>
            <w:tcW w:w="1276" w:type="dxa"/>
            <w:noWrap/>
            <w:hideMark/>
          </w:tcPr>
          <w:p w14:paraId="512F0013" w14:textId="77777777" w:rsidR="006D200E" w:rsidRPr="003E230C" w:rsidRDefault="006D200E" w:rsidP="00AF4C0C">
            <w:pPr>
              <w:pStyle w:val="Paragraph"/>
              <w:spacing w:after="0"/>
              <w:jc w:val="right"/>
            </w:pPr>
            <w:r w:rsidRPr="003E230C">
              <w:t>317</w:t>
            </w:r>
          </w:p>
        </w:tc>
        <w:tc>
          <w:tcPr>
            <w:tcW w:w="1134" w:type="dxa"/>
            <w:hideMark/>
          </w:tcPr>
          <w:p w14:paraId="1322C82D" w14:textId="77777777" w:rsidR="006D200E" w:rsidRPr="003E230C" w:rsidRDefault="006D200E" w:rsidP="00AF4C0C">
            <w:pPr>
              <w:pStyle w:val="Paragraph"/>
              <w:spacing w:after="0"/>
              <w:jc w:val="right"/>
            </w:pPr>
          </w:p>
        </w:tc>
        <w:tc>
          <w:tcPr>
            <w:tcW w:w="1505" w:type="dxa"/>
            <w:noWrap/>
            <w:hideMark/>
          </w:tcPr>
          <w:p w14:paraId="38660FB5" w14:textId="77777777" w:rsidR="006D200E" w:rsidRPr="003E230C" w:rsidRDefault="006D200E" w:rsidP="00AF4C0C">
            <w:pPr>
              <w:pStyle w:val="Paragraph"/>
              <w:spacing w:after="0"/>
              <w:jc w:val="right"/>
            </w:pPr>
            <w:r w:rsidRPr="003E230C">
              <w:t>$317,000</w:t>
            </w:r>
          </w:p>
        </w:tc>
      </w:tr>
      <w:tr w:rsidR="006D200E" w:rsidRPr="003E230C" w14:paraId="3A68E6E2" w14:textId="77777777" w:rsidTr="00D205E7">
        <w:trPr>
          <w:cnfStyle w:val="000000100000" w:firstRow="0" w:lastRow="0" w:firstColumn="0" w:lastColumn="0" w:oddVBand="0" w:evenVBand="0" w:oddHBand="1" w:evenHBand="0" w:firstRowFirstColumn="0" w:firstRowLastColumn="0" w:lastRowFirstColumn="0" w:lastRowLastColumn="0"/>
          <w:trHeight w:val="270"/>
        </w:trPr>
        <w:tc>
          <w:tcPr>
            <w:tcW w:w="3397" w:type="dxa"/>
            <w:hideMark/>
          </w:tcPr>
          <w:p w14:paraId="3B5AC34E" w14:textId="77777777" w:rsidR="006D200E" w:rsidRPr="003E230C" w:rsidRDefault="006D200E" w:rsidP="00971BA3">
            <w:pPr>
              <w:pStyle w:val="Paragraph"/>
              <w:spacing w:after="0"/>
            </w:pPr>
            <w:r w:rsidRPr="003E230C">
              <w:t>Staff training</w:t>
            </w:r>
          </w:p>
        </w:tc>
        <w:tc>
          <w:tcPr>
            <w:tcW w:w="1418" w:type="dxa"/>
            <w:hideMark/>
          </w:tcPr>
          <w:p w14:paraId="2403495A" w14:textId="77777777" w:rsidR="006D200E" w:rsidRPr="003E230C" w:rsidRDefault="006D200E" w:rsidP="00AF4C0C">
            <w:pPr>
              <w:pStyle w:val="Paragraph"/>
              <w:spacing w:after="0"/>
              <w:jc w:val="right"/>
            </w:pPr>
          </w:p>
        </w:tc>
        <w:tc>
          <w:tcPr>
            <w:tcW w:w="1559" w:type="dxa"/>
            <w:hideMark/>
          </w:tcPr>
          <w:p w14:paraId="2D21B626" w14:textId="77777777" w:rsidR="006D200E" w:rsidRPr="003E230C" w:rsidRDefault="006D200E" w:rsidP="00AF4C0C">
            <w:pPr>
              <w:pStyle w:val="Paragraph"/>
              <w:spacing w:after="0"/>
              <w:jc w:val="right"/>
            </w:pPr>
            <w:r w:rsidRPr="003E230C">
              <w:t>90</w:t>
            </w:r>
          </w:p>
        </w:tc>
        <w:tc>
          <w:tcPr>
            <w:tcW w:w="1276" w:type="dxa"/>
            <w:noWrap/>
            <w:hideMark/>
          </w:tcPr>
          <w:p w14:paraId="015588FB" w14:textId="77777777" w:rsidR="006D200E" w:rsidRPr="003E230C" w:rsidRDefault="006D200E" w:rsidP="00AF4C0C">
            <w:pPr>
              <w:pStyle w:val="Paragraph"/>
              <w:spacing w:after="0"/>
              <w:jc w:val="right"/>
            </w:pPr>
            <w:r w:rsidRPr="003E230C">
              <w:t>317</w:t>
            </w:r>
          </w:p>
        </w:tc>
        <w:tc>
          <w:tcPr>
            <w:tcW w:w="1134" w:type="dxa"/>
            <w:hideMark/>
          </w:tcPr>
          <w:p w14:paraId="4974A900" w14:textId="77777777" w:rsidR="006D200E" w:rsidRPr="003E230C" w:rsidRDefault="006D200E" w:rsidP="00AF4C0C">
            <w:pPr>
              <w:pStyle w:val="Paragraph"/>
              <w:spacing w:after="0"/>
              <w:jc w:val="right"/>
            </w:pPr>
            <w:r w:rsidRPr="003E230C">
              <w:t xml:space="preserve">$73 </w:t>
            </w:r>
          </w:p>
        </w:tc>
        <w:tc>
          <w:tcPr>
            <w:tcW w:w="1505" w:type="dxa"/>
            <w:noWrap/>
            <w:hideMark/>
          </w:tcPr>
          <w:p w14:paraId="1B843819" w14:textId="77777777" w:rsidR="006D200E" w:rsidRPr="003E230C" w:rsidRDefault="006D200E" w:rsidP="00AF4C0C">
            <w:pPr>
              <w:pStyle w:val="Paragraph"/>
              <w:spacing w:after="0"/>
              <w:jc w:val="right"/>
            </w:pPr>
            <w:r w:rsidRPr="003E230C">
              <w:t>$2,082,690</w:t>
            </w:r>
          </w:p>
        </w:tc>
      </w:tr>
      <w:tr w:rsidR="006D200E" w:rsidRPr="003E230C" w14:paraId="5F04550A" w14:textId="77777777" w:rsidTr="00D205E7">
        <w:trPr>
          <w:cnfStyle w:val="000000010000" w:firstRow="0" w:lastRow="0" w:firstColumn="0" w:lastColumn="0" w:oddVBand="0" w:evenVBand="0" w:oddHBand="0" w:evenHBand="1" w:firstRowFirstColumn="0" w:firstRowLastColumn="0" w:lastRowFirstColumn="0" w:lastRowLastColumn="0"/>
          <w:trHeight w:val="270"/>
        </w:trPr>
        <w:tc>
          <w:tcPr>
            <w:tcW w:w="8784" w:type="dxa"/>
            <w:gridSpan w:val="5"/>
            <w:hideMark/>
          </w:tcPr>
          <w:p w14:paraId="656E30BC" w14:textId="77777777" w:rsidR="006D200E" w:rsidRPr="003E230C" w:rsidRDefault="006D200E" w:rsidP="00971BA3">
            <w:pPr>
              <w:pStyle w:val="Paragraph"/>
              <w:spacing w:after="0"/>
            </w:pPr>
            <w:r w:rsidRPr="003E230C">
              <w:rPr>
                <w:b/>
                <w:bCs/>
              </w:rPr>
              <w:t>TOTAL</w:t>
            </w:r>
          </w:p>
        </w:tc>
        <w:tc>
          <w:tcPr>
            <w:tcW w:w="1505" w:type="dxa"/>
            <w:noWrap/>
            <w:hideMark/>
          </w:tcPr>
          <w:p w14:paraId="4F5084D2" w14:textId="77777777" w:rsidR="006D200E" w:rsidRPr="003E230C" w:rsidRDefault="006D200E" w:rsidP="00AF4C0C">
            <w:pPr>
              <w:pStyle w:val="Paragraph"/>
              <w:spacing w:after="0"/>
              <w:jc w:val="right"/>
              <w:rPr>
                <w:b/>
                <w:bCs/>
              </w:rPr>
            </w:pPr>
            <w:r w:rsidRPr="003E230C">
              <w:rPr>
                <w:b/>
                <w:bCs/>
              </w:rPr>
              <w:t>$2,399,690</w:t>
            </w:r>
          </w:p>
        </w:tc>
      </w:tr>
      <w:tr w:rsidR="006D200E" w:rsidRPr="003E230C" w14:paraId="7191BA98" w14:textId="77777777" w:rsidTr="00D205E7">
        <w:trPr>
          <w:cnfStyle w:val="000000100000" w:firstRow="0" w:lastRow="0" w:firstColumn="0" w:lastColumn="0" w:oddVBand="0" w:evenVBand="0" w:oddHBand="1" w:evenHBand="0" w:firstRowFirstColumn="0" w:firstRowLastColumn="0" w:lastRowFirstColumn="0" w:lastRowLastColumn="0"/>
          <w:trHeight w:val="270"/>
        </w:trPr>
        <w:tc>
          <w:tcPr>
            <w:tcW w:w="8784" w:type="dxa"/>
            <w:gridSpan w:val="5"/>
          </w:tcPr>
          <w:p w14:paraId="443F37ED" w14:textId="48134E68" w:rsidR="006D200E" w:rsidRPr="003E230C" w:rsidRDefault="006D200E" w:rsidP="00971BA3">
            <w:pPr>
              <w:pStyle w:val="Paragraph"/>
              <w:spacing w:after="0"/>
              <w:rPr>
                <w:b/>
                <w:bCs/>
              </w:rPr>
            </w:pPr>
            <w:r>
              <w:rPr>
                <w:b/>
                <w:bCs/>
              </w:rPr>
              <w:t xml:space="preserve">Total year 1 costs for CSPs under </w:t>
            </w:r>
            <w:r w:rsidR="00A05A0C">
              <w:rPr>
                <w:b/>
                <w:bCs/>
              </w:rPr>
              <w:t>O</w:t>
            </w:r>
            <w:r>
              <w:rPr>
                <w:b/>
                <w:bCs/>
              </w:rPr>
              <w:t>ption 2A</w:t>
            </w:r>
          </w:p>
        </w:tc>
        <w:tc>
          <w:tcPr>
            <w:tcW w:w="1505" w:type="dxa"/>
            <w:noWrap/>
            <w:hideMark/>
          </w:tcPr>
          <w:p w14:paraId="48514A07" w14:textId="77777777" w:rsidR="006D200E" w:rsidRPr="003E230C" w:rsidRDefault="006D200E" w:rsidP="00AF4C0C">
            <w:pPr>
              <w:pStyle w:val="Paragraph"/>
              <w:spacing w:after="0"/>
              <w:jc w:val="right"/>
              <w:rPr>
                <w:b/>
                <w:bCs/>
              </w:rPr>
            </w:pPr>
            <w:r w:rsidRPr="003E230C">
              <w:rPr>
                <w:b/>
                <w:bCs/>
              </w:rPr>
              <w:t>$2,891,820</w:t>
            </w:r>
          </w:p>
        </w:tc>
      </w:tr>
    </w:tbl>
    <w:p w14:paraId="7EB04111" w14:textId="151B32D0" w:rsidR="006D200E" w:rsidRDefault="006D200E" w:rsidP="006D200E">
      <w:pPr>
        <w:pStyle w:val="Tableorfigurenote"/>
        <w:rPr>
          <w:i w:val="0"/>
          <w:iCs/>
        </w:rPr>
      </w:pPr>
    </w:p>
    <w:p w14:paraId="4F7902E5" w14:textId="43ADD303" w:rsidR="00C30665" w:rsidRDefault="00C30665">
      <w:pPr>
        <w:spacing w:after="160" w:line="259" w:lineRule="auto"/>
        <w:rPr>
          <w:rFonts w:cs="Arial"/>
          <w:iCs/>
          <w:sz w:val="16"/>
        </w:rPr>
      </w:pPr>
      <w:r>
        <w:rPr>
          <w:i/>
          <w:iCs/>
        </w:rPr>
        <w:br w:type="page"/>
      </w:r>
    </w:p>
    <w:p w14:paraId="4ABD2016" w14:textId="27B3B8E2" w:rsidR="006D200E" w:rsidRDefault="006D200E" w:rsidP="009D5124">
      <w:pPr>
        <w:pStyle w:val="Tableheading"/>
      </w:pPr>
      <w:r>
        <w:lastRenderedPageBreak/>
        <w:t xml:space="preserve">Ongoing costs for CSPs under </w:t>
      </w:r>
      <w:r w:rsidR="00A05A0C">
        <w:t>O</w:t>
      </w:r>
      <w:r>
        <w:t>ption 2A</w:t>
      </w:r>
    </w:p>
    <w:tbl>
      <w:tblPr>
        <w:tblStyle w:val="ACMAtablestyle"/>
        <w:tblW w:w="10060" w:type="dxa"/>
        <w:tblCellMar>
          <w:top w:w="85" w:type="dxa"/>
          <w:left w:w="57" w:type="dxa"/>
          <w:bottom w:w="85" w:type="dxa"/>
          <w:right w:w="57" w:type="dxa"/>
        </w:tblCellMar>
        <w:tblLook w:val="04A0" w:firstRow="1" w:lastRow="0" w:firstColumn="1" w:lastColumn="0" w:noHBand="0" w:noVBand="1"/>
      </w:tblPr>
      <w:tblGrid>
        <w:gridCol w:w="3256"/>
        <w:gridCol w:w="1559"/>
        <w:gridCol w:w="1276"/>
        <w:gridCol w:w="1275"/>
        <w:gridCol w:w="1418"/>
        <w:gridCol w:w="1276"/>
      </w:tblGrid>
      <w:tr w:rsidR="006D200E" w:rsidRPr="00DA2992" w14:paraId="3436960E" w14:textId="77777777" w:rsidTr="00D205E7">
        <w:trPr>
          <w:cnfStyle w:val="100000000000" w:firstRow="1" w:lastRow="0" w:firstColumn="0" w:lastColumn="0" w:oddVBand="0" w:evenVBand="0" w:oddHBand="0" w:evenHBand="0" w:firstRowFirstColumn="0" w:firstRowLastColumn="0" w:lastRowFirstColumn="0" w:lastRowLastColumn="0"/>
          <w:trHeight w:val="548"/>
        </w:trPr>
        <w:tc>
          <w:tcPr>
            <w:tcW w:w="3256" w:type="dxa"/>
            <w:hideMark/>
          </w:tcPr>
          <w:p w14:paraId="5484D005" w14:textId="77777777" w:rsidR="006D200E" w:rsidRPr="00DA2992" w:rsidRDefault="006D200E" w:rsidP="007A3E9B">
            <w:pPr>
              <w:pStyle w:val="Paragraph"/>
              <w:spacing w:after="0" w:line="240" w:lineRule="auto"/>
              <w:contextualSpacing/>
              <w:rPr>
                <w:b/>
                <w:bCs/>
              </w:rPr>
            </w:pPr>
          </w:p>
        </w:tc>
        <w:tc>
          <w:tcPr>
            <w:tcW w:w="1559" w:type="dxa"/>
            <w:hideMark/>
          </w:tcPr>
          <w:p w14:paraId="062D3C77" w14:textId="77777777" w:rsidR="006D200E" w:rsidRPr="00DA2992" w:rsidRDefault="006D200E" w:rsidP="00AF4C0C">
            <w:pPr>
              <w:pStyle w:val="Paragraph"/>
              <w:spacing w:after="0" w:line="240" w:lineRule="auto"/>
              <w:contextualSpacing/>
              <w:jc w:val="right"/>
              <w:rPr>
                <w:b/>
                <w:bCs/>
              </w:rPr>
            </w:pPr>
            <w:r w:rsidRPr="00DA2992">
              <w:rPr>
                <w:b/>
                <w:bCs/>
              </w:rPr>
              <w:t>System upgrade</w:t>
            </w:r>
          </w:p>
        </w:tc>
        <w:tc>
          <w:tcPr>
            <w:tcW w:w="1276" w:type="dxa"/>
            <w:noWrap/>
            <w:hideMark/>
          </w:tcPr>
          <w:p w14:paraId="1075633F" w14:textId="77777777" w:rsidR="006D200E" w:rsidRPr="00DA2992" w:rsidRDefault="006D200E" w:rsidP="00AF4C0C">
            <w:pPr>
              <w:pStyle w:val="Paragraph"/>
              <w:spacing w:after="0" w:line="240" w:lineRule="auto"/>
              <w:contextualSpacing/>
              <w:jc w:val="right"/>
              <w:rPr>
                <w:b/>
                <w:bCs/>
              </w:rPr>
            </w:pPr>
            <w:r w:rsidRPr="00DA2992">
              <w:rPr>
                <w:b/>
                <w:bCs/>
              </w:rPr>
              <w:t>Time (hours)</w:t>
            </w:r>
          </w:p>
        </w:tc>
        <w:tc>
          <w:tcPr>
            <w:tcW w:w="1275" w:type="dxa"/>
            <w:hideMark/>
          </w:tcPr>
          <w:p w14:paraId="026D1C57" w14:textId="77777777" w:rsidR="006D200E" w:rsidRPr="00DA2992" w:rsidRDefault="006D200E" w:rsidP="00AF4C0C">
            <w:pPr>
              <w:pStyle w:val="Paragraph"/>
              <w:spacing w:after="0" w:line="240" w:lineRule="auto"/>
              <w:contextualSpacing/>
              <w:jc w:val="right"/>
              <w:rPr>
                <w:b/>
                <w:bCs/>
              </w:rPr>
            </w:pPr>
            <w:r w:rsidRPr="00DA2992">
              <w:rPr>
                <w:b/>
                <w:bCs/>
              </w:rPr>
              <w:t>Businesses</w:t>
            </w:r>
          </w:p>
        </w:tc>
        <w:tc>
          <w:tcPr>
            <w:tcW w:w="1418" w:type="dxa"/>
            <w:noWrap/>
            <w:hideMark/>
          </w:tcPr>
          <w:p w14:paraId="2EE4EEC7" w14:textId="1A9A61EA" w:rsidR="006D200E" w:rsidRPr="00DA2992" w:rsidRDefault="006D200E" w:rsidP="00AF4C0C">
            <w:pPr>
              <w:pStyle w:val="Paragraph"/>
              <w:spacing w:after="0" w:line="240" w:lineRule="auto"/>
              <w:contextualSpacing/>
              <w:jc w:val="right"/>
              <w:rPr>
                <w:b/>
                <w:bCs/>
              </w:rPr>
            </w:pPr>
            <w:r w:rsidRPr="00DA2992">
              <w:rPr>
                <w:b/>
                <w:bCs/>
              </w:rPr>
              <w:t xml:space="preserve">Rate/hour </w:t>
            </w:r>
            <w:r w:rsidR="00D205E7">
              <w:rPr>
                <w:b/>
                <w:bCs/>
              </w:rPr>
              <w:br/>
            </w:r>
            <w:r w:rsidRPr="00DA2992">
              <w:rPr>
                <w:b/>
                <w:bCs/>
              </w:rPr>
              <w:t>($)</w:t>
            </w:r>
          </w:p>
        </w:tc>
        <w:tc>
          <w:tcPr>
            <w:tcW w:w="1276" w:type="dxa"/>
            <w:noWrap/>
            <w:hideMark/>
          </w:tcPr>
          <w:p w14:paraId="1FA9127A" w14:textId="41071FB6" w:rsidR="006D200E" w:rsidRPr="00DA2992" w:rsidRDefault="006D200E" w:rsidP="00AF4C0C">
            <w:pPr>
              <w:pStyle w:val="Paragraph"/>
              <w:spacing w:after="0" w:line="240" w:lineRule="auto"/>
              <w:contextualSpacing/>
              <w:jc w:val="right"/>
              <w:rPr>
                <w:b/>
                <w:bCs/>
              </w:rPr>
            </w:pPr>
            <w:r w:rsidRPr="00DA2992">
              <w:rPr>
                <w:b/>
                <w:bCs/>
              </w:rPr>
              <w:t xml:space="preserve">Totals </w:t>
            </w:r>
            <w:r w:rsidR="007A3E9B">
              <w:rPr>
                <w:b/>
                <w:bCs/>
              </w:rPr>
              <w:br/>
            </w:r>
            <w:r w:rsidRPr="00DA2992">
              <w:rPr>
                <w:b/>
                <w:bCs/>
              </w:rPr>
              <w:t>($)</w:t>
            </w:r>
          </w:p>
        </w:tc>
      </w:tr>
      <w:tr w:rsidR="006D200E" w:rsidRPr="00DA2992" w14:paraId="5E4EF851" w14:textId="77777777" w:rsidTr="00D205E7">
        <w:trPr>
          <w:cnfStyle w:val="000000100000" w:firstRow="0" w:lastRow="0" w:firstColumn="0" w:lastColumn="0" w:oddVBand="0" w:evenVBand="0" w:oddHBand="1" w:evenHBand="0" w:firstRowFirstColumn="0" w:firstRowLastColumn="0" w:lastRowFirstColumn="0" w:lastRowLastColumn="0"/>
          <w:trHeight w:val="332"/>
        </w:trPr>
        <w:tc>
          <w:tcPr>
            <w:tcW w:w="10060" w:type="dxa"/>
            <w:gridSpan w:val="6"/>
            <w:noWrap/>
            <w:hideMark/>
          </w:tcPr>
          <w:p w14:paraId="2D2778B8" w14:textId="77777777" w:rsidR="006D200E" w:rsidRPr="00DA2992" w:rsidRDefault="006D200E" w:rsidP="007A3E9B">
            <w:pPr>
              <w:pStyle w:val="Paragraph"/>
              <w:spacing w:after="0" w:line="240" w:lineRule="auto"/>
              <w:contextualSpacing/>
            </w:pPr>
            <w:r w:rsidRPr="00DA2992">
              <w:rPr>
                <w:b/>
                <w:bCs/>
              </w:rPr>
              <w:t>Large CSPs</w:t>
            </w:r>
          </w:p>
        </w:tc>
      </w:tr>
      <w:tr w:rsidR="006D200E" w:rsidRPr="00DA2992" w14:paraId="7645FC51" w14:textId="77777777" w:rsidTr="00D205E7">
        <w:trPr>
          <w:cnfStyle w:val="000000010000" w:firstRow="0" w:lastRow="0" w:firstColumn="0" w:lastColumn="0" w:oddVBand="0" w:evenVBand="0" w:oddHBand="0" w:evenHBand="1" w:firstRowFirstColumn="0" w:firstRowLastColumn="0" w:lastRowFirstColumn="0" w:lastRowLastColumn="0"/>
          <w:trHeight w:val="250"/>
        </w:trPr>
        <w:tc>
          <w:tcPr>
            <w:tcW w:w="3256" w:type="dxa"/>
            <w:hideMark/>
          </w:tcPr>
          <w:p w14:paraId="16993496" w14:textId="77777777" w:rsidR="006D200E" w:rsidRPr="00DA2992" w:rsidRDefault="006D200E" w:rsidP="007A3E9B">
            <w:pPr>
              <w:pStyle w:val="Paragraph"/>
              <w:spacing w:after="0" w:line="240" w:lineRule="auto"/>
              <w:contextualSpacing/>
            </w:pPr>
            <w:r w:rsidRPr="00DA2992">
              <w:t xml:space="preserve">Monitor processes </w:t>
            </w:r>
          </w:p>
        </w:tc>
        <w:tc>
          <w:tcPr>
            <w:tcW w:w="1559" w:type="dxa"/>
            <w:hideMark/>
          </w:tcPr>
          <w:p w14:paraId="0E832D52" w14:textId="77777777" w:rsidR="006D200E" w:rsidRPr="00DA2992" w:rsidRDefault="006D200E" w:rsidP="00AF4C0C">
            <w:pPr>
              <w:pStyle w:val="Paragraph"/>
              <w:spacing w:after="0" w:line="240" w:lineRule="auto"/>
              <w:contextualSpacing/>
              <w:jc w:val="right"/>
            </w:pPr>
            <w:r w:rsidRPr="00DA2992">
              <w:t xml:space="preserve">$20,000 </w:t>
            </w:r>
          </w:p>
        </w:tc>
        <w:tc>
          <w:tcPr>
            <w:tcW w:w="1276" w:type="dxa"/>
            <w:noWrap/>
            <w:hideMark/>
          </w:tcPr>
          <w:p w14:paraId="596E598F" w14:textId="77777777" w:rsidR="006D200E" w:rsidRPr="00DA2992" w:rsidRDefault="006D200E" w:rsidP="00AF4C0C">
            <w:pPr>
              <w:pStyle w:val="Paragraph"/>
              <w:spacing w:after="0" w:line="240" w:lineRule="auto"/>
              <w:contextualSpacing/>
              <w:jc w:val="right"/>
            </w:pPr>
          </w:p>
        </w:tc>
        <w:tc>
          <w:tcPr>
            <w:tcW w:w="1275" w:type="dxa"/>
            <w:noWrap/>
            <w:hideMark/>
          </w:tcPr>
          <w:p w14:paraId="796EBAAE" w14:textId="77777777" w:rsidR="006D200E" w:rsidRPr="00DA2992" w:rsidRDefault="006D200E" w:rsidP="00AF4C0C">
            <w:pPr>
              <w:pStyle w:val="Paragraph"/>
              <w:spacing w:after="0" w:line="240" w:lineRule="auto"/>
              <w:contextualSpacing/>
              <w:jc w:val="right"/>
            </w:pPr>
            <w:r w:rsidRPr="00DA2992">
              <w:t>2</w:t>
            </w:r>
          </w:p>
        </w:tc>
        <w:tc>
          <w:tcPr>
            <w:tcW w:w="1418" w:type="dxa"/>
            <w:noWrap/>
            <w:hideMark/>
          </w:tcPr>
          <w:p w14:paraId="27FCAF75" w14:textId="77777777" w:rsidR="006D200E" w:rsidRPr="00DA2992" w:rsidRDefault="006D200E" w:rsidP="00AF4C0C">
            <w:pPr>
              <w:pStyle w:val="Paragraph"/>
              <w:spacing w:after="0" w:line="240" w:lineRule="auto"/>
              <w:contextualSpacing/>
              <w:jc w:val="right"/>
            </w:pPr>
          </w:p>
        </w:tc>
        <w:tc>
          <w:tcPr>
            <w:tcW w:w="1276" w:type="dxa"/>
            <w:noWrap/>
            <w:hideMark/>
          </w:tcPr>
          <w:p w14:paraId="23E3D3ED" w14:textId="77777777" w:rsidR="006D200E" w:rsidRPr="00DA2992" w:rsidRDefault="006D200E" w:rsidP="00AF4C0C">
            <w:pPr>
              <w:pStyle w:val="Paragraph"/>
              <w:spacing w:after="0" w:line="240" w:lineRule="auto"/>
              <w:contextualSpacing/>
              <w:jc w:val="right"/>
            </w:pPr>
            <w:r w:rsidRPr="00DA2992">
              <w:t>$40,000</w:t>
            </w:r>
          </w:p>
        </w:tc>
      </w:tr>
      <w:tr w:rsidR="006D200E" w:rsidRPr="00DA2992" w14:paraId="28311137" w14:textId="77777777" w:rsidTr="00D205E7">
        <w:trPr>
          <w:cnfStyle w:val="000000100000" w:firstRow="0" w:lastRow="0" w:firstColumn="0" w:lastColumn="0" w:oddVBand="0" w:evenVBand="0" w:oddHBand="1" w:evenHBand="0" w:firstRowFirstColumn="0" w:firstRowLastColumn="0" w:lastRowFirstColumn="0" w:lastRowLastColumn="0"/>
          <w:trHeight w:val="356"/>
        </w:trPr>
        <w:tc>
          <w:tcPr>
            <w:tcW w:w="3256" w:type="dxa"/>
            <w:hideMark/>
          </w:tcPr>
          <w:p w14:paraId="75EDABBB" w14:textId="34C88C6C" w:rsidR="006D200E" w:rsidRPr="00DA2992" w:rsidRDefault="006D200E" w:rsidP="007A3E9B">
            <w:pPr>
              <w:pStyle w:val="Paragraph"/>
              <w:spacing w:after="0" w:line="240" w:lineRule="auto"/>
              <w:contextualSpacing/>
            </w:pPr>
            <w:r w:rsidRPr="00DA2992">
              <w:t xml:space="preserve">Staff training </w:t>
            </w:r>
            <w:r w:rsidR="007A3E9B">
              <w:t>–</w:t>
            </w:r>
            <w:r w:rsidRPr="00DA2992">
              <w:t xml:space="preserve"> ongoing</w:t>
            </w:r>
          </w:p>
        </w:tc>
        <w:tc>
          <w:tcPr>
            <w:tcW w:w="1559" w:type="dxa"/>
            <w:hideMark/>
          </w:tcPr>
          <w:p w14:paraId="39E20BF6" w14:textId="77777777" w:rsidR="006D200E" w:rsidRPr="00DA2992" w:rsidRDefault="006D200E" w:rsidP="00AF4C0C">
            <w:pPr>
              <w:pStyle w:val="Paragraph"/>
              <w:spacing w:after="0" w:line="240" w:lineRule="auto"/>
              <w:contextualSpacing/>
              <w:jc w:val="right"/>
            </w:pPr>
          </w:p>
        </w:tc>
        <w:tc>
          <w:tcPr>
            <w:tcW w:w="1276" w:type="dxa"/>
            <w:hideMark/>
          </w:tcPr>
          <w:p w14:paraId="2FF1ACEB" w14:textId="7024B664" w:rsidR="006D200E" w:rsidRPr="00DA2992" w:rsidRDefault="006D200E" w:rsidP="00AF4C0C">
            <w:pPr>
              <w:pStyle w:val="Paragraph"/>
              <w:spacing w:after="0" w:line="240" w:lineRule="auto"/>
              <w:contextualSpacing/>
              <w:jc w:val="right"/>
            </w:pPr>
            <w:r w:rsidRPr="00DA2992">
              <w:t xml:space="preserve">133 </w:t>
            </w:r>
          </w:p>
        </w:tc>
        <w:tc>
          <w:tcPr>
            <w:tcW w:w="1275" w:type="dxa"/>
            <w:noWrap/>
            <w:hideMark/>
          </w:tcPr>
          <w:p w14:paraId="658370F6" w14:textId="77777777" w:rsidR="006D200E" w:rsidRPr="00DA2992" w:rsidRDefault="006D200E" w:rsidP="00AF4C0C">
            <w:pPr>
              <w:pStyle w:val="Paragraph"/>
              <w:spacing w:after="0" w:line="240" w:lineRule="auto"/>
              <w:contextualSpacing/>
              <w:jc w:val="right"/>
            </w:pPr>
            <w:r w:rsidRPr="00DA2992">
              <w:t>2</w:t>
            </w:r>
          </w:p>
        </w:tc>
        <w:tc>
          <w:tcPr>
            <w:tcW w:w="1418" w:type="dxa"/>
            <w:hideMark/>
          </w:tcPr>
          <w:p w14:paraId="7E91730B" w14:textId="77777777" w:rsidR="006D200E" w:rsidRPr="00DA2992" w:rsidRDefault="006D200E" w:rsidP="00AF4C0C">
            <w:pPr>
              <w:pStyle w:val="Paragraph"/>
              <w:spacing w:after="0" w:line="240" w:lineRule="auto"/>
              <w:contextualSpacing/>
              <w:jc w:val="right"/>
            </w:pPr>
            <w:r w:rsidRPr="00DA2992">
              <w:t xml:space="preserve">$73 </w:t>
            </w:r>
          </w:p>
        </w:tc>
        <w:tc>
          <w:tcPr>
            <w:tcW w:w="1276" w:type="dxa"/>
            <w:noWrap/>
            <w:hideMark/>
          </w:tcPr>
          <w:p w14:paraId="2CF7597E" w14:textId="77777777" w:rsidR="006D200E" w:rsidRPr="00DA2992" w:rsidRDefault="006D200E" w:rsidP="00AF4C0C">
            <w:pPr>
              <w:pStyle w:val="Paragraph"/>
              <w:spacing w:after="0" w:line="240" w:lineRule="auto"/>
              <w:contextualSpacing/>
              <w:jc w:val="right"/>
            </w:pPr>
            <w:r w:rsidRPr="00DA2992">
              <w:t>$19,467</w:t>
            </w:r>
          </w:p>
        </w:tc>
      </w:tr>
      <w:tr w:rsidR="006D200E" w:rsidRPr="00DA2992" w14:paraId="1BE6B85E" w14:textId="77777777" w:rsidTr="00D205E7">
        <w:trPr>
          <w:cnfStyle w:val="000000010000" w:firstRow="0" w:lastRow="0" w:firstColumn="0" w:lastColumn="0" w:oddVBand="0" w:evenVBand="0" w:oddHBand="0" w:evenHBand="1" w:firstRowFirstColumn="0" w:firstRowLastColumn="0" w:lastRowFirstColumn="0" w:lastRowLastColumn="0"/>
          <w:trHeight w:val="278"/>
        </w:trPr>
        <w:tc>
          <w:tcPr>
            <w:tcW w:w="8784" w:type="dxa"/>
            <w:gridSpan w:val="5"/>
            <w:hideMark/>
          </w:tcPr>
          <w:p w14:paraId="7D6E27AB" w14:textId="77777777" w:rsidR="006D200E" w:rsidRPr="00DA2992" w:rsidRDefault="006D200E" w:rsidP="007A3E9B">
            <w:pPr>
              <w:pStyle w:val="Paragraph"/>
              <w:spacing w:after="0" w:line="240" w:lineRule="auto"/>
              <w:contextualSpacing/>
            </w:pPr>
            <w:r w:rsidRPr="00DA2992">
              <w:rPr>
                <w:b/>
                <w:bCs/>
              </w:rPr>
              <w:t>TOTAL</w:t>
            </w:r>
          </w:p>
        </w:tc>
        <w:tc>
          <w:tcPr>
            <w:tcW w:w="1276" w:type="dxa"/>
            <w:noWrap/>
            <w:hideMark/>
          </w:tcPr>
          <w:p w14:paraId="05F4D046" w14:textId="77777777" w:rsidR="006D200E" w:rsidRPr="00DA2992" w:rsidRDefault="006D200E" w:rsidP="00AF4C0C">
            <w:pPr>
              <w:pStyle w:val="Paragraph"/>
              <w:spacing w:after="0" w:line="240" w:lineRule="auto"/>
              <w:contextualSpacing/>
              <w:jc w:val="right"/>
              <w:rPr>
                <w:b/>
                <w:bCs/>
              </w:rPr>
            </w:pPr>
            <w:r w:rsidRPr="00DA2992">
              <w:rPr>
                <w:b/>
                <w:bCs/>
              </w:rPr>
              <w:t>$59,467</w:t>
            </w:r>
          </w:p>
        </w:tc>
      </w:tr>
      <w:tr w:rsidR="006D200E" w:rsidRPr="00DA2992" w14:paraId="742A237E" w14:textId="77777777" w:rsidTr="00D205E7">
        <w:trPr>
          <w:cnfStyle w:val="000000100000" w:firstRow="0" w:lastRow="0" w:firstColumn="0" w:lastColumn="0" w:oddVBand="0" w:evenVBand="0" w:oddHBand="1" w:evenHBand="0" w:firstRowFirstColumn="0" w:firstRowLastColumn="0" w:lastRowFirstColumn="0" w:lastRowLastColumn="0"/>
          <w:trHeight w:val="278"/>
        </w:trPr>
        <w:tc>
          <w:tcPr>
            <w:tcW w:w="10060" w:type="dxa"/>
            <w:gridSpan w:val="6"/>
            <w:hideMark/>
          </w:tcPr>
          <w:p w14:paraId="7D3BA4B1" w14:textId="77777777" w:rsidR="006D200E" w:rsidRPr="00DA2992" w:rsidRDefault="006D200E" w:rsidP="007A3E9B">
            <w:pPr>
              <w:pStyle w:val="Paragraph"/>
              <w:spacing w:after="0" w:line="240" w:lineRule="auto"/>
              <w:contextualSpacing/>
            </w:pPr>
            <w:r w:rsidRPr="00DA2992">
              <w:rPr>
                <w:b/>
                <w:bCs/>
              </w:rPr>
              <w:t>Medium CSPs</w:t>
            </w:r>
          </w:p>
        </w:tc>
      </w:tr>
      <w:tr w:rsidR="006D200E" w:rsidRPr="00DA2992" w14:paraId="3BE63AD2" w14:textId="77777777" w:rsidTr="00D205E7">
        <w:trPr>
          <w:cnfStyle w:val="000000010000" w:firstRow="0" w:lastRow="0" w:firstColumn="0" w:lastColumn="0" w:oddVBand="0" w:evenVBand="0" w:oddHBand="0" w:evenHBand="1" w:firstRowFirstColumn="0" w:firstRowLastColumn="0" w:lastRowFirstColumn="0" w:lastRowLastColumn="0"/>
          <w:trHeight w:val="243"/>
        </w:trPr>
        <w:tc>
          <w:tcPr>
            <w:tcW w:w="3256" w:type="dxa"/>
            <w:hideMark/>
          </w:tcPr>
          <w:p w14:paraId="0FA08918" w14:textId="77777777" w:rsidR="006D200E" w:rsidRPr="00DA2992" w:rsidRDefault="006D200E" w:rsidP="007A3E9B">
            <w:pPr>
              <w:pStyle w:val="Paragraph"/>
              <w:spacing w:after="0" w:line="240" w:lineRule="auto"/>
              <w:contextualSpacing/>
            </w:pPr>
            <w:r w:rsidRPr="00DA2992">
              <w:t xml:space="preserve">Monitor processes </w:t>
            </w:r>
          </w:p>
        </w:tc>
        <w:tc>
          <w:tcPr>
            <w:tcW w:w="1559" w:type="dxa"/>
            <w:hideMark/>
          </w:tcPr>
          <w:p w14:paraId="1CB81BFD" w14:textId="77777777" w:rsidR="006D200E" w:rsidRPr="00DA2992" w:rsidRDefault="006D200E" w:rsidP="00AF4C0C">
            <w:pPr>
              <w:pStyle w:val="Paragraph"/>
              <w:spacing w:after="0" w:line="240" w:lineRule="auto"/>
              <w:contextualSpacing/>
              <w:jc w:val="right"/>
            </w:pPr>
            <w:r w:rsidRPr="00DA2992">
              <w:t xml:space="preserve">$5,333 </w:t>
            </w:r>
          </w:p>
        </w:tc>
        <w:tc>
          <w:tcPr>
            <w:tcW w:w="1276" w:type="dxa"/>
            <w:hideMark/>
          </w:tcPr>
          <w:p w14:paraId="5E166A36" w14:textId="77777777" w:rsidR="006D200E" w:rsidRPr="00DA2992" w:rsidRDefault="006D200E" w:rsidP="00AF4C0C">
            <w:pPr>
              <w:pStyle w:val="Paragraph"/>
              <w:spacing w:after="0" w:line="240" w:lineRule="auto"/>
              <w:contextualSpacing/>
              <w:jc w:val="right"/>
            </w:pPr>
          </w:p>
        </w:tc>
        <w:tc>
          <w:tcPr>
            <w:tcW w:w="1275" w:type="dxa"/>
            <w:noWrap/>
            <w:hideMark/>
          </w:tcPr>
          <w:p w14:paraId="1CF58764" w14:textId="77777777" w:rsidR="006D200E" w:rsidRPr="00DA2992" w:rsidRDefault="006D200E" w:rsidP="00AF4C0C">
            <w:pPr>
              <w:pStyle w:val="Paragraph"/>
              <w:spacing w:after="0" w:line="240" w:lineRule="auto"/>
              <w:contextualSpacing/>
              <w:jc w:val="right"/>
            </w:pPr>
            <w:r w:rsidRPr="00DA2992">
              <w:t>4</w:t>
            </w:r>
          </w:p>
        </w:tc>
        <w:tc>
          <w:tcPr>
            <w:tcW w:w="1418" w:type="dxa"/>
            <w:noWrap/>
            <w:hideMark/>
          </w:tcPr>
          <w:p w14:paraId="1257BEC7" w14:textId="77777777" w:rsidR="006D200E" w:rsidRPr="00DA2992" w:rsidRDefault="006D200E" w:rsidP="00AF4C0C">
            <w:pPr>
              <w:pStyle w:val="Paragraph"/>
              <w:spacing w:after="0" w:line="240" w:lineRule="auto"/>
              <w:contextualSpacing/>
              <w:jc w:val="right"/>
            </w:pPr>
          </w:p>
        </w:tc>
        <w:tc>
          <w:tcPr>
            <w:tcW w:w="1276" w:type="dxa"/>
            <w:noWrap/>
            <w:hideMark/>
          </w:tcPr>
          <w:p w14:paraId="4B3E9BA7" w14:textId="77777777" w:rsidR="006D200E" w:rsidRPr="00DA2992" w:rsidRDefault="006D200E" w:rsidP="00AF4C0C">
            <w:pPr>
              <w:pStyle w:val="Paragraph"/>
              <w:spacing w:after="0" w:line="240" w:lineRule="auto"/>
              <w:contextualSpacing/>
              <w:jc w:val="right"/>
            </w:pPr>
            <w:r w:rsidRPr="00DA2992">
              <w:t>$21,333</w:t>
            </w:r>
          </w:p>
        </w:tc>
      </w:tr>
      <w:tr w:rsidR="006D200E" w:rsidRPr="00DA2992" w14:paraId="25BD1055" w14:textId="77777777" w:rsidTr="00D205E7">
        <w:trPr>
          <w:cnfStyle w:val="000000100000" w:firstRow="0" w:lastRow="0" w:firstColumn="0" w:lastColumn="0" w:oddVBand="0" w:evenVBand="0" w:oddHBand="1" w:evenHBand="0" w:firstRowFirstColumn="0" w:firstRowLastColumn="0" w:lastRowFirstColumn="0" w:lastRowLastColumn="0"/>
          <w:trHeight w:val="278"/>
        </w:trPr>
        <w:tc>
          <w:tcPr>
            <w:tcW w:w="3256" w:type="dxa"/>
            <w:hideMark/>
          </w:tcPr>
          <w:p w14:paraId="0A6B6C60" w14:textId="77777777" w:rsidR="006D200E" w:rsidRPr="00DA2992" w:rsidRDefault="006D200E" w:rsidP="007A3E9B">
            <w:pPr>
              <w:pStyle w:val="Paragraph"/>
              <w:spacing w:after="0" w:line="240" w:lineRule="auto"/>
              <w:contextualSpacing/>
            </w:pPr>
            <w:r w:rsidRPr="00DA2992">
              <w:t>Staff training</w:t>
            </w:r>
          </w:p>
        </w:tc>
        <w:tc>
          <w:tcPr>
            <w:tcW w:w="1559" w:type="dxa"/>
            <w:hideMark/>
          </w:tcPr>
          <w:p w14:paraId="5629496F" w14:textId="77777777" w:rsidR="006D200E" w:rsidRPr="00DA2992" w:rsidRDefault="006D200E" w:rsidP="00AF4C0C">
            <w:pPr>
              <w:pStyle w:val="Paragraph"/>
              <w:spacing w:after="0" w:line="240" w:lineRule="auto"/>
              <w:contextualSpacing/>
              <w:jc w:val="right"/>
            </w:pPr>
          </w:p>
        </w:tc>
        <w:tc>
          <w:tcPr>
            <w:tcW w:w="1276" w:type="dxa"/>
            <w:hideMark/>
          </w:tcPr>
          <w:p w14:paraId="08F307C3" w14:textId="4B761B5B" w:rsidR="006D200E" w:rsidRPr="00DA2992" w:rsidRDefault="006D200E" w:rsidP="00AF4C0C">
            <w:pPr>
              <w:pStyle w:val="Paragraph"/>
              <w:spacing w:after="0" w:line="240" w:lineRule="auto"/>
              <w:contextualSpacing/>
              <w:jc w:val="right"/>
            </w:pPr>
            <w:r w:rsidRPr="00DA2992">
              <w:t xml:space="preserve">67 </w:t>
            </w:r>
          </w:p>
        </w:tc>
        <w:tc>
          <w:tcPr>
            <w:tcW w:w="1275" w:type="dxa"/>
            <w:noWrap/>
            <w:hideMark/>
          </w:tcPr>
          <w:p w14:paraId="6E7D6E8C" w14:textId="77777777" w:rsidR="006D200E" w:rsidRPr="00DA2992" w:rsidRDefault="006D200E" w:rsidP="00AF4C0C">
            <w:pPr>
              <w:pStyle w:val="Paragraph"/>
              <w:spacing w:after="0" w:line="240" w:lineRule="auto"/>
              <w:contextualSpacing/>
              <w:jc w:val="right"/>
            </w:pPr>
            <w:r w:rsidRPr="00DA2992">
              <w:t>4</w:t>
            </w:r>
          </w:p>
        </w:tc>
        <w:tc>
          <w:tcPr>
            <w:tcW w:w="1418" w:type="dxa"/>
            <w:hideMark/>
          </w:tcPr>
          <w:p w14:paraId="5D06DF3A" w14:textId="77777777" w:rsidR="006D200E" w:rsidRPr="00DA2992" w:rsidRDefault="006D200E" w:rsidP="00AF4C0C">
            <w:pPr>
              <w:pStyle w:val="Paragraph"/>
              <w:spacing w:after="0" w:line="240" w:lineRule="auto"/>
              <w:contextualSpacing/>
              <w:jc w:val="right"/>
            </w:pPr>
            <w:r w:rsidRPr="00DA2992">
              <w:t xml:space="preserve">$73 </w:t>
            </w:r>
          </w:p>
        </w:tc>
        <w:tc>
          <w:tcPr>
            <w:tcW w:w="1276" w:type="dxa"/>
            <w:noWrap/>
            <w:hideMark/>
          </w:tcPr>
          <w:p w14:paraId="6BAEA356" w14:textId="77777777" w:rsidR="006D200E" w:rsidRPr="00DA2992" w:rsidRDefault="006D200E" w:rsidP="00AF4C0C">
            <w:pPr>
              <w:pStyle w:val="Paragraph"/>
              <w:spacing w:after="0" w:line="240" w:lineRule="auto"/>
              <w:contextualSpacing/>
              <w:jc w:val="right"/>
            </w:pPr>
            <w:r w:rsidRPr="00DA2992">
              <w:t>$19,467</w:t>
            </w:r>
          </w:p>
        </w:tc>
      </w:tr>
      <w:tr w:rsidR="006D200E" w:rsidRPr="00DA2992" w14:paraId="363F8474" w14:textId="77777777" w:rsidTr="00D205E7">
        <w:trPr>
          <w:cnfStyle w:val="000000010000" w:firstRow="0" w:lastRow="0" w:firstColumn="0" w:lastColumn="0" w:oddVBand="0" w:evenVBand="0" w:oddHBand="0" w:evenHBand="1" w:firstRowFirstColumn="0" w:firstRowLastColumn="0" w:lastRowFirstColumn="0" w:lastRowLastColumn="0"/>
          <w:trHeight w:val="270"/>
        </w:trPr>
        <w:tc>
          <w:tcPr>
            <w:tcW w:w="8784" w:type="dxa"/>
            <w:gridSpan w:val="5"/>
            <w:hideMark/>
          </w:tcPr>
          <w:p w14:paraId="61284A8B" w14:textId="77777777" w:rsidR="006D200E" w:rsidRPr="00DA2992" w:rsidRDefault="006D200E" w:rsidP="007A3E9B">
            <w:pPr>
              <w:pStyle w:val="Paragraph"/>
              <w:spacing w:after="0" w:line="240" w:lineRule="auto"/>
              <w:contextualSpacing/>
            </w:pPr>
            <w:r w:rsidRPr="00DA2992">
              <w:rPr>
                <w:b/>
                <w:bCs/>
              </w:rPr>
              <w:t>TOTAL</w:t>
            </w:r>
          </w:p>
        </w:tc>
        <w:tc>
          <w:tcPr>
            <w:tcW w:w="1276" w:type="dxa"/>
            <w:noWrap/>
            <w:hideMark/>
          </w:tcPr>
          <w:p w14:paraId="61C0A324" w14:textId="77777777" w:rsidR="006D200E" w:rsidRPr="00DA2992" w:rsidRDefault="006D200E" w:rsidP="00AF4C0C">
            <w:pPr>
              <w:pStyle w:val="Paragraph"/>
              <w:spacing w:after="0" w:line="240" w:lineRule="auto"/>
              <w:contextualSpacing/>
              <w:jc w:val="right"/>
              <w:rPr>
                <w:b/>
                <w:bCs/>
              </w:rPr>
            </w:pPr>
            <w:r w:rsidRPr="00DA2992">
              <w:rPr>
                <w:b/>
                <w:bCs/>
              </w:rPr>
              <w:t>$40,800</w:t>
            </w:r>
          </w:p>
        </w:tc>
      </w:tr>
      <w:tr w:rsidR="006D200E" w:rsidRPr="00DA2992" w14:paraId="6A67E02C" w14:textId="77777777" w:rsidTr="00D205E7">
        <w:trPr>
          <w:cnfStyle w:val="000000100000" w:firstRow="0" w:lastRow="0" w:firstColumn="0" w:lastColumn="0" w:oddVBand="0" w:evenVBand="0" w:oddHBand="1" w:evenHBand="0" w:firstRowFirstColumn="0" w:firstRowLastColumn="0" w:lastRowFirstColumn="0" w:lastRowLastColumn="0"/>
          <w:trHeight w:val="270"/>
        </w:trPr>
        <w:tc>
          <w:tcPr>
            <w:tcW w:w="10060" w:type="dxa"/>
            <w:gridSpan w:val="6"/>
            <w:hideMark/>
          </w:tcPr>
          <w:p w14:paraId="3DC930F4" w14:textId="77777777" w:rsidR="006D200E" w:rsidRPr="00DA2992" w:rsidRDefault="006D200E" w:rsidP="007A3E9B">
            <w:pPr>
              <w:pStyle w:val="Paragraph"/>
              <w:spacing w:after="0" w:line="240" w:lineRule="auto"/>
              <w:contextualSpacing/>
            </w:pPr>
            <w:r w:rsidRPr="00DA2992">
              <w:rPr>
                <w:b/>
                <w:bCs/>
              </w:rPr>
              <w:t>Small CSPs</w:t>
            </w:r>
          </w:p>
        </w:tc>
      </w:tr>
      <w:tr w:rsidR="006D200E" w:rsidRPr="00DA2992" w14:paraId="5A0864A6" w14:textId="77777777" w:rsidTr="00D205E7">
        <w:trPr>
          <w:cnfStyle w:val="000000010000" w:firstRow="0" w:lastRow="0" w:firstColumn="0" w:lastColumn="0" w:oddVBand="0" w:evenVBand="0" w:oddHBand="0" w:evenHBand="1" w:firstRowFirstColumn="0" w:firstRowLastColumn="0" w:lastRowFirstColumn="0" w:lastRowLastColumn="0"/>
          <w:trHeight w:val="191"/>
        </w:trPr>
        <w:tc>
          <w:tcPr>
            <w:tcW w:w="3256" w:type="dxa"/>
            <w:hideMark/>
          </w:tcPr>
          <w:p w14:paraId="2E0FE887" w14:textId="77777777" w:rsidR="006D200E" w:rsidRPr="00DA2992" w:rsidRDefault="006D200E" w:rsidP="007A3E9B">
            <w:pPr>
              <w:pStyle w:val="Paragraph"/>
              <w:spacing w:after="0" w:line="240" w:lineRule="auto"/>
              <w:contextualSpacing/>
            </w:pPr>
            <w:r w:rsidRPr="00DA2992">
              <w:t xml:space="preserve">Monitor processes </w:t>
            </w:r>
          </w:p>
        </w:tc>
        <w:tc>
          <w:tcPr>
            <w:tcW w:w="1559" w:type="dxa"/>
            <w:hideMark/>
          </w:tcPr>
          <w:p w14:paraId="33585624" w14:textId="77777777" w:rsidR="006D200E" w:rsidRPr="00DA2992" w:rsidRDefault="006D200E" w:rsidP="00AF4C0C">
            <w:pPr>
              <w:pStyle w:val="Paragraph"/>
              <w:spacing w:after="0" w:line="240" w:lineRule="auto"/>
              <w:contextualSpacing/>
              <w:jc w:val="right"/>
            </w:pPr>
            <w:r w:rsidRPr="00DA2992">
              <w:t xml:space="preserve">$1,000 </w:t>
            </w:r>
          </w:p>
        </w:tc>
        <w:tc>
          <w:tcPr>
            <w:tcW w:w="1276" w:type="dxa"/>
            <w:hideMark/>
          </w:tcPr>
          <w:p w14:paraId="5EED6769" w14:textId="77777777" w:rsidR="006D200E" w:rsidRPr="00DA2992" w:rsidRDefault="006D200E" w:rsidP="00AF4C0C">
            <w:pPr>
              <w:pStyle w:val="Paragraph"/>
              <w:spacing w:after="0" w:line="240" w:lineRule="auto"/>
              <w:contextualSpacing/>
              <w:jc w:val="right"/>
            </w:pPr>
          </w:p>
        </w:tc>
        <w:tc>
          <w:tcPr>
            <w:tcW w:w="1275" w:type="dxa"/>
            <w:noWrap/>
            <w:hideMark/>
          </w:tcPr>
          <w:p w14:paraId="54A51A29" w14:textId="77777777" w:rsidR="006D200E" w:rsidRPr="00DA2992" w:rsidRDefault="006D200E" w:rsidP="00AF4C0C">
            <w:pPr>
              <w:pStyle w:val="Paragraph"/>
              <w:spacing w:after="0" w:line="240" w:lineRule="auto"/>
              <w:contextualSpacing/>
              <w:jc w:val="right"/>
            </w:pPr>
            <w:r w:rsidRPr="00DA2992">
              <w:t>27</w:t>
            </w:r>
          </w:p>
        </w:tc>
        <w:tc>
          <w:tcPr>
            <w:tcW w:w="1418" w:type="dxa"/>
            <w:noWrap/>
            <w:hideMark/>
          </w:tcPr>
          <w:p w14:paraId="5CE969C4" w14:textId="77777777" w:rsidR="006D200E" w:rsidRPr="00DA2992" w:rsidRDefault="006D200E" w:rsidP="00AF4C0C">
            <w:pPr>
              <w:pStyle w:val="Paragraph"/>
              <w:spacing w:after="0" w:line="240" w:lineRule="auto"/>
              <w:contextualSpacing/>
              <w:jc w:val="right"/>
            </w:pPr>
          </w:p>
        </w:tc>
        <w:tc>
          <w:tcPr>
            <w:tcW w:w="1276" w:type="dxa"/>
            <w:noWrap/>
            <w:hideMark/>
          </w:tcPr>
          <w:p w14:paraId="018B5A00" w14:textId="77777777" w:rsidR="006D200E" w:rsidRPr="00DA2992" w:rsidRDefault="006D200E" w:rsidP="00AF4C0C">
            <w:pPr>
              <w:pStyle w:val="Paragraph"/>
              <w:spacing w:after="0" w:line="240" w:lineRule="auto"/>
              <w:contextualSpacing/>
              <w:jc w:val="right"/>
            </w:pPr>
            <w:r w:rsidRPr="00DA2992">
              <w:t>$27,000</w:t>
            </w:r>
          </w:p>
        </w:tc>
      </w:tr>
      <w:tr w:rsidR="006D200E" w:rsidRPr="00DA2992" w14:paraId="2662B4F2" w14:textId="77777777" w:rsidTr="00D205E7">
        <w:trPr>
          <w:cnfStyle w:val="000000100000" w:firstRow="0" w:lastRow="0" w:firstColumn="0" w:lastColumn="0" w:oddVBand="0" w:evenVBand="0" w:oddHBand="1" w:evenHBand="0" w:firstRowFirstColumn="0" w:firstRowLastColumn="0" w:lastRowFirstColumn="0" w:lastRowLastColumn="0"/>
          <w:trHeight w:val="270"/>
        </w:trPr>
        <w:tc>
          <w:tcPr>
            <w:tcW w:w="3256" w:type="dxa"/>
            <w:hideMark/>
          </w:tcPr>
          <w:p w14:paraId="0F0A2C6B" w14:textId="77777777" w:rsidR="006D200E" w:rsidRPr="00DA2992" w:rsidRDefault="006D200E" w:rsidP="007A3E9B">
            <w:pPr>
              <w:pStyle w:val="Paragraph"/>
              <w:spacing w:after="0" w:line="240" w:lineRule="auto"/>
              <w:contextualSpacing/>
            </w:pPr>
            <w:r w:rsidRPr="00DA2992">
              <w:t>Staff training</w:t>
            </w:r>
          </w:p>
        </w:tc>
        <w:tc>
          <w:tcPr>
            <w:tcW w:w="1559" w:type="dxa"/>
            <w:hideMark/>
          </w:tcPr>
          <w:p w14:paraId="1456CA55" w14:textId="77777777" w:rsidR="006D200E" w:rsidRPr="00DA2992" w:rsidRDefault="006D200E" w:rsidP="00AF4C0C">
            <w:pPr>
              <w:pStyle w:val="Paragraph"/>
              <w:spacing w:after="0" w:line="240" w:lineRule="auto"/>
              <w:contextualSpacing/>
              <w:jc w:val="right"/>
            </w:pPr>
          </w:p>
        </w:tc>
        <w:tc>
          <w:tcPr>
            <w:tcW w:w="1276" w:type="dxa"/>
            <w:hideMark/>
          </w:tcPr>
          <w:p w14:paraId="609CE0F7" w14:textId="0D0443CF" w:rsidR="006D200E" w:rsidRPr="00DA2992" w:rsidRDefault="006D200E" w:rsidP="00AF4C0C">
            <w:pPr>
              <w:pStyle w:val="Paragraph"/>
              <w:spacing w:after="0" w:line="240" w:lineRule="auto"/>
              <w:contextualSpacing/>
              <w:jc w:val="right"/>
            </w:pPr>
            <w:r w:rsidRPr="00DA2992">
              <w:t xml:space="preserve">33 </w:t>
            </w:r>
          </w:p>
        </w:tc>
        <w:tc>
          <w:tcPr>
            <w:tcW w:w="1275" w:type="dxa"/>
            <w:noWrap/>
            <w:hideMark/>
          </w:tcPr>
          <w:p w14:paraId="7D6F4582" w14:textId="77777777" w:rsidR="006D200E" w:rsidRPr="00DA2992" w:rsidRDefault="006D200E" w:rsidP="00AF4C0C">
            <w:pPr>
              <w:pStyle w:val="Paragraph"/>
              <w:spacing w:after="0" w:line="240" w:lineRule="auto"/>
              <w:contextualSpacing/>
              <w:jc w:val="right"/>
            </w:pPr>
            <w:r w:rsidRPr="00DA2992">
              <w:t>27</w:t>
            </w:r>
          </w:p>
        </w:tc>
        <w:tc>
          <w:tcPr>
            <w:tcW w:w="1418" w:type="dxa"/>
            <w:hideMark/>
          </w:tcPr>
          <w:p w14:paraId="30CA8E01" w14:textId="77777777" w:rsidR="006D200E" w:rsidRPr="00DA2992" w:rsidRDefault="006D200E" w:rsidP="00AF4C0C">
            <w:pPr>
              <w:pStyle w:val="Paragraph"/>
              <w:spacing w:after="0" w:line="240" w:lineRule="auto"/>
              <w:contextualSpacing/>
              <w:jc w:val="right"/>
            </w:pPr>
            <w:r w:rsidRPr="00DA2992">
              <w:t xml:space="preserve">$73 </w:t>
            </w:r>
          </w:p>
        </w:tc>
        <w:tc>
          <w:tcPr>
            <w:tcW w:w="1276" w:type="dxa"/>
            <w:noWrap/>
            <w:hideMark/>
          </w:tcPr>
          <w:p w14:paraId="65B686EA" w14:textId="77777777" w:rsidR="006D200E" w:rsidRPr="00DA2992" w:rsidRDefault="006D200E" w:rsidP="00AF4C0C">
            <w:pPr>
              <w:pStyle w:val="Paragraph"/>
              <w:spacing w:after="0" w:line="240" w:lineRule="auto"/>
              <w:contextualSpacing/>
              <w:jc w:val="right"/>
            </w:pPr>
            <w:r w:rsidRPr="00DA2992">
              <w:t>$65,700</w:t>
            </w:r>
          </w:p>
        </w:tc>
      </w:tr>
      <w:tr w:rsidR="006D200E" w:rsidRPr="00DA2992" w14:paraId="19283BE1" w14:textId="77777777" w:rsidTr="00D205E7">
        <w:trPr>
          <w:cnfStyle w:val="000000010000" w:firstRow="0" w:lastRow="0" w:firstColumn="0" w:lastColumn="0" w:oddVBand="0" w:evenVBand="0" w:oddHBand="0" w:evenHBand="1" w:firstRowFirstColumn="0" w:firstRowLastColumn="0" w:lastRowFirstColumn="0" w:lastRowLastColumn="0"/>
          <w:trHeight w:val="270"/>
        </w:trPr>
        <w:tc>
          <w:tcPr>
            <w:tcW w:w="8784" w:type="dxa"/>
            <w:gridSpan w:val="5"/>
            <w:hideMark/>
          </w:tcPr>
          <w:p w14:paraId="33C47E02" w14:textId="77777777" w:rsidR="006D200E" w:rsidRPr="00DA2992" w:rsidRDefault="006D200E" w:rsidP="007A3E9B">
            <w:pPr>
              <w:pStyle w:val="Paragraph"/>
              <w:spacing w:after="0" w:line="240" w:lineRule="auto"/>
              <w:contextualSpacing/>
            </w:pPr>
            <w:r w:rsidRPr="00DA2992">
              <w:rPr>
                <w:b/>
                <w:bCs/>
              </w:rPr>
              <w:t>TOTAL</w:t>
            </w:r>
          </w:p>
        </w:tc>
        <w:tc>
          <w:tcPr>
            <w:tcW w:w="1276" w:type="dxa"/>
            <w:noWrap/>
            <w:hideMark/>
          </w:tcPr>
          <w:p w14:paraId="1422E141" w14:textId="77777777" w:rsidR="006D200E" w:rsidRPr="00DA2992" w:rsidRDefault="006D200E" w:rsidP="00AF4C0C">
            <w:pPr>
              <w:pStyle w:val="Paragraph"/>
              <w:spacing w:after="0" w:line="240" w:lineRule="auto"/>
              <w:contextualSpacing/>
              <w:jc w:val="right"/>
              <w:rPr>
                <w:b/>
                <w:bCs/>
              </w:rPr>
            </w:pPr>
            <w:r w:rsidRPr="00DA2992">
              <w:rPr>
                <w:b/>
                <w:bCs/>
              </w:rPr>
              <w:t>$92,700</w:t>
            </w:r>
          </w:p>
        </w:tc>
      </w:tr>
      <w:tr w:rsidR="006D200E" w:rsidRPr="00DA2992" w14:paraId="592CD3D0" w14:textId="77777777" w:rsidTr="00D205E7">
        <w:trPr>
          <w:cnfStyle w:val="000000100000" w:firstRow="0" w:lastRow="0" w:firstColumn="0" w:lastColumn="0" w:oddVBand="0" w:evenVBand="0" w:oddHBand="1" w:evenHBand="0" w:firstRowFirstColumn="0" w:firstRowLastColumn="0" w:lastRowFirstColumn="0" w:lastRowLastColumn="0"/>
          <w:trHeight w:val="270"/>
        </w:trPr>
        <w:tc>
          <w:tcPr>
            <w:tcW w:w="10060" w:type="dxa"/>
            <w:gridSpan w:val="6"/>
            <w:hideMark/>
          </w:tcPr>
          <w:p w14:paraId="378DE23B" w14:textId="2439BDB6" w:rsidR="006D200E" w:rsidRPr="00DA2992" w:rsidRDefault="006D200E" w:rsidP="007A3E9B">
            <w:pPr>
              <w:pStyle w:val="Paragraph"/>
              <w:spacing w:after="0" w:line="240" w:lineRule="auto"/>
              <w:contextualSpacing/>
            </w:pPr>
            <w:r w:rsidRPr="00DA2992">
              <w:rPr>
                <w:b/>
                <w:bCs/>
              </w:rPr>
              <w:t xml:space="preserve">Very </w:t>
            </w:r>
            <w:r w:rsidR="00D205E7">
              <w:rPr>
                <w:b/>
                <w:bCs/>
              </w:rPr>
              <w:t>s</w:t>
            </w:r>
            <w:r w:rsidRPr="00DA2992">
              <w:rPr>
                <w:b/>
                <w:bCs/>
              </w:rPr>
              <w:t>mall CSPs</w:t>
            </w:r>
          </w:p>
        </w:tc>
      </w:tr>
      <w:tr w:rsidR="006D200E" w:rsidRPr="00DA2992" w14:paraId="43528C63" w14:textId="77777777" w:rsidTr="00D205E7">
        <w:trPr>
          <w:cnfStyle w:val="000000010000" w:firstRow="0" w:lastRow="0" w:firstColumn="0" w:lastColumn="0" w:oddVBand="0" w:evenVBand="0" w:oddHBand="0" w:evenHBand="1" w:firstRowFirstColumn="0" w:firstRowLastColumn="0" w:lastRowFirstColumn="0" w:lastRowLastColumn="0"/>
          <w:trHeight w:val="271"/>
        </w:trPr>
        <w:tc>
          <w:tcPr>
            <w:tcW w:w="3256" w:type="dxa"/>
            <w:hideMark/>
          </w:tcPr>
          <w:p w14:paraId="27C6BF5C" w14:textId="77777777" w:rsidR="006D200E" w:rsidRPr="00DA2992" w:rsidRDefault="006D200E" w:rsidP="007A3E9B">
            <w:pPr>
              <w:pStyle w:val="Paragraph"/>
              <w:spacing w:after="0" w:line="240" w:lineRule="auto"/>
              <w:contextualSpacing/>
            </w:pPr>
            <w:r w:rsidRPr="00DA2992">
              <w:t xml:space="preserve">Monitor processes </w:t>
            </w:r>
          </w:p>
        </w:tc>
        <w:tc>
          <w:tcPr>
            <w:tcW w:w="1559" w:type="dxa"/>
            <w:hideMark/>
          </w:tcPr>
          <w:p w14:paraId="0EA7FC60" w14:textId="77777777" w:rsidR="006D200E" w:rsidRPr="00DA2992" w:rsidRDefault="006D200E" w:rsidP="00AF4C0C">
            <w:pPr>
              <w:pStyle w:val="Paragraph"/>
              <w:spacing w:after="0" w:line="240" w:lineRule="auto"/>
              <w:contextualSpacing/>
              <w:jc w:val="right"/>
            </w:pPr>
            <w:r w:rsidRPr="00DA2992">
              <w:t xml:space="preserve">$833 </w:t>
            </w:r>
          </w:p>
        </w:tc>
        <w:tc>
          <w:tcPr>
            <w:tcW w:w="1276" w:type="dxa"/>
            <w:hideMark/>
          </w:tcPr>
          <w:p w14:paraId="5D899B15" w14:textId="77777777" w:rsidR="006D200E" w:rsidRPr="00DA2992" w:rsidRDefault="006D200E" w:rsidP="00AF4C0C">
            <w:pPr>
              <w:pStyle w:val="Paragraph"/>
              <w:spacing w:after="0" w:line="240" w:lineRule="auto"/>
              <w:contextualSpacing/>
              <w:jc w:val="right"/>
            </w:pPr>
          </w:p>
        </w:tc>
        <w:tc>
          <w:tcPr>
            <w:tcW w:w="1275" w:type="dxa"/>
            <w:noWrap/>
            <w:hideMark/>
          </w:tcPr>
          <w:p w14:paraId="030F54EA" w14:textId="77777777" w:rsidR="006D200E" w:rsidRPr="00DA2992" w:rsidRDefault="006D200E" w:rsidP="00AF4C0C">
            <w:pPr>
              <w:pStyle w:val="Paragraph"/>
              <w:spacing w:after="0" w:line="240" w:lineRule="auto"/>
              <w:contextualSpacing/>
              <w:jc w:val="right"/>
            </w:pPr>
            <w:r w:rsidRPr="00DA2992">
              <w:t>317</w:t>
            </w:r>
          </w:p>
        </w:tc>
        <w:tc>
          <w:tcPr>
            <w:tcW w:w="1418" w:type="dxa"/>
            <w:noWrap/>
            <w:hideMark/>
          </w:tcPr>
          <w:p w14:paraId="7E395824" w14:textId="77777777" w:rsidR="006D200E" w:rsidRPr="00DA2992" w:rsidRDefault="006D200E" w:rsidP="00AF4C0C">
            <w:pPr>
              <w:pStyle w:val="Paragraph"/>
              <w:spacing w:after="0" w:line="240" w:lineRule="auto"/>
              <w:contextualSpacing/>
              <w:jc w:val="right"/>
            </w:pPr>
          </w:p>
        </w:tc>
        <w:tc>
          <w:tcPr>
            <w:tcW w:w="1276" w:type="dxa"/>
            <w:noWrap/>
            <w:hideMark/>
          </w:tcPr>
          <w:p w14:paraId="78F753B0" w14:textId="77777777" w:rsidR="006D200E" w:rsidRPr="00DA2992" w:rsidRDefault="006D200E" w:rsidP="00AF4C0C">
            <w:pPr>
              <w:pStyle w:val="Paragraph"/>
              <w:spacing w:after="0" w:line="240" w:lineRule="auto"/>
              <w:contextualSpacing/>
              <w:jc w:val="right"/>
            </w:pPr>
            <w:r w:rsidRPr="00DA2992">
              <w:t>$264,167</w:t>
            </w:r>
          </w:p>
        </w:tc>
      </w:tr>
      <w:tr w:rsidR="006D200E" w:rsidRPr="00DA2992" w14:paraId="2ECA4801" w14:textId="77777777" w:rsidTr="00D205E7">
        <w:trPr>
          <w:cnfStyle w:val="000000100000" w:firstRow="0" w:lastRow="0" w:firstColumn="0" w:lastColumn="0" w:oddVBand="0" w:evenVBand="0" w:oddHBand="1" w:evenHBand="0" w:firstRowFirstColumn="0" w:firstRowLastColumn="0" w:lastRowFirstColumn="0" w:lastRowLastColumn="0"/>
          <w:trHeight w:val="270"/>
        </w:trPr>
        <w:tc>
          <w:tcPr>
            <w:tcW w:w="3256" w:type="dxa"/>
            <w:hideMark/>
          </w:tcPr>
          <w:p w14:paraId="50E078C5" w14:textId="77777777" w:rsidR="006D200E" w:rsidRPr="00DA2992" w:rsidRDefault="006D200E" w:rsidP="007A3E9B">
            <w:pPr>
              <w:pStyle w:val="Paragraph"/>
              <w:spacing w:after="0" w:line="240" w:lineRule="auto"/>
              <w:contextualSpacing/>
            </w:pPr>
            <w:r w:rsidRPr="00DA2992">
              <w:t>Staff training</w:t>
            </w:r>
          </w:p>
        </w:tc>
        <w:tc>
          <w:tcPr>
            <w:tcW w:w="1559" w:type="dxa"/>
            <w:hideMark/>
          </w:tcPr>
          <w:p w14:paraId="4E86105B" w14:textId="77777777" w:rsidR="006D200E" w:rsidRPr="00DA2992" w:rsidRDefault="006D200E" w:rsidP="00AF4C0C">
            <w:pPr>
              <w:pStyle w:val="Paragraph"/>
              <w:spacing w:after="0" w:line="240" w:lineRule="auto"/>
              <w:contextualSpacing/>
              <w:jc w:val="right"/>
            </w:pPr>
          </w:p>
        </w:tc>
        <w:tc>
          <w:tcPr>
            <w:tcW w:w="1276" w:type="dxa"/>
            <w:hideMark/>
          </w:tcPr>
          <w:p w14:paraId="082E5764" w14:textId="77AA1631" w:rsidR="006D200E" w:rsidRPr="00DA2992" w:rsidRDefault="006D200E" w:rsidP="00AF4C0C">
            <w:pPr>
              <w:pStyle w:val="Paragraph"/>
              <w:spacing w:after="0" w:line="240" w:lineRule="auto"/>
              <w:contextualSpacing/>
              <w:jc w:val="right"/>
            </w:pPr>
            <w:r w:rsidRPr="00DA2992">
              <w:t xml:space="preserve">20 </w:t>
            </w:r>
          </w:p>
        </w:tc>
        <w:tc>
          <w:tcPr>
            <w:tcW w:w="1275" w:type="dxa"/>
            <w:noWrap/>
            <w:hideMark/>
          </w:tcPr>
          <w:p w14:paraId="74DB531E" w14:textId="77777777" w:rsidR="006D200E" w:rsidRPr="00DA2992" w:rsidRDefault="006D200E" w:rsidP="00AF4C0C">
            <w:pPr>
              <w:pStyle w:val="Paragraph"/>
              <w:spacing w:after="0" w:line="240" w:lineRule="auto"/>
              <w:contextualSpacing/>
              <w:jc w:val="right"/>
            </w:pPr>
            <w:r w:rsidRPr="00DA2992">
              <w:t>317</w:t>
            </w:r>
          </w:p>
        </w:tc>
        <w:tc>
          <w:tcPr>
            <w:tcW w:w="1418" w:type="dxa"/>
            <w:hideMark/>
          </w:tcPr>
          <w:p w14:paraId="1D10A428" w14:textId="77777777" w:rsidR="006D200E" w:rsidRPr="00DA2992" w:rsidRDefault="006D200E" w:rsidP="00AF4C0C">
            <w:pPr>
              <w:pStyle w:val="Paragraph"/>
              <w:spacing w:after="0" w:line="240" w:lineRule="auto"/>
              <w:contextualSpacing/>
              <w:jc w:val="right"/>
            </w:pPr>
            <w:r w:rsidRPr="00DA2992">
              <w:t xml:space="preserve">$73 </w:t>
            </w:r>
          </w:p>
        </w:tc>
        <w:tc>
          <w:tcPr>
            <w:tcW w:w="1276" w:type="dxa"/>
            <w:noWrap/>
            <w:hideMark/>
          </w:tcPr>
          <w:p w14:paraId="2276488F" w14:textId="77777777" w:rsidR="006D200E" w:rsidRPr="00DA2992" w:rsidRDefault="006D200E" w:rsidP="00AF4C0C">
            <w:pPr>
              <w:pStyle w:val="Paragraph"/>
              <w:spacing w:after="0" w:line="240" w:lineRule="auto"/>
              <w:contextualSpacing/>
              <w:jc w:val="right"/>
            </w:pPr>
            <w:r w:rsidRPr="00DA2992">
              <w:t>$462,820</w:t>
            </w:r>
          </w:p>
        </w:tc>
      </w:tr>
      <w:tr w:rsidR="006D200E" w:rsidRPr="00DA2992" w14:paraId="2BAADEE1" w14:textId="77777777" w:rsidTr="00D205E7">
        <w:trPr>
          <w:cnfStyle w:val="000000010000" w:firstRow="0" w:lastRow="0" w:firstColumn="0" w:lastColumn="0" w:oddVBand="0" w:evenVBand="0" w:oddHBand="0" w:evenHBand="1" w:firstRowFirstColumn="0" w:firstRowLastColumn="0" w:lastRowFirstColumn="0" w:lastRowLastColumn="0"/>
          <w:trHeight w:val="270"/>
        </w:trPr>
        <w:tc>
          <w:tcPr>
            <w:tcW w:w="8784" w:type="dxa"/>
            <w:gridSpan w:val="5"/>
            <w:hideMark/>
          </w:tcPr>
          <w:p w14:paraId="21390EBB" w14:textId="77777777" w:rsidR="006D200E" w:rsidRPr="00DA2992" w:rsidRDefault="006D200E" w:rsidP="007A3E9B">
            <w:pPr>
              <w:pStyle w:val="Paragraph"/>
              <w:spacing w:after="0" w:line="240" w:lineRule="auto"/>
              <w:contextualSpacing/>
            </w:pPr>
            <w:r w:rsidRPr="00DA2992">
              <w:rPr>
                <w:b/>
                <w:bCs/>
              </w:rPr>
              <w:t>TOTAL</w:t>
            </w:r>
          </w:p>
        </w:tc>
        <w:tc>
          <w:tcPr>
            <w:tcW w:w="1276" w:type="dxa"/>
            <w:noWrap/>
            <w:hideMark/>
          </w:tcPr>
          <w:p w14:paraId="24F6D089" w14:textId="77777777" w:rsidR="006D200E" w:rsidRPr="00DA2992" w:rsidRDefault="006D200E" w:rsidP="00AF4C0C">
            <w:pPr>
              <w:pStyle w:val="Paragraph"/>
              <w:spacing w:after="0" w:line="240" w:lineRule="auto"/>
              <w:contextualSpacing/>
              <w:jc w:val="right"/>
              <w:rPr>
                <w:b/>
                <w:bCs/>
              </w:rPr>
            </w:pPr>
            <w:r w:rsidRPr="00DA2992">
              <w:rPr>
                <w:b/>
                <w:bCs/>
              </w:rPr>
              <w:t>$726,987</w:t>
            </w:r>
          </w:p>
        </w:tc>
      </w:tr>
      <w:tr w:rsidR="006D200E" w:rsidRPr="00DA2992" w14:paraId="785380F4" w14:textId="77777777" w:rsidTr="00D205E7">
        <w:trPr>
          <w:cnfStyle w:val="000000100000" w:firstRow="0" w:lastRow="0" w:firstColumn="0" w:lastColumn="0" w:oddVBand="0" w:evenVBand="0" w:oddHBand="1" w:evenHBand="0" w:firstRowFirstColumn="0" w:firstRowLastColumn="0" w:lastRowFirstColumn="0" w:lastRowLastColumn="0"/>
          <w:trHeight w:val="270"/>
        </w:trPr>
        <w:tc>
          <w:tcPr>
            <w:tcW w:w="8784" w:type="dxa"/>
            <w:gridSpan w:val="5"/>
            <w:hideMark/>
          </w:tcPr>
          <w:p w14:paraId="55351FAD" w14:textId="0CBFC84E" w:rsidR="006D200E" w:rsidRPr="00DA2992" w:rsidRDefault="006D200E" w:rsidP="007A3E9B">
            <w:pPr>
              <w:pStyle w:val="Paragraph"/>
              <w:spacing w:after="0" w:line="240" w:lineRule="auto"/>
              <w:contextualSpacing/>
              <w:rPr>
                <w:b/>
                <w:bCs/>
              </w:rPr>
            </w:pPr>
            <w:r>
              <w:rPr>
                <w:b/>
                <w:bCs/>
              </w:rPr>
              <w:t xml:space="preserve">Total ongoing costs for CSPs under </w:t>
            </w:r>
            <w:r w:rsidR="00A05A0C">
              <w:rPr>
                <w:b/>
                <w:bCs/>
              </w:rPr>
              <w:t>O</w:t>
            </w:r>
            <w:r>
              <w:rPr>
                <w:b/>
                <w:bCs/>
              </w:rPr>
              <w:t>ption 2A</w:t>
            </w:r>
          </w:p>
        </w:tc>
        <w:tc>
          <w:tcPr>
            <w:tcW w:w="1276" w:type="dxa"/>
            <w:noWrap/>
            <w:hideMark/>
          </w:tcPr>
          <w:p w14:paraId="720D03B1" w14:textId="77777777" w:rsidR="006D200E" w:rsidRPr="00DA2992" w:rsidRDefault="006D200E" w:rsidP="00AF4C0C">
            <w:pPr>
              <w:pStyle w:val="Paragraph"/>
              <w:spacing w:after="0" w:line="240" w:lineRule="auto"/>
              <w:contextualSpacing/>
              <w:jc w:val="right"/>
              <w:rPr>
                <w:b/>
                <w:bCs/>
              </w:rPr>
            </w:pPr>
            <w:r w:rsidRPr="00DA2992">
              <w:rPr>
                <w:b/>
                <w:bCs/>
              </w:rPr>
              <w:t>$919,953</w:t>
            </w:r>
          </w:p>
        </w:tc>
      </w:tr>
    </w:tbl>
    <w:p w14:paraId="368700F6" w14:textId="06C3FEB5" w:rsidR="006D200E" w:rsidRDefault="006D200E" w:rsidP="006D200E">
      <w:pPr>
        <w:pStyle w:val="Tableorfigurenote"/>
      </w:pPr>
    </w:p>
    <w:p w14:paraId="743C9BA1" w14:textId="77777777" w:rsidR="006D200E" w:rsidRDefault="006D200E" w:rsidP="006D200E">
      <w:pPr>
        <w:spacing w:after="160" w:line="259" w:lineRule="auto"/>
        <w:rPr>
          <w:rFonts w:cs="Arial"/>
          <w:i/>
          <w:sz w:val="16"/>
        </w:rPr>
      </w:pPr>
      <w:r>
        <w:br w:type="page"/>
      </w:r>
    </w:p>
    <w:p w14:paraId="542B6D84" w14:textId="34740D3D" w:rsidR="006D200E" w:rsidRDefault="006D200E" w:rsidP="009D5124">
      <w:pPr>
        <w:pStyle w:val="Tableheading"/>
      </w:pPr>
      <w:r>
        <w:lastRenderedPageBreak/>
        <w:t xml:space="preserve">Year 1 costs for CSPs under </w:t>
      </w:r>
      <w:r w:rsidR="00A05A0C">
        <w:t>O</w:t>
      </w:r>
      <w:r>
        <w:t>ption 2B</w:t>
      </w:r>
    </w:p>
    <w:tbl>
      <w:tblPr>
        <w:tblStyle w:val="ACMAtablestyle"/>
        <w:tblW w:w="10174" w:type="dxa"/>
        <w:tblCellMar>
          <w:top w:w="85" w:type="dxa"/>
          <w:left w:w="57" w:type="dxa"/>
          <w:bottom w:w="85" w:type="dxa"/>
          <w:right w:w="57" w:type="dxa"/>
        </w:tblCellMar>
        <w:tblLook w:val="04A0" w:firstRow="1" w:lastRow="0" w:firstColumn="1" w:lastColumn="0" w:noHBand="0" w:noVBand="1"/>
      </w:tblPr>
      <w:tblGrid>
        <w:gridCol w:w="3964"/>
        <w:gridCol w:w="1134"/>
        <w:gridCol w:w="1199"/>
        <w:gridCol w:w="1226"/>
        <w:gridCol w:w="1261"/>
        <w:gridCol w:w="1370"/>
        <w:gridCol w:w="20"/>
      </w:tblGrid>
      <w:tr w:rsidR="006D200E" w:rsidRPr="00D61DA8" w14:paraId="4FDDBF56" w14:textId="77777777" w:rsidTr="00D205E7">
        <w:trPr>
          <w:gridAfter w:val="1"/>
          <w:cnfStyle w:val="100000000000" w:firstRow="1" w:lastRow="0" w:firstColumn="0" w:lastColumn="0" w:oddVBand="0" w:evenVBand="0" w:oddHBand="0" w:evenHBand="0" w:firstRowFirstColumn="0" w:firstRowLastColumn="0" w:lastRowFirstColumn="0" w:lastRowLastColumn="0"/>
          <w:wAfter w:w="20" w:type="dxa"/>
          <w:trHeight w:val="540"/>
        </w:trPr>
        <w:tc>
          <w:tcPr>
            <w:tcW w:w="3964" w:type="dxa"/>
            <w:hideMark/>
          </w:tcPr>
          <w:p w14:paraId="21154EE0" w14:textId="77777777" w:rsidR="006D200E" w:rsidRPr="00D61DA8" w:rsidRDefault="006D200E" w:rsidP="007A3E9B">
            <w:pPr>
              <w:pStyle w:val="Paragraph"/>
              <w:spacing w:after="0" w:line="240" w:lineRule="auto"/>
              <w:rPr>
                <w:b/>
                <w:bCs/>
              </w:rPr>
            </w:pPr>
          </w:p>
        </w:tc>
        <w:tc>
          <w:tcPr>
            <w:tcW w:w="1134" w:type="dxa"/>
            <w:hideMark/>
          </w:tcPr>
          <w:p w14:paraId="497FACC2" w14:textId="77777777" w:rsidR="006D200E" w:rsidRPr="00D61DA8" w:rsidRDefault="006D200E" w:rsidP="00AF4C0C">
            <w:pPr>
              <w:pStyle w:val="Paragraph"/>
              <w:spacing w:after="0" w:line="240" w:lineRule="auto"/>
              <w:jc w:val="right"/>
              <w:rPr>
                <w:b/>
                <w:bCs/>
              </w:rPr>
            </w:pPr>
            <w:r w:rsidRPr="00D61DA8">
              <w:rPr>
                <w:b/>
                <w:bCs/>
              </w:rPr>
              <w:t>System build</w:t>
            </w:r>
          </w:p>
        </w:tc>
        <w:tc>
          <w:tcPr>
            <w:tcW w:w="1199" w:type="dxa"/>
            <w:noWrap/>
            <w:hideMark/>
          </w:tcPr>
          <w:p w14:paraId="42136FF5" w14:textId="679982FE" w:rsidR="006D200E" w:rsidRPr="00D61DA8" w:rsidRDefault="006D200E" w:rsidP="00AF4C0C">
            <w:pPr>
              <w:pStyle w:val="Paragraph"/>
              <w:spacing w:after="0" w:line="240" w:lineRule="auto"/>
              <w:jc w:val="right"/>
              <w:rPr>
                <w:b/>
                <w:bCs/>
              </w:rPr>
            </w:pPr>
            <w:r w:rsidRPr="00D61DA8">
              <w:rPr>
                <w:b/>
                <w:bCs/>
              </w:rPr>
              <w:t xml:space="preserve">Time </w:t>
            </w:r>
            <w:r w:rsidR="00D205E7">
              <w:rPr>
                <w:b/>
                <w:bCs/>
              </w:rPr>
              <w:br/>
            </w:r>
            <w:r w:rsidRPr="00D61DA8">
              <w:rPr>
                <w:b/>
                <w:bCs/>
              </w:rPr>
              <w:t>(hours)</w:t>
            </w:r>
          </w:p>
        </w:tc>
        <w:tc>
          <w:tcPr>
            <w:tcW w:w="1226" w:type="dxa"/>
            <w:noWrap/>
            <w:hideMark/>
          </w:tcPr>
          <w:p w14:paraId="7EBAEFE7" w14:textId="77777777" w:rsidR="006D200E" w:rsidRPr="00D61DA8" w:rsidRDefault="006D200E" w:rsidP="00AF4C0C">
            <w:pPr>
              <w:pStyle w:val="Paragraph"/>
              <w:spacing w:after="0" w:line="240" w:lineRule="auto"/>
              <w:jc w:val="right"/>
              <w:rPr>
                <w:b/>
                <w:bCs/>
              </w:rPr>
            </w:pPr>
            <w:r w:rsidRPr="00D61DA8">
              <w:rPr>
                <w:b/>
                <w:bCs/>
              </w:rPr>
              <w:t>Businesses</w:t>
            </w:r>
          </w:p>
        </w:tc>
        <w:tc>
          <w:tcPr>
            <w:tcW w:w="1261" w:type="dxa"/>
            <w:hideMark/>
          </w:tcPr>
          <w:p w14:paraId="64927251" w14:textId="799151F9" w:rsidR="006D200E" w:rsidRPr="00D61DA8" w:rsidRDefault="006D200E" w:rsidP="00AF4C0C">
            <w:pPr>
              <w:pStyle w:val="Paragraph"/>
              <w:spacing w:after="0" w:line="240" w:lineRule="auto"/>
              <w:jc w:val="right"/>
              <w:rPr>
                <w:b/>
                <w:bCs/>
              </w:rPr>
            </w:pPr>
            <w:r w:rsidRPr="00D61DA8">
              <w:rPr>
                <w:b/>
                <w:bCs/>
              </w:rPr>
              <w:t xml:space="preserve">Rate/hour </w:t>
            </w:r>
            <w:r w:rsidR="00D205E7">
              <w:rPr>
                <w:b/>
                <w:bCs/>
              </w:rPr>
              <w:br/>
            </w:r>
            <w:r w:rsidRPr="00D61DA8">
              <w:rPr>
                <w:b/>
                <w:bCs/>
              </w:rPr>
              <w:t>($)</w:t>
            </w:r>
          </w:p>
        </w:tc>
        <w:tc>
          <w:tcPr>
            <w:tcW w:w="1370" w:type="dxa"/>
            <w:noWrap/>
            <w:hideMark/>
          </w:tcPr>
          <w:p w14:paraId="613881F0" w14:textId="1874D352" w:rsidR="006D200E" w:rsidRPr="00D61DA8" w:rsidRDefault="006D200E" w:rsidP="00AF4C0C">
            <w:pPr>
              <w:pStyle w:val="Paragraph"/>
              <w:spacing w:after="0" w:line="240" w:lineRule="auto"/>
              <w:jc w:val="right"/>
              <w:rPr>
                <w:b/>
                <w:bCs/>
              </w:rPr>
            </w:pPr>
            <w:r w:rsidRPr="00D61DA8">
              <w:rPr>
                <w:b/>
                <w:bCs/>
              </w:rPr>
              <w:t xml:space="preserve">Totals </w:t>
            </w:r>
            <w:r w:rsidR="007A3E9B">
              <w:rPr>
                <w:b/>
                <w:bCs/>
              </w:rPr>
              <w:br/>
            </w:r>
            <w:r w:rsidRPr="00D61DA8">
              <w:rPr>
                <w:b/>
                <w:bCs/>
              </w:rPr>
              <w:t>($)</w:t>
            </w:r>
          </w:p>
        </w:tc>
      </w:tr>
      <w:tr w:rsidR="006D200E" w:rsidRPr="00D61DA8" w14:paraId="301FE81D" w14:textId="77777777" w:rsidTr="00927E71">
        <w:trPr>
          <w:cnfStyle w:val="000000100000" w:firstRow="0" w:lastRow="0" w:firstColumn="0" w:lastColumn="0" w:oddVBand="0" w:evenVBand="0" w:oddHBand="1" w:evenHBand="0" w:firstRowFirstColumn="0" w:firstRowLastColumn="0" w:lastRowFirstColumn="0" w:lastRowLastColumn="0"/>
          <w:trHeight w:val="270"/>
        </w:trPr>
        <w:tc>
          <w:tcPr>
            <w:tcW w:w="10174" w:type="dxa"/>
            <w:gridSpan w:val="7"/>
            <w:noWrap/>
            <w:hideMark/>
          </w:tcPr>
          <w:p w14:paraId="09021658" w14:textId="77777777" w:rsidR="006D200E" w:rsidRPr="00D61DA8" w:rsidRDefault="006D200E" w:rsidP="007A3E9B">
            <w:pPr>
              <w:pStyle w:val="Paragraph"/>
              <w:spacing w:after="0" w:line="240" w:lineRule="auto"/>
            </w:pPr>
            <w:r w:rsidRPr="00D61DA8">
              <w:rPr>
                <w:b/>
                <w:bCs/>
              </w:rPr>
              <w:t>Large CSPs</w:t>
            </w:r>
          </w:p>
        </w:tc>
      </w:tr>
      <w:tr w:rsidR="006D200E" w:rsidRPr="00D61DA8" w14:paraId="2825B202" w14:textId="77777777" w:rsidTr="00D205E7">
        <w:trPr>
          <w:gridAfter w:val="1"/>
          <w:cnfStyle w:val="000000010000" w:firstRow="0" w:lastRow="0" w:firstColumn="0" w:lastColumn="0" w:oddVBand="0" w:evenVBand="0" w:oddHBand="0" w:evenHBand="1" w:firstRowFirstColumn="0" w:firstRowLastColumn="0" w:lastRowFirstColumn="0" w:lastRowLastColumn="0"/>
          <w:wAfter w:w="20" w:type="dxa"/>
          <w:trHeight w:val="540"/>
        </w:trPr>
        <w:tc>
          <w:tcPr>
            <w:tcW w:w="3964" w:type="dxa"/>
            <w:hideMark/>
          </w:tcPr>
          <w:p w14:paraId="53187893" w14:textId="77777777" w:rsidR="006D200E" w:rsidRPr="00D61DA8" w:rsidRDefault="006D200E" w:rsidP="007A3E9B">
            <w:pPr>
              <w:pStyle w:val="Paragraph"/>
              <w:spacing w:after="0" w:line="240" w:lineRule="auto"/>
            </w:pPr>
            <w:r w:rsidRPr="00D61DA8">
              <w:t>Automate manual systems to enhance processes</w:t>
            </w:r>
          </w:p>
        </w:tc>
        <w:tc>
          <w:tcPr>
            <w:tcW w:w="1134" w:type="dxa"/>
            <w:hideMark/>
          </w:tcPr>
          <w:p w14:paraId="6CD689A6" w14:textId="77777777" w:rsidR="006D200E" w:rsidRPr="00D61DA8" w:rsidRDefault="006D200E" w:rsidP="00AF4C0C">
            <w:pPr>
              <w:pStyle w:val="Paragraph"/>
              <w:spacing w:after="0" w:line="240" w:lineRule="auto"/>
              <w:jc w:val="right"/>
            </w:pPr>
            <w:r w:rsidRPr="00D61DA8">
              <w:t xml:space="preserve">$100,000 </w:t>
            </w:r>
          </w:p>
        </w:tc>
        <w:tc>
          <w:tcPr>
            <w:tcW w:w="1199" w:type="dxa"/>
            <w:noWrap/>
            <w:hideMark/>
          </w:tcPr>
          <w:p w14:paraId="7D6B94DF" w14:textId="77777777" w:rsidR="006D200E" w:rsidRPr="00D61DA8" w:rsidRDefault="006D200E" w:rsidP="00AF4C0C">
            <w:pPr>
              <w:pStyle w:val="Paragraph"/>
              <w:spacing w:after="0" w:line="240" w:lineRule="auto"/>
              <w:jc w:val="right"/>
            </w:pPr>
          </w:p>
        </w:tc>
        <w:tc>
          <w:tcPr>
            <w:tcW w:w="1226" w:type="dxa"/>
            <w:noWrap/>
            <w:hideMark/>
          </w:tcPr>
          <w:p w14:paraId="233B1AB0" w14:textId="77777777" w:rsidR="006D200E" w:rsidRPr="00D61DA8" w:rsidRDefault="006D200E" w:rsidP="00AF4C0C">
            <w:pPr>
              <w:pStyle w:val="Paragraph"/>
              <w:spacing w:after="0" w:line="240" w:lineRule="auto"/>
              <w:jc w:val="right"/>
            </w:pPr>
            <w:r w:rsidRPr="00D61DA8">
              <w:t>2</w:t>
            </w:r>
          </w:p>
        </w:tc>
        <w:tc>
          <w:tcPr>
            <w:tcW w:w="1261" w:type="dxa"/>
            <w:hideMark/>
          </w:tcPr>
          <w:p w14:paraId="2D7B862A" w14:textId="77777777" w:rsidR="006D200E" w:rsidRPr="00D61DA8" w:rsidRDefault="006D200E" w:rsidP="00AF4C0C">
            <w:pPr>
              <w:pStyle w:val="Paragraph"/>
              <w:spacing w:after="0" w:line="240" w:lineRule="auto"/>
              <w:jc w:val="right"/>
            </w:pPr>
          </w:p>
        </w:tc>
        <w:tc>
          <w:tcPr>
            <w:tcW w:w="1370" w:type="dxa"/>
            <w:noWrap/>
            <w:hideMark/>
          </w:tcPr>
          <w:p w14:paraId="76D6C3E2" w14:textId="77777777" w:rsidR="006D200E" w:rsidRPr="00D61DA8" w:rsidRDefault="006D200E" w:rsidP="00AF4C0C">
            <w:pPr>
              <w:pStyle w:val="Paragraph"/>
              <w:spacing w:after="0" w:line="240" w:lineRule="auto"/>
              <w:jc w:val="right"/>
            </w:pPr>
            <w:r w:rsidRPr="00D61DA8">
              <w:t>$200,000</w:t>
            </w:r>
          </w:p>
        </w:tc>
      </w:tr>
      <w:tr w:rsidR="006D200E" w:rsidRPr="00D61DA8" w14:paraId="015E2659" w14:textId="77777777" w:rsidTr="00D205E7">
        <w:trPr>
          <w:gridAfter w:val="1"/>
          <w:cnfStyle w:val="000000100000" w:firstRow="0" w:lastRow="0" w:firstColumn="0" w:lastColumn="0" w:oddVBand="0" w:evenVBand="0" w:oddHBand="1" w:evenHBand="0" w:firstRowFirstColumn="0" w:firstRowLastColumn="0" w:lastRowFirstColumn="0" w:lastRowLastColumn="0"/>
          <w:wAfter w:w="20" w:type="dxa"/>
          <w:trHeight w:val="555"/>
        </w:trPr>
        <w:tc>
          <w:tcPr>
            <w:tcW w:w="3964" w:type="dxa"/>
            <w:hideMark/>
          </w:tcPr>
          <w:p w14:paraId="492AC8C6" w14:textId="77777777" w:rsidR="006D200E" w:rsidRPr="00D61DA8" w:rsidRDefault="006D200E" w:rsidP="007A3E9B">
            <w:pPr>
              <w:pStyle w:val="Paragraph"/>
              <w:spacing w:after="0" w:line="240" w:lineRule="auto"/>
            </w:pPr>
            <w:r w:rsidRPr="00D61DA8">
              <w:t>Staff training</w:t>
            </w:r>
          </w:p>
        </w:tc>
        <w:tc>
          <w:tcPr>
            <w:tcW w:w="1134" w:type="dxa"/>
            <w:hideMark/>
          </w:tcPr>
          <w:p w14:paraId="096529CD" w14:textId="77777777" w:rsidR="006D200E" w:rsidRPr="00D61DA8" w:rsidRDefault="006D200E" w:rsidP="00AF4C0C">
            <w:pPr>
              <w:pStyle w:val="Paragraph"/>
              <w:spacing w:after="0" w:line="240" w:lineRule="auto"/>
              <w:jc w:val="right"/>
            </w:pPr>
          </w:p>
        </w:tc>
        <w:tc>
          <w:tcPr>
            <w:tcW w:w="1199" w:type="dxa"/>
            <w:noWrap/>
            <w:hideMark/>
          </w:tcPr>
          <w:p w14:paraId="09015719" w14:textId="77777777" w:rsidR="006D200E" w:rsidRPr="00D61DA8" w:rsidRDefault="006D200E" w:rsidP="00AF4C0C">
            <w:pPr>
              <w:pStyle w:val="Paragraph"/>
              <w:spacing w:after="0" w:line="240" w:lineRule="auto"/>
              <w:jc w:val="right"/>
            </w:pPr>
            <w:r w:rsidRPr="00D61DA8">
              <w:t>320</w:t>
            </w:r>
          </w:p>
        </w:tc>
        <w:tc>
          <w:tcPr>
            <w:tcW w:w="1226" w:type="dxa"/>
            <w:noWrap/>
            <w:hideMark/>
          </w:tcPr>
          <w:p w14:paraId="13770159" w14:textId="77777777" w:rsidR="006D200E" w:rsidRPr="00D61DA8" w:rsidRDefault="006D200E" w:rsidP="00AF4C0C">
            <w:pPr>
              <w:pStyle w:val="Paragraph"/>
              <w:spacing w:after="0" w:line="240" w:lineRule="auto"/>
              <w:jc w:val="right"/>
            </w:pPr>
            <w:r w:rsidRPr="00D61DA8">
              <w:t>2</w:t>
            </w:r>
          </w:p>
        </w:tc>
        <w:tc>
          <w:tcPr>
            <w:tcW w:w="1261" w:type="dxa"/>
            <w:hideMark/>
          </w:tcPr>
          <w:p w14:paraId="577B6DB3" w14:textId="77777777" w:rsidR="006D200E" w:rsidRPr="00D61DA8" w:rsidRDefault="006D200E" w:rsidP="00AF4C0C">
            <w:pPr>
              <w:pStyle w:val="Paragraph"/>
              <w:spacing w:after="0" w:line="240" w:lineRule="auto"/>
              <w:jc w:val="right"/>
            </w:pPr>
            <w:r w:rsidRPr="00D61DA8">
              <w:t xml:space="preserve">$73 </w:t>
            </w:r>
          </w:p>
        </w:tc>
        <w:tc>
          <w:tcPr>
            <w:tcW w:w="1370" w:type="dxa"/>
            <w:noWrap/>
            <w:hideMark/>
          </w:tcPr>
          <w:p w14:paraId="352C58F9" w14:textId="77777777" w:rsidR="006D200E" w:rsidRPr="00D61DA8" w:rsidRDefault="006D200E" w:rsidP="00AF4C0C">
            <w:pPr>
              <w:pStyle w:val="Paragraph"/>
              <w:spacing w:after="0" w:line="240" w:lineRule="auto"/>
              <w:jc w:val="right"/>
            </w:pPr>
            <w:r w:rsidRPr="00D61DA8">
              <w:t>$46,720</w:t>
            </w:r>
          </w:p>
        </w:tc>
      </w:tr>
      <w:tr w:rsidR="006D200E" w:rsidRPr="00D61DA8" w14:paraId="6E8C3D88" w14:textId="77777777" w:rsidTr="00D205E7">
        <w:trPr>
          <w:cnfStyle w:val="000000010000" w:firstRow="0" w:lastRow="0" w:firstColumn="0" w:lastColumn="0" w:oddVBand="0" w:evenVBand="0" w:oddHBand="0" w:evenHBand="1" w:firstRowFirstColumn="0" w:firstRowLastColumn="0" w:lastRowFirstColumn="0" w:lastRowLastColumn="0"/>
          <w:trHeight w:val="270"/>
        </w:trPr>
        <w:tc>
          <w:tcPr>
            <w:tcW w:w="8784" w:type="dxa"/>
            <w:gridSpan w:val="5"/>
            <w:hideMark/>
          </w:tcPr>
          <w:p w14:paraId="13F1C84D" w14:textId="77777777" w:rsidR="006D200E" w:rsidRPr="00D61DA8" w:rsidRDefault="006D200E" w:rsidP="007A3E9B">
            <w:pPr>
              <w:pStyle w:val="Paragraph"/>
              <w:spacing w:after="0" w:line="240" w:lineRule="auto"/>
            </w:pPr>
            <w:r w:rsidRPr="00D61DA8">
              <w:rPr>
                <w:b/>
                <w:bCs/>
              </w:rPr>
              <w:t>TOTAL</w:t>
            </w:r>
          </w:p>
        </w:tc>
        <w:tc>
          <w:tcPr>
            <w:tcW w:w="1390" w:type="dxa"/>
            <w:gridSpan w:val="2"/>
            <w:noWrap/>
            <w:hideMark/>
          </w:tcPr>
          <w:p w14:paraId="3D9DECA5" w14:textId="77777777" w:rsidR="006D200E" w:rsidRPr="00D61DA8" w:rsidRDefault="006D200E" w:rsidP="00AF4C0C">
            <w:pPr>
              <w:pStyle w:val="Paragraph"/>
              <w:spacing w:after="0" w:line="240" w:lineRule="auto"/>
              <w:jc w:val="right"/>
              <w:rPr>
                <w:b/>
                <w:bCs/>
              </w:rPr>
            </w:pPr>
            <w:r w:rsidRPr="00D61DA8">
              <w:rPr>
                <w:b/>
                <w:bCs/>
              </w:rPr>
              <w:t>$246,720</w:t>
            </w:r>
          </w:p>
        </w:tc>
      </w:tr>
      <w:tr w:rsidR="006D200E" w:rsidRPr="00D61DA8" w14:paraId="4322B098" w14:textId="77777777" w:rsidTr="00927E71">
        <w:trPr>
          <w:cnfStyle w:val="000000100000" w:firstRow="0" w:lastRow="0" w:firstColumn="0" w:lastColumn="0" w:oddVBand="0" w:evenVBand="0" w:oddHBand="1" w:evenHBand="0" w:firstRowFirstColumn="0" w:firstRowLastColumn="0" w:lastRowFirstColumn="0" w:lastRowLastColumn="0"/>
          <w:trHeight w:val="300"/>
        </w:trPr>
        <w:tc>
          <w:tcPr>
            <w:tcW w:w="10174" w:type="dxa"/>
            <w:gridSpan w:val="7"/>
            <w:hideMark/>
          </w:tcPr>
          <w:p w14:paraId="15218CC9" w14:textId="77777777" w:rsidR="006D200E" w:rsidRPr="00D61DA8" w:rsidRDefault="006D200E" w:rsidP="007A3E9B">
            <w:pPr>
              <w:pStyle w:val="Paragraph"/>
              <w:spacing w:after="0" w:line="240" w:lineRule="auto"/>
            </w:pPr>
            <w:r w:rsidRPr="00D61DA8">
              <w:rPr>
                <w:b/>
                <w:bCs/>
              </w:rPr>
              <w:t>Medium CSPs</w:t>
            </w:r>
          </w:p>
        </w:tc>
      </w:tr>
      <w:tr w:rsidR="006D200E" w:rsidRPr="00D61DA8" w14:paraId="5BD898AB" w14:textId="77777777" w:rsidTr="00D205E7">
        <w:trPr>
          <w:gridAfter w:val="1"/>
          <w:cnfStyle w:val="000000010000" w:firstRow="0" w:lastRow="0" w:firstColumn="0" w:lastColumn="0" w:oddVBand="0" w:evenVBand="0" w:oddHBand="0" w:evenHBand="1" w:firstRowFirstColumn="0" w:firstRowLastColumn="0" w:lastRowFirstColumn="0" w:lastRowLastColumn="0"/>
          <w:wAfter w:w="20" w:type="dxa"/>
          <w:trHeight w:val="540"/>
        </w:trPr>
        <w:tc>
          <w:tcPr>
            <w:tcW w:w="3964" w:type="dxa"/>
            <w:hideMark/>
          </w:tcPr>
          <w:p w14:paraId="24DD8C30" w14:textId="77777777" w:rsidR="006D200E" w:rsidRPr="00D61DA8" w:rsidRDefault="006D200E" w:rsidP="007A3E9B">
            <w:pPr>
              <w:pStyle w:val="Paragraph"/>
              <w:spacing w:after="0" w:line="240" w:lineRule="auto"/>
            </w:pPr>
            <w:r w:rsidRPr="00D61DA8">
              <w:t>Automate manual systems to enhance processes</w:t>
            </w:r>
          </w:p>
        </w:tc>
        <w:tc>
          <w:tcPr>
            <w:tcW w:w="1134" w:type="dxa"/>
            <w:hideMark/>
          </w:tcPr>
          <w:p w14:paraId="6257E687" w14:textId="77777777" w:rsidR="006D200E" w:rsidRPr="00D61DA8" w:rsidRDefault="006D200E" w:rsidP="00AF4C0C">
            <w:pPr>
              <w:pStyle w:val="Paragraph"/>
              <w:spacing w:after="0" w:line="240" w:lineRule="auto"/>
              <w:jc w:val="right"/>
            </w:pPr>
            <w:r w:rsidRPr="00D61DA8">
              <w:t xml:space="preserve">$30,000 </w:t>
            </w:r>
          </w:p>
        </w:tc>
        <w:tc>
          <w:tcPr>
            <w:tcW w:w="1199" w:type="dxa"/>
            <w:hideMark/>
          </w:tcPr>
          <w:p w14:paraId="6133A1C2" w14:textId="77777777" w:rsidR="006D200E" w:rsidRPr="00D61DA8" w:rsidRDefault="006D200E" w:rsidP="00AF4C0C">
            <w:pPr>
              <w:pStyle w:val="Paragraph"/>
              <w:spacing w:after="0" w:line="240" w:lineRule="auto"/>
              <w:jc w:val="right"/>
            </w:pPr>
          </w:p>
        </w:tc>
        <w:tc>
          <w:tcPr>
            <w:tcW w:w="1226" w:type="dxa"/>
            <w:noWrap/>
            <w:hideMark/>
          </w:tcPr>
          <w:p w14:paraId="14D16BB7" w14:textId="77777777" w:rsidR="006D200E" w:rsidRPr="00D61DA8" w:rsidRDefault="006D200E" w:rsidP="00AF4C0C">
            <w:pPr>
              <w:pStyle w:val="Paragraph"/>
              <w:spacing w:after="0" w:line="240" w:lineRule="auto"/>
              <w:jc w:val="right"/>
            </w:pPr>
            <w:r w:rsidRPr="00D61DA8">
              <w:t>4</w:t>
            </w:r>
          </w:p>
        </w:tc>
        <w:tc>
          <w:tcPr>
            <w:tcW w:w="1261" w:type="dxa"/>
            <w:hideMark/>
          </w:tcPr>
          <w:p w14:paraId="411E15F6" w14:textId="77777777" w:rsidR="006D200E" w:rsidRPr="00D61DA8" w:rsidRDefault="006D200E" w:rsidP="00AF4C0C">
            <w:pPr>
              <w:pStyle w:val="Paragraph"/>
              <w:spacing w:after="0" w:line="240" w:lineRule="auto"/>
              <w:jc w:val="right"/>
            </w:pPr>
          </w:p>
        </w:tc>
        <w:tc>
          <w:tcPr>
            <w:tcW w:w="1370" w:type="dxa"/>
            <w:noWrap/>
            <w:hideMark/>
          </w:tcPr>
          <w:p w14:paraId="3A3D46F9" w14:textId="77777777" w:rsidR="006D200E" w:rsidRPr="00D61DA8" w:rsidRDefault="006D200E" w:rsidP="00AF4C0C">
            <w:pPr>
              <w:pStyle w:val="Paragraph"/>
              <w:spacing w:after="0" w:line="240" w:lineRule="auto"/>
              <w:jc w:val="right"/>
            </w:pPr>
            <w:r w:rsidRPr="00D61DA8">
              <w:t>$120,000</w:t>
            </w:r>
          </w:p>
        </w:tc>
      </w:tr>
      <w:tr w:rsidR="006D200E" w:rsidRPr="00D61DA8" w14:paraId="03028043" w14:textId="77777777" w:rsidTr="00D205E7">
        <w:trPr>
          <w:gridAfter w:val="1"/>
          <w:cnfStyle w:val="000000100000" w:firstRow="0" w:lastRow="0" w:firstColumn="0" w:lastColumn="0" w:oddVBand="0" w:evenVBand="0" w:oddHBand="1" w:evenHBand="0" w:firstRowFirstColumn="0" w:firstRowLastColumn="0" w:lastRowFirstColumn="0" w:lastRowLastColumn="0"/>
          <w:wAfter w:w="20" w:type="dxa"/>
          <w:trHeight w:val="300"/>
        </w:trPr>
        <w:tc>
          <w:tcPr>
            <w:tcW w:w="3964" w:type="dxa"/>
            <w:hideMark/>
          </w:tcPr>
          <w:p w14:paraId="1F65CCA3" w14:textId="77777777" w:rsidR="006D200E" w:rsidRPr="00D61DA8" w:rsidRDefault="006D200E" w:rsidP="007A3E9B">
            <w:pPr>
              <w:pStyle w:val="Paragraph"/>
              <w:spacing w:after="0" w:line="240" w:lineRule="auto"/>
            </w:pPr>
            <w:r w:rsidRPr="00D61DA8">
              <w:t>Staff training</w:t>
            </w:r>
          </w:p>
        </w:tc>
        <w:tc>
          <w:tcPr>
            <w:tcW w:w="1134" w:type="dxa"/>
            <w:hideMark/>
          </w:tcPr>
          <w:p w14:paraId="1F684E00" w14:textId="77777777" w:rsidR="006D200E" w:rsidRPr="00D61DA8" w:rsidRDefault="006D200E" w:rsidP="00AF4C0C">
            <w:pPr>
              <w:pStyle w:val="Paragraph"/>
              <w:spacing w:after="0" w:line="240" w:lineRule="auto"/>
              <w:jc w:val="right"/>
            </w:pPr>
          </w:p>
        </w:tc>
        <w:tc>
          <w:tcPr>
            <w:tcW w:w="1199" w:type="dxa"/>
            <w:noWrap/>
            <w:hideMark/>
          </w:tcPr>
          <w:p w14:paraId="7F852618" w14:textId="77777777" w:rsidR="006D200E" w:rsidRPr="00D61DA8" w:rsidRDefault="006D200E" w:rsidP="00AF4C0C">
            <w:pPr>
              <w:pStyle w:val="Paragraph"/>
              <w:spacing w:after="0" w:line="240" w:lineRule="auto"/>
              <w:jc w:val="right"/>
            </w:pPr>
            <w:r w:rsidRPr="00D61DA8">
              <w:t>260</w:t>
            </w:r>
          </w:p>
        </w:tc>
        <w:tc>
          <w:tcPr>
            <w:tcW w:w="1226" w:type="dxa"/>
            <w:noWrap/>
            <w:hideMark/>
          </w:tcPr>
          <w:p w14:paraId="32136D97" w14:textId="77777777" w:rsidR="006D200E" w:rsidRPr="00D61DA8" w:rsidRDefault="006D200E" w:rsidP="00AF4C0C">
            <w:pPr>
              <w:pStyle w:val="Paragraph"/>
              <w:spacing w:after="0" w:line="240" w:lineRule="auto"/>
              <w:jc w:val="right"/>
            </w:pPr>
            <w:r w:rsidRPr="00D61DA8">
              <w:t>4</w:t>
            </w:r>
          </w:p>
        </w:tc>
        <w:tc>
          <w:tcPr>
            <w:tcW w:w="1261" w:type="dxa"/>
            <w:hideMark/>
          </w:tcPr>
          <w:p w14:paraId="2E6011E6" w14:textId="77777777" w:rsidR="006D200E" w:rsidRPr="00D61DA8" w:rsidRDefault="006D200E" w:rsidP="00AF4C0C">
            <w:pPr>
              <w:pStyle w:val="Paragraph"/>
              <w:spacing w:after="0" w:line="240" w:lineRule="auto"/>
              <w:jc w:val="right"/>
            </w:pPr>
            <w:r w:rsidRPr="00D61DA8">
              <w:t xml:space="preserve">$73 </w:t>
            </w:r>
          </w:p>
        </w:tc>
        <w:tc>
          <w:tcPr>
            <w:tcW w:w="1370" w:type="dxa"/>
            <w:noWrap/>
            <w:hideMark/>
          </w:tcPr>
          <w:p w14:paraId="369B6871" w14:textId="77777777" w:rsidR="006D200E" w:rsidRPr="00D61DA8" w:rsidRDefault="006D200E" w:rsidP="00AF4C0C">
            <w:pPr>
              <w:pStyle w:val="Paragraph"/>
              <w:spacing w:after="0" w:line="240" w:lineRule="auto"/>
              <w:jc w:val="right"/>
            </w:pPr>
            <w:r w:rsidRPr="00D61DA8">
              <w:t>$75,920</w:t>
            </w:r>
          </w:p>
        </w:tc>
      </w:tr>
      <w:tr w:rsidR="006D200E" w:rsidRPr="00D61DA8" w14:paraId="262ABA0B" w14:textId="77777777" w:rsidTr="00D205E7">
        <w:trPr>
          <w:cnfStyle w:val="000000010000" w:firstRow="0" w:lastRow="0" w:firstColumn="0" w:lastColumn="0" w:oddVBand="0" w:evenVBand="0" w:oddHBand="0" w:evenHBand="1" w:firstRowFirstColumn="0" w:firstRowLastColumn="0" w:lastRowFirstColumn="0" w:lastRowLastColumn="0"/>
          <w:trHeight w:val="315"/>
        </w:trPr>
        <w:tc>
          <w:tcPr>
            <w:tcW w:w="8784" w:type="dxa"/>
            <w:gridSpan w:val="5"/>
            <w:hideMark/>
          </w:tcPr>
          <w:p w14:paraId="11FF2937" w14:textId="77777777" w:rsidR="006D200E" w:rsidRPr="00D61DA8" w:rsidRDefault="006D200E" w:rsidP="007A3E9B">
            <w:pPr>
              <w:pStyle w:val="Paragraph"/>
              <w:spacing w:after="0" w:line="240" w:lineRule="auto"/>
            </w:pPr>
            <w:r w:rsidRPr="00D61DA8">
              <w:rPr>
                <w:b/>
                <w:bCs/>
              </w:rPr>
              <w:t>TOTAL</w:t>
            </w:r>
          </w:p>
        </w:tc>
        <w:tc>
          <w:tcPr>
            <w:tcW w:w="1390" w:type="dxa"/>
            <w:gridSpan w:val="2"/>
            <w:noWrap/>
            <w:hideMark/>
          </w:tcPr>
          <w:p w14:paraId="04DCD02B" w14:textId="77777777" w:rsidR="006D200E" w:rsidRPr="00D61DA8" w:rsidRDefault="006D200E" w:rsidP="00AF4C0C">
            <w:pPr>
              <w:pStyle w:val="Paragraph"/>
              <w:spacing w:after="0" w:line="240" w:lineRule="auto"/>
              <w:jc w:val="right"/>
              <w:rPr>
                <w:b/>
                <w:bCs/>
              </w:rPr>
            </w:pPr>
            <w:r w:rsidRPr="00D61DA8">
              <w:rPr>
                <w:b/>
                <w:bCs/>
              </w:rPr>
              <w:t>$195,920</w:t>
            </w:r>
          </w:p>
        </w:tc>
      </w:tr>
      <w:tr w:rsidR="006D200E" w:rsidRPr="00D61DA8" w14:paraId="3BC5FA79" w14:textId="77777777" w:rsidTr="00D205E7">
        <w:trPr>
          <w:cnfStyle w:val="000000100000" w:firstRow="0" w:lastRow="0" w:firstColumn="0" w:lastColumn="0" w:oddVBand="0" w:evenVBand="0" w:oddHBand="1" w:evenHBand="0" w:firstRowFirstColumn="0" w:firstRowLastColumn="0" w:lastRowFirstColumn="0" w:lastRowLastColumn="0"/>
          <w:trHeight w:val="315"/>
        </w:trPr>
        <w:tc>
          <w:tcPr>
            <w:tcW w:w="8784" w:type="dxa"/>
            <w:gridSpan w:val="5"/>
            <w:hideMark/>
          </w:tcPr>
          <w:p w14:paraId="50300938" w14:textId="77777777" w:rsidR="006D200E" w:rsidRPr="00D61DA8" w:rsidRDefault="006D200E" w:rsidP="007A3E9B">
            <w:pPr>
              <w:pStyle w:val="Paragraph"/>
              <w:spacing w:after="0" w:line="240" w:lineRule="auto"/>
            </w:pPr>
            <w:r w:rsidRPr="00D61DA8">
              <w:rPr>
                <w:b/>
                <w:bCs/>
              </w:rPr>
              <w:t>Small CSPs</w:t>
            </w:r>
          </w:p>
        </w:tc>
        <w:tc>
          <w:tcPr>
            <w:tcW w:w="1390" w:type="dxa"/>
            <w:gridSpan w:val="2"/>
            <w:noWrap/>
            <w:hideMark/>
          </w:tcPr>
          <w:p w14:paraId="5DDE7F49" w14:textId="77777777" w:rsidR="006D200E" w:rsidRPr="00D61DA8" w:rsidRDefault="006D200E" w:rsidP="007A3E9B">
            <w:pPr>
              <w:pStyle w:val="Paragraph"/>
              <w:spacing w:after="0" w:line="240" w:lineRule="auto"/>
            </w:pPr>
          </w:p>
        </w:tc>
      </w:tr>
      <w:tr w:rsidR="006D200E" w:rsidRPr="00D61DA8" w14:paraId="0F233F80" w14:textId="77777777" w:rsidTr="00D205E7">
        <w:trPr>
          <w:gridAfter w:val="1"/>
          <w:cnfStyle w:val="000000010000" w:firstRow="0" w:lastRow="0" w:firstColumn="0" w:lastColumn="0" w:oddVBand="0" w:evenVBand="0" w:oddHBand="0" w:evenHBand="1" w:firstRowFirstColumn="0" w:firstRowLastColumn="0" w:lastRowFirstColumn="0" w:lastRowLastColumn="0"/>
          <w:wAfter w:w="20" w:type="dxa"/>
          <w:trHeight w:val="540"/>
        </w:trPr>
        <w:tc>
          <w:tcPr>
            <w:tcW w:w="3964" w:type="dxa"/>
            <w:hideMark/>
          </w:tcPr>
          <w:p w14:paraId="3526BD76" w14:textId="77777777" w:rsidR="006D200E" w:rsidRPr="00D61DA8" w:rsidRDefault="006D200E" w:rsidP="007A3E9B">
            <w:pPr>
              <w:pStyle w:val="Paragraph"/>
              <w:spacing w:after="0" w:line="240" w:lineRule="auto"/>
            </w:pPr>
            <w:r w:rsidRPr="00D61DA8">
              <w:t>Automate manual systems to enhance processes</w:t>
            </w:r>
          </w:p>
        </w:tc>
        <w:tc>
          <w:tcPr>
            <w:tcW w:w="1134" w:type="dxa"/>
            <w:hideMark/>
          </w:tcPr>
          <w:p w14:paraId="2A3F38FA" w14:textId="77777777" w:rsidR="006D200E" w:rsidRPr="00D61DA8" w:rsidRDefault="006D200E" w:rsidP="00AF4C0C">
            <w:pPr>
              <w:pStyle w:val="Paragraph"/>
              <w:spacing w:after="0" w:line="240" w:lineRule="auto"/>
              <w:jc w:val="right"/>
            </w:pPr>
            <w:r w:rsidRPr="00D61DA8">
              <w:t xml:space="preserve">$4,000 </w:t>
            </w:r>
          </w:p>
        </w:tc>
        <w:tc>
          <w:tcPr>
            <w:tcW w:w="1199" w:type="dxa"/>
            <w:hideMark/>
          </w:tcPr>
          <w:p w14:paraId="567991E1" w14:textId="77777777" w:rsidR="006D200E" w:rsidRPr="00D61DA8" w:rsidRDefault="006D200E" w:rsidP="00AF4C0C">
            <w:pPr>
              <w:pStyle w:val="Paragraph"/>
              <w:spacing w:after="0" w:line="240" w:lineRule="auto"/>
              <w:jc w:val="right"/>
            </w:pPr>
          </w:p>
        </w:tc>
        <w:tc>
          <w:tcPr>
            <w:tcW w:w="1226" w:type="dxa"/>
            <w:noWrap/>
            <w:hideMark/>
          </w:tcPr>
          <w:p w14:paraId="10DE5462" w14:textId="77777777" w:rsidR="006D200E" w:rsidRPr="00D61DA8" w:rsidRDefault="006D200E" w:rsidP="00AF4C0C">
            <w:pPr>
              <w:pStyle w:val="Paragraph"/>
              <w:spacing w:after="0" w:line="240" w:lineRule="auto"/>
              <w:jc w:val="right"/>
            </w:pPr>
            <w:r w:rsidRPr="00D61DA8">
              <w:t>27</w:t>
            </w:r>
          </w:p>
        </w:tc>
        <w:tc>
          <w:tcPr>
            <w:tcW w:w="1261" w:type="dxa"/>
            <w:hideMark/>
          </w:tcPr>
          <w:p w14:paraId="3C57FFCE" w14:textId="77777777" w:rsidR="006D200E" w:rsidRPr="00D61DA8" w:rsidRDefault="006D200E" w:rsidP="00AF4C0C">
            <w:pPr>
              <w:pStyle w:val="Paragraph"/>
              <w:spacing w:after="0" w:line="240" w:lineRule="auto"/>
              <w:jc w:val="right"/>
            </w:pPr>
          </w:p>
        </w:tc>
        <w:tc>
          <w:tcPr>
            <w:tcW w:w="1370" w:type="dxa"/>
            <w:noWrap/>
            <w:hideMark/>
          </w:tcPr>
          <w:p w14:paraId="16FD5143" w14:textId="77777777" w:rsidR="006D200E" w:rsidRPr="00D61DA8" w:rsidRDefault="006D200E" w:rsidP="00AF4C0C">
            <w:pPr>
              <w:pStyle w:val="Paragraph"/>
              <w:spacing w:after="0" w:line="240" w:lineRule="auto"/>
              <w:jc w:val="right"/>
            </w:pPr>
            <w:r w:rsidRPr="00D61DA8">
              <w:t>$108,000</w:t>
            </w:r>
          </w:p>
        </w:tc>
      </w:tr>
      <w:tr w:rsidR="006D200E" w:rsidRPr="00D61DA8" w14:paraId="406F9E67" w14:textId="77777777" w:rsidTr="00D205E7">
        <w:trPr>
          <w:gridAfter w:val="1"/>
          <w:cnfStyle w:val="000000100000" w:firstRow="0" w:lastRow="0" w:firstColumn="0" w:lastColumn="0" w:oddVBand="0" w:evenVBand="0" w:oddHBand="1" w:evenHBand="0" w:firstRowFirstColumn="0" w:firstRowLastColumn="0" w:lastRowFirstColumn="0" w:lastRowLastColumn="0"/>
          <w:wAfter w:w="20" w:type="dxa"/>
          <w:trHeight w:val="270"/>
        </w:trPr>
        <w:tc>
          <w:tcPr>
            <w:tcW w:w="3964" w:type="dxa"/>
            <w:hideMark/>
          </w:tcPr>
          <w:p w14:paraId="5647C1E7" w14:textId="77777777" w:rsidR="006D200E" w:rsidRPr="00D61DA8" w:rsidRDefault="006D200E" w:rsidP="007A3E9B">
            <w:pPr>
              <w:pStyle w:val="Paragraph"/>
              <w:spacing w:after="0" w:line="240" w:lineRule="auto"/>
            </w:pPr>
            <w:r w:rsidRPr="00D61DA8">
              <w:t>Staff training</w:t>
            </w:r>
          </w:p>
        </w:tc>
        <w:tc>
          <w:tcPr>
            <w:tcW w:w="1134" w:type="dxa"/>
            <w:hideMark/>
          </w:tcPr>
          <w:p w14:paraId="19E6A1CC" w14:textId="77777777" w:rsidR="006D200E" w:rsidRPr="00D61DA8" w:rsidRDefault="006D200E" w:rsidP="00AF4C0C">
            <w:pPr>
              <w:pStyle w:val="Paragraph"/>
              <w:spacing w:after="0" w:line="240" w:lineRule="auto"/>
              <w:jc w:val="right"/>
            </w:pPr>
          </w:p>
        </w:tc>
        <w:tc>
          <w:tcPr>
            <w:tcW w:w="1199" w:type="dxa"/>
            <w:noWrap/>
            <w:hideMark/>
          </w:tcPr>
          <w:p w14:paraId="3FD9D1A5" w14:textId="77777777" w:rsidR="006D200E" w:rsidRPr="00D61DA8" w:rsidRDefault="006D200E" w:rsidP="00AF4C0C">
            <w:pPr>
              <w:pStyle w:val="Paragraph"/>
              <w:spacing w:after="0" w:line="240" w:lineRule="auto"/>
              <w:jc w:val="right"/>
            </w:pPr>
            <w:r w:rsidRPr="00D61DA8">
              <w:t>220</w:t>
            </w:r>
          </w:p>
        </w:tc>
        <w:tc>
          <w:tcPr>
            <w:tcW w:w="1226" w:type="dxa"/>
            <w:noWrap/>
            <w:hideMark/>
          </w:tcPr>
          <w:p w14:paraId="224C8C2C" w14:textId="77777777" w:rsidR="006D200E" w:rsidRPr="00D61DA8" w:rsidRDefault="006D200E" w:rsidP="00AF4C0C">
            <w:pPr>
              <w:pStyle w:val="Paragraph"/>
              <w:spacing w:after="0" w:line="240" w:lineRule="auto"/>
              <w:jc w:val="right"/>
            </w:pPr>
            <w:r w:rsidRPr="00D61DA8">
              <w:t>27</w:t>
            </w:r>
          </w:p>
        </w:tc>
        <w:tc>
          <w:tcPr>
            <w:tcW w:w="1261" w:type="dxa"/>
            <w:hideMark/>
          </w:tcPr>
          <w:p w14:paraId="6DAA36AB" w14:textId="77777777" w:rsidR="006D200E" w:rsidRPr="00D61DA8" w:rsidRDefault="006D200E" w:rsidP="00AF4C0C">
            <w:pPr>
              <w:pStyle w:val="Paragraph"/>
              <w:spacing w:after="0" w:line="240" w:lineRule="auto"/>
              <w:jc w:val="right"/>
            </w:pPr>
            <w:r w:rsidRPr="00D61DA8">
              <w:t xml:space="preserve">$73 </w:t>
            </w:r>
          </w:p>
        </w:tc>
        <w:tc>
          <w:tcPr>
            <w:tcW w:w="1370" w:type="dxa"/>
            <w:noWrap/>
            <w:hideMark/>
          </w:tcPr>
          <w:p w14:paraId="36003149" w14:textId="77777777" w:rsidR="006D200E" w:rsidRPr="00D61DA8" w:rsidRDefault="006D200E" w:rsidP="00AF4C0C">
            <w:pPr>
              <w:pStyle w:val="Paragraph"/>
              <w:spacing w:after="0" w:line="240" w:lineRule="auto"/>
              <w:jc w:val="right"/>
            </w:pPr>
            <w:r w:rsidRPr="00D61DA8">
              <w:t>$433,620</w:t>
            </w:r>
          </w:p>
        </w:tc>
      </w:tr>
      <w:tr w:rsidR="006D200E" w:rsidRPr="00D61DA8" w14:paraId="0D748376" w14:textId="77777777" w:rsidTr="00D205E7">
        <w:trPr>
          <w:cnfStyle w:val="000000010000" w:firstRow="0" w:lastRow="0" w:firstColumn="0" w:lastColumn="0" w:oddVBand="0" w:evenVBand="0" w:oddHBand="0" w:evenHBand="1" w:firstRowFirstColumn="0" w:firstRowLastColumn="0" w:lastRowFirstColumn="0" w:lastRowLastColumn="0"/>
          <w:trHeight w:val="270"/>
        </w:trPr>
        <w:tc>
          <w:tcPr>
            <w:tcW w:w="8784" w:type="dxa"/>
            <w:gridSpan w:val="5"/>
            <w:hideMark/>
          </w:tcPr>
          <w:p w14:paraId="151CA9F1" w14:textId="77777777" w:rsidR="006D200E" w:rsidRPr="00D61DA8" w:rsidRDefault="006D200E" w:rsidP="007A3E9B">
            <w:pPr>
              <w:pStyle w:val="Paragraph"/>
              <w:spacing w:after="0" w:line="240" w:lineRule="auto"/>
            </w:pPr>
            <w:r w:rsidRPr="00D61DA8">
              <w:rPr>
                <w:b/>
                <w:bCs/>
              </w:rPr>
              <w:t>TOTAL</w:t>
            </w:r>
          </w:p>
        </w:tc>
        <w:tc>
          <w:tcPr>
            <w:tcW w:w="1390" w:type="dxa"/>
            <w:gridSpan w:val="2"/>
            <w:noWrap/>
            <w:hideMark/>
          </w:tcPr>
          <w:p w14:paraId="07B031D6" w14:textId="77777777" w:rsidR="006D200E" w:rsidRPr="00D61DA8" w:rsidRDefault="006D200E" w:rsidP="00AF4C0C">
            <w:pPr>
              <w:pStyle w:val="Paragraph"/>
              <w:spacing w:after="0" w:line="240" w:lineRule="auto"/>
              <w:jc w:val="right"/>
              <w:rPr>
                <w:b/>
                <w:bCs/>
              </w:rPr>
            </w:pPr>
            <w:r w:rsidRPr="00D61DA8">
              <w:rPr>
                <w:b/>
                <w:bCs/>
              </w:rPr>
              <w:t>$541,620</w:t>
            </w:r>
          </w:p>
        </w:tc>
      </w:tr>
      <w:tr w:rsidR="006D200E" w:rsidRPr="00D61DA8" w14:paraId="49E73662" w14:textId="77777777" w:rsidTr="00927E71">
        <w:trPr>
          <w:cnfStyle w:val="000000100000" w:firstRow="0" w:lastRow="0" w:firstColumn="0" w:lastColumn="0" w:oddVBand="0" w:evenVBand="0" w:oddHBand="1" w:evenHBand="0" w:firstRowFirstColumn="0" w:firstRowLastColumn="0" w:lastRowFirstColumn="0" w:lastRowLastColumn="0"/>
          <w:trHeight w:val="270"/>
        </w:trPr>
        <w:tc>
          <w:tcPr>
            <w:tcW w:w="10174" w:type="dxa"/>
            <w:gridSpan w:val="7"/>
            <w:hideMark/>
          </w:tcPr>
          <w:p w14:paraId="49E3F97E" w14:textId="579F52E6" w:rsidR="006D200E" w:rsidRPr="00D61DA8" w:rsidRDefault="006D200E" w:rsidP="007A3E9B">
            <w:pPr>
              <w:pStyle w:val="Paragraph"/>
              <w:spacing w:after="0" w:line="240" w:lineRule="auto"/>
            </w:pPr>
            <w:r w:rsidRPr="00D61DA8">
              <w:rPr>
                <w:b/>
                <w:bCs/>
              </w:rPr>
              <w:t xml:space="preserve">Very </w:t>
            </w:r>
            <w:r w:rsidR="00D205E7">
              <w:rPr>
                <w:b/>
                <w:bCs/>
              </w:rPr>
              <w:t>s</w:t>
            </w:r>
            <w:r w:rsidRPr="00D61DA8">
              <w:rPr>
                <w:b/>
                <w:bCs/>
              </w:rPr>
              <w:t>mall CSPs</w:t>
            </w:r>
          </w:p>
        </w:tc>
      </w:tr>
      <w:tr w:rsidR="006D200E" w:rsidRPr="00D61DA8" w14:paraId="491EA05D" w14:textId="77777777" w:rsidTr="00D205E7">
        <w:trPr>
          <w:gridAfter w:val="1"/>
          <w:cnfStyle w:val="000000010000" w:firstRow="0" w:lastRow="0" w:firstColumn="0" w:lastColumn="0" w:oddVBand="0" w:evenVBand="0" w:oddHBand="0" w:evenHBand="1" w:firstRowFirstColumn="0" w:firstRowLastColumn="0" w:lastRowFirstColumn="0" w:lastRowLastColumn="0"/>
          <w:wAfter w:w="20" w:type="dxa"/>
          <w:trHeight w:val="540"/>
        </w:trPr>
        <w:tc>
          <w:tcPr>
            <w:tcW w:w="3964" w:type="dxa"/>
            <w:hideMark/>
          </w:tcPr>
          <w:p w14:paraId="461E1EC0" w14:textId="77777777" w:rsidR="006D200E" w:rsidRPr="00D61DA8" w:rsidRDefault="006D200E" w:rsidP="007A3E9B">
            <w:pPr>
              <w:pStyle w:val="Paragraph"/>
              <w:spacing w:after="0" w:line="240" w:lineRule="auto"/>
            </w:pPr>
            <w:r w:rsidRPr="00D61DA8">
              <w:t>Automate manual systems to enhance processes</w:t>
            </w:r>
          </w:p>
        </w:tc>
        <w:tc>
          <w:tcPr>
            <w:tcW w:w="1134" w:type="dxa"/>
            <w:hideMark/>
          </w:tcPr>
          <w:p w14:paraId="0C8E7ABA" w14:textId="77777777" w:rsidR="006D200E" w:rsidRPr="00D61DA8" w:rsidRDefault="006D200E" w:rsidP="00AF4C0C">
            <w:pPr>
              <w:pStyle w:val="Paragraph"/>
              <w:spacing w:after="0" w:line="240" w:lineRule="auto"/>
              <w:jc w:val="right"/>
            </w:pPr>
            <w:r w:rsidRPr="00D61DA8">
              <w:t xml:space="preserve">$2,000 </w:t>
            </w:r>
          </w:p>
        </w:tc>
        <w:tc>
          <w:tcPr>
            <w:tcW w:w="1199" w:type="dxa"/>
            <w:hideMark/>
          </w:tcPr>
          <w:p w14:paraId="5106F647" w14:textId="77777777" w:rsidR="006D200E" w:rsidRPr="00D61DA8" w:rsidRDefault="006D200E" w:rsidP="00AF4C0C">
            <w:pPr>
              <w:pStyle w:val="Paragraph"/>
              <w:spacing w:after="0" w:line="240" w:lineRule="auto"/>
              <w:jc w:val="right"/>
            </w:pPr>
          </w:p>
        </w:tc>
        <w:tc>
          <w:tcPr>
            <w:tcW w:w="1226" w:type="dxa"/>
            <w:noWrap/>
            <w:hideMark/>
          </w:tcPr>
          <w:p w14:paraId="1322F14A" w14:textId="77777777" w:rsidR="006D200E" w:rsidRPr="00D61DA8" w:rsidRDefault="006D200E" w:rsidP="00AF4C0C">
            <w:pPr>
              <w:pStyle w:val="Paragraph"/>
              <w:spacing w:after="0" w:line="240" w:lineRule="auto"/>
              <w:jc w:val="right"/>
            </w:pPr>
            <w:r w:rsidRPr="00D61DA8">
              <w:t>317</w:t>
            </w:r>
          </w:p>
        </w:tc>
        <w:tc>
          <w:tcPr>
            <w:tcW w:w="1261" w:type="dxa"/>
            <w:hideMark/>
          </w:tcPr>
          <w:p w14:paraId="3E8F6226" w14:textId="77777777" w:rsidR="006D200E" w:rsidRPr="00D61DA8" w:rsidRDefault="006D200E" w:rsidP="00AF4C0C">
            <w:pPr>
              <w:pStyle w:val="Paragraph"/>
              <w:spacing w:after="0" w:line="240" w:lineRule="auto"/>
              <w:jc w:val="right"/>
            </w:pPr>
          </w:p>
        </w:tc>
        <w:tc>
          <w:tcPr>
            <w:tcW w:w="1370" w:type="dxa"/>
            <w:noWrap/>
            <w:hideMark/>
          </w:tcPr>
          <w:p w14:paraId="1DB52379" w14:textId="77777777" w:rsidR="006D200E" w:rsidRPr="00D61DA8" w:rsidRDefault="006D200E" w:rsidP="00AF4C0C">
            <w:pPr>
              <w:pStyle w:val="Paragraph"/>
              <w:spacing w:after="0" w:line="240" w:lineRule="auto"/>
              <w:jc w:val="right"/>
            </w:pPr>
            <w:r w:rsidRPr="00D61DA8">
              <w:t>$634,000</w:t>
            </w:r>
          </w:p>
        </w:tc>
      </w:tr>
      <w:tr w:rsidR="006D200E" w:rsidRPr="00D61DA8" w14:paraId="4704195B" w14:textId="77777777" w:rsidTr="00D205E7">
        <w:trPr>
          <w:gridAfter w:val="1"/>
          <w:cnfStyle w:val="000000100000" w:firstRow="0" w:lastRow="0" w:firstColumn="0" w:lastColumn="0" w:oddVBand="0" w:evenVBand="0" w:oddHBand="1" w:evenHBand="0" w:firstRowFirstColumn="0" w:firstRowLastColumn="0" w:lastRowFirstColumn="0" w:lastRowLastColumn="0"/>
          <w:wAfter w:w="20" w:type="dxa"/>
          <w:trHeight w:val="270"/>
        </w:trPr>
        <w:tc>
          <w:tcPr>
            <w:tcW w:w="3964" w:type="dxa"/>
            <w:hideMark/>
          </w:tcPr>
          <w:p w14:paraId="36FAED99" w14:textId="77777777" w:rsidR="006D200E" w:rsidRPr="00D61DA8" w:rsidRDefault="006D200E" w:rsidP="007A3E9B">
            <w:pPr>
              <w:pStyle w:val="Paragraph"/>
              <w:spacing w:after="0" w:line="240" w:lineRule="auto"/>
            </w:pPr>
            <w:r w:rsidRPr="00D61DA8">
              <w:t>Staff training</w:t>
            </w:r>
          </w:p>
        </w:tc>
        <w:tc>
          <w:tcPr>
            <w:tcW w:w="1134" w:type="dxa"/>
            <w:hideMark/>
          </w:tcPr>
          <w:p w14:paraId="5379C9F1" w14:textId="77777777" w:rsidR="006D200E" w:rsidRPr="00D61DA8" w:rsidRDefault="006D200E" w:rsidP="00AF4C0C">
            <w:pPr>
              <w:pStyle w:val="Paragraph"/>
              <w:spacing w:after="0" w:line="240" w:lineRule="auto"/>
              <w:jc w:val="right"/>
            </w:pPr>
          </w:p>
        </w:tc>
        <w:tc>
          <w:tcPr>
            <w:tcW w:w="1199" w:type="dxa"/>
            <w:noWrap/>
            <w:hideMark/>
          </w:tcPr>
          <w:p w14:paraId="024507B5" w14:textId="77777777" w:rsidR="006D200E" w:rsidRPr="00D61DA8" w:rsidRDefault="006D200E" w:rsidP="00AF4C0C">
            <w:pPr>
              <w:pStyle w:val="Paragraph"/>
              <w:spacing w:after="0" w:line="240" w:lineRule="auto"/>
              <w:jc w:val="right"/>
            </w:pPr>
            <w:r w:rsidRPr="00D61DA8">
              <w:t>180</w:t>
            </w:r>
          </w:p>
        </w:tc>
        <w:tc>
          <w:tcPr>
            <w:tcW w:w="1226" w:type="dxa"/>
            <w:noWrap/>
            <w:hideMark/>
          </w:tcPr>
          <w:p w14:paraId="2D456679" w14:textId="77777777" w:rsidR="006D200E" w:rsidRPr="00D61DA8" w:rsidRDefault="006D200E" w:rsidP="00AF4C0C">
            <w:pPr>
              <w:pStyle w:val="Paragraph"/>
              <w:spacing w:after="0" w:line="240" w:lineRule="auto"/>
              <w:jc w:val="right"/>
            </w:pPr>
            <w:r w:rsidRPr="00D61DA8">
              <w:t>317</w:t>
            </w:r>
          </w:p>
        </w:tc>
        <w:tc>
          <w:tcPr>
            <w:tcW w:w="1261" w:type="dxa"/>
            <w:hideMark/>
          </w:tcPr>
          <w:p w14:paraId="5A7900E1" w14:textId="77777777" w:rsidR="006D200E" w:rsidRPr="00D61DA8" w:rsidRDefault="006D200E" w:rsidP="00AF4C0C">
            <w:pPr>
              <w:pStyle w:val="Paragraph"/>
              <w:spacing w:after="0" w:line="240" w:lineRule="auto"/>
              <w:jc w:val="right"/>
            </w:pPr>
            <w:r w:rsidRPr="00D61DA8">
              <w:t xml:space="preserve">$73 </w:t>
            </w:r>
          </w:p>
        </w:tc>
        <w:tc>
          <w:tcPr>
            <w:tcW w:w="1370" w:type="dxa"/>
            <w:noWrap/>
            <w:hideMark/>
          </w:tcPr>
          <w:p w14:paraId="6F23AF2C" w14:textId="77777777" w:rsidR="006D200E" w:rsidRPr="00D61DA8" w:rsidRDefault="006D200E" w:rsidP="00AF4C0C">
            <w:pPr>
              <w:pStyle w:val="Paragraph"/>
              <w:spacing w:after="0" w:line="240" w:lineRule="auto"/>
              <w:jc w:val="right"/>
            </w:pPr>
            <w:r w:rsidRPr="00D61DA8">
              <w:t>$4,165,380</w:t>
            </w:r>
          </w:p>
        </w:tc>
      </w:tr>
      <w:tr w:rsidR="006D200E" w:rsidRPr="00D61DA8" w14:paraId="30E36D2C" w14:textId="77777777" w:rsidTr="00D205E7">
        <w:trPr>
          <w:cnfStyle w:val="000000010000" w:firstRow="0" w:lastRow="0" w:firstColumn="0" w:lastColumn="0" w:oddVBand="0" w:evenVBand="0" w:oddHBand="0" w:evenHBand="1" w:firstRowFirstColumn="0" w:firstRowLastColumn="0" w:lastRowFirstColumn="0" w:lastRowLastColumn="0"/>
          <w:trHeight w:val="270"/>
        </w:trPr>
        <w:tc>
          <w:tcPr>
            <w:tcW w:w="8784" w:type="dxa"/>
            <w:gridSpan w:val="5"/>
            <w:hideMark/>
          </w:tcPr>
          <w:p w14:paraId="034D80F8" w14:textId="77777777" w:rsidR="006D200E" w:rsidRPr="00D61DA8" w:rsidRDefault="006D200E" w:rsidP="007A3E9B">
            <w:pPr>
              <w:pStyle w:val="Paragraph"/>
              <w:spacing w:after="0" w:line="240" w:lineRule="auto"/>
            </w:pPr>
            <w:r w:rsidRPr="00D61DA8">
              <w:rPr>
                <w:b/>
                <w:bCs/>
              </w:rPr>
              <w:t>TOTAL</w:t>
            </w:r>
          </w:p>
        </w:tc>
        <w:tc>
          <w:tcPr>
            <w:tcW w:w="1390" w:type="dxa"/>
            <w:gridSpan w:val="2"/>
            <w:noWrap/>
            <w:hideMark/>
          </w:tcPr>
          <w:p w14:paraId="4F595374" w14:textId="77777777" w:rsidR="006D200E" w:rsidRPr="00D61DA8" w:rsidRDefault="006D200E" w:rsidP="00AF4C0C">
            <w:pPr>
              <w:pStyle w:val="Paragraph"/>
              <w:spacing w:after="0" w:line="240" w:lineRule="auto"/>
              <w:jc w:val="right"/>
              <w:rPr>
                <w:b/>
                <w:bCs/>
              </w:rPr>
            </w:pPr>
            <w:r w:rsidRPr="00D61DA8">
              <w:rPr>
                <w:b/>
                <w:bCs/>
              </w:rPr>
              <w:t>$4,799,380</w:t>
            </w:r>
          </w:p>
        </w:tc>
      </w:tr>
      <w:tr w:rsidR="006D200E" w:rsidRPr="00D61DA8" w14:paraId="47CEDA83" w14:textId="77777777" w:rsidTr="00D205E7">
        <w:trPr>
          <w:cnfStyle w:val="000000100000" w:firstRow="0" w:lastRow="0" w:firstColumn="0" w:lastColumn="0" w:oddVBand="0" w:evenVBand="0" w:oddHBand="1" w:evenHBand="0" w:firstRowFirstColumn="0" w:firstRowLastColumn="0" w:lastRowFirstColumn="0" w:lastRowLastColumn="0"/>
          <w:trHeight w:val="270"/>
        </w:trPr>
        <w:tc>
          <w:tcPr>
            <w:tcW w:w="8784" w:type="dxa"/>
            <w:gridSpan w:val="5"/>
            <w:hideMark/>
          </w:tcPr>
          <w:p w14:paraId="1FE00E46" w14:textId="0C03AED2" w:rsidR="006D200E" w:rsidRPr="00D61DA8" w:rsidRDefault="006D200E" w:rsidP="007A3E9B">
            <w:pPr>
              <w:pStyle w:val="Paragraph"/>
              <w:spacing w:after="0" w:line="240" w:lineRule="auto"/>
              <w:rPr>
                <w:b/>
                <w:bCs/>
              </w:rPr>
            </w:pPr>
            <w:r>
              <w:rPr>
                <w:b/>
                <w:bCs/>
              </w:rPr>
              <w:t>Total Year 1 costs for CSPs under Option 2</w:t>
            </w:r>
            <w:r w:rsidR="00FE2375">
              <w:rPr>
                <w:b/>
                <w:bCs/>
              </w:rPr>
              <w:t>B</w:t>
            </w:r>
          </w:p>
        </w:tc>
        <w:tc>
          <w:tcPr>
            <w:tcW w:w="1390" w:type="dxa"/>
            <w:gridSpan w:val="2"/>
            <w:noWrap/>
            <w:hideMark/>
          </w:tcPr>
          <w:p w14:paraId="71904C5F" w14:textId="77777777" w:rsidR="006D200E" w:rsidRPr="00D61DA8" w:rsidRDefault="006D200E" w:rsidP="00AF4C0C">
            <w:pPr>
              <w:pStyle w:val="Paragraph"/>
              <w:spacing w:after="0" w:line="240" w:lineRule="auto"/>
              <w:jc w:val="right"/>
              <w:rPr>
                <w:b/>
                <w:bCs/>
              </w:rPr>
            </w:pPr>
            <w:r w:rsidRPr="00D61DA8">
              <w:rPr>
                <w:b/>
                <w:bCs/>
              </w:rPr>
              <w:t>$5,783,640</w:t>
            </w:r>
          </w:p>
        </w:tc>
      </w:tr>
    </w:tbl>
    <w:p w14:paraId="65A1B31F" w14:textId="2A13BCB0" w:rsidR="006D200E" w:rsidRDefault="006D200E" w:rsidP="006D200E">
      <w:pPr>
        <w:pStyle w:val="Tableorfigurenote"/>
        <w:rPr>
          <w:i w:val="0"/>
          <w:iCs/>
        </w:rPr>
      </w:pPr>
    </w:p>
    <w:p w14:paraId="523A8374" w14:textId="27AAB802" w:rsidR="004B545B" w:rsidRDefault="004B545B">
      <w:pPr>
        <w:spacing w:after="160" w:line="259" w:lineRule="auto"/>
        <w:rPr>
          <w:rFonts w:cs="Arial"/>
          <w:iCs/>
          <w:sz w:val="16"/>
        </w:rPr>
      </w:pPr>
      <w:r>
        <w:rPr>
          <w:i/>
          <w:iCs/>
        </w:rPr>
        <w:br w:type="page"/>
      </w:r>
    </w:p>
    <w:p w14:paraId="07619CCF" w14:textId="632C99C6" w:rsidR="006D200E" w:rsidRDefault="006D200E" w:rsidP="009D5124">
      <w:pPr>
        <w:pStyle w:val="Tableheading"/>
      </w:pPr>
      <w:r>
        <w:lastRenderedPageBreak/>
        <w:t xml:space="preserve">Ongoing costs for CSPs under </w:t>
      </w:r>
      <w:r w:rsidR="00A05A0C">
        <w:t>O</w:t>
      </w:r>
      <w:r>
        <w:t>ption 2B</w:t>
      </w:r>
    </w:p>
    <w:tbl>
      <w:tblPr>
        <w:tblStyle w:val="ACMAtablestyle"/>
        <w:tblW w:w="8821" w:type="dxa"/>
        <w:tblCellMar>
          <w:top w:w="85" w:type="dxa"/>
          <w:left w:w="57" w:type="dxa"/>
          <w:bottom w:w="85" w:type="dxa"/>
          <w:right w:w="57" w:type="dxa"/>
        </w:tblCellMar>
        <w:tblLook w:val="04A0" w:firstRow="1" w:lastRow="0" w:firstColumn="1" w:lastColumn="0" w:noHBand="0" w:noVBand="1"/>
      </w:tblPr>
      <w:tblGrid>
        <w:gridCol w:w="2122"/>
        <w:gridCol w:w="1559"/>
        <w:gridCol w:w="1417"/>
        <w:gridCol w:w="1276"/>
        <w:gridCol w:w="1134"/>
        <w:gridCol w:w="1299"/>
        <w:gridCol w:w="14"/>
      </w:tblGrid>
      <w:tr w:rsidR="006D200E" w:rsidRPr="001844EE" w14:paraId="1BE2BF1D" w14:textId="77777777" w:rsidTr="00D205E7">
        <w:trPr>
          <w:gridAfter w:val="1"/>
          <w:cnfStyle w:val="100000000000" w:firstRow="1" w:lastRow="0" w:firstColumn="0" w:lastColumn="0" w:oddVBand="0" w:evenVBand="0" w:oddHBand="0" w:evenHBand="0" w:firstRowFirstColumn="0" w:firstRowLastColumn="0" w:lastRowFirstColumn="0" w:lastRowLastColumn="0"/>
          <w:wAfter w:w="14" w:type="dxa"/>
          <w:trHeight w:val="284"/>
        </w:trPr>
        <w:tc>
          <w:tcPr>
            <w:tcW w:w="2122" w:type="dxa"/>
            <w:hideMark/>
          </w:tcPr>
          <w:p w14:paraId="46C95DEE" w14:textId="77777777" w:rsidR="006D200E" w:rsidRPr="001844EE" w:rsidRDefault="006D200E" w:rsidP="004B545B">
            <w:pPr>
              <w:pStyle w:val="Paragraph"/>
              <w:keepNext/>
              <w:keepLines/>
              <w:spacing w:after="0" w:line="240" w:lineRule="auto"/>
              <w:contextualSpacing/>
              <w:rPr>
                <w:b/>
                <w:bCs/>
              </w:rPr>
            </w:pPr>
          </w:p>
        </w:tc>
        <w:tc>
          <w:tcPr>
            <w:tcW w:w="1559" w:type="dxa"/>
            <w:hideMark/>
          </w:tcPr>
          <w:p w14:paraId="36255E29" w14:textId="77777777" w:rsidR="006D200E" w:rsidRPr="001844EE" w:rsidRDefault="006D200E" w:rsidP="00AF4C0C">
            <w:pPr>
              <w:pStyle w:val="Paragraph"/>
              <w:keepNext/>
              <w:keepLines/>
              <w:spacing w:after="0" w:line="240" w:lineRule="auto"/>
              <w:contextualSpacing/>
              <w:jc w:val="right"/>
              <w:rPr>
                <w:b/>
                <w:bCs/>
              </w:rPr>
            </w:pPr>
            <w:r w:rsidRPr="001844EE">
              <w:rPr>
                <w:b/>
                <w:bCs/>
              </w:rPr>
              <w:t>System upgrade</w:t>
            </w:r>
          </w:p>
        </w:tc>
        <w:tc>
          <w:tcPr>
            <w:tcW w:w="1417" w:type="dxa"/>
            <w:noWrap/>
            <w:hideMark/>
          </w:tcPr>
          <w:p w14:paraId="529A178C" w14:textId="77777777" w:rsidR="006D200E" w:rsidRPr="001844EE" w:rsidRDefault="006D200E" w:rsidP="00AF4C0C">
            <w:pPr>
              <w:pStyle w:val="Paragraph"/>
              <w:keepNext/>
              <w:keepLines/>
              <w:spacing w:after="0" w:line="240" w:lineRule="auto"/>
              <w:contextualSpacing/>
              <w:jc w:val="right"/>
              <w:rPr>
                <w:b/>
                <w:bCs/>
              </w:rPr>
            </w:pPr>
            <w:r w:rsidRPr="001844EE">
              <w:rPr>
                <w:b/>
                <w:bCs/>
              </w:rPr>
              <w:t>Time (hours)</w:t>
            </w:r>
          </w:p>
        </w:tc>
        <w:tc>
          <w:tcPr>
            <w:tcW w:w="1276" w:type="dxa"/>
            <w:hideMark/>
          </w:tcPr>
          <w:p w14:paraId="7C8628BA" w14:textId="77777777" w:rsidR="006D200E" w:rsidRPr="001844EE" w:rsidRDefault="006D200E" w:rsidP="00AF4C0C">
            <w:pPr>
              <w:pStyle w:val="Paragraph"/>
              <w:keepNext/>
              <w:keepLines/>
              <w:spacing w:after="0" w:line="240" w:lineRule="auto"/>
              <w:contextualSpacing/>
              <w:jc w:val="right"/>
              <w:rPr>
                <w:b/>
                <w:bCs/>
              </w:rPr>
            </w:pPr>
            <w:r w:rsidRPr="001844EE">
              <w:rPr>
                <w:b/>
                <w:bCs/>
              </w:rPr>
              <w:t>Businesses</w:t>
            </w:r>
          </w:p>
        </w:tc>
        <w:tc>
          <w:tcPr>
            <w:tcW w:w="1134" w:type="dxa"/>
            <w:noWrap/>
            <w:hideMark/>
          </w:tcPr>
          <w:p w14:paraId="41D563BA" w14:textId="77777777" w:rsidR="006D200E" w:rsidRPr="001844EE" w:rsidRDefault="006D200E" w:rsidP="00AF4C0C">
            <w:pPr>
              <w:pStyle w:val="Paragraph"/>
              <w:keepNext/>
              <w:keepLines/>
              <w:spacing w:after="0" w:line="240" w:lineRule="auto"/>
              <w:contextualSpacing/>
              <w:jc w:val="right"/>
              <w:rPr>
                <w:b/>
                <w:bCs/>
              </w:rPr>
            </w:pPr>
            <w:r w:rsidRPr="001844EE">
              <w:rPr>
                <w:b/>
                <w:bCs/>
              </w:rPr>
              <w:t>Rate/hour ($)</w:t>
            </w:r>
          </w:p>
        </w:tc>
        <w:tc>
          <w:tcPr>
            <w:tcW w:w="1299" w:type="dxa"/>
            <w:noWrap/>
            <w:hideMark/>
          </w:tcPr>
          <w:p w14:paraId="325FAFA9" w14:textId="2E7B1780" w:rsidR="006D200E" w:rsidRPr="001844EE" w:rsidRDefault="006D200E" w:rsidP="00AF4C0C">
            <w:pPr>
              <w:pStyle w:val="Paragraph"/>
              <w:keepNext/>
              <w:keepLines/>
              <w:spacing w:after="0" w:line="240" w:lineRule="auto"/>
              <w:contextualSpacing/>
              <w:jc w:val="right"/>
              <w:rPr>
                <w:b/>
                <w:bCs/>
              </w:rPr>
            </w:pPr>
            <w:r w:rsidRPr="001844EE">
              <w:rPr>
                <w:b/>
                <w:bCs/>
              </w:rPr>
              <w:t xml:space="preserve">Totals </w:t>
            </w:r>
            <w:r w:rsidR="007A3E9B">
              <w:rPr>
                <w:b/>
                <w:bCs/>
              </w:rPr>
              <w:br/>
            </w:r>
            <w:r w:rsidRPr="001844EE">
              <w:rPr>
                <w:b/>
                <w:bCs/>
              </w:rPr>
              <w:t>($)</w:t>
            </w:r>
          </w:p>
        </w:tc>
      </w:tr>
      <w:tr w:rsidR="006D200E" w:rsidRPr="001844EE" w14:paraId="456D93A0" w14:textId="77777777" w:rsidTr="00D205E7">
        <w:trPr>
          <w:cnfStyle w:val="000000100000" w:firstRow="0" w:lastRow="0" w:firstColumn="0" w:lastColumn="0" w:oddVBand="0" w:evenVBand="0" w:oddHBand="1" w:evenHBand="0" w:firstRowFirstColumn="0" w:firstRowLastColumn="0" w:lastRowFirstColumn="0" w:lastRowLastColumn="0"/>
          <w:trHeight w:val="284"/>
        </w:trPr>
        <w:tc>
          <w:tcPr>
            <w:tcW w:w="8821" w:type="dxa"/>
            <w:gridSpan w:val="7"/>
            <w:noWrap/>
            <w:hideMark/>
          </w:tcPr>
          <w:p w14:paraId="64CA7168" w14:textId="77777777" w:rsidR="006D200E" w:rsidRPr="001844EE" w:rsidRDefault="006D200E" w:rsidP="004B545B">
            <w:pPr>
              <w:pStyle w:val="Paragraph"/>
              <w:keepNext/>
              <w:keepLines/>
              <w:spacing w:after="0" w:line="240" w:lineRule="auto"/>
              <w:contextualSpacing/>
            </w:pPr>
            <w:r w:rsidRPr="001844EE">
              <w:rPr>
                <w:b/>
                <w:bCs/>
              </w:rPr>
              <w:t>Large CSPs</w:t>
            </w:r>
          </w:p>
        </w:tc>
      </w:tr>
      <w:tr w:rsidR="006D200E" w:rsidRPr="001844EE" w14:paraId="5E1DD359" w14:textId="77777777" w:rsidTr="00D205E7">
        <w:trPr>
          <w:gridAfter w:val="1"/>
          <w:cnfStyle w:val="000000010000" w:firstRow="0" w:lastRow="0" w:firstColumn="0" w:lastColumn="0" w:oddVBand="0" w:evenVBand="0" w:oddHBand="0" w:evenHBand="1" w:firstRowFirstColumn="0" w:firstRowLastColumn="0" w:lastRowFirstColumn="0" w:lastRowLastColumn="0"/>
          <w:wAfter w:w="14" w:type="dxa"/>
          <w:trHeight w:val="284"/>
        </w:trPr>
        <w:tc>
          <w:tcPr>
            <w:tcW w:w="2122" w:type="dxa"/>
            <w:hideMark/>
          </w:tcPr>
          <w:p w14:paraId="17C529BC" w14:textId="77777777" w:rsidR="006D200E" w:rsidRPr="001844EE" w:rsidRDefault="006D200E" w:rsidP="004B545B">
            <w:pPr>
              <w:pStyle w:val="Paragraph"/>
              <w:spacing w:after="0" w:line="240" w:lineRule="auto"/>
              <w:contextualSpacing/>
            </w:pPr>
            <w:r w:rsidRPr="001844EE">
              <w:t xml:space="preserve">Monitor processes </w:t>
            </w:r>
          </w:p>
        </w:tc>
        <w:tc>
          <w:tcPr>
            <w:tcW w:w="1559" w:type="dxa"/>
            <w:hideMark/>
          </w:tcPr>
          <w:p w14:paraId="01DEC527" w14:textId="77777777" w:rsidR="006D200E" w:rsidRPr="001844EE" w:rsidRDefault="006D200E" w:rsidP="00DE248F">
            <w:pPr>
              <w:pStyle w:val="Paragraph"/>
              <w:spacing w:after="0" w:line="240" w:lineRule="auto"/>
              <w:contextualSpacing/>
              <w:jc w:val="right"/>
            </w:pPr>
            <w:r w:rsidRPr="001844EE">
              <w:t xml:space="preserve">$30,000 </w:t>
            </w:r>
          </w:p>
        </w:tc>
        <w:tc>
          <w:tcPr>
            <w:tcW w:w="1417" w:type="dxa"/>
            <w:hideMark/>
          </w:tcPr>
          <w:p w14:paraId="5A3E10F4" w14:textId="77777777" w:rsidR="006D200E" w:rsidRPr="001844EE" w:rsidRDefault="006D200E" w:rsidP="00DE248F">
            <w:pPr>
              <w:pStyle w:val="Paragraph"/>
              <w:spacing w:after="0" w:line="240" w:lineRule="auto"/>
              <w:contextualSpacing/>
              <w:jc w:val="right"/>
            </w:pPr>
          </w:p>
        </w:tc>
        <w:tc>
          <w:tcPr>
            <w:tcW w:w="1276" w:type="dxa"/>
            <w:noWrap/>
            <w:hideMark/>
          </w:tcPr>
          <w:p w14:paraId="1A1D4BCB" w14:textId="77777777" w:rsidR="006D200E" w:rsidRPr="001844EE" w:rsidRDefault="006D200E" w:rsidP="00DE248F">
            <w:pPr>
              <w:pStyle w:val="Paragraph"/>
              <w:spacing w:after="0" w:line="240" w:lineRule="auto"/>
              <w:contextualSpacing/>
              <w:jc w:val="right"/>
            </w:pPr>
            <w:r w:rsidRPr="001844EE">
              <w:t>2</w:t>
            </w:r>
          </w:p>
        </w:tc>
        <w:tc>
          <w:tcPr>
            <w:tcW w:w="1134" w:type="dxa"/>
            <w:noWrap/>
            <w:hideMark/>
          </w:tcPr>
          <w:p w14:paraId="70F16B7B" w14:textId="77777777" w:rsidR="006D200E" w:rsidRPr="001844EE" w:rsidRDefault="006D200E" w:rsidP="00DE248F">
            <w:pPr>
              <w:pStyle w:val="Paragraph"/>
              <w:spacing w:after="0" w:line="240" w:lineRule="auto"/>
              <w:contextualSpacing/>
              <w:jc w:val="right"/>
            </w:pPr>
          </w:p>
        </w:tc>
        <w:tc>
          <w:tcPr>
            <w:tcW w:w="1299" w:type="dxa"/>
            <w:noWrap/>
            <w:hideMark/>
          </w:tcPr>
          <w:p w14:paraId="78B54B7C" w14:textId="77777777" w:rsidR="006D200E" w:rsidRPr="001844EE" w:rsidRDefault="006D200E" w:rsidP="00DE248F">
            <w:pPr>
              <w:pStyle w:val="Paragraph"/>
              <w:spacing w:after="0" w:line="240" w:lineRule="auto"/>
              <w:contextualSpacing/>
              <w:jc w:val="right"/>
            </w:pPr>
            <w:r w:rsidRPr="001844EE">
              <w:t>$60,000</w:t>
            </w:r>
          </w:p>
        </w:tc>
      </w:tr>
      <w:tr w:rsidR="006D200E" w:rsidRPr="001844EE" w14:paraId="1D3AFBBC" w14:textId="77777777" w:rsidTr="00D205E7">
        <w:trPr>
          <w:gridAfter w:val="1"/>
          <w:cnfStyle w:val="000000100000" w:firstRow="0" w:lastRow="0" w:firstColumn="0" w:lastColumn="0" w:oddVBand="0" w:evenVBand="0" w:oddHBand="1" w:evenHBand="0" w:firstRowFirstColumn="0" w:firstRowLastColumn="0" w:lastRowFirstColumn="0" w:lastRowLastColumn="0"/>
          <w:wAfter w:w="14" w:type="dxa"/>
          <w:trHeight w:val="284"/>
        </w:trPr>
        <w:tc>
          <w:tcPr>
            <w:tcW w:w="2122" w:type="dxa"/>
            <w:hideMark/>
          </w:tcPr>
          <w:p w14:paraId="3941EE8D" w14:textId="77777777" w:rsidR="006D200E" w:rsidRPr="001844EE" w:rsidRDefault="006D200E" w:rsidP="004B545B">
            <w:pPr>
              <w:pStyle w:val="Paragraph"/>
              <w:spacing w:after="0" w:line="240" w:lineRule="auto"/>
              <w:contextualSpacing/>
            </w:pPr>
            <w:r w:rsidRPr="001844EE">
              <w:t>Staff training - ongoing</w:t>
            </w:r>
          </w:p>
        </w:tc>
        <w:tc>
          <w:tcPr>
            <w:tcW w:w="1559" w:type="dxa"/>
            <w:hideMark/>
          </w:tcPr>
          <w:p w14:paraId="31695C4F" w14:textId="77777777" w:rsidR="006D200E" w:rsidRPr="001844EE" w:rsidRDefault="006D200E" w:rsidP="00DE248F">
            <w:pPr>
              <w:pStyle w:val="Paragraph"/>
              <w:spacing w:after="0" w:line="240" w:lineRule="auto"/>
              <w:contextualSpacing/>
              <w:jc w:val="right"/>
            </w:pPr>
          </w:p>
        </w:tc>
        <w:tc>
          <w:tcPr>
            <w:tcW w:w="1417" w:type="dxa"/>
            <w:noWrap/>
            <w:hideMark/>
          </w:tcPr>
          <w:p w14:paraId="3207084F" w14:textId="77777777" w:rsidR="006D200E" w:rsidRPr="001844EE" w:rsidRDefault="006D200E" w:rsidP="00DE248F">
            <w:pPr>
              <w:pStyle w:val="Paragraph"/>
              <w:spacing w:after="0" w:line="240" w:lineRule="auto"/>
              <w:contextualSpacing/>
              <w:jc w:val="right"/>
            </w:pPr>
            <w:r w:rsidRPr="001844EE">
              <w:t>200</w:t>
            </w:r>
          </w:p>
        </w:tc>
        <w:tc>
          <w:tcPr>
            <w:tcW w:w="1276" w:type="dxa"/>
            <w:noWrap/>
            <w:hideMark/>
          </w:tcPr>
          <w:p w14:paraId="52D68EB9" w14:textId="77777777" w:rsidR="006D200E" w:rsidRPr="001844EE" w:rsidRDefault="006D200E" w:rsidP="00DE248F">
            <w:pPr>
              <w:pStyle w:val="Paragraph"/>
              <w:spacing w:after="0" w:line="240" w:lineRule="auto"/>
              <w:contextualSpacing/>
              <w:jc w:val="right"/>
            </w:pPr>
            <w:r w:rsidRPr="001844EE">
              <w:t>2</w:t>
            </w:r>
          </w:p>
        </w:tc>
        <w:tc>
          <w:tcPr>
            <w:tcW w:w="1134" w:type="dxa"/>
            <w:hideMark/>
          </w:tcPr>
          <w:p w14:paraId="0C2E28C0" w14:textId="77777777" w:rsidR="006D200E" w:rsidRPr="001844EE" w:rsidRDefault="006D200E" w:rsidP="00DE248F">
            <w:pPr>
              <w:pStyle w:val="Paragraph"/>
              <w:spacing w:after="0" w:line="240" w:lineRule="auto"/>
              <w:contextualSpacing/>
              <w:jc w:val="right"/>
            </w:pPr>
            <w:r w:rsidRPr="001844EE">
              <w:t xml:space="preserve">$73 </w:t>
            </w:r>
          </w:p>
        </w:tc>
        <w:tc>
          <w:tcPr>
            <w:tcW w:w="1299" w:type="dxa"/>
            <w:noWrap/>
            <w:hideMark/>
          </w:tcPr>
          <w:p w14:paraId="61DE038C" w14:textId="77777777" w:rsidR="006D200E" w:rsidRPr="001844EE" w:rsidRDefault="006D200E" w:rsidP="00DE248F">
            <w:pPr>
              <w:pStyle w:val="Paragraph"/>
              <w:spacing w:after="0" w:line="240" w:lineRule="auto"/>
              <w:contextualSpacing/>
              <w:jc w:val="right"/>
            </w:pPr>
            <w:r w:rsidRPr="001844EE">
              <w:t>$29,200</w:t>
            </w:r>
          </w:p>
        </w:tc>
      </w:tr>
      <w:tr w:rsidR="006D200E" w:rsidRPr="001844EE" w14:paraId="5ACBB990" w14:textId="77777777" w:rsidTr="00D205E7">
        <w:trPr>
          <w:cnfStyle w:val="000000010000" w:firstRow="0" w:lastRow="0" w:firstColumn="0" w:lastColumn="0" w:oddVBand="0" w:evenVBand="0" w:oddHBand="0" w:evenHBand="1" w:firstRowFirstColumn="0" w:firstRowLastColumn="0" w:lastRowFirstColumn="0" w:lastRowLastColumn="0"/>
          <w:trHeight w:val="284"/>
        </w:trPr>
        <w:tc>
          <w:tcPr>
            <w:tcW w:w="7508" w:type="dxa"/>
            <w:gridSpan w:val="5"/>
            <w:hideMark/>
          </w:tcPr>
          <w:p w14:paraId="7AD82805" w14:textId="77777777" w:rsidR="006D200E" w:rsidRPr="001844EE" w:rsidRDefault="006D200E" w:rsidP="004B545B">
            <w:pPr>
              <w:pStyle w:val="Paragraph"/>
              <w:spacing w:after="0" w:line="240" w:lineRule="auto"/>
              <w:contextualSpacing/>
            </w:pPr>
            <w:r w:rsidRPr="001844EE">
              <w:rPr>
                <w:b/>
                <w:bCs/>
              </w:rPr>
              <w:t>TOTAL</w:t>
            </w:r>
          </w:p>
        </w:tc>
        <w:tc>
          <w:tcPr>
            <w:tcW w:w="1313" w:type="dxa"/>
            <w:gridSpan w:val="2"/>
            <w:noWrap/>
            <w:hideMark/>
          </w:tcPr>
          <w:p w14:paraId="51844805" w14:textId="77777777" w:rsidR="006D200E" w:rsidRPr="001844EE" w:rsidRDefault="006D200E" w:rsidP="00DE248F">
            <w:pPr>
              <w:pStyle w:val="Paragraph"/>
              <w:spacing w:after="0" w:line="240" w:lineRule="auto"/>
              <w:contextualSpacing/>
              <w:jc w:val="right"/>
              <w:rPr>
                <w:b/>
                <w:bCs/>
              </w:rPr>
            </w:pPr>
            <w:r w:rsidRPr="001844EE">
              <w:rPr>
                <w:b/>
                <w:bCs/>
              </w:rPr>
              <w:t>$89,200</w:t>
            </w:r>
          </w:p>
        </w:tc>
      </w:tr>
      <w:tr w:rsidR="006D200E" w:rsidRPr="001844EE" w14:paraId="4C6BF597" w14:textId="77777777" w:rsidTr="00D205E7">
        <w:trPr>
          <w:cnfStyle w:val="000000100000" w:firstRow="0" w:lastRow="0" w:firstColumn="0" w:lastColumn="0" w:oddVBand="0" w:evenVBand="0" w:oddHBand="1" w:evenHBand="0" w:firstRowFirstColumn="0" w:firstRowLastColumn="0" w:lastRowFirstColumn="0" w:lastRowLastColumn="0"/>
          <w:trHeight w:val="284"/>
        </w:trPr>
        <w:tc>
          <w:tcPr>
            <w:tcW w:w="8821" w:type="dxa"/>
            <w:gridSpan w:val="7"/>
            <w:hideMark/>
          </w:tcPr>
          <w:p w14:paraId="549AA9AB" w14:textId="77777777" w:rsidR="006D200E" w:rsidRPr="001844EE" w:rsidRDefault="006D200E" w:rsidP="004B545B">
            <w:pPr>
              <w:pStyle w:val="Paragraph"/>
              <w:spacing w:after="0" w:line="240" w:lineRule="auto"/>
              <w:contextualSpacing/>
            </w:pPr>
            <w:r w:rsidRPr="001844EE">
              <w:rPr>
                <w:b/>
                <w:bCs/>
              </w:rPr>
              <w:t>Medium CSPs</w:t>
            </w:r>
          </w:p>
        </w:tc>
      </w:tr>
      <w:tr w:rsidR="006D200E" w:rsidRPr="001844EE" w14:paraId="5615605D" w14:textId="77777777" w:rsidTr="00D205E7">
        <w:trPr>
          <w:gridAfter w:val="1"/>
          <w:cnfStyle w:val="000000010000" w:firstRow="0" w:lastRow="0" w:firstColumn="0" w:lastColumn="0" w:oddVBand="0" w:evenVBand="0" w:oddHBand="0" w:evenHBand="1" w:firstRowFirstColumn="0" w:firstRowLastColumn="0" w:lastRowFirstColumn="0" w:lastRowLastColumn="0"/>
          <w:wAfter w:w="14" w:type="dxa"/>
          <w:trHeight w:val="284"/>
        </w:trPr>
        <w:tc>
          <w:tcPr>
            <w:tcW w:w="2122" w:type="dxa"/>
            <w:hideMark/>
          </w:tcPr>
          <w:p w14:paraId="64B96DFB" w14:textId="77777777" w:rsidR="006D200E" w:rsidRPr="001844EE" w:rsidRDefault="006D200E" w:rsidP="004B545B">
            <w:pPr>
              <w:pStyle w:val="Paragraph"/>
              <w:spacing w:after="0" w:line="240" w:lineRule="auto"/>
              <w:contextualSpacing/>
            </w:pPr>
            <w:r w:rsidRPr="001844EE">
              <w:t xml:space="preserve">Monitor processes </w:t>
            </w:r>
          </w:p>
        </w:tc>
        <w:tc>
          <w:tcPr>
            <w:tcW w:w="1559" w:type="dxa"/>
            <w:hideMark/>
          </w:tcPr>
          <w:p w14:paraId="38BD2501" w14:textId="77777777" w:rsidR="006D200E" w:rsidRPr="001844EE" w:rsidRDefault="006D200E" w:rsidP="00DE248F">
            <w:pPr>
              <w:pStyle w:val="Paragraph"/>
              <w:spacing w:after="0" w:line="240" w:lineRule="auto"/>
              <w:contextualSpacing/>
              <w:jc w:val="right"/>
            </w:pPr>
            <w:r w:rsidRPr="001844EE">
              <w:t xml:space="preserve">$8,000 </w:t>
            </w:r>
          </w:p>
        </w:tc>
        <w:tc>
          <w:tcPr>
            <w:tcW w:w="1417" w:type="dxa"/>
            <w:noWrap/>
            <w:hideMark/>
          </w:tcPr>
          <w:p w14:paraId="4B4163A4" w14:textId="77777777" w:rsidR="006D200E" w:rsidRPr="001844EE" w:rsidRDefault="006D200E" w:rsidP="00DE248F">
            <w:pPr>
              <w:pStyle w:val="Paragraph"/>
              <w:spacing w:after="0" w:line="240" w:lineRule="auto"/>
              <w:contextualSpacing/>
              <w:jc w:val="right"/>
            </w:pPr>
          </w:p>
        </w:tc>
        <w:tc>
          <w:tcPr>
            <w:tcW w:w="1276" w:type="dxa"/>
            <w:noWrap/>
            <w:hideMark/>
          </w:tcPr>
          <w:p w14:paraId="269860F9" w14:textId="77777777" w:rsidR="006D200E" w:rsidRPr="001844EE" w:rsidRDefault="006D200E" w:rsidP="00DE248F">
            <w:pPr>
              <w:pStyle w:val="Paragraph"/>
              <w:spacing w:after="0" w:line="240" w:lineRule="auto"/>
              <w:contextualSpacing/>
              <w:jc w:val="right"/>
            </w:pPr>
            <w:r w:rsidRPr="001844EE">
              <w:t>4</w:t>
            </w:r>
          </w:p>
        </w:tc>
        <w:tc>
          <w:tcPr>
            <w:tcW w:w="1134" w:type="dxa"/>
            <w:noWrap/>
            <w:hideMark/>
          </w:tcPr>
          <w:p w14:paraId="3ECCF47E" w14:textId="77777777" w:rsidR="006D200E" w:rsidRPr="001844EE" w:rsidRDefault="006D200E" w:rsidP="00DE248F">
            <w:pPr>
              <w:pStyle w:val="Paragraph"/>
              <w:spacing w:after="0" w:line="240" w:lineRule="auto"/>
              <w:contextualSpacing/>
              <w:jc w:val="right"/>
            </w:pPr>
          </w:p>
        </w:tc>
        <w:tc>
          <w:tcPr>
            <w:tcW w:w="1299" w:type="dxa"/>
            <w:noWrap/>
            <w:hideMark/>
          </w:tcPr>
          <w:p w14:paraId="57CC5CEA" w14:textId="77777777" w:rsidR="006D200E" w:rsidRPr="001844EE" w:rsidRDefault="006D200E" w:rsidP="00DE248F">
            <w:pPr>
              <w:pStyle w:val="Paragraph"/>
              <w:spacing w:after="0" w:line="240" w:lineRule="auto"/>
              <w:contextualSpacing/>
              <w:jc w:val="right"/>
            </w:pPr>
            <w:r w:rsidRPr="001844EE">
              <w:t>$32,000</w:t>
            </w:r>
          </w:p>
        </w:tc>
      </w:tr>
      <w:tr w:rsidR="006D200E" w:rsidRPr="001844EE" w14:paraId="6D105DA4" w14:textId="77777777" w:rsidTr="00D205E7">
        <w:trPr>
          <w:gridAfter w:val="1"/>
          <w:cnfStyle w:val="000000100000" w:firstRow="0" w:lastRow="0" w:firstColumn="0" w:lastColumn="0" w:oddVBand="0" w:evenVBand="0" w:oddHBand="1" w:evenHBand="0" w:firstRowFirstColumn="0" w:firstRowLastColumn="0" w:lastRowFirstColumn="0" w:lastRowLastColumn="0"/>
          <w:wAfter w:w="14" w:type="dxa"/>
          <w:trHeight w:val="284"/>
        </w:trPr>
        <w:tc>
          <w:tcPr>
            <w:tcW w:w="2122" w:type="dxa"/>
            <w:hideMark/>
          </w:tcPr>
          <w:p w14:paraId="0D1EA415" w14:textId="77777777" w:rsidR="006D200E" w:rsidRPr="001844EE" w:rsidRDefault="006D200E" w:rsidP="004B545B">
            <w:pPr>
              <w:pStyle w:val="Paragraph"/>
              <w:spacing w:after="0" w:line="240" w:lineRule="auto"/>
              <w:contextualSpacing/>
            </w:pPr>
            <w:r w:rsidRPr="001844EE">
              <w:t>Staff training</w:t>
            </w:r>
          </w:p>
        </w:tc>
        <w:tc>
          <w:tcPr>
            <w:tcW w:w="1559" w:type="dxa"/>
            <w:hideMark/>
          </w:tcPr>
          <w:p w14:paraId="6B897A5D" w14:textId="77777777" w:rsidR="006D200E" w:rsidRPr="001844EE" w:rsidRDefault="006D200E" w:rsidP="00DE248F">
            <w:pPr>
              <w:pStyle w:val="Paragraph"/>
              <w:spacing w:after="0" w:line="240" w:lineRule="auto"/>
              <w:contextualSpacing/>
              <w:jc w:val="right"/>
            </w:pPr>
          </w:p>
        </w:tc>
        <w:tc>
          <w:tcPr>
            <w:tcW w:w="1417" w:type="dxa"/>
            <w:noWrap/>
            <w:hideMark/>
          </w:tcPr>
          <w:p w14:paraId="14283F98" w14:textId="77777777" w:rsidR="006D200E" w:rsidRPr="001844EE" w:rsidRDefault="006D200E" w:rsidP="00DE248F">
            <w:pPr>
              <w:pStyle w:val="Paragraph"/>
              <w:spacing w:after="0" w:line="240" w:lineRule="auto"/>
              <w:contextualSpacing/>
              <w:jc w:val="right"/>
            </w:pPr>
            <w:r w:rsidRPr="001844EE">
              <w:t>100</w:t>
            </w:r>
          </w:p>
        </w:tc>
        <w:tc>
          <w:tcPr>
            <w:tcW w:w="1276" w:type="dxa"/>
            <w:noWrap/>
            <w:hideMark/>
          </w:tcPr>
          <w:p w14:paraId="671C5CCB" w14:textId="77777777" w:rsidR="006D200E" w:rsidRPr="001844EE" w:rsidRDefault="006D200E" w:rsidP="00DE248F">
            <w:pPr>
              <w:pStyle w:val="Paragraph"/>
              <w:spacing w:after="0" w:line="240" w:lineRule="auto"/>
              <w:contextualSpacing/>
              <w:jc w:val="right"/>
            </w:pPr>
            <w:r w:rsidRPr="001844EE">
              <w:t>4</w:t>
            </w:r>
          </w:p>
        </w:tc>
        <w:tc>
          <w:tcPr>
            <w:tcW w:w="1134" w:type="dxa"/>
            <w:hideMark/>
          </w:tcPr>
          <w:p w14:paraId="4620C8E3" w14:textId="77777777" w:rsidR="006D200E" w:rsidRPr="001844EE" w:rsidRDefault="006D200E" w:rsidP="00DE248F">
            <w:pPr>
              <w:pStyle w:val="Paragraph"/>
              <w:spacing w:after="0" w:line="240" w:lineRule="auto"/>
              <w:contextualSpacing/>
              <w:jc w:val="right"/>
            </w:pPr>
            <w:r w:rsidRPr="001844EE">
              <w:t xml:space="preserve">$73 </w:t>
            </w:r>
          </w:p>
        </w:tc>
        <w:tc>
          <w:tcPr>
            <w:tcW w:w="1299" w:type="dxa"/>
            <w:noWrap/>
            <w:hideMark/>
          </w:tcPr>
          <w:p w14:paraId="72C790F1" w14:textId="77777777" w:rsidR="006D200E" w:rsidRPr="001844EE" w:rsidRDefault="006D200E" w:rsidP="00DE248F">
            <w:pPr>
              <w:pStyle w:val="Paragraph"/>
              <w:spacing w:after="0" w:line="240" w:lineRule="auto"/>
              <w:contextualSpacing/>
              <w:jc w:val="right"/>
            </w:pPr>
            <w:r w:rsidRPr="001844EE">
              <w:t>$29,200</w:t>
            </w:r>
          </w:p>
        </w:tc>
      </w:tr>
      <w:tr w:rsidR="006D200E" w:rsidRPr="001844EE" w14:paraId="0A3CACA6" w14:textId="77777777" w:rsidTr="00D205E7">
        <w:trPr>
          <w:cnfStyle w:val="000000010000" w:firstRow="0" w:lastRow="0" w:firstColumn="0" w:lastColumn="0" w:oddVBand="0" w:evenVBand="0" w:oddHBand="0" w:evenHBand="1" w:firstRowFirstColumn="0" w:firstRowLastColumn="0" w:lastRowFirstColumn="0" w:lastRowLastColumn="0"/>
          <w:trHeight w:val="284"/>
        </w:trPr>
        <w:tc>
          <w:tcPr>
            <w:tcW w:w="7508" w:type="dxa"/>
            <w:gridSpan w:val="5"/>
            <w:hideMark/>
          </w:tcPr>
          <w:p w14:paraId="27E55298" w14:textId="77777777" w:rsidR="006D200E" w:rsidRPr="001844EE" w:rsidRDefault="006D200E" w:rsidP="004B545B">
            <w:pPr>
              <w:pStyle w:val="Paragraph"/>
              <w:spacing w:after="0" w:line="240" w:lineRule="auto"/>
              <w:contextualSpacing/>
            </w:pPr>
            <w:r w:rsidRPr="001844EE">
              <w:rPr>
                <w:b/>
                <w:bCs/>
              </w:rPr>
              <w:t>TOTAL</w:t>
            </w:r>
          </w:p>
        </w:tc>
        <w:tc>
          <w:tcPr>
            <w:tcW w:w="1313" w:type="dxa"/>
            <w:gridSpan w:val="2"/>
            <w:noWrap/>
            <w:hideMark/>
          </w:tcPr>
          <w:p w14:paraId="239E47FE" w14:textId="77777777" w:rsidR="006D200E" w:rsidRPr="001844EE" w:rsidRDefault="006D200E" w:rsidP="00DE248F">
            <w:pPr>
              <w:pStyle w:val="Paragraph"/>
              <w:spacing w:after="0" w:line="240" w:lineRule="auto"/>
              <w:contextualSpacing/>
              <w:jc w:val="right"/>
              <w:rPr>
                <w:b/>
                <w:bCs/>
              </w:rPr>
            </w:pPr>
            <w:r w:rsidRPr="001844EE">
              <w:rPr>
                <w:b/>
                <w:bCs/>
              </w:rPr>
              <w:t>$61,200</w:t>
            </w:r>
          </w:p>
        </w:tc>
      </w:tr>
      <w:tr w:rsidR="006D200E" w:rsidRPr="001844EE" w14:paraId="35C36C00" w14:textId="77777777" w:rsidTr="00D205E7">
        <w:trPr>
          <w:cnfStyle w:val="000000100000" w:firstRow="0" w:lastRow="0" w:firstColumn="0" w:lastColumn="0" w:oddVBand="0" w:evenVBand="0" w:oddHBand="1" w:evenHBand="0" w:firstRowFirstColumn="0" w:firstRowLastColumn="0" w:lastRowFirstColumn="0" w:lastRowLastColumn="0"/>
          <w:trHeight w:val="284"/>
        </w:trPr>
        <w:tc>
          <w:tcPr>
            <w:tcW w:w="8821" w:type="dxa"/>
            <w:gridSpan w:val="7"/>
            <w:hideMark/>
          </w:tcPr>
          <w:p w14:paraId="54B819D2" w14:textId="77777777" w:rsidR="006D200E" w:rsidRPr="001844EE" w:rsidRDefault="006D200E" w:rsidP="004B545B">
            <w:pPr>
              <w:pStyle w:val="Paragraph"/>
              <w:spacing w:after="0" w:line="240" w:lineRule="auto"/>
              <w:contextualSpacing/>
            </w:pPr>
            <w:r w:rsidRPr="001844EE">
              <w:rPr>
                <w:b/>
                <w:bCs/>
              </w:rPr>
              <w:t>Small CSPs</w:t>
            </w:r>
          </w:p>
        </w:tc>
      </w:tr>
      <w:tr w:rsidR="006D200E" w:rsidRPr="001844EE" w14:paraId="7845BA43" w14:textId="77777777" w:rsidTr="00D205E7">
        <w:trPr>
          <w:gridAfter w:val="1"/>
          <w:cnfStyle w:val="000000010000" w:firstRow="0" w:lastRow="0" w:firstColumn="0" w:lastColumn="0" w:oddVBand="0" w:evenVBand="0" w:oddHBand="0" w:evenHBand="1" w:firstRowFirstColumn="0" w:firstRowLastColumn="0" w:lastRowFirstColumn="0" w:lastRowLastColumn="0"/>
          <w:wAfter w:w="14" w:type="dxa"/>
          <w:trHeight w:val="284"/>
        </w:trPr>
        <w:tc>
          <w:tcPr>
            <w:tcW w:w="2122" w:type="dxa"/>
            <w:hideMark/>
          </w:tcPr>
          <w:p w14:paraId="25130642" w14:textId="77777777" w:rsidR="006D200E" w:rsidRPr="001844EE" w:rsidRDefault="006D200E" w:rsidP="004B545B">
            <w:pPr>
              <w:pStyle w:val="Paragraph"/>
              <w:spacing w:after="0" w:line="240" w:lineRule="auto"/>
              <w:contextualSpacing/>
            </w:pPr>
            <w:r w:rsidRPr="001844EE">
              <w:t xml:space="preserve">Monitor processes </w:t>
            </w:r>
          </w:p>
        </w:tc>
        <w:tc>
          <w:tcPr>
            <w:tcW w:w="1559" w:type="dxa"/>
            <w:hideMark/>
          </w:tcPr>
          <w:p w14:paraId="65E3C5AD" w14:textId="77777777" w:rsidR="006D200E" w:rsidRPr="001844EE" w:rsidRDefault="006D200E" w:rsidP="00DE248F">
            <w:pPr>
              <w:pStyle w:val="Paragraph"/>
              <w:spacing w:after="0" w:line="240" w:lineRule="auto"/>
              <w:contextualSpacing/>
              <w:jc w:val="right"/>
            </w:pPr>
            <w:r w:rsidRPr="001844EE">
              <w:t xml:space="preserve">$1,500 </w:t>
            </w:r>
          </w:p>
        </w:tc>
        <w:tc>
          <w:tcPr>
            <w:tcW w:w="1417" w:type="dxa"/>
            <w:noWrap/>
            <w:hideMark/>
          </w:tcPr>
          <w:p w14:paraId="6E23646C" w14:textId="77777777" w:rsidR="006D200E" w:rsidRPr="001844EE" w:rsidRDefault="006D200E" w:rsidP="00DE248F">
            <w:pPr>
              <w:pStyle w:val="Paragraph"/>
              <w:spacing w:after="0" w:line="240" w:lineRule="auto"/>
              <w:contextualSpacing/>
              <w:jc w:val="right"/>
            </w:pPr>
          </w:p>
        </w:tc>
        <w:tc>
          <w:tcPr>
            <w:tcW w:w="1276" w:type="dxa"/>
            <w:noWrap/>
            <w:hideMark/>
          </w:tcPr>
          <w:p w14:paraId="5ED0769F" w14:textId="77777777" w:rsidR="006D200E" w:rsidRPr="001844EE" w:rsidRDefault="006D200E" w:rsidP="00DE248F">
            <w:pPr>
              <w:pStyle w:val="Paragraph"/>
              <w:spacing w:after="0" w:line="240" w:lineRule="auto"/>
              <w:contextualSpacing/>
              <w:jc w:val="right"/>
            </w:pPr>
            <w:r w:rsidRPr="001844EE">
              <w:t>27</w:t>
            </w:r>
          </w:p>
        </w:tc>
        <w:tc>
          <w:tcPr>
            <w:tcW w:w="1134" w:type="dxa"/>
            <w:noWrap/>
            <w:hideMark/>
          </w:tcPr>
          <w:p w14:paraId="7E63A778" w14:textId="77777777" w:rsidR="006D200E" w:rsidRPr="001844EE" w:rsidRDefault="006D200E" w:rsidP="00DE248F">
            <w:pPr>
              <w:pStyle w:val="Paragraph"/>
              <w:spacing w:after="0" w:line="240" w:lineRule="auto"/>
              <w:contextualSpacing/>
              <w:jc w:val="right"/>
            </w:pPr>
          </w:p>
        </w:tc>
        <w:tc>
          <w:tcPr>
            <w:tcW w:w="1299" w:type="dxa"/>
            <w:noWrap/>
            <w:hideMark/>
          </w:tcPr>
          <w:p w14:paraId="501CB482" w14:textId="77777777" w:rsidR="006D200E" w:rsidRPr="001844EE" w:rsidRDefault="006D200E" w:rsidP="00DE248F">
            <w:pPr>
              <w:pStyle w:val="Paragraph"/>
              <w:spacing w:after="0" w:line="240" w:lineRule="auto"/>
              <w:contextualSpacing/>
              <w:jc w:val="right"/>
            </w:pPr>
            <w:r w:rsidRPr="001844EE">
              <w:t>$40,500</w:t>
            </w:r>
          </w:p>
        </w:tc>
      </w:tr>
      <w:tr w:rsidR="006D200E" w:rsidRPr="001844EE" w14:paraId="3F0BEF62" w14:textId="77777777" w:rsidTr="00D205E7">
        <w:trPr>
          <w:gridAfter w:val="1"/>
          <w:cnfStyle w:val="000000100000" w:firstRow="0" w:lastRow="0" w:firstColumn="0" w:lastColumn="0" w:oddVBand="0" w:evenVBand="0" w:oddHBand="1" w:evenHBand="0" w:firstRowFirstColumn="0" w:firstRowLastColumn="0" w:lastRowFirstColumn="0" w:lastRowLastColumn="0"/>
          <w:wAfter w:w="14" w:type="dxa"/>
          <w:trHeight w:val="284"/>
        </w:trPr>
        <w:tc>
          <w:tcPr>
            <w:tcW w:w="2122" w:type="dxa"/>
            <w:hideMark/>
          </w:tcPr>
          <w:p w14:paraId="260790C8" w14:textId="77777777" w:rsidR="006D200E" w:rsidRPr="001844EE" w:rsidRDefault="006D200E" w:rsidP="004B545B">
            <w:pPr>
              <w:pStyle w:val="Paragraph"/>
              <w:spacing w:after="0" w:line="240" w:lineRule="auto"/>
              <w:contextualSpacing/>
            </w:pPr>
            <w:r w:rsidRPr="001844EE">
              <w:t>Staff training</w:t>
            </w:r>
          </w:p>
        </w:tc>
        <w:tc>
          <w:tcPr>
            <w:tcW w:w="1559" w:type="dxa"/>
            <w:hideMark/>
          </w:tcPr>
          <w:p w14:paraId="0B4A06A0" w14:textId="77777777" w:rsidR="006D200E" w:rsidRPr="001844EE" w:rsidRDefault="006D200E" w:rsidP="00DE248F">
            <w:pPr>
              <w:pStyle w:val="Paragraph"/>
              <w:spacing w:after="0" w:line="240" w:lineRule="auto"/>
              <w:contextualSpacing/>
              <w:jc w:val="right"/>
            </w:pPr>
          </w:p>
        </w:tc>
        <w:tc>
          <w:tcPr>
            <w:tcW w:w="1417" w:type="dxa"/>
            <w:noWrap/>
            <w:hideMark/>
          </w:tcPr>
          <w:p w14:paraId="31ECE3EB" w14:textId="77777777" w:rsidR="006D200E" w:rsidRPr="001844EE" w:rsidRDefault="006D200E" w:rsidP="00DE248F">
            <w:pPr>
              <w:pStyle w:val="Paragraph"/>
              <w:spacing w:after="0" w:line="240" w:lineRule="auto"/>
              <w:contextualSpacing/>
              <w:jc w:val="right"/>
            </w:pPr>
            <w:r w:rsidRPr="001844EE">
              <w:t>50</w:t>
            </w:r>
          </w:p>
        </w:tc>
        <w:tc>
          <w:tcPr>
            <w:tcW w:w="1276" w:type="dxa"/>
            <w:noWrap/>
            <w:hideMark/>
          </w:tcPr>
          <w:p w14:paraId="67F08643" w14:textId="77777777" w:rsidR="006D200E" w:rsidRPr="001844EE" w:rsidRDefault="006D200E" w:rsidP="00DE248F">
            <w:pPr>
              <w:pStyle w:val="Paragraph"/>
              <w:spacing w:after="0" w:line="240" w:lineRule="auto"/>
              <w:contextualSpacing/>
              <w:jc w:val="right"/>
            </w:pPr>
            <w:r w:rsidRPr="001844EE">
              <w:t>27</w:t>
            </w:r>
          </w:p>
        </w:tc>
        <w:tc>
          <w:tcPr>
            <w:tcW w:w="1134" w:type="dxa"/>
            <w:hideMark/>
          </w:tcPr>
          <w:p w14:paraId="115B94A8" w14:textId="77777777" w:rsidR="006D200E" w:rsidRPr="001844EE" w:rsidRDefault="006D200E" w:rsidP="00DE248F">
            <w:pPr>
              <w:pStyle w:val="Paragraph"/>
              <w:spacing w:after="0" w:line="240" w:lineRule="auto"/>
              <w:contextualSpacing/>
              <w:jc w:val="right"/>
            </w:pPr>
            <w:r w:rsidRPr="001844EE">
              <w:t xml:space="preserve">$73 </w:t>
            </w:r>
          </w:p>
        </w:tc>
        <w:tc>
          <w:tcPr>
            <w:tcW w:w="1299" w:type="dxa"/>
            <w:noWrap/>
            <w:hideMark/>
          </w:tcPr>
          <w:p w14:paraId="01629C1F" w14:textId="77777777" w:rsidR="006D200E" w:rsidRPr="001844EE" w:rsidRDefault="006D200E" w:rsidP="00DE248F">
            <w:pPr>
              <w:pStyle w:val="Paragraph"/>
              <w:spacing w:after="0" w:line="240" w:lineRule="auto"/>
              <w:contextualSpacing/>
              <w:jc w:val="right"/>
            </w:pPr>
            <w:r w:rsidRPr="001844EE">
              <w:t>$98,550</w:t>
            </w:r>
          </w:p>
        </w:tc>
      </w:tr>
      <w:tr w:rsidR="006D200E" w:rsidRPr="001844EE" w14:paraId="0EA67DB8" w14:textId="77777777" w:rsidTr="00D205E7">
        <w:trPr>
          <w:cnfStyle w:val="000000010000" w:firstRow="0" w:lastRow="0" w:firstColumn="0" w:lastColumn="0" w:oddVBand="0" w:evenVBand="0" w:oddHBand="0" w:evenHBand="1" w:firstRowFirstColumn="0" w:firstRowLastColumn="0" w:lastRowFirstColumn="0" w:lastRowLastColumn="0"/>
          <w:trHeight w:val="284"/>
        </w:trPr>
        <w:tc>
          <w:tcPr>
            <w:tcW w:w="7508" w:type="dxa"/>
            <w:gridSpan w:val="5"/>
            <w:hideMark/>
          </w:tcPr>
          <w:p w14:paraId="47EB5D31" w14:textId="77777777" w:rsidR="006D200E" w:rsidRPr="001844EE" w:rsidRDefault="006D200E" w:rsidP="004B545B">
            <w:pPr>
              <w:pStyle w:val="Paragraph"/>
              <w:spacing w:after="0" w:line="240" w:lineRule="auto"/>
              <w:contextualSpacing/>
            </w:pPr>
            <w:r w:rsidRPr="001844EE">
              <w:rPr>
                <w:b/>
                <w:bCs/>
              </w:rPr>
              <w:t>TOTAL</w:t>
            </w:r>
          </w:p>
        </w:tc>
        <w:tc>
          <w:tcPr>
            <w:tcW w:w="1313" w:type="dxa"/>
            <w:gridSpan w:val="2"/>
            <w:noWrap/>
            <w:hideMark/>
          </w:tcPr>
          <w:p w14:paraId="2B62F6E5" w14:textId="77777777" w:rsidR="006D200E" w:rsidRPr="001844EE" w:rsidRDefault="006D200E" w:rsidP="00DE248F">
            <w:pPr>
              <w:pStyle w:val="Paragraph"/>
              <w:spacing w:after="0" w:line="240" w:lineRule="auto"/>
              <w:contextualSpacing/>
              <w:jc w:val="right"/>
              <w:rPr>
                <w:b/>
                <w:bCs/>
              </w:rPr>
            </w:pPr>
            <w:r w:rsidRPr="001844EE">
              <w:rPr>
                <w:b/>
                <w:bCs/>
              </w:rPr>
              <w:t>$139,050</w:t>
            </w:r>
          </w:p>
        </w:tc>
      </w:tr>
      <w:tr w:rsidR="006D200E" w:rsidRPr="001844EE" w14:paraId="233096AB" w14:textId="77777777" w:rsidTr="00D205E7">
        <w:trPr>
          <w:cnfStyle w:val="000000100000" w:firstRow="0" w:lastRow="0" w:firstColumn="0" w:lastColumn="0" w:oddVBand="0" w:evenVBand="0" w:oddHBand="1" w:evenHBand="0" w:firstRowFirstColumn="0" w:firstRowLastColumn="0" w:lastRowFirstColumn="0" w:lastRowLastColumn="0"/>
          <w:trHeight w:val="284"/>
        </w:trPr>
        <w:tc>
          <w:tcPr>
            <w:tcW w:w="8821" w:type="dxa"/>
            <w:gridSpan w:val="7"/>
            <w:hideMark/>
          </w:tcPr>
          <w:p w14:paraId="2431BD1C" w14:textId="41395355" w:rsidR="006D200E" w:rsidRPr="001844EE" w:rsidRDefault="006D200E" w:rsidP="004B545B">
            <w:pPr>
              <w:pStyle w:val="Paragraph"/>
              <w:spacing w:after="0" w:line="240" w:lineRule="auto"/>
              <w:contextualSpacing/>
            </w:pPr>
            <w:r w:rsidRPr="001844EE">
              <w:rPr>
                <w:b/>
                <w:bCs/>
              </w:rPr>
              <w:t xml:space="preserve">Very </w:t>
            </w:r>
            <w:r w:rsidR="00D205E7">
              <w:rPr>
                <w:b/>
                <w:bCs/>
              </w:rPr>
              <w:t>s</w:t>
            </w:r>
            <w:r w:rsidRPr="001844EE">
              <w:rPr>
                <w:b/>
                <w:bCs/>
              </w:rPr>
              <w:t>mall CSPs</w:t>
            </w:r>
          </w:p>
        </w:tc>
      </w:tr>
      <w:tr w:rsidR="006D200E" w:rsidRPr="001844EE" w14:paraId="017E61CD" w14:textId="77777777" w:rsidTr="00D205E7">
        <w:trPr>
          <w:gridAfter w:val="1"/>
          <w:cnfStyle w:val="000000010000" w:firstRow="0" w:lastRow="0" w:firstColumn="0" w:lastColumn="0" w:oddVBand="0" w:evenVBand="0" w:oddHBand="0" w:evenHBand="1" w:firstRowFirstColumn="0" w:firstRowLastColumn="0" w:lastRowFirstColumn="0" w:lastRowLastColumn="0"/>
          <w:wAfter w:w="14" w:type="dxa"/>
          <w:trHeight w:val="284"/>
        </w:trPr>
        <w:tc>
          <w:tcPr>
            <w:tcW w:w="2122" w:type="dxa"/>
            <w:hideMark/>
          </w:tcPr>
          <w:p w14:paraId="1A10DA24" w14:textId="77777777" w:rsidR="006D200E" w:rsidRPr="001844EE" w:rsidRDefault="006D200E" w:rsidP="004B545B">
            <w:pPr>
              <w:pStyle w:val="Paragraph"/>
              <w:spacing w:after="0" w:line="240" w:lineRule="auto"/>
              <w:contextualSpacing/>
            </w:pPr>
            <w:r w:rsidRPr="001844EE">
              <w:t xml:space="preserve">Monitor processes </w:t>
            </w:r>
          </w:p>
        </w:tc>
        <w:tc>
          <w:tcPr>
            <w:tcW w:w="1559" w:type="dxa"/>
            <w:hideMark/>
          </w:tcPr>
          <w:p w14:paraId="138D5D84" w14:textId="77777777" w:rsidR="006D200E" w:rsidRPr="001844EE" w:rsidRDefault="006D200E" w:rsidP="00DE248F">
            <w:pPr>
              <w:pStyle w:val="Paragraph"/>
              <w:spacing w:after="0" w:line="240" w:lineRule="auto"/>
              <w:contextualSpacing/>
              <w:jc w:val="right"/>
            </w:pPr>
            <w:r w:rsidRPr="001844EE">
              <w:t xml:space="preserve">$1,250 </w:t>
            </w:r>
          </w:p>
        </w:tc>
        <w:tc>
          <w:tcPr>
            <w:tcW w:w="1417" w:type="dxa"/>
            <w:noWrap/>
            <w:hideMark/>
          </w:tcPr>
          <w:p w14:paraId="31493A8A" w14:textId="77777777" w:rsidR="006D200E" w:rsidRPr="001844EE" w:rsidRDefault="006D200E" w:rsidP="00DE248F">
            <w:pPr>
              <w:pStyle w:val="Paragraph"/>
              <w:spacing w:after="0" w:line="240" w:lineRule="auto"/>
              <w:contextualSpacing/>
              <w:jc w:val="right"/>
            </w:pPr>
          </w:p>
        </w:tc>
        <w:tc>
          <w:tcPr>
            <w:tcW w:w="1276" w:type="dxa"/>
            <w:noWrap/>
            <w:hideMark/>
          </w:tcPr>
          <w:p w14:paraId="615792B4" w14:textId="77777777" w:rsidR="006D200E" w:rsidRPr="001844EE" w:rsidRDefault="006D200E" w:rsidP="00DE248F">
            <w:pPr>
              <w:pStyle w:val="Paragraph"/>
              <w:spacing w:after="0" w:line="240" w:lineRule="auto"/>
              <w:contextualSpacing/>
              <w:jc w:val="right"/>
            </w:pPr>
            <w:r w:rsidRPr="001844EE">
              <w:t>317</w:t>
            </w:r>
          </w:p>
        </w:tc>
        <w:tc>
          <w:tcPr>
            <w:tcW w:w="1134" w:type="dxa"/>
            <w:noWrap/>
            <w:hideMark/>
          </w:tcPr>
          <w:p w14:paraId="77A3E3AC" w14:textId="77777777" w:rsidR="006D200E" w:rsidRPr="001844EE" w:rsidRDefault="006D200E" w:rsidP="00DE248F">
            <w:pPr>
              <w:pStyle w:val="Paragraph"/>
              <w:spacing w:after="0" w:line="240" w:lineRule="auto"/>
              <w:contextualSpacing/>
              <w:jc w:val="right"/>
            </w:pPr>
          </w:p>
        </w:tc>
        <w:tc>
          <w:tcPr>
            <w:tcW w:w="1299" w:type="dxa"/>
            <w:noWrap/>
            <w:hideMark/>
          </w:tcPr>
          <w:p w14:paraId="656226FB" w14:textId="77777777" w:rsidR="006D200E" w:rsidRPr="001844EE" w:rsidRDefault="006D200E" w:rsidP="00DE248F">
            <w:pPr>
              <w:pStyle w:val="Paragraph"/>
              <w:spacing w:after="0" w:line="240" w:lineRule="auto"/>
              <w:contextualSpacing/>
              <w:jc w:val="right"/>
            </w:pPr>
            <w:r w:rsidRPr="001844EE">
              <w:t>$396,250</w:t>
            </w:r>
          </w:p>
        </w:tc>
      </w:tr>
      <w:tr w:rsidR="006D200E" w:rsidRPr="001844EE" w14:paraId="773CCAF9" w14:textId="77777777" w:rsidTr="00D205E7">
        <w:trPr>
          <w:gridAfter w:val="1"/>
          <w:cnfStyle w:val="000000100000" w:firstRow="0" w:lastRow="0" w:firstColumn="0" w:lastColumn="0" w:oddVBand="0" w:evenVBand="0" w:oddHBand="1" w:evenHBand="0" w:firstRowFirstColumn="0" w:firstRowLastColumn="0" w:lastRowFirstColumn="0" w:lastRowLastColumn="0"/>
          <w:wAfter w:w="14" w:type="dxa"/>
          <w:trHeight w:val="284"/>
        </w:trPr>
        <w:tc>
          <w:tcPr>
            <w:tcW w:w="2122" w:type="dxa"/>
            <w:hideMark/>
          </w:tcPr>
          <w:p w14:paraId="687A9730" w14:textId="77777777" w:rsidR="006D200E" w:rsidRPr="001844EE" w:rsidRDefault="006D200E" w:rsidP="004B545B">
            <w:pPr>
              <w:pStyle w:val="Paragraph"/>
              <w:spacing w:after="0" w:line="240" w:lineRule="auto"/>
              <w:contextualSpacing/>
            </w:pPr>
            <w:r w:rsidRPr="001844EE">
              <w:t>Staff training</w:t>
            </w:r>
          </w:p>
        </w:tc>
        <w:tc>
          <w:tcPr>
            <w:tcW w:w="1559" w:type="dxa"/>
            <w:hideMark/>
          </w:tcPr>
          <w:p w14:paraId="4207029A" w14:textId="77777777" w:rsidR="006D200E" w:rsidRPr="001844EE" w:rsidRDefault="006D200E" w:rsidP="00DE248F">
            <w:pPr>
              <w:pStyle w:val="Paragraph"/>
              <w:spacing w:after="0" w:line="240" w:lineRule="auto"/>
              <w:contextualSpacing/>
              <w:jc w:val="right"/>
            </w:pPr>
          </w:p>
        </w:tc>
        <w:tc>
          <w:tcPr>
            <w:tcW w:w="1417" w:type="dxa"/>
            <w:noWrap/>
            <w:hideMark/>
          </w:tcPr>
          <w:p w14:paraId="21FB9E0C" w14:textId="77777777" w:rsidR="006D200E" w:rsidRPr="001844EE" w:rsidRDefault="006D200E" w:rsidP="00DE248F">
            <w:pPr>
              <w:pStyle w:val="Paragraph"/>
              <w:spacing w:after="0" w:line="240" w:lineRule="auto"/>
              <w:contextualSpacing/>
              <w:jc w:val="right"/>
            </w:pPr>
            <w:r w:rsidRPr="001844EE">
              <w:t>30</w:t>
            </w:r>
          </w:p>
        </w:tc>
        <w:tc>
          <w:tcPr>
            <w:tcW w:w="1276" w:type="dxa"/>
            <w:noWrap/>
            <w:hideMark/>
          </w:tcPr>
          <w:p w14:paraId="4CEAEC81" w14:textId="77777777" w:rsidR="006D200E" w:rsidRPr="001844EE" w:rsidRDefault="006D200E" w:rsidP="00DE248F">
            <w:pPr>
              <w:pStyle w:val="Paragraph"/>
              <w:spacing w:after="0" w:line="240" w:lineRule="auto"/>
              <w:contextualSpacing/>
              <w:jc w:val="right"/>
            </w:pPr>
            <w:r w:rsidRPr="001844EE">
              <w:t>317</w:t>
            </w:r>
          </w:p>
        </w:tc>
        <w:tc>
          <w:tcPr>
            <w:tcW w:w="1134" w:type="dxa"/>
            <w:hideMark/>
          </w:tcPr>
          <w:p w14:paraId="6B7FE8E7" w14:textId="77777777" w:rsidR="006D200E" w:rsidRPr="001844EE" w:rsidRDefault="006D200E" w:rsidP="00DE248F">
            <w:pPr>
              <w:pStyle w:val="Paragraph"/>
              <w:spacing w:after="0" w:line="240" w:lineRule="auto"/>
              <w:contextualSpacing/>
              <w:jc w:val="right"/>
            </w:pPr>
            <w:r w:rsidRPr="001844EE">
              <w:t xml:space="preserve">$73 </w:t>
            </w:r>
          </w:p>
        </w:tc>
        <w:tc>
          <w:tcPr>
            <w:tcW w:w="1299" w:type="dxa"/>
            <w:noWrap/>
            <w:hideMark/>
          </w:tcPr>
          <w:p w14:paraId="2516D02B" w14:textId="77777777" w:rsidR="006D200E" w:rsidRPr="001844EE" w:rsidRDefault="006D200E" w:rsidP="00DE248F">
            <w:pPr>
              <w:pStyle w:val="Paragraph"/>
              <w:spacing w:after="0" w:line="240" w:lineRule="auto"/>
              <w:contextualSpacing/>
              <w:jc w:val="right"/>
            </w:pPr>
            <w:r w:rsidRPr="001844EE">
              <w:t>$694,230</w:t>
            </w:r>
          </w:p>
        </w:tc>
      </w:tr>
      <w:tr w:rsidR="006D200E" w:rsidRPr="001844EE" w14:paraId="4A84881D" w14:textId="77777777" w:rsidTr="00D205E7">
        <w:trPr>
          <w:cnfStyle w:val="000000010000" w:firstRow="0" w:lastRow="0" w:firstColumn="0" w:lastColumn="0" w:oddVBand="0" w:evenVBand="0" w:oddHBand="0" w:evenHBand="1" w:firstRowFirstColumn="0" w:firstRowLastColumn="0" w:lastRowFirstColumn="0" w:lastRowLastColumn="0"/>
          <w:trHeight w:val="284"/>
        </w:trPr>
        <w:tc>
          <w:tcPr>
            <w:tcW w:w="7508" w:type="dxa"/>
            <w:gridSpan w:val="5"/>
            <w:hideMark/>
          </w:tcPr>
          <w:p w14:paraId="7243ABFD" w14:textId="77777777" w:rsidR="006D200E" w:rsidRPr="001844EE" w:rsidRDefault="006D200E" w:rsidP="004B545B">
            <w:pPr>
              <w:pStyle w:val="Paragraph"/>
              <w:spacing w:after="0" w:line="240" w:lineRule="auto"/>
              <w:contextualSpacing/>
            </w:pPr>
            <w:r w:rsidRPr="001844EE">
              <w:rPr>
                <w:b/>
                <w:bCs/>
              </w:rPr>
              <w:t>TOTAL</w:t>
            </w:r>
          </w:p>
        </w:tc>
        <w:tc>
          <w:tcPr>
            <w:tcW w:w="1313" w:type="dxa"/>
            <w:gridSpan w:val="2"/>
            <w:noWrap/>
            <w:hideMark/>
          </w:tcPr>
          <w:p w14:paraId="2929FABA" w14:textId="77777777" w:rsidR="006D200E" w:rsidRPr="001844EE" w:rsidRDefault="006D200E" w:rsidP="00DE248F">
            <w:pPr>
              <w:pStyle w:val="Paragraph"/>
              <w:spacing w:after="0" w:line="240" w:lineRule="auto"/>
              <w:contextualSpacing/>
              <w:jc w:val="right"/>
              <w:rPr>
                <w:b/>
                <w:bCs/>
              </w:rPr>
            </w:pPr>
            <w:r w:rsidRPr="001844EE">
              <w:rPr>
                <w:b/>
                <w:bCs/>
              </w:rPr>
              <w:t>$1,090,480</w:t>
            </w:r>
          </w:p>
        </w:tc>
      </w:tr>
      <w:tr w:rsidR="006D200E" w:rsidRPr="001844EE" w14:paraId="1A1B33BB" w14:textId="77777777" w:rsidTr="00D205E7">
        <w:trPr>
          <w:cnfStyle w:val="000000100000" w:firstRow="0" w:lastRow="0" w:firstColumn="0" w:lastColumn="0" w:oddVBand="0" w:evenVBand="0" w:oddHBand="1" w:evenHBand="0" w:firstRowFirstColumn="0" w:firstRowLastColumn="0" w:lastRowFirstColumn="0" w:lastRowLastColumn="0"/>
          <w:trHeight w:val="284"/>
        </w:trPr>
        <w:tc>
          <w:tcPr>
            <w:tcW w:w="7508" w:type="dxa"/>
            <w:gridSpan w:val="5"/>
            <w:hideMark/>
          </w:tcPr>
          <w:p w14:paraId="59669281" w14:textId="36684D1B" w:rsidR="006D200E" w:rsidRPr="001844EE" w:rsidRDefault="006D200E" w:rsidP="004B545B">
            <w:pPr>
              <w:pStyle w:val="Paragraph"/>
              <w:spacing w:after="0" w:line="240" w:lineRule="auto"/>
              <w:contextualSpacing/>
              <w:rPr>
                <w:b/>
                <w:bCs/>
              </w:rPr>
            </w:pPr>
            <w:r>
              <w:rPr>
                <w:b/>
                <w:bCs/>
              </w:rPr>
              <w:t xml:space="preserve">Total ongoing costs to CSPs under </w:t>
            </w:r>
            <w:r w:rsidR="00A05A0C">
              <w:rPr>
                <w:b/>
                <w:bCs/>
              </w:rPr>
              <w:t>O</w:t>
            </w:r>
            <w:r>
              <w:rPr>
                <w:b/>
                <w:bCs/>
              </w:rPr>
              <w:t>ption 2B</w:t>
            </w:r>
          </w:p>
        </w:tc>
        <w:tc>
          <w:tcPr>
            <w:tcW w:w="1313" w:type="dxa"/>
            <w:gridSpan w:val="2"/>
            <w:noWrap/>
            <w:hideMark/>
          </w:tcPr>
          <w:p w14:paraId="4F0F5420" w14:textId="77777777" w:rsidR="006D200E" w:rsidRPr="001844EE" w:rsidRDefault="006D200E" w:rsidP="00DE248F">
            <w:pPr>
              <w:pStyle w:val="Paragraph"/>
              <w:spacing w:after="0" w:line="240" w:lineRule="auto"/>
              <w:contextualSpacing/>
              <w:jc w:val="right"/>
              <w:rPr>
                <w:b/>
                <w:bCs/>
              </w:rPr>
            </w:pPr>
            <w:r w:rsidRPr="001844EE">
              <w:rPr>
                <w:b/>
                <w:bCs/>
              </w:rPr>
              <w:t>$1,379,930</w:t>
            </w:r>
          </w:p>
        </w:tc>
      </w:tr>
    </w:tbl>
    <w:p w14:paraId="6C6B8E79" w14:textId="77777777" w:rsidR="00D6144E" w:rsidRDefault="00D6144E" w:rsidP="00D6144E">
      <w:pPr>
        <w:pStyle w:val="Tableorfigurenote"/>
        <w:rPr>
          <w:i w:val="0"/>
          <w:iCs/>
        </w:rPr>
      </w:pPr>
    </w:p>
    <w:sectPr w:rsidR="00D6144E" w:rsidSect="00FB53A1">
      <w:pgSz w:w="11906" w:h="16838" w:code="9"/>
      <w:pgMar w:top="1945" w:right="3101" w:bottom="1134"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F61AD" w14:textId="77777777" w:rsidR="00F3579B" w:rsidRDefault="00F3579B" w:rsidP="00573DDE">
      <w:pPr>
        <w:spacing w:after="0" w:line="240" w:lineRule="auto"/>
      </w:pPr>
      <w:r>
        <w:separator/>
      </w:r>
    </w:p>
  </w:endnote>
  <w:endnote w:type="continuationSeparator" w:id="0">
    <w:p w14:paraId="6BBC561D" w14:textId="77777777" w:rsidR="00F3579B" w:rsidRDefault="00F3579B" w:rsidP="00573DDE">
      <w:pPr>
        <w:spacing w:after="0" w:line="240" w:lineRule="auto"/>
      </w:pPr>
      <w:r>
        <w:continuationSeparator/>
      </w:r>
    </w:p>
  </w:endnote>
  <w:endnote w:type="continuationNotice" w:id="1">
    <w:p w14:paraId="4DBE9B08" w14:textId="77777777" w:rsidR="00F3579B" w:rsidRDefault="00F357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D329E" w14:textId="77777777" w:rsidR="0065520A" w:rsidRDefault="0065520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8B54D" w14:textId="61147F7E" w:rsidR="00C9240C" w:rsidRPr="00622A3B" w:rsidRDefault="00C9240C" w:rsidP="00C9240C">
    <w:pPr>
      <w:pStyle w:val="Footer"/>
      <w:framePr w:w="1756" w:h="357" w:hRule="exact" w:vSpace="425" w:wrap="around" w:vAnchor="page" w:hAnchor="page" w:x="7335" w:y="16097"/>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65520A">
      <w:rPr>
        <w:noProof/>
        <w:color w:val="505050"/>
      </w:rPr>
      <w:t>17</w:t>
    </w:r>
    <w:r w:rsidRPr="00575AC5">
      <w:rPr>
        <w:color w:val="505050"/>
      </w:rPr>
      <w:fldChar w:fldCharType="end"/>
    </w:r>
  </w:p>
  <w:p w14:paraId="7A3001F8" w14:textId="77777777" w:rsidR="00C9240C" w:rsidRPr="00A5474E" w:rsidRDefault="00C9240C" w:rsidP="00C9240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89A1B" w14:textId="66A26383" w:rsidR="006D200E" w:rsidRPr="00622A3B" w:rsidRDefault="006D200E">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65520A">
      <w:rPr>
        <w:noProof/>
      </w:rPr>
      <w:t>44</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5DCB781" w14:textId="77777777" w:rsidR="006D200E" w:rsidRPr="00A5474E" w:rsidRDefault="006D200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9F91E" w14:textId="34990D2B" w:rsidR="006D200E" w:rsidRPr="00622A3B" w:rsidRDefault="006D200E">
    <w:pPr>
      <w:pStyle w:val="Footer"/>
      <w:framePr w:w="1756" w:h="357" w:hRule="exact" w:vSpace="425" w:wrap="around" w:vAnchor="page" w:hAnchor="page" w:x="7335" w:y="16097"/>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65520A">
      <w:rPr>
        <w:noProof/>
        <w:color w:val="505050"/>
      </w:rPr>
      <w:t>45</w:t>
    </w:r>
    <w:r w:rsidRPr="00575AC5">
      <w:rPr>
        <w:color w:val="505050"/>
      </w:rPr>
      <w:fldChar w:fldCharType="end"/>
    </w:r>
  </w:p>
  <w:p w14:paraId="0AE6BADC" w14:textId="77777777" w:rsidR="006D200E" w:rsidRPr="00A5474E" w:rsidRDefault="006D2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EA119" w14:textId="77777777" w:rsidR="00C9240C" w:rsidRDefault="00C9240C" w:rsidP="00C9240C">
    <w:pPr>
      <w:pStyle w:val="Footer"/>
      <w:jc w:val="right"/>
    </w:pPr>
    <w:r w:rsidRPr="005E250B">
      <w:rPr>
        <w:noProof/>
        <w:vertAlign w:val="subscript"/>
      </w:rPr>
      <w:drawing>
        <wp:inline distT="0" distB="0" distL="0" distR="0" wp14:anchorId="394F3533" wp14:editId="2EB8C8E2">
          <wp:extent cx="1066800" cy="277368"/>
          <wp:effectExtent l="0" t="0" r="0" b="0"/>
          <wp:docPr id="5" name="Picture 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D4B0D" w14:textId="77777777" w:rsidR="0065520A" w:rsidRDefault="006552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F6BEB" w14:textId="77777777" w:rsidR="00C9240C" w:rsidRDefault="00C924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FC35" w14:textId="77777777" w:rsidR="00C9240C" w:rsidRDefault="00C924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7E07F" w14:textId="03DDF34B" w:rsidR="00083B2C" w:rsidRPr="00622A3B" w:rsidRDefault="00083B2C" w:rsidP="00083B2C">
    <w:pPr>
      <w:pStyle w:val="Footer"/>
      <w:framePr w:w="1586" w:h="357" w:hRule="exact" w:vSpace="425" w:wrap="around" w:vAnchor="page" w:hAnchor="page" w:x="1145" w:y="16150"/>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65520A">
      <w:rPr>
        <w:noProof/>
        <w:color w:val="505050"/>
      </w:rPr>
      <w:t>iv</w:t>
    </w:r>
    <w:r w:rsidRPr="002E4DDC">
      <w:rPr>
        <w:color w:val="505050"/>
      </w:rPr>
      <w:fldChar w:fldCharType="end"/>
    </w:r>
  </w:p>
  <w:p w14:paraId="7C3DA9E6" w14:textId="77777777" w:rsidR="00C9240C" w:rsidRPr="00A5474E" w:rsidRDefault="00C9240C" w:rsidP="00C9240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0D03A" w14:textId="66CE4363" w:rsidR="00C9240C" w:rsidRPr="00622A3B" w:rsidRDefault="00C9240C" w:rsidP="00C9240C">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5D2916">
      <w:rPr>
        <w:noProof/>
        <w:color w:val="505050"/>
      </w:rPr>
      <w:t>iv</w:t>
    </w:r>
    <w:r w:rsidRPr="002E4DDC">
      <w:rPr>
        <w:color w:val="505050"/>
      </w:rPr>
      <w:fldChar w:fldCharType="end"/>
    </w:r>
  </w:p>
  <w:p w14:paraId="4180FB11" w14:textId="77777777" w:rsidR="00C9240C" w:rsidRPr="00A5474E" w:rsidRDefault="00C9240C" w:rsidP="00C9240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8CDCF" w14:textId="73AD61BA" w:rsidR="00420D03" w:rsidRPr="00420D03" w:rsidRDefault="00420D03" w:rsidP="00083B2C">
    <w:pPr>
      <w:framePr w:w="1697" w:h="357" w:hRule="exact" w:vSpace="425" w:wrap="around" w:vAnchor="page" w:hAnchor="page" w:x="7332" w:y="16166"/>
      <w:pBdr>
        <w:top w:val="single" w:sz="4" w:space="1" w:color="auto"/>
      </w:pBdr>
      <w:tabs>
        <w:tab w:val="left" w:pos="284"/>
      </w:tabs>
      <w:spacing w:line="240" w:lineRule="auto"/>
      <w:jc w:val="right"/>
      <w:rPr>
        <w:rFonts w:cs="Arial"/>
        <w:color w:val="323232"/>
        <w:sz w:val="16"/>
      </w:rPr>
    </w:pPr>
    <w:r w:rsidRPr="00420D03">
      <w:rPr>
        <w:rFonts w:cs="Arial"/>
        <w:b/>
        <w:noProof/>
        <w:color w:val="323232"/>
        <w:spacing w:val="-16"/>
        <w:szCs w:val="20"/>
      </w:rPr>
      <w:t>a</w:t>
    </w:r>
    <w:r w:rsidRPr="00420D03">
      <w:rPr>
        <w:rFonts w:cs="Arial"/>
        <w:b/>
        <w:noProof/>
        <w:color w:val="323232"/>
        <w:spacing w:val="-15"/>
        <w:szCs w:val="20"/>
      </w:rPr>
      <w:t>c</w:t>
    </w:r>
    <w:r w:rsidRPr="00420D03">
      <w:rPr>
        <w:rFonts w:cs="Arial"/>
        <w:b/>
        <w:noProof/>
        <w:color w:val="323232"/>
        <w:spacing w:val="-16"/>
        <w:szCs w:val="20"/>
      </w:rPr>
      <w:t>m</w:t>
    </w:r>
    <w:r w:rsidRPr="00420D03">
      <w:rPr>
        <w:rFonts w:cs="Arial"/>
        <w:b/>
        <w:noProof/>
        <w:color w:val="323232"/>
        <w:spacing w:val="-14"/>
        <w:szCs w:val="20"/>
      </w:rPr>
      <w:t>a</w:t>
    </w:r>
    <w:r w:rsidRPr="00420D03">
      <w:rPr>
        <w:rFonts w:cs="Arial"/>
        <w:color w:val="323232"/>
        <w:sz w:val="16"/>
      </w:rPr>
      <w:tab/>
      <w:t xml:space="preserve"> |</w:t>
    </w:r>
    <w:r w:rsidRPr="00420D03">
      <w:rPr>
        <w:color w:val="323232"/>
        <w:sz w:val="16"/>
      </w:rPr>
      <w:tab/>
    </w:r>
    <w:r w:rsidRPr="00420D03">
      <w:rPr>
        <w:color w:val="505050"/>
        <w:sz w:val="16"/>
      </w:rPr>
      <w:fldChar w:fldCharType="begin"/>
    </w:r>
    <w:r w:rsidRPr="00420D03">
      <w:rPr>
        <w:color w:val="505050"/>
        <w:sz w:val="16"/>
      </w:rPr>
      <w:instrText xml:space="preserve"> PAGE  \* roman  \* MERGEFORMAT </w:instrText>
    </w:r>
    <w:r w:rsidRPr="00420D03">
      <w:rPr>
        <w:color w:val="505050"/>
        <w:sz w:val="16"/>
      </w:rPr>
      <w:fldChar w:fldCharType="separate"/>
    </w:r>
    <w:r w:rsidR="0065520A">
      <w:rPr>
        <w:noProof/>
        <w:color w:val="505050"/>
        <w:sz w:val="16"/>
      </w:rPr>
      <w:t>iii</w:t>
    </w:r>
    <w:r w:rsidRPr="00420D03">
      <w:rPr>
        <w:color w:val="505050"/>
        <w:sz w:val="16"/>
      </w:rPr>
      <w:fldChar w:fldCharType="end"/>
    </w:r>
  </w:p>
  <w:p w14:paraId="1B12A3FA" w14:textId="77777777" w:rsidR="00C9240C" w:rsidRPr="00A5474E" w:rsidRDefault="00C9240C" w:rsidP="00C9240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FD072" w14:textId="4CFAECF9" w:rsidR="00C9240C" w:rsidRPr="00622A3B" w:rsidRDefault="00C9240C" w:rsidP="00C9240C">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65520A">
      <w:rPr>
        <w:noProof/>
      </w:rPr>
      <w:t>16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78EC6879" w14:textId="77777777" w:rsidR="00C9240C" w:rsidRPr="00A5474E" w:rsidRDefault="00C9240C" w:rsidP="00C92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7D2DB" w14:textId="77777777" w:rsidR="00F3579B" w:rsidRDefault="00F3579B" w:rsidP="00573DDE">
      <w:pPr>
        <w:spacing w:after="0" w:line="240" w:lineRule="auto"/>
      </w:pPr>
      <w:r>
        <w:separator/>
      </w:r>
    </w:p>
  </w:footnote>
  <w:footnote w:type="continuationSeparator" w:id="0">
    <w:p w14:paraId="7389EAED" w14:textId="77777777" w:rsidR="00F3579B" w:rsidRDefault="00F3579B" w:rsidP="00573DDE">
      <w:pPr>
        <w:spacing w:after="0" w:line="240" w:lineRule="auto"/>
      </w:pPr>
      <w:r>
        <w:continuationSeparator/>
      </w:r>
    </w:p>
  </w:footnote>
  <w:footnote w:type="continuationNotice" w:id="1">
    <w:p w14:paraId="4F803C87" w14:textId="77777777" w:rsidR="00F3579B" w:rsidRDefault="00F3579B">
      <w:pPr>
        <w:spacing w:after="0" w:line="240" w:lineRule="auto"/>
      </w:pPr>
    </w:p>
  </w:footnote>
  <w:footnote w:id="2">
    <w:p w14:paraId="713C4FBF" w14:textId="7FCA1642" w:rsidR="005D0ED9" w:rsidRDefault="005D0ED9" w:rsidP="009E3CF9">
      <w:pPr>
        <w:pStyle w:val="FootnoteText"/>
      </w:pPr>
      <w:r>
        <w:rPr>
          <w:rStyle w:val="FootnoteReference"/>
        </w:rPr>
        <w:footnoteRef/>
      </w:r>
      <w:r>
        <w:t xml:space="preserve"> ACMA</w:t>
      </w:r>
      <w:r w:rsidRPr="008D08F6">
        <w:t xml:space="preserve">, </w:t>
      </w:r>
      <w:hyperlink r:id="rId1" w:history="1">
        <w:r w:rsidRPr="008D08F6">
          <w:rPr>
            <w:rStyle w:val="Hyperlink"/>
            <w:rFonts w:cs="Arial"/>
            <w:i/>
            <w:iCs/>
          </w:rPr>
          <w:t>Financial hardship in the telco sector: Keeping the customer connected</w:t>
        </w:r>
      </w:hyperlink>
      <w:r>
        <w:rPr>
          <w:rStyle w:val="Hyperlink"/>
          <w:rFonts w:cs="Arial"/>
          <w:i/>
          <w:iCs/>
          <w:sz w:val="20"/>
          <w:szCs w:val="20"/>
        </w:rPr>
        <w:t xml:space="preserve"> </w:t>
      </w:r>
      <w:r>
        <w:t xml:space="preserve">(May 2023), </w:t>
      </w:r>
      <w:r w:rsidR="00BD57C1">
        <w:t>accessed</w:t>
      </w:r>
      <w:r w:rsidR="009E3CF9">
        <w:t xml:space="preserve"> 11 December 2023</w:t>
      </w:r>
      <w:r>
        <w:t>.</w:t>
      </w:r>
    </w:p>
  </w:footnote>
  <w:footnote w:id="3">
    <w:p w14:paraId="5642B078" w14:textId="0480DB7D" w:rsidR="00184845" w:rsidRDefault="00184845" w:rsidP="009E3CF9">
      <w:pPr>
        <w:pStyle w:val="FootnoteText"/>
      </w:pPr>
      <w:r>
        <w:rPr>
          <w:rStyle w:val="FootnoteReference"/>
        </w:rPr>
        <w:footnoteRef/>
      </w:r>
      <w:r>
        <w:t xml:space="preserve"> ACMA, </w:t>
      </w:r>
      <w:hyperlink r:id="rId2" w:history="1">
        <w:r w:rsidRPr="0068143B">
          <w:rPr>
            <w:rStyle w:val="Hyperlink"/>
            <w:i/>
            <w:iCs/>
          </w:rPr>
          <w:t>Financial hardship: telco and other essential sectors – Quantitative research</w:t>
        </w:r>
      </w:hyperlink>
      <w:r>
        <w:t xml:space="preserve"> (May 2023), </w:t>
      </w:r>
      <w:r w:rsidR="00BD57C1">
        <w:t>accessed</w:t>
      </w:r>
      <w:r w:rsidR="009E3CF9">
        <w:t xml:space="preserve"> 11 December 2023.</w:t>
      </w:r>
    </w:p>
  </w:footnote>
  <w:footnote w:id="4">
    <w:p w14:paraId="2A718A67" w14:textId="69873117" w:rsidR="00BD57C1" w:rsidRDefault="00BD57C1" w:rsidP="009E3CF9">
      <w:pPr>
        <w:pStyle w:val="FootnoteText"/>
      </w:pPr>
      <w:r>
        <w:rPr>
          <w:rStyle w:val="FootnoteReference"/>
        </w:rPr>
        <w:footnoteRef/>
      </w:r>
      <w:r>
        <w:t xml:space="preserve"> ACMA</w:t>
      </w:r>
      <w:r w:rsidRPr="008D08F6">
        <w:t xml:space="preserve">, </w:t>
      </w:r>
      <w:hyperlink r:id="rId3" w:history="1">
        <w:r w:rsidRPr="008D08F6">
          <w:rPr>
            <w:rStyle w:val="Hyperlink"/>
            <w:rFonts w:cs="Arial"/>
            <w:i/>
            <w:iCs/>
          </w:rPr>
          <w:t>Financial hardship in the telco sector: Keeping the customer connected</w:t>
        </w:r>
      </w:hyperlink>
      <w:r>
        <w:rPr>
          <w:rStyle w:val="Hyperlink"/>
          <w:rFonts w:cs="Arial"/>
          <w:i/>
          <w:iCs/>
          <w:sz w:val="20"/>
          <w:szCs w:val="20"/>
        </w:rPr>
        <w:t xml:space="preserve"> </w:t>
      </w:r>
      <w:r>
        <w:t>(May 2023), accessed 11 December 2023.</w:t>
      </w:r>
    </w:p>
  </w:footnote>
  <w:footnote w:id="5">
    <w:p w14:paraId="7786D753" w14:textId="77777777" w:rsidR="00C9240C" w:rsidRDefault="00C9240C" w:rsidP="009E3CF9">
      <w:pPr>
        <w:pStyle w:val="FootnoteText"/>
      </w:pPr>
      <w:r>
        <w:rPr>
          <w:rStyle w:val="FootnoteReference"/>
        </w:rPr>
        <w:footnoteRef/>
      </w:r>
      <w:r>
        <w:t xml:space="preserve"> TIO (Telecommunications Industry Ombudsman),</w:t>
      </w:r>
      <w:hyperlink r:id="rId4" w:anchor=":~:text=The%20Telecommunications%20Industry%20Ombudsman%20(TIO,a%20registration%20scheme%20for%20telcos." w:history="1">
        <w:r w:rsidRPr="00EC0276">
          <w:rPr>
            <w:rStyle w:val="Hyperlink"/>
          </w:rPr>
          <w:t xml:space="preserve"> A time for change – Three years of systemic investigations in review</w:t>
        </w:r>
      </w:hyperlink>
      <w:r>
        <w:t xml:space="preserve"> (June 2023), accessed 11 October 2023.</w:t>
      </w:r>
    </w:p>
  </w:footnote>
  <w:footnote w:id="6">
    <w:p w14:paraId="0AFF836A" w14:textId="143CF61F" w:rsidR="00C9240C" w:rsidRPr="0073294D" w:rsidRDefault="00C9240C" w:rsidP="009E3CF9">
      <w:pPr>
        <w:pStyle w:val="FootnoteText"/>
      </w:pPr>
      <w:r>
        <w:rPr>
          <w:rStyle w:val="FootnoteReference"/>
        </w:rPr>
        <w:footnoteRef/>
      </w:r>
      <w:r>
        <w:t xml:space="preserve"> </w:t>
      </w:r>
      <w:hyperlink r:id="rId5" w:history="1">
        <w:r w:rsidRPr="0073294D">
          <w:rPr>
            <w:rStyle w:val="Hyperlink"/>
          </w:rPr>
          <w:t>Telecommunications (Financial Hardship Industry Standard) Direction 2023</w:t>
        </w:r>
      </w:hyperlink>
      <w:r>
        <w:t>.</w:t>
      </w:r>
    </w:p>
  </w:footnote>
  <w:footnote w:id="7">
    <w:p w14:paraId="3B97036F" w14:textId="77777777" w:rsidR="0042398E" w:rsidRDefault="0042398E" w:rsidP="0042398E">
      <w:pPr>
        <w:pStyle w:val="FootnoteText"/>
      </w:pPr>
      <w:r>
        <w:rPr>
          <w:rStyle w:val="FootnoteReference"/>
        </w:rPr>
        <w:footnoteRef/>
      </w:r>
      <w:r>
        <w:t xml:space="preserve"> </w:t>
      </w:r>
      <w:r w:rsidRPr="00C11092">
        <w:rPr>
          <w:bCs/>
          <w:iCs/>
        </w:rPr>
        <w:t>Part 6</w:t>
      </w:r>
      <w:r>
        <w:rPr>
          <w:bCs/>
          <w:iCs/>
        </w:rPr>
        <w:t>,</w:t>
      </w:r>
      <w:r w:rsidRPr="00C11092">
        <w:rPr>
          <w:bCs/>
          <w:iCs/>
        </w:rPr>
        <w:t xml:space="preserve"> </w:t>
      </w:r>
      <w:hyperlink r:id="rId6" w:history="1">
        <w:r w:rsidRPr="00D01B47">
          <w:rPr>
            <w:rStyle w:val="Hyperlink"/>
            <w:bCs/>
            <w:i/>
            <w:iCs/>
          </w:rPr>
          <w:t>Telecommunications Act 1997</w:t>
        </w:r>
      </w:hyperlink>
      <w:r w:rsidRPr="00D01B47">
        <w:rPr>
          <w:bCs/>
          <w:iCs/>
        </w:rPr>
        <w:t xml:space="preserve">, </w:t>
      </w:r>
      <w:r>
        <w:rPr>
          <w:bCs/>
          <w:iCs/>
        </w:rPr>
        <w:t>accessed</w:t>
      </w:r>
      <w:r w:rsidRPr="0013377E">
        <w:rPr>
          <w:bCs/>
          <w:iCs/>
        </w:rPr>
        <w:t xml:space="preserve"> 1</w:t>
      </w:r>
      <w:r>
        <w:rPr>
          <w:bCs/>
          <w:iCs/>
        </w:rPr>
        <w:t>1 October 2023</w:t>
      </w:r>
      <w:r w:rsidRPr="0013377E">
        <w:rPr>
          <w:bCs/>
          <w:iCs/>
        </w:rPr>
        <w:t>.</w:t>
      </w:r>
    </w:p>
  </w:footnote>
  <w:footnote w:id="8">
    <w:p w14:paraId="391B2DC9" w14:textId="187B720A" w:rsidR="00C9240C" w:rsidRDefault="00C9240C" w:rsidP="009E3CF9">
      <w:pPr>
        <w:pStyle w:val="FootnoteText"/>
      </w:pPr>
      <w:r>
        <w:rPr>
          <w:rStyle w:val="FootnoteReference"/>
        </w:rPr>
        <w:footnoteRef/>
      </w:r>
      <w:r>
        <w:t xml:space="preserve"> </w:t>
      </w:r>
      <w:hyperlink r:id="rId7" w:history="1">
        <w:r>
          <w:rPr>
            <w:rStyle w:val="Hyperlink"/>
          </w:rPr>
          <w:t>Compliance priorities 2023–24 | ACMA</w:t>
        </w:r>
      </w:hyperlink>
      <w:r>
        <w:rPr>
          <w:rStyle w:val="Hyperlink"/>
        </w:rPr>
        <w:t>.</w:t>
      </w:r>
    </w:p>
  </w:footnote>
  <w:footnote w:id="9">
    <w:p w14:paraId="62B840C6" w14:textId="77D922F0" w:rsidR="00C9240C" w:rsidRDefault="00C9240C" w:rsidP="009E3CF9">
      <w:pPr>
        <w:pStyle w:val="FootnoteText"/>
      </w:pPr>
      <w:r>
        <w:rPr>
          <w:rStyle w:val="FootnoteReference"/>
        </w:rPr>
        <w:footnoteRef/>
      </w:r>
      <w:r>
        <w:t xml:space="preserve"> </w:t>
      </w:r>
      <w:hyperlink r:id="rId8" w:history="1">
        <w:r>
          <w:rPr>
            <w:rStyle w:val="Hyperlink"/>
          </w:rPr>
          <w:t>Eight telcos breach consumer protection rules | ACMA</w:t>
        </w:r>
      </w:hyperlink>
      <w:r>
        <w:rPr>
          <w:rStyle w:val="Hyperlink"/>
        </w:rPr>
        <w:t>.</w:t>
      </w:r>
    </w:p>
  </w:footnote>
  <w:footnote w:id="10">
    <w:p w14:paraId="5199D414" w14:textId="7C685BE7" w:rsidR="00C9240C" w:rsidRDefault="00C9240C" w:rsidP="009E3CF9">
      <w:pPr>
        <w:pStyle w:val="FootnoteText"/>
      </w:pPr>
      <w:r>
        <w:rPr>
          <w:rStyle w:val="FootnoteReference"/>
        </w:rPr>
        <w:footnoteRef/>
      </w:r>
      <w:r>
        <w:t xml:space="preserve"> </w:t>
      </w:r>
      <w:hyperlink r:id="rId9" w:history="1">
        <w:r>
          <w:rPr>
            <w:rStyle w:val="Hyperlink"/>
          </w:rPr>
          <w:t>Help if you can't pay your bill | ACMA</w:t>
        </w:r>
      </w:hyperlink>
      <w:r>
        <w:rPr>
          <w:rStyle w:val="Hyperlink"/>
        </w:rPr>
        <w:t>.</w:t>
      </w:r>
    </w:p>
  </w:footnote>
  <w:footnote w:id="11">
    <w:p w14:paraId="6C9E5419" w14:textId="77777777" w:rsidR="00716143" w:rsidRDefault="00716143" w:rsidP="009E3CF9">
      <w:pPr>
        <w:pStyle w:val="FootnoteText"/>
      </w:pPr>
      <w:r>
        <w:rPr>
          <w:rStyle w:val="FootnoteReference"/>
        </w:rPr>
        <w:footnoteRef/>
      </w:r>
      <w:r>
        <w:t xml:space="preserve"> ACMA, </w:t>
      </w:r>
      <w:hyperlink r:id="rId10" w:history="1">
        <w:r w:rsidRPr="003C3A36">
          <w:rPr>
            <w:rStyle w:val="Hyperlink"/>
            <w:i/>
            <w:iCs/>
          </w:rPr>
          <w:t>Customer financial hardship in the telco industry: State of play report 2018–19</w:t>
        </w:r>
      </w:hyperlink>
      <w:r>
        <w:t xml:space="preserve">; ACMA, </w:t>
      </w:r>
      <w:hyperlink r:id="rId11" w:history="1">
        <w:r w:rsidRPr="003C3A36">
          <w:rPr>
            <w:rStyle w:val="Hyperlink"/>
            <w:i/>
            <w:iCs/>
          </w:rPr>
          <w:t>Customer financial hardship in the telco industry: State of play report 2019–20</w:t>
        </w:r>
      </w:hyperlink>
      <w:r>
        <w:t xml:space="preserve">; ACMA, </w:t>
      </w:r>
      <w:hyperlink r:id="rId12" w:history="1">
        <w:r w:rsidRPr="003C3A36">
          <w:rPr>
            <w:rStyle w:val="Hyperlink"/>
            <w:i/>
            <w:iCs/>
          </w:rPr>
          <w:t>Customer financial hardship in the telco industry: State of play report 2020–21</w:t>
        </w:r>
      </w:hyperlink>
      <w:r>
        <w:t>, accessed 18 October 2023.</w:t>
      </w:r>
    </w:p>
  </w:footnote>
  <w:footnote w:id="12">
    <w:p w14:paraId="4B26A383" w14:textId="77777777" w:rsidR="00C9240C" w:rsidRDefault="00C9240C" w:rsidP="009E3CF9">
      <w:pPr>
        <w:pStyle w:val="FootnoteText"/>
      </w:pPr>
      <w:r>
        <w:rPr>
          <w:rStyle w:val="FootnoteReference"/>
        </w:rPr>
        <w:footnoteRef/>
      </w:r>
      <w:r>
        <w:t xml:space="preserve"> ACCAN and PIAC</w:t>
      </w:r>
      <w:r w:rsidRPr="009C40BC">
        <w:rPr>
          <w:i/>
        </w:rPr>
        <w:t xml:space="preserve">, </w:t>
      </w:r>
      <w:hyperlink r:id="rId13" w:history="1">
        <w:r w:rsidRPr="009C40BC">
          <w:rPr>
            <w:rStyle w:val="Hyperlink"/>
            <w:i/>
            <w:iCs/>
          </w:rPr>
          <w:t>Direct Debit in Telecommunications</w:t>
        </w:r>
      </w:hyperlink>
      <w:r>
        <w:t xml:space="preserve"> (April 2023), accessed 11 October 2023.</w:t>
      </w:r>
    </w:p>
  </w:footnote>
  <w:footnote w:id="13">
    <w:p w14:paraId="236B7D5A" w14:textId="16C03C4E" w:rsidR="00746108" w:rsidRDefault="00746108" w:rsidP="00ED4E55">
      <w:pPr>
        <w:pStyle w:val="FootnoteText"/>
      </w:pPr>
      <w:r>
        <w:rPr>
          <w:rStyle w:val="FootnoteReference"/>
        </w:rPr>
        <w:footnoteRef/>
      </w:r>
      <w:r>
        <w:t xml:space="preserve"> The Hon Michelle Rowland MP</w:t>
      </w:r>
      <w:r w:rsidR="007F764B">
        <w:t>, Minister for Communications,</w:t>
      </w:r>
      <w:r>
        <w:t xml:space="preserve"> </w:t>
      </w:r>
      <w:hyperlink r:id="rId14" w:history="1">
        <w:r w:rsidRPr="00746108">
          <w:rPr>
            <w:rStyle w:val="Hyperlink"/>
          </w:rPr>
          <w:t>Albanese Government to improve safeguards for telco consumers experiencing financial hardship</w:t>
        </w:r>
      </w:hyperlink>
      <w:r>
        <w:t>. (Media Release, 6 July 2023), accessed 15 December 2023.</w:t>
      </w:r>
    </w:p>
  </w:footnote>
  <w:footnote w:id="14">
    <w:p w14:paraId="0C49D26B" w14:textId="5E6EB8B7" w:rsidR="00FB3698" w:rsidRDefault="00FB3698" w:rsidP="00ED4E55">
      <w:pPr>
        <w:pStyle w:val="FootnoteText"/>
      </w:pPr>
      <w:r>
        <w:rPr>
          <w:rStyle w:val="FootnoteReference"/>
        </w:rPr>
        <w:footnoteRef/>
      </w:r>
      <w:r>
        <w:t xml:space="preserve"> The Hon Michelle Rowland MP, Minister for Communications, </w:t>
      </w:r>
      <w:hyperlink r:id="rId15" w:history="1">
        <w:r w:rsidRPr="00CC6CBB">
          <w:rPr>
            <w:rStyle w:val="Hyperlink"/>
          </w:rPr>
          <w:t>Better support for telco customers experiencing financial hardship</w:t>
        </w:r>
      </w:hyperlink>
      <w:r w:rsidR="00ED4E55">
        <w:rPr>
          <w:rStyle w:val="Hyperlink"/>
        </w:rPr>
        <w:t>,</w:t>
      </w:r>
      <w:r>
        <w:t xml:space="preserve"> (Media Release, 5 September 2023), accessed 15 December 2023</w:t>
      </w:r>
      <w:r w:rsidR="00ED4E55">
        <w:t>.</w:t>
      </w:r>
      <w:r>
        <w:t xml:space="preserve"> </w:t>
      </w:r>
      <w:hyperlink r:id="rId16" w:history="1">
        <w:r w:rsidRPr="0073294D">
          <w:rPr>
            <w:rStyle w:val="Hyperlink"/>
          </w:rPr>
          <w:t>Telecommunications (Financial Hardship Industry Standard) Direction 2023</w:t>
        </w:r>
      </w:hyperlink>
      <w:r>
        <w:t>.</w:t>
      </w:r>
    </w:p>
  </w:footnote>
  <w:footnote w:id="15">
    <w:p w14:paraId="4C519BD2" w14:textId="32FA0ED6" w:rsidR="00AC7E88" w:rsidRDefault="00AC7E88" w:rsidP="009E3CF9">
      <w:pPr>
        <w:pStyle w:val="FootnoteText"/>
      </w:pPr>
      <w:r>
        <w:rPr>
          <w:rStyle w:val="FootnoteReference"/>
        </w:rPr>
        <w:footnoteRef/>
      </w:r>
      <w:r>
        <w:t xml:space="preserve"> Telecommunications Industry Ombudsman 2022-23 Annual Report, p.46, accessed 13 November 2023.</w:t>
      </w:r>
    </w:p>
  </w:footnote>
  <w:footnote w:id="16">
    <w:p w14:paraId="245BC5FD" w14:textId="77777777" w:rsidR="00C9240C" w:rsidRDefault="00C9240C" w:rsidP="009E3CF9">
      <w:pPr>
        <w:pStyle w:val="FootnoteText"/>
      </w:pPr>
      <w:r>
        <w:rPr>
          <w:rStyle w:val="FootnoteReference"/>
        </w:rPr>
        <w:footnoteRef/>
      </w:r>
      <w:r>
        <w:t xml:space="preserve"> ABS (Australian Bureau of Statistics), </w:t>
      </w:r>
      <w:hyperlink r:id="rId17" w:history="1">
        <w:r w:rsidRPr="00EC0276">
          <w:rPr>
            <w:rStyle w:val="Hyperlink"/>
          </w:rPr>
          <w:t>Consumer Price Index, Australia: June Quarter 2023</w:t>
        </w:r>
      </w:hyperlink>
      <w:r>
        <w:t xml:space="preserve"> (26 July 2023), accessed 4 October 2023.</w:t>
      </w:r>
    </w:p>
  </w:footnote>
  <w:footnote w:id="17">
    <w:p w14:paraId="0100E0E2" w14:textId="77777777" w:rsidR="009270BE" w:rsidRDefault="009270BE" w:rsidP="009E3CF9">
      <w:pPr>
        <w:pStyle w:val="FootnoteText"/>
      </w:pPr>
      <w:r>
        <w:rPr>
          <w:rStyle w:val="FootnoteReference"/>
        </w:rPr>
        <w:footnoteRef/>
      </w:r>
      <w:r>
        <w:t xml:space="preserve"> ACMA, </w:t>
      </w:r>
      <w:hyperlink r:id="rId18" w:history="1">
        <w:r w:rsidRPr="003C3A36">
          <w:rPr>
            <w:rStyle w:val="Hyperlink"/>
            <w:i/>
            <w:iCs/>
          </w:rPr>
          <w:t>Financial hardship: telco and other essential sectors – Quantitative research and Consumers’ experiences with telco financial hardship – Qualitative research</w:t>
        </w:r>
      </w:hyperlink>
      <w:r>
        <w:t xml:space="preserve"> (May 2023), accessed 6 October 2023.</w:t>
      </w:r>
    </w:p>
  </w:footnote>
  <w:footnote w:id="18">
    <w:p w14:paraId="30CC266F" w14:textId="779CD53B" w:rsidR="00FC5838" w:rsidRDefault="00FC5838" w:rsidP="009E3CF9">
      <w:pPr>
        <w:pStyle w:val="FootnoteText"/>
      </w:pPr>
      <w:r>
        <w:rPr>
          <w:rStyle w:val="FootnoteReference"/>
        </w:rPr>
        <w:footnoteRef/>
      </w:r>
      <w:r>
        <w:t xml:space="preserve"> Telcos can offer payment plans and bill payment extensions outside of formal financial hardship programs. However, these do not attract the TCP Code protections, such as from credit management action, afforded the customer on a formal financial hardship program</w:t>
      </w:r>
      <w:r w:rsidR="0045081D">
        <w:t>.</w:t>
      </w:r>
    </w:p>
  </w:footnote>
  <w:footnote w:id="19">
    <w:p w14:paraId="34DD636A" w14:textId="41C0DC60" w:rsidR="00515078" w:rsidRDefault="00515078" w:rsidP="009E3CF9">
      <w:pPr>
        <w:pStyle w:val="FootnoteText"/>
      </w:pPr>
      <w:r>
        <w:rPr>
          <w:rStyle w:val="FootnoteReference"/>
        </w:rPr>
        <w:footnoteRef/>
      </w:r>
      <w:r>
        <w:t xml:space="preserve"> </w:t>
      </w:r>
      <w:r w:rsidR="0078558E">
        <w:t xml:space="preserve">Good Things Foundation, </w:t>
      </w:r>
      <w:hyperlink r:id="rId19" w:history="1">
        <w:r w:rsidR="0078558E">
          <w:rPr>
            <w:rStyle w:val="Hyperlink"/>
          </w:rPr>
          <w:t>The digital divide</w:t>
        </w:r>
      </w:hyperlink>
      <w:r w:rsidR="0078558E">
        <w:t xml:space="preserve">, accessed </w:t>
      </w:r>
      <w:r w:rsidR="0035459A">
        <w:t>8 December 2023.</w:t>
      </w:r>
    </w:p>
  </w:footnote>
  <w:footnote w:id="20">
    <w:p w14:paraId="49719D57" w14:textId="01A3434A" w:rsidR="00604454" w:rsidRDefault="00604454" w:rsidP="009E3CF9">
      <w:pPr>
        <w:pStyle w:val="FootnoteText"/>
      </w:pPr>
      <w:r>
        <w:rPr>
          <w:rStyle w:val="FootnoteReference"/>
        </w:rPr>
        <w:footnoteRef/>
      </w:r>
      <w:r>
        <w:t xml:space="preserve"> </w:t>
      </w:r>
      <w:hyperlink r:id="rId20" w:history="1">
        <w:r w:rsidR="000544EE">
          <w:rPr>
            <w:rStyle w:val="Hyperlink"/>
          </w:rPr>
          <w:t>Australian Digital Inclusion Index</w:t>
        </w:r>
      </w:hyperlink>
      <w:r w:rsidR="0022322E">
        <w:t>, accessed 8 December 2023.</w:t>
      </w:r>
    </w:p>
  </w:footnote>
  <w:footnote w:id="21">
    <w:p w14:paraId="7936AC0C" w14:textId="7C0C6561" w:rsidR="00554041" w:rsidRDefault="00554041" w:rsidP="009E3CF9">
      <w:pPr>
        <w:pStyle w:val="FootnoteText"/>
      </w:pPr>
      <w:r>
        <w:rPr>
          <w:rStyle w:val="FootnoteReference"/>
        </w:rPr>
        <w:footnoteRef/>
      </w:r>
      <w:r>
        <w:t xml:space="preserve"> Relationships Australia, </w:t>
      </w:r>
      <w:hyperlink r:id="rId21" w:history="1">
        <w:r w:rsidR="00E76B95">
          <w:rPr>
            <w:rStyle w:val="Hyperlink"/>
          </w:rPr>
          <w:t>Submission to the ACMA's Consumer vulnerability: expectations for the telecommunications industry</w:t>
        </w:r>
      </w:hyperlink>
      <w:r w:rsidR="00E76B95">
        <w:t>, accessed 8 December 2023.</w:t>
      </w:r>
    </w:p>
  </w:footnote>
  <w:footnote w:id="22">
    <w:p w14:paraId="3EDBF734" w14:textId="694A5086" w:rsidR="00C9240C" w:rsidRDefault="00C9240C" w:rsidP="009E3CF9">
      <w:pPr>
        <w:pStyle w:val="FootnoteText"/>
      </w:pPr>
      <w:r>
        <w:rPr>
          <w:rStyle w:val="FootnoteReference"/>
        </w:rPr>
        <w:footnoteRef/>
      </w:r>
      <w:r>
        <w:t xml:space="preserve"> TIO</w:t>
      </w:r>
      <w:r w:rsidR="004C394C">
        <w:t xml:space="preserve">, </w:t>
      </w:r>
      <w:hyperlink r:id="rId22" w:anchor=":~:text=The%20Telecommunications%20Industry%20Ombudsman%20(TIO,a%20registration%20scheme%20for%20telcos." w:history="1">
        <w:r w:rsidRPr="00EC0276">
          <w:rPr>
            <w:rStyle w:val="Hyperlink"/>
          </w:rPr>
          <w:t xml:space="preserve"> A time for change – Three years of systemic investigations in review</w:t>
        </w:r>
      </w:hyperlink>
      <w:r>
        <w:t xml:space="preserve"> (June 2023), accessed 11 October 2023.</w:t>
      </w:r>
    </w:p>
  </w:footnote>
  <w:footnote w:id="23">
    <w:p w14:paraId="588D536A" w14:textId="10A5A2E0" w:rsidR="00A32FA7" w:rsidRDefault="00A32FA7" w:rsidP="009E3CF9">
      <w:pPr>
        <w:pStyle w:val="FootnoteText"/>
      </w:pPr>
      <w:r>
        <w:rPr>
          <w:rStyle w:val="FootnoteReference"/>
        </w:rPr>
        <w:footnoteRef/>
      </w:r>
      <w:r>
        <w:t xml:space="preserve"> </w:t>
      </w:r>
      <w:r w:rsidR="004C394C">
        <w:t xml:space="preserve">TIO, </w:t>
      </w:r>
      <w:hyperlink r:id="rId23" w:history="1">
        <w:r w:rsidR="00100C86">
          <w:rPr>
            <w:rStyle w:val="Hyperlink"/>
          </w:rPr>
          <w:t>Thematic review: Our financial hardship complaints 2021 – 2023</w:t>
        </w:r>
      </w:hyperlink>
      <w:r w:rsidR="00100C86">
        <w:t xml:space="preserve">, accessed </w:t>
      </w:r>
      <w:r w:rsidR="00DE2AF0">
        <w:t>8 December 2023.</w:t>
      </w:r>
    </w:p>
  </w:footnote>
  <w:footnote w:id="24">
    <w:p w14:paraId="67DB0F13" w14:textId="1B1B9562" w:rsidR="006E7632" w:rsidRDefault="006E7632" w:rsidP="009E3CF9">
      <w:pPr>
        <w:pStyle w:val="FootnoteText"/>
      </w:pPr>
      <w:r>
        <w:rPr>
          <w:rStyle w:val="FootnoteReference"/>
        </w:rPr>
        <w:footnoteRef/>
      </w:r>
      <w:r>
        <w:t xml:space="preserve"> ACMA, </w:t>
      </w:r>
      <w:hyperlink r:id="rId24" w:history="1">
        <w:r>
          <w:rPr>
            <w:rStyle w:val="Hyperlink"/>
          </w:rPr>
          <w:t>Eight telcos breach consumer protection rules</w:t>
        </w:r>
      </w:hyperlink>
      <w:r>
        <w:t xml:space="preserve"> (July 2023), accessed 6 October 2023.</w:t>
      </w:r>
    </w:p>
  </w:footnote>
  <w:footnote w:id="25">
    <w:p w14:paraId="459AA676" w14:textId="04162BBA" w:rsidR="00582F2C" w:rsidRDefault="00582F2C" w:rsidP="009E3CF9">
      <w:pPr>
        <w:pStyle w:val="FootnoteText"/>
      </w:pPr>
      <w:r>
        <w:rPr>
          <w:rStyle w:val="FootnoteReference"/>
        </w:rPr>
        <w:footnoteRef/>
      </w:r>
      <w:r>
        <w:t xml:space="preserve"> ACMA, </w:t>
      </w:r>
      <w:hyperlink r:id="rId25" w:anchor=":~:text=The%20Australian%20Communications%20and%20Media,restricting%20or%20suspending%20their%20services." w:history="1">
        <w:r>
          <w:rPr>
            <w:rStyle w:val="Hyperlink"/>
          </w:rPr>
          <w:t>Telstra fails to warn customers about service restrictions</w:t>
        </w:r>
      </w:hyperlink>
      <w:r>
        <w:t xml:space="preserve">, </w:t>
      </w:r>
      <w:r w:rsidR="00DA097C">
        <w:t>20 April 2023, accessed 8 December 2023</w:t>
      </w:r>
    </w:p>
  </w:footnote>
  <w:footnote w:id="26">
    <w:p w14:paraId="15B7BFC3" w14:textId="77777777" w:rsidR="001B1983" w:rsidRDefault="001B1983" w:rsidP="009E3CF9">
      <w:pPr>
        <w:pStyle w:val="FootnoteText"/>
      </w:pPr>
      <w:r>
        <w:rPr>
          <w:rStyle w:val="FootnoteReference"/>
        </w:rPr>
        <w:footnoteRef/>
      </w:r>
      <w:r>
        <w:t xml:space="preserve"> Australian Communications Consumer Action Network (ACCAN) and the Public Interest Advocacy Centre (PIAC</w:t>
      </w:r>
      <w:r w:rsidRPr="009C40BC">
        <w:rPr>
          <w:i/>
        </w:rPr>
        <w:t xml:space="preserve">), </w:t>
      </w:r>
      <w:hyperlink r:id="rId26" w:history="1">
        <w:r w:rsidRPr="009C40BC">
          <w:rPr>
            <w:rStyle w:val="Hyperlink"/>
            <w:i/>
            <w:iCs/>
          </w:rPr>
          <w:t>Direct Debit in Telecommunications</w:t>
        </w:r>
      </w:hyperlink>
      <w:r>
        <w:t xml:space="preserve"> (April 2023), accessed 6 October 2023.</w:t>
      </w:r>
    </w:p>
  </w:footnote>
  <w:footnote w:id="27">
    <w:p w14:paraId="0B0F29D9" w14:textId="77777777" w:rsidR="00954448" w:rsidRDefault="00954448" w:rsidP="009E3CF9">
      <w:pPr>
        <w:pStyle w:val="FootnoteText"/>
      </w:pPr>
      <w:r>
        <w:rPr>
          <w:rStyle w:val="FootnoteReference"/>
        </w:rPr>
        <w:footnoteRef/>
      </w:r>
      <w:r>
        <w:t xml:space="preserve"> </w:t>
      </w:r>
      <w:hyperlink r:id="rId27" w:anchor=":~:text=The%20current%20Code%20was%20registered,preparatory%20work%20commencing%20in%202023.&amp;text=The%202024%20review%20and%20revision,more%20information%20about%20each%20stage." w:history="1">
        <w:r>
          <w:rPr>
            <w:rStyle w:val="Hyperlink"/>
          </w:rPr>
          <w:t>Communications Alliance - TCP Code Review 2024</w:t>
        </w:r>
      </w:hyperlink>
      <w:r>
        <w:rPr>
          <w:rStyle w:val="Hyperlink"/>
        </w:rPr>
        <w:t>.</w:t>
      </w:r>
    </w:p>
  </w:footnote>
  <w:footnote w:id="28">
    <w:p w14:paraId="5FC52E9D" w14:textId="77777777" w:rsidR="00954448" w:rsidRDefault="00954448" w:rsidP="009E3CF9">
      <w:pPr>
        <w:pStyle w:val="FootnoteText"/>
      </w:pPr>
      <w:r>
        <w:rPr>
          <w:rStyle w:val="FootnoteReference"/>
        </w:rPr>
        <w:footnoteRef/>
      </w:r>
      <w:r>
        <w:t xml:space="preserve"> TIO submission to TCP Code review, </w:t>
      </w:r>
      <w:hyperlink r:id="rId28" w:history="1">
        <w:r>
          <w:rPr>
            <w:rStyle w:val="Hyperlink"/>
          </w:rPr>
          <w:t>Submission - Communications Alliance’s 2024 TCP Code review/TIO</w:t>
        </w:r>
      </w:hyperlink>
      <w:r>
        <w:t xml:space="preserve"> June 2023, accessed 17 October 2023.</w:t>
      </w:r>
    </w:p>
  </w:footnote>
  <w:footnote w:id="29">
    <w:p w14:paraId="2A9A3380" w14:textId="77777777" w:rsidR="00954448" w:rsidRDefault="00954448" w:rsidP="009E3CF9">
      <w:pPr>
        <w:pStyle w:val="FootnoteText"/>
      </w:pPr>
      <w:r>
        <w:rPr>
          <w:rStyle w:val="FootnoteReference"/>
        </w:rPr>
        <w:footnoteRef/>
      </w:r>
      <w:r>
        <w:t xml:space="preserve"> ACCC, </w:t>
      </w:r>
      <w:hyperlink r:id="rId29" w:history="1">
        <w:r>
          <w:rPr>
            <w:rStyle w:val="Hyperlink"/>
            <w:rFonts w:eastAsiaTheme="majorEastAsia"/>
          </w:rPr>
          <w:t>ACCC submission to TCP Code review</w:t>
        </w:r>
      </w:hyperlink>
      <w:r>
        <w:rPr>
          <w:rStyle w:val="Hyperlink"/>
          <w:rFonts w:eastAsiaTheme="majorEastAsia"/>
        </w:rPr>
        <w:t xml:space="preserve"> </w:t>
      </w:r>
      <w:r>
        <w:t>June 2023, accessed 17 October 2023.</w:t>
      </w:r>
    </w:p>
  </w:footnote>
  <w:footnote w:id="30">
    <w:p w14:paraId="78B66FA4" w14:textId="77777777" w:rsidR="00954448" w:rsidRDefault="00954448" w:rsidP="009E3CF9">
      <w:pPr>
        <w:pStyle w:val="FootnoteText"/>
      </w:pPr>
      <w:r>
        <w:rPr>
          <w:rStyle w:val="FootnoteReference"/>
        </w:rPr>
        <w:footnoteRef/>
      </w:r>
      <w:r>
        <w:t xml:space="preserve"> ACCAN, </w:t>
      </w:r>
      <w:hyperlink r:id="rId30" w:history="1">
        <w:r>
          <w:rPr>
            <w:rStyle w:val="Hyperlink"/>
          </w:rPr>
          <w:t>ACCAN submission to TCP Code review</w:t>
        </w:r>
      </w:hyperlink>
      <w:r>
        <w:t xml:space="preserve"> June 2023, accessed 17 October 2023.</w:t>
      </w:r>
    </w:p>
  </w:footnote>
  <w:footnote w:id="31">
    <w:p w14:paraId="40EC995C" w14:textId="3575BF09" w:rsidR="007D04A0" w:rsidRDefault="007D04A0" w:rsidP="009E3CF9">
      <w:pPr>
        <w:pStyle w:val="FootnoteText"/>
      </w:pPr>
      <w:r>
        <w:rPr>
          <w:rStyle w:val="FootnoteReference"/>
        </w:rPr>
        <w:footnoteRef/>
      </w:r>
      <w:r>
        <w:t xml:space="preserve"> Australian Consumer Action Network (ACCAN), Consumer Policy Research Centre (CPRC), Consumer Action Law Centre (CALC), Western Community Legal Centre Limited (WEstjustice), South Australian Council of Social Services (SAC</w:t>
      </w:r>
      <w:r w:rsidR="00836951">
        <w:t>O</w:t>
      </w:r>
      <w:r>
        <w:t>SS), Isolated Children’s Parents’ Association of Australian (ICPA); NSW Business Chamber (Business NSW).</w:t>
      </w:r>
    </w:p>
  </w:footnote>
  <w:footnote w:id="32">
    <w:p w14:paraId="7693D6FE" w14:textId="7F8BA2E7" w:rsidR="00713283" w:rsidRDefault="00713283" w:rsidP="009053FF">
      <w:pPr>
        <w:pStyle w:val="FootnoteText"/>
      </w:pPr>
      <w:r>
        <w:rPr>
          <w:rStyle w:val="FootnoteReference"/>
        </w:rPr>
        <w:footnoteRef/>
      </w:r>
      <w:r>
        <w:t xml:space="preserve"> </w:t>
      </w:r>
      <w:r>
        <w:rPr>
          <w:rFonts w:cs="Arial"/>
          <w:color w:val="212529"/>
        </w:rPr>
        <w:t>Seventeen consumer organisations withdrawing from the TCP Code review process underscores the lack of confidence in the existing regulatory framework.</w:t>
      </w:r>
    </w:p>
  </w:footnote>
  <w:footnote w:id="33">
    <w:p w14:paraId="0AA29D9C" w14:textId="6594357D" w:rsidR="00F373AE" w:rsidRDefault="00F373AE" w:rsidP="00F373AE">
      <w:pPr>
        <w:pStyle w:val="FootnoteText"/>
      </w:pPr>
      <w:r>
        <w:rPr>
          <w:rStyle w:val="FootnoteReference"/>
        </w:rPr>
        <w:footnoteRef/>
      </w:r>
      <w:r>
        <w:t xml:space="preserve"> Price</w:t>
      </w:r>
      <w:r w:rsidR="00836951">
        <w:t>w</w:t>
      </w:r>
      <w:r>
        <w:t>aterhouseCoopers (</w:t>
      </w:r>
      <w:r w:rsidR="00836951">
        <w:t>P</w:t>
      </w:r>
      <w:r>
        <w:t>w</w:t>
      </w:r>
      <w:r w:rsidR="00836951">
        <w:t>C</w:t>
      </w:r>
      <w:r>
        <w:t xml:space="preserve">), </w:t>
      </w:r>
      <w:hyperlink r:id="rId31" w:history="1">
        <w:r w:rsidRPr="00614B09">
          <w:rPr>
            <w:rStyle w:val="Hyperlink"/>
            <w:i/>
            <w:iCs/>
          </w:rPr>
          <w:t>Telecommunications Consumer Safeguards: International and sectoral comparisons of consumer protections for choice and fairness in the retail relationship between customers and their providers</w:t>
        </w:r>
      </w:hyperlink>
      <w:r w:rsidR="002B559E">
        <w:t xml:space="preserve">, </w:t>
      </w:r>
      <w:r>
        <w:t>accessed 2 January 2024.</w:t>
      </w:r>
    </w:p>
  </w:footnote>
  <w:footnote w:id="34">
    <w:p w14:paraId="5D66E14F" w14:textId="77777777" w:rsidR="001F4BEF" w:rsidRDefault="001F4BEF" w:rsidP="001F4BEF">
      <w:pPr>
        <w:pStyle w:val="FootnoteText"/>
      </w:pPr>
      <w:r>
        <w:rPr>
          <w:rStyle w:val="FootnoteReference"/>
        </w:rPr>
        <w:footnoteRef/>
      </w:r>
      <w:r>
        <w:t xml:space="preserve"> </w:t>
      </w:r>
      <w:hyperlink r:id="rId32" w:history="1">
        <w:r w:rsidRPr="00060E60">
          <w:rPr>
            <w:rStyle w:val="Hyperlink"/>
          </w:rPr>
          <w:t>NZ Telecommunications Forum Disconnection Code</w:t>
        </w:r>
      </w:hyperlink>
      <w:r>
        <w:t xml:space="preserve"> </w:t>
      </w:r>
    </w:p>
  </w:footnote>
  <w:footnote w:id="35">
    <w:p w14:paraId="7166FC7A" w14:textId="07855526" w:rsidR="00C9240C" w:rsidRDefault="00C9240C" w:rsidP="009E3CF9">
      <w:pPr>
        <w:pStyle w:val="FootnoteText"/>
      </w:pPr>
      <w:r>
        <w:rPr>
          <w:rStyle w:val="FootnoteReference"/>
        </w:rPr>
        <w:footnoteRef/>
      </w:r>
      <w:r>
        <w:t xml:space="preserve"> </w:t>
      </w:r>
      <w:r>
        <w:rPr>
          <w:rFonts w:eastAsiaTheme="minorHAnsi"/>
          <w:color w:val="000000" w:themeColor="text1"/>
        </w:rPr>
        <w:t xml:space="preserve">Communications Alliance, </w:t>
      </w:r>
      <w:hyperlink r:id="rId33" w:history="1">
        <w:r>
          <w:rPr>
            <w:rStyle w:val="Hyperlink"/>
          </w:rPr>
          <w:t>Communications Alliance TCP Code Discussion Paper</w:t>
        </w:r>
      </w:hyperlink>
      <w:r>
        <w:t xml:space="preserve"> May 2023, accessed 17 October 2023.</w:t>
      </w:r>
    </w:p>
  </w:footnote>
  <w:footnote w:id="36">
    <w:p w14:paraId="16F0BA86" w14:textId="16D30B71" w:rsidR="00C9240C" w:rsidRPr="008D4ABE" w:rsidRDefault="00C9240C" w:rsidP="009E3CF9">
      <w:pPr>
        <w:pStyle w:val="FootnoteText"/>
      </w:pPr>
      <w:r>
        <w:rPr>
          <w:rStyle w:val="FootnoteReference"/>
        </w:rPr>
        <w:footnoteRef/>
      </w:r>
      <w:r>
        <w:t xml:space="preserve"> </w:t>
      </w:r>
      <w:r w:rsidRPr="008D4ABE">
        <w:t xml:space="preserve">TIO </w:t>
      </w:r>
      <w:hyperlink r:id="rId34" w:history="1">
        <w:r>
          <w:rPr>
            <w:rStyle w:val="Hyperlink"/>
          </w:rPr>
          <w:t xml:space="preserve"> Submission to 2024 TCP Code review</w:t>
        </w:r>
      </w:hyperlink>
      <w:r>
        <w:t xml:space="preserve"> June 2023, accessed 17 October 2023.</w:t>
      </w:r>
    </w:p>
  </w:footnote>
  <w:footnote w:id="37">
    <w:p w14:paraId="2C30773B" w14:textId="77777777" w:rsidR="00C9240C" w:rsidRPr="008D4ABE" w:rsidRDefault="00C9240C" w:rsidP="009E3CF9">
      <w:pPr>
        <w:pStyle w:val="FootnoteText"/>
      </w:pPr>
      <w:r w:rsidRPr="008D4ABE">
        <w:rPr>
          <w:rStyle w:val="FootnoteReference"/>
        </w:rPr>
        <w:footnoteRef/>
      </w:r>
      <w:r w:rsidRPr="008D4ABE">
        <w:t xml:space="preserve"> ACCC, </w:t>
      </w:r>
      <w:hyperlink r:id="rId35" w:history="1">
        <w:r>
          <w:rPr>
            <w:rStyle w:val="Hyperlink"/>
            <w:rFonts w:eastAsiaTheme="majorEastAsia"/>
          </w:rPr>
          <w:t>Submission to TCP Code review</w:t>
        </w:r>
      </w:hyperlink>
      <w:r w:rsidRPr="008D4ABE">
        <w:rPr>
          <w:rStyle w:val="Hyperlink"/>
          <w:rFonts w:eastAsiaTheme="majorEastAsia"/>
        </w:rPr>
        <w:t xml:space="preserve"> </w:t>
      </w:r>
      <w:r w:rsidRPr="008D4ABE">
        <w:t>June 2023, accessed 17 October 2023.</w:t>
      </w:r>
    </w:p>
  </w:footnote>
  <w:footnote w:id="38">
    <w:p w14:paraId="5A5AD006" w14:textId="1498B8C4" w:rsidR="00C9240C" w:rsidRPr="008D4ABE" w:rsidRDefault="00C9240C" w:rsidP="009E3CF9">
      <w:pPr>
        <w:pStyle w:val="FootnoteText"/>
      </w:pPr>
      <w:r w:rsidRPr="008D4ABE">
        <w:rPr>
          <w:rStyle w:val="FootnoteReference"/>
        </w:rPr>
        <w:footnoteRef/>
      </w:r>
      <w:r w:rsidRPr="008D4ABE">
        <w:t xml:space="preserve"> ACCAN</w:t>
      </w:r>
      <w:r>
        <w:t xml:space="preserve">, </w:t>
      </w:r>
      <w:hyperlink r:id="rId36" w:history="1">
        <w:r>
          <w:rPr>
            <w:rStyle w:val="Hyperlink"/>
          </w:rPr>
          <w:t>Submission to TCP Code review</w:t>
        </w:r>
      </w:hyperlink>
      <w:r>
        <w:t xml:space="preserve"> June 2023, accessed 17 October 2023.</w:t>
      </w:r>
    </w:p>
  </w:footnote>
  <w:footnote w:id="39">
    <w:p w14:paraId="282FCD0E" w14:textId="7CC40693" w:rsidR="00C9240C" w:rsidRDefault="00C9240C" w:rsidP="009E3CF9">
      <w:pPr>
        <w:pStyle w:val="FootnoteText"/>
      </w:pPr>
      <w:r w:rsidRPr="008D4ABE">
        <w:rPr>
          <w:rStyle w:val="FootnoteReference"/>
        </w:rPr>
        <w:footnoteRef/>
      </w:r>
      <w:r w:rsidRPr="008D4ABE">
        <w:t xml:space="preserve"> TIO </w:t>
      </w:r>
      <w:hyperlink r:id="rId37" w:history="1">
        <w:r>
          <w:rPr>
            <w:rStyle w:val="Hyperlink"/>
          </w:rPr>
          <w:t>Submission to Consumer Safeguards Review - Part C: Choice and fairness | The Telecommunications Industry Ombudsman</w:t>
        </w:r>
      </w:hyperlink>
      <w:r>
        <w:t xml:space="preserve"> October 2020, accessed 17 October 2023.</w:t>
      </w:r>
    </w:p>
  </w:footnote>
  <w:footnote w:id="40">
    <w:p w14:paraId="4CDA6C86" w14:textId="5CA6A757" w:rsidR="00C9240C" w:rsidRDefault="00C9240C" w:rsidP="009E3CF9">
      <w:pPr>
        <w:pStyle w:val="FootnoteText"/>
      </w:pPr>
      <w:r>
        <w:rPr>
          <w:rStyle w:val="FootnoteReference"/>
        </w:rPr>
        <w:footnoteRef/>
      </w:r>
      <w:r>
        <w:t xml:space="preserve"> The ACMA </w:t>
      </w:r>
      <w:r w:rsidRPr="001C425A">
        <w:rPr>
          <w:iCs/>
        </w:rPr>
        <w:t>may</w:t>
      </w:r>
      <w:r>
        <w:t xml:space="preserve"> determine an industry standard under Part 6 of the Telco Act in limited circumstances. This includes where an industry code that has been made is deficient (section 125 of Telco Act).</w:t>
      </w:r>
    </w:p>
  </w:footnote>
  <w:footnote w:id="41">
    <w:p w14:paraId="67D985FE" w14:textId="77777777" w:rsidR="001C6795" w:rsidRDefault="001C6795" w:rsidP="009E3CF9">
      <w:pPr>
        <w:autoSpaceDE w:val="0"/>
        <w:autoSpaceDN w:val="0"/>
        <w:spacing w:before="40" w:after="40" w:line="200" w:lineRule="atLeast"/>
      </w:pPr>
      <w:r w:rsidRPr="009C6E0F">
        <w:rPr>
          <w:rStyle w:val="FootnoteReference"/>
          <w:sz w:val="16"/>
          <w:szCs w:val="16"/>
        </w:rPr>
        <w:footnoteRef/>
      </w:r>
      <w:r w:rsidRPr="009C6E0F">
        <w:rPr>
          <w:sz w:val="16"/>
          <w:szCs w:val="16"/>
        </w:rPr>
        <w:t xml:space="preserve"> </w:t>
      </w:r>
      <w:r w:rsidRPr="001027EA">
        <w:rPr>
          <w:rFonts w:cs="Arial"/>
          <w:sz w:val="16"/>
          <w:szCs w:val="16"/>
        </w:rPr>
        <w:t xml:space="preserve">ACMA, </w:t>
      </w:r>
      <w:hyperlink r:id="rId38" w:history="1">
        <w:r w:rsidRPr="00E84F94">
          <w:rPr>
            <w:rStyle w:val="Hyperlink"/>
            <w:rFonts w:cs="Arial"/>
            <w:sz w:val="16"/>
            <w:szCs w:val="16"/>
          </w:rPr>
          <w:t>Help if you can't pay your phone or internet bill</w:t>
        </w:r>
      </w:hyperlink>
      <w:r>
        <w:rPr>
          <w:rFonts w:cs="Arial"/>
          <w:sz w:val="16"/>
          <w:szCs w:val="16"/>
        </w:rPr>
        <w:t>, accessed 18 October 2023.</w:t>
      </w:r>
    </w:p>
  </w:footnote>
  <w:footnote w:id="42">
    <w:p w14:paraId="4F5E9052" w14:textId="670EDB85" w:rsidR="00AC4693" w:rsidRPr="00E770FC" w:rsidRDefault="00AC4693" w:rsidP="009E3CF9">
      <w:pPr>
        <w:pStyle w:val="FootnoteText"/>
        <w:rPr>
          <w:rFonts w:cs="Arial"/>
        </w:rPr>
      </w:pPr>
      <w:r>
        <w:rPr>
          <w:rStyle w:val="FootnoteReference"/>
        </w:rPr>
        <w:footnoteRef/>
      </w:r>
      <w:r>
        <w:t xml:space="preserve"> </w:t>
      </w:r>
      <w:r w:rsidRPr="00E770FC">
        <w:rPr>
          <w:rFonts w:cs="Arial"/>
        </w:rPr>
        <w:t xml:space="preserve">ACMA, </w:t>
      </w:r>
      <w:hyperlink r:id="rId39" w:history="1">
        <w:r>
          <w:rPr>
            <w:rStyle w:val="Hyperlink"/>
            <w:rFonts w:cs="Arial"/>
          </w:rPr>
          <w:t>Rules to protect customers in financial hardship</w:t>
        </w:r>
      </w:hyperlink>
      <w:r w:rsidRPr="00E770FC">
        <w:rPr>
          <w:rFonts w:cs="Arial"/>
        </w:rPr>
        <w:t>, accessed 18 October 2023</w:t>
      </w:r>
      <w:r w:rsidR="00CC1140">
        <w:rPr>
          <w:rFonts w:cs="Arial"/>
        </w:rPr>
        <w:t>.</w:t>
      </w:r>
    </w:p>
  </w:footnote>
  <w:footnote w:id="43">
    <w:p w14:paraId="213C6103" w14:textId="14D6BE5F" w:rsidR="00C9240C" w:rsidRDefault="00C9240C" w:rsidP="009E3CF9">
      <w:pPr>
        <w:pStyle w:val="FootnoteText"/>
      </w:pPr>
      <w:r>
        <w:rPr>
          <w:rStyle w:val="FootnoteReference"/>
        </w:rPr>
        <w:footnoteRef/>
      </w:r>
      <w:r>
        <w:t xml:space="preserve"> </w:t>
      </w:r>
      <w:hyperlink r:id="rId40" w:history="1">
        <w:r>
          <w:rPr>
            <w:rStyle w:val="Hyperlink"/>
          </w:rPr>
          <w:t xml:space="preserve">Explanatory Statement to Telecommunications (Financial Hardship Industry Standard) Direction 2023 </w:t>
        </w:r>
      </w:hyperlink>
      <w:r>
        <w:t>.</w:t>
      </w:r>
    </w:p>
  </w:footnote>
  <w:footnote w:id="44">
    <w:p w14:paraId="353DDDD1" w14:textId="77777777" w:rsidR="00EF46F1" w:rsidRDefault="00EF46F1" w:rsidP="00EF46F1">
      <w:pPr>
        <w:pStyle w:val="FootnoteText"/>
      </w:pPr>
      <w:r>
        <w:rPr>
          <w:rStyle w:val="FootnoteReference"/>
        </w:rPr>
        <w:footnoteRef/>
      </w:r>
      <w:r>
        <w:t xml:space="preserve"> As noted below, the TIO is funded through </w:t>
      </w:r>
      <w:r w:rsidRPr="00A24C26">
        <w:t>membership fees that are charged to the CSPs</w:t>
      </w:r>
    </w:p>
  </w:footnote>
  <w:footnote w:id="45">
    <w:p w14:paraId="6F4E842F" w14:textId="77777777" w:rsidR="001A6FD3" w:rsidRDefault="001A6FD3" w:rsidP="009E3CF9">
      <w:pPr>
        <w:pStyle w:val="FootnoteText"/>
      </w:pPr>
      <w:r>
        <w:rPr>
          <w:rStyle w:val="FootnoteReference"/>
        </w:rPr>
        <w:footnoteRef/>
      </w:r>
      <w:r>
        <w:t xml:space="preserve"> Positive </w:t>
      </w:r>
      <w:r w:rsidRPr="00727313">
        <w:t xml:space="preserve">values here are costs and </w:t>
      </w:r>
      <w:r>
        <w:t>negati</w:t>
      </w:r>
      <w:r w:rsidRPr="00727313">
        <w:t>ve values are benefits</w:t>
      </w:r>
      <w:r>
        <w:t>, relative to the status quo</w:t>
      </w:r>
      <w:r w:rsidRPr="00727313">
        <w:t>.</w:t>
      </w:r>
    </w:p>
  </w:footnote>
  <w:footnote w:id="46">
    <w:p w14:paraId="17681928" w14:textId="63F12E48" w:rsidR="00EF46F1" w:rsidRDefault="00EF46F1" w:rsidP="00EF46F1">
      <w:pPr>
        <w:pStyle w:val="FootnoteText"/>
      </w:pPr>
      <w:r>
        <w:rPr>
          <w:rStyle w:val="FootnoteReference"/>
        </w:rPr>
        <w:footnoteRef/>
      </w:r>
      <w:r>
        <w:t xml:space="preserve"> See for example electricity industry documents such as</w:t>
      </w:r>
      <w:r w:rsidR="009C6E0F">
        <w:t xml:space="preserve"> the AEMC (Australian Energy Market Commission) </w:t>
      </w:r>
      <w:hyperlink r:id="rId41" w:history="1">
        <w:r w:rsidR="009C6E0F" w:rsidRPr="009C6E0F">
          <w:rPr>
            <w:rStyle w:val="Hyperlink"/>
          </w:rPr>
          <w:t>Rule Determination: National Energy Retail Amendment (Strengthening Protections for Customers in Hardship) Rule 2018</w:t>
        </w:r>
      </w:hyperlink>
      <w:r w:rsidR="00025256">
        <w:t xml:space="preserve"> (15 November 2018)</w:t>
      </w:r>
      <w:r w:rsidR="009C6E0F">
        <w:t>, accessed 15 December 2023.</w:t>
      </w:r>
    </w:p>
  </w:footnote>
  <w:footnote w:id="47">
    <w:p w14:paraId="424C21DA" w14:textId="723D61EF" w:rsidR="001A6FD3" w:rsidRPr="007514EA" w:rsidRDefault="001A6FD3" w:rsidP="007514EA">
      <w:pPr>
        <w:spacing w:after="0" w:line="200" w:lineRule="atLeast"/>
        <w:rPr>
          <w:rFonts w:cs="Arial"/>
          <w:i/>
          <w:iCs/>
          <w:sz w:val="16"/>
          <w:szCs w:val="16"/>
        </w:rPr>
      </w:pPr>
      <w:r w:rsidRPr="001A0934">
        <w:rPr>
          <w:rStyle w:val="FootnoteReference"/>
          <w:sz w:val="16"/>
          <w:szCs w:val="16"/>
        </w:rPr>
        <w:footnoteRef/>
      </w:r>
      <w:r w:rsidRPr="001A0934">
        <w:rPr>
          <w:sz w:val="16"/>
          <w:szCs w:val="16"/>
        </w:rPr>
        <w:t xml:space="preserve"> </w:t>
      </w:r>
      <w:r w:rsidRPr="00A62585">
        <w:rPr>
          <w:rFonts w:cs="Arial"/>
          <w:i/>
          <w:iCs/>
          <w:sz w:val="16"/>
          <w:szCs w:val="16"/>
        </w:rPr>
        <w:t xml:space="preserve">Source: ACMA, Financial hardship in the telco sector, Keeping the customer connected, </w:t>
      </w:r>
      <w:r>
        <w:rPr>
          <w:rFonts w:cs="Arial"/>
          <w:i/>
          <w:iCs/>
          <w:sz w:val="16"/>
          <w:szCs w:val="16"/>
        </w:rPr>
        <w:t xml:space="preserve">p. 40, </w:t>
      </w:r>
      <w:r w:rsidRPr="00A62585">
        <w:rPr>
          <w:rFonts w:cs="Arial"/>
          <w:i/>
          <w:iCs/>
          <w:sz w:val="16"/>
          <w:szCs w:val="16"/>
        </w:rPr>
        <w:t>accessed 6 December 2023</w:t>
      </w:r>
    </w:p>
  </w:footnote>
  <w:footnote w:id="48">
    <w:p w14:paraId="7DBB7E5C" w14:textId="77777777" w:rsidR="001A6FD3" w:rsidRDefault="001A6FD3" w:rsidP="009E3CF9">
      <w:pPr>
        <w:pStyle w:val="FootnoteText"/>
      </w:pPr>
      <w:r>
        <w:rPr>
          <w:rStyle w:val="FootnoteReference"/>
        </w:rPr>
        <w:footnoteRef/>
      </w:r>
      <w:r>
        <w:t xml:space="preserve"> </w:t>
      </w:r>
      <w:r w:rsidRPr="00E85499">
        <w:t xml:space="preserve">ACMA, Financial hardship in the telco sector, Keeping the customer connected, </w:t>
      </w:r>
      <w:r>
        <w:t xml:space="preserve">Figure 6, </w:t>
      </w:r>
      <w:r w:rsidRPr="00E85499">
        <w:t xml:space="preserve">p. </w:t>
      </w:r>
      <w:r>
        <w:t>18</w:t>
      </w:r>
      <w:r w:rsidRPr="00E85499">
        <w:t xml:space="preserve">, accessed </w:t>
      </w:r>
      <w:r>
        <w:t>12</w:t>
      </w:r>
      <w:r w:rsidRPr="00E85499">
        <w:t xml:space="preserve"> December 2023</w:t>
      </w:r>
    </w:p>
  </w:footnote>
  <w:footnote w:id="49">
    <w:p w14:paraId="44A763F5" w14:textId="77777777" w:rsidR="000378A7" w:rsidRDefault="000378A7" w:rsidP="000378A7">
      <w:pPr>
        <w:pStyle w:val="FootnoteText"/>
      </w:pPr>
      <w:r>
        <w:rPr>
          <w:rStyle w:val="FootnoteReference"/>
        </w:rPr>
        <w:footnoteRef/>
      </w:r>
      <w:r>
        <w:t xml:space="preserve"> The 236,332 figure itself is also likely a low estimate because it is based on data from only 83% of the market.</w:t>
      </w:r>
    </w:p>
  </w:footnote>
  <w:footnote w:id="50">
    <w:p w14:paraId="6E16D9E4" w14:textId="4986BBAC" w:rsidR="000378A7" w:rsidRDefault="000378A7" w:rsidP="000378A7">
      <w:pPr>
        <w:pStyle w:val="FootnoteText"/>
      </w:pPr>
      <w:r>
        <w:rPr>
          <w:rStyle w:val="FootnoteReference"/>
        </w:rPr>
        <w:footnoteRef/>
      </w:r>
      <w:r w:rsidR="00116CDB">
        <w:t>ESC</w:t>
      </w:r>
      <w:r>
        <w:t xml:space="preserve"> </w:t>
      </w:r>
      <w:r w:rsidR="00116CDB">
        <w:t>(</w:t>
      </w:r>
      <w:r w:rsidRPr="007B4DC7">
        <w:t>Essential Services Commission</w:t>
      </w:r>
      <w:r w:rsidR="00116CDB">
        <w:t>)</w:t>
      </w:r>
      <w:r w:rsidRPr="007B4DC7">
        <w:t xml:space="preserve">, </w:t>
      </w:r>
      <w:hyperlink r:id="rId42" w:history="1">
        <w:r w:rsidRPr="00116CDB">
          <w:rPr>
            <w:rStyle w:val="Hyperlink"/>
          </w:rPr>
          <w:t>Payment difficulty framework implementation review 2022: Findings report</w:t>
        </w:r>
      </w:hyperlink>
      <w:r w:rsidRPr="007B4DC7">
        <w:t xml:space="preserve">, </w:t>
      </w:r>
      <w:r w:rsidR="00116CDB">
        <w:t>(</w:t>
      </w:r>
      <w:r w:rsidRPr="007B4DC7">
        <w:t xml:space="preserve">31 May </w:t>
      </w:r>
      <w:r w:rsidR="00116CDB">
        <w:t>2022), accessed 15 December 2023.</w:t>
      </w:r>
      <w:r w:rsidRPr="007B4DC7">
        <w:t xml:space="preserve"> </w:t>
      </w:r>
      <w:hyperlink r:id="rId43" w:history="1">
        <w:r w:rsidR="00025256" w:rsidRPr="00025256">
          <w:rPr>
            <w:rStyle w:val="Hyperlink"/>
          </w:rPr>
          <w:t>www.esc.vic.gov.au/sites/default/files/documents/RPT%20-</w:t>
        </w:r>
      </w:hyperlink>
      <w:r>
        <w:t xml:space="preserve"> </w:t>
      </w:r>
    </w:p>
  </w:footnote>
  <w:footnote w:id="51">
    <w:p w14:paraId="1CEB8B48" w14:textId="2A453BDE" w:rsidR="001A6FD3" w:rsidRDefault="001A6FD3" w:rsidP="009E3CF9">
      <w:pPr>
        <w:pStyle w:val="FootnoteText"/>
      </w:pPr>
      <w:r>
        <w:rPr>
          <w:rStyle w:val="FootnoteReference"/>
        </w:rPr>
        <w:footnoteRef/>
      </w:r>
      <w:r>
        <w:t xml:space="preserve"> </w:t>
      </w:r>
      <w:r w:rsidR="00F40E39">
        <w:t xml:space="preserve">AEMC (Australian Energy Market Commission) </w:t>
      </w:r>
      <w:hyperlink r:id="rId44" w:history="1">
        <w:r w:rsidR="00F40E39" w:rsidRPr="009C6E0F">
          <w:rPr>
            <w:rStyle w:val="Hyperlink"/>
          </w:rPr>
          <w:t>Rule Determination: National Energy Retail Amendment (Strengthening Protections for Customers in Hardship) Rule 2018</w:t>
        </w:r>
      </w:hyperlink>
      <w:r w:rsidR="00F40E39">
        <w:t xml:space="preserve"> (15 November 2018), accessed 15 December 2023. </w:t>
      </w:r>
      <w:hyperlink w:history="1"/>
      <w:r>
        <w:t xml:space="preserve"> </w:t>
      </w:r>
    </w:p>
  </w:footnote>
  <w:footnote w:id="52">
    <w:p w14:paraId="134B0660" w14:textId="5FFD94AB" w:rsidR="001A6FD3" w:rsidRDefault="001A6FD3" w:rsidP="009E3CF9">
      <w:pPr>
        <w:pStyle w:val="FootnoteText"/>
      </w:pPr>
      <w:r>
        <w:rPr>
          <w:rStyle w:val="FootnoteReference"/>
        </w:rPr>
        <w:footnoteRef/>
      </w:r>
      <w:r>
        <w:t xml:space="preserve"> See Appendix </w:t>
      </w:r>
      <w:r w:rsidR="002C1BE7">
        <w:t>A</w:t>
      </w:r>
      <w:r>
        <w:t xml:space="preserve"> of this RIA for a breakdown of regulatory costs.</w:t>
      </w:r>
    </w:p>
  </w:footnote>
  <w:footnote w:id="53">
    <w:p w14:paraId="7310EE6E" w14:textId="5A62D834" w:rsidR="00BC3DC1" w:rsidRDefault="00BC3DC1" w:rsidP="00BC3DC1">
      <w:pPr>
        <w:pStyle w:val="FootnoteText"/>
      </w:pPr>
      <w:r>
        <w:rPr>
          <w:rStyle w:val="FootnoteReference"/>
        </w:rPr>
        <w:footnoteRef/>
      </w:r>
      <w:r>
        <w:t xml:space="preserve"> </w:t>
      </w:r>
      <w:r w:rsidR="00206350">
        <w:t>ESC (</w:t>
      </w:r>
      <w:r w:rsidR="00206350" w:rsidRPr="007B4DC7">
        <w:t>Essential Services Commission</w:t>
      </w:r>
      <w:r w:rsidR="00206350">
        <w:t>)</w:t>
      </w:r>
      <w:r w:rsidR="00206350" w:rsidRPr="007B4DC7">
        <w:t xml:space="preserve">, </w:t>
      </w:r>
      <w:hyperlink r:id="rId45" w:history="1">
        <w:r w:rsidR="00206350" w:rsidRPr="00116CDB">
          <w:rPr>
            <w:rStyle w:val="Hyperlink"/>
          </w:rPr>
          <w:t>Payment difficulty framework implementation review 2022: Findings report</w:t>
        </w:r>
      </w:hyperlink>
      <w:r w:rsidR="00206350" w:rsidRPr="007B4DC7">
        <w:t xml:space="preserve">, </w:t>
      </w:r>
      <w:r w:rsidR="00206350">
        <w:t>(</w:t>
      </w:r>
      <w:r w:rsidR="00206350" w:rsidRPr="007B4DC7">
        <w:t xml:space="preserve">31 May </w:t>
      </w:r>
      <w:r w:rsidR="00206350">
        <w:t>2022), accessed 15 December 2023</w:t>
      </w:r>
      <w:r w:rsidR="002B5B6C">
        <w:t>.</w:t>
      </w:r>
    </w:p>
  </w:footnote>
  <w:footnote w:id="54">
    <w:p w14:paraId="64A069A0" w14:textId="7E9D43F2" w:rsidR="001D7A2F" w:rsidRDefault="001D7A2F" w:rsidP="001D7A2F">
      <w:pPr>
        <w:pStyle w:val="FootnoteText"/>
      </w:pPr>
      <w:r>
        <w:rPr>
          <w:rStyle w:val="FootnoteReference"/>
        </w:rPr>
        <w:footnoteRef/>
      </w:r>
      <w:r>
        <w:t xml:space="preserve"> See </w:t>
      </w:r>
      <w:r w:rsidR="002C1BE7">
        <w:t>A</w:t>
      </w:r>
      <w:r>
        <w:t xml:space="preserve">ppendix </w:t>
      </w:r>
      <w:r w:rsidR="002C1BE7">
        <w:t>A</w:t>
      </w:r>
      <w:r>
        <w:t xml:space="preserve"> of this RIA for a breakdown of regulatory costs</w:t>
      </w:r>
      <w:r w:rsidR="002B5B6C">
        <w:t>.</w:t>
      </w:r>
    </w:p>
  </w:footnote>
  <w:footnote w:id="55">
    <w:p w14:paraId="54C350A3" w14:textId="6594EF86" w:rsidR="001D7A2F" w:rsidRDefault="001D7A2F" w:rsidP="001D7A2F">
      <w:pPr>
        <w:pStyle w:val="FootnoteText"/>
      </w:pPr>
      <w:r>
        <w:rPr>
          <w:rStyle w:val="FootnoteReference"/>
        </w:rPr>
        <w:footnoteRef/>
      </w:r>
      <w:r>
        <w:t xml:space="preserve"> </w:t>
      </w:r>
      <w:r w:rsidR="006573CD">
        <w:t xml:space="preserve">OIA (The Office of Impact Analysis), </w:t>
      </w:r>
      <w:hyperlink r:id="rId46" w:history="1">
        <w:r w:rsidR="006573CD" w:rsidRPr="006573CD">
          <w:rPr>
            <w:rStyle w:val="Hyperlink"/>
          </w:rPr>
          <w:t>Regulatory Burden Measurement Framework</w:t>
        </w:r>
      </w:hyperlink>
      <w:r w:rsidR="006573CD">
        <w:t xml:space="preserve"> (6 September 2023), accessed 11 December 2023. </w:t>
      </w:r>
      <w:hyperlink w:history="1"/>
      <w:r>
        <w:t xml:space="preserve"> </w:t>
      </w:r>
    </w:p>
  </w:footnote>
  <w:footnote w:id="56">
    <w:p w14:paraId="6E4C44FD" w14:textId="3C5FC284" w:rsidR="00F40B53" w:rsidRDefault="00F40B53" w:rsidP="009E3CF9">
      <w:pPr>
        <w:pStyle w:val="FootnoteText"/>
      </w:pPr>
      <w:r>
        <w:rPr>
          <w:rStyle w:val="FootnoteReference"/>
        </w:rPr>
        <w:footnoteRef/>
      </w:r>
      <w:r>
        <w:t xml:space="preserve"> ACMA, </w:t>
      </w:r>
      <w:hyperlink r:id="rId47" w:history="1">
        <w:r>
          <w:rPr>
            <w:rStyle w:val="Hyperlink"/>
          </w:rPr>
          <w:t>Consumer vulnerability: expectations for the telco industry</w:t>
        </w:r>
      </w:hyperlink>
      <w:r>
        <w:rPr>
          <w:rStyle w:val="Hyperlink"/>
        </w:rPr>
        <w:t xml:space="preserve">, </w:t>
      </w:r>
      <w:r>
        <w:t>accessed 12 December 2023.</w:t>
      </w:r>
    </w:p>
  </w:footnote>
  <w:footnote w:id="57">
    <w:p w14:paraId="115394D3" w14:textId="72614BEE" w:rsidR="00827401" w:rsidRDefault="00827401" w:rsidP="009E3CF9">
      <w:pPr>
        <w:pStyle w:val="FootnoteText"/>
      </w:pPr>
      <w:r>
        <w:rPr>
          <w:rStyle w:val="FootnoteReference"/>
        </w:rPr>
        <w:footnoteRef/>
      </w:r>
      <w:r>
        <w:t xml:space="preserve"> Australian Consumer Action Network (ACCAN), Consumer Policy Research Centre (CPRC), Consumer Action Law Centre (CALC), Western Community Legal Centre Limited (WEstjustice), South Australian Council of Social Services (SAC</w:t>
      </w:r>
      <w:r w:rsidR="00836951">
        <w:t>O</w:t>
      </w:r>
      <w:r>
        <w:t>SS), Isolated Children’s Parents’ Association of Australian (ICPA); NSW Business Chamber (Business NSW).</w:t>
      </w:r>
    </w:p>
  </w:footnote>
  <w:footnote w:id="58">
    <w:p w14:paraId="7AE8B40C" w14:textId="77777777" w:rsidR="006C13A3" w:rsidRDefault="006C13A3" w:rsidP="009E3CF9">
      <w:pPr>
        <w:pStyle w:val="FootnoteText"/>
      </w:pPr>
      <w:r>
        <w:rPr>
          <w:rStyle w:val="FootnoteReference"/>
        </w:rPr>
        <w:footnoteRef/>
      </w:r>
      <w:r>
        <w:t xml:space="preserve"> Department of Infrastructure, Transport, Regional Development, Communications and the Arts, </w:t>
      </w:r>
      <w:hyperlink r:id="rId48" w:history="1">
        <w:r>
          <w:rPr>
            <w:rStyle w:val="Hyperlink"/>
          </w:rPr>
          <w:t>Consumer Safeguards Review consultation—Part C: Choice and fairness</w:t>
        </w:r>
      </w:hyperlink>
      <w:r>
        <w:t>, accessed 8 December 2023.</w:t>
      </w:r>
    </w:p>
  </w:footnote>
  <w:footnote w:id="59">
    <w:p w14:paraId="217843A6" w14:textId="09692E72" w:rsidR="00A26B6E" w:rsidRDefault="00A26B6E" w:rsidP="009E3CF9">
      <w:pPr>
        <w:pStyle w:val="FootnoteText"/>
      </w:pPr>
      <w:r>
        <w:rPr>
          <w:rStyle w:val="FootnoteReference"/>
        </w:rPr>
        <w:footnoteRef/>
      </w:r>
      <w:r>
        <w:t xml:space="preserve"> ACMA, </w:t>
      </w:r>
      <w:hyperlink r:id="rId49" w:history="1">
        <w:r w:rsidR="003F41FF">
          <w:rPr>
            <w:rStyle w:val="Hyperlink"/>
          </w:rPr>
          <w:t>Proposed Telecommunications Financial Hardship Industry Standard</w:t>
        </w:r>
      </w:hyperlink>
      <w:r w:rsidR="006B3EBE">
        <w:t>, accessed 5 December 2023.</w:t>
      </w:r>
    </w:p>
  </w:footnote>
  <w:footnote w:id="60">
    <w:p w14:paraId="77BDC3B2" w14:textId="001B25D6" w:rsidR="003C7C98" w:rsidRDefault="003C7C98" w:rsidP="009E3CF9">
      <w:pPr>
        <w:pStyle w:val="FootnoteText"/>
      </w:pPr>
      <w:r>
        <w:rPr>
          <w:rStyle w:val="FootnoteReference"/>
        </w:rPr>
        <w:footnoteRef/>
      </w:r>
      <w:r>
        <w:t xml:space="preserve"> Legislative requirement </w:t>
      </w:r>
      <w:r w:rsidR="00C3693D">
        <w:t xml:space="preserve">is </w:t>
      </w:r>
      <w:r>
        <w:t>for minimum of 30 days.</w:t>
      </w:r>
    </w:p>
  </w:footnote>
  <w:footnote w:id="61">
    <w:p w14:paraId="28628BD5" w14:textId="77777777" w:rsidR="009D43E5" w:rsidRDefault="009D43E5" w:rsidP="009E3CF9">
      <w:pPr>
        <w:pStyle w:val="FootnoteText"/>
      </w:pPr>
      <w:r>
        <w:rPr>
          <w:rStyle w:val="FootnoteReference"/>
        </w:rPr>
        <w:footnoteRef/>
      </w:r>
      <w:r>
        <w:t xml:space="preserve"> ACMA, 2021, </w:t>
      </w:r>
      <w:hyperlink r:id="rId50" w:history="1">
        <w:r>
          <w:rPr>
            <w:rStyle w:val="Hyperlink"/>
          </w:rPr>
          <w:t>ACMA Compliance priorities 2021–22</w:t>
        </w:r>
      </w:hyperlink>
      <w:r>
        <w:t>, viewed 11 October 2021.</w:t>
      </w:r>
    </w:p>
  </w:footnote>
  <w:footnote w:id="62">
    <w:p w14:paraId="54BAF062" w14:textId="230ED830" w:rsidR="00D069C9" w:rsidRDefault="00D069C9">
      <w:pPr>
        <w:pStyle w:val="FootnoteText"/>
      </w:pPr>
      <w:r>
        <w:rPr>
          <w:rStyle w:val="FootnoteReference"/>
        </w:rPr>
        <w:footnoteRef/>
      </w:r>
      <w:r>
        <w:t xml:space="preserve"> </w:t>
      </w:r>
      <w:r w:rsidR="002A0606">
        <w:t xml:space="preserve">The Hon Michelle Rowlands MP, </w:t>
      </w:r>
      <w:r>
        <w:t xml:space="preserve">Minister for Communications, </w:t>
      </w:r>
      <w:hyperlink r:id="rId51" w:history="1">
        <w:r>
          <w:rPr>
            <w:rStyle w:val="Hyperlink"/>
          </w:rPr>
          <w:t>Better support for telco customers experiencing financial hardship | Ministers for the Department of Infrastructure</w:t>
        </w:r>
      </w:hyperlink>
      <w:r>
        <w:t>, accessed 15 December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34AC2" w14:textId="77777777" w:rsidR="0065520A" w:rsidRDefault="0065520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CA154" w14:textId="77777777" w:rsidR="006D200E" w:rsidRDefault="006D200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34B66" w14:textId="77777777" w:rsidR="006D200E" w:rsidRDefault="006D2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1FF92" w14:textId="77777777" w:rsidR="00C9240C" w:rsidRPr="00A5474E" w:rsidRDefault="00C9240C" w:rsidP="00C9240C">
    <w:pPr>
      <w:pStyle w:val="Header"/>
    </w:pPr>
    <w:r>
      <w:rPr>
        <w:noProof/>
      </w:rPr>
      <w:drawing>
        <wp:inline distT="0" distB="0" distL="0" distR="0" wp14:anchorId="133DE77A" wp14:editId="48E5F75B">
          <wp:extent cx="6283434" cy="578076"/>
          <wp:effectExtent l="0" t="0" r="3175" b="0"/>
          <wp:docPr id="3" name="Picture 3"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ABFCC" w14:textId="77777777" w:rsidR="00C9240C" w:rsidRPr="00A5474E" w:rsidRDefault="00C9240C" w:rsidP="00C9240C">
    <w:pPr>
      <w:pStyle w:val="TOCHeading"/>
    </w:pPr>
    <w:r w:rsidRPr="0029593B">
      <w:t>Contents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C115" w14:textId="77777777" w:rsidR="00C9240C" w:rsidRDefault="00C924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376A0" w14:textId="77777777" w:rsidR="00C9240C" w:rsidRDefault="00C924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678" w:type="dxa"/>
      <w:tblLayout w:type="fixed"/>
      <w:tblCellMar>
        <w:left w:w="0" w:type="dxa"/>
        <w:right w:w="0" w:type="dxa"/>
      </w:tblCellMar>
      <w:tblLook w:val="01E0" w:firstRow="1" w:lastRow="1" w:firstColumn="1" w:lastColumn="1" w:noHBand="0" w:noVBand="0"/>
    </w:tblPr>
    <w:tblGrid>
      <w:gridCol w:w="7678"/>
    </w:tblGrid>
    <w:tr w:rsidR="00C9240C" w14:paraId="7C35FF27" w14:textId="77777777" w:rsidTr="00C9240C">
      <w:trPr>
        <w:trHeight w:hRule="exact" w:val="988"/>
      </w:trPr>
      <w:tc>
        <w:tcPr>
          <w:tcW w:w="7678" w:type="dxa"/>
          <w:shd w:val="clear" w:color="auto" w:fill="auto"/>
        </w:tcPr>
        <w:p w14:paraId="7FF885E8" w14:textId="77777777" w:rsidR="00C9240C" w:rsidRDefault="00C9240C" w:rsidP="00C9240C">
          <w:pPr>
            <w:pStyle w:val="Header"/>
          </w:pPr>
        </w:p>
      </w:tc>
    </w:tr>
    <w:tr w:rsidR="00C9240C" w14:paraId="5FB793C2" w14:textId="77777777" w:rsidTr="00C9240C">
      <w:tc>
        <w:tcPr>
          <w:tcW w:w="7678" w:type="dxa"/>
          <w:shd w:val="clear" w:color="auto" w:fill="auto"/>
        </w:tcPr>
        <w:p w14:paraId="3E8A6E55" w14:textId="77777777" w:rsidR="00C9240C" w:rsidRDefault="00C9240C" w:rsidP="00C9240C">
          <w:pPr>
            <w:pStyle w:val="GridTable31"/>
          </w:pPr>
          <w:r>
            <w:t xml:space="preserve">Contents </w:t>
          </w:r>
          <w:r w:rsidRPr="00915B1C">
            <w:rPr>
              <w:b w:val="0"/>
              <w:spacing w:val="0"/>
              <w:sz w:val="28"/>
              <w:szCs w:val="28"/>
            </w:rPr>
            <w:t>(Continued)</w:t>
          </w:r>
        </w:p>
      </w:tc>
    </w:tr>
    <w:tr w:rsidR="00C9240C" w14:paraId="12F8C311" w14:textId="77777777" w:rsidTr="00C9240C">
      <w:trPr>
        <w:trHeight w:val="1220"/>
      </w:trPr>
      <w:tc>
        <w:tcPr>
          <w:tcW w:w="7678" w:type="dxa"/>
          <w:shd w:val="clear" w:color="auto" w:fill="auto"/>
        </w:tcPr>
        <w:p w14:paraId="20AC745C" w14:textId="77777777" w:rsidR="00C9240C" w:rsidRDefault="00C9240C" w:rsidP="00C9240C"/>
      </w:tc>
    </w:tr>
  </w:tbl>
  <w:p w14:paraId="6C602E40" w14:textId="77777777" w:rsidR="00C9240C" w:rsidRDefault="00C9240C" w:rsidP="00C924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678" w:type="dxa"/>
      <w:tblLayout w:type="fixed"/>
      <w:tblCellMar>
        <w:left w:w="0" w:type="dxa"/>
        <w:right w:w="0" w:type="dxa"/>
      </w:tblCellMar>
      <w:tblLook w:val="01E0" w:firstRow="1" w:lastRow="1" w:firstColumn="1" w:lastColumn="1" w:noHBand="0" w:noVBand="0"/>
    </w:tblPr>
    <w:tblGrid>
      <w:gridCol w:w="7678"/>
    </w:tblGrid>
    <w:tr w:rsidR="00C9240C" w14:paraId="144EB49B" w14:textId="77777777" w:rsidTr="00C9240C">
      <w:trPr>
        <w:trHeight w:hRule="exact" w:val="988"/>
      </w:trPr>
      <w:tc>
        <w:tcPr>
          <w:tcW w:w="7678" w:type="dxa"/>
          <w:shd w:val="clear" w:color="auto" w:fill="auto"/>
        </w:tcPr>
        <w:p w14:paraId="383CECA1" w14:textId="77777777" w:rsidR="00C9240C" w:rsidRDefault="00C9240C" w:rsidP="00C9240C">
          <w:pPr>
            <w:pStyle w:val="Header"/>
          </w:pPr>
        </w:p>
      </w:tc>
    </w:tr>
    <w:tr w:rsidR="00C9240C" w14:paraId="28963558" w14:textId="77777777" w:rsidTr="00C9240C">
      <w:tc>
        <w:tcPr>
          <w:tcW w:w="7678" w:type="dxa"/>
          <w:shd w:val="clear" w:color="auto" w:fill="auto"/>
        </w:tcPr>
        <w:p w14:paraId="2A73692A" w14:textId="77777777" w:rsidR="00C9240C" w:rsidRDefault="00C9240C" w:rsidP="00C9240C">
          <w:pPr>
            <w:pStyle w:val="GridTable31"/>
          </w:pPr>
          <w:r>
            <w:t xml:space="preserve">Contents </w:t>
          </w:r>
          <w:r w:rsidRPr="00915B1C">
            <w:rPr>
              <w:b w:val="0"/>
              <w:spacing w:val="0"/>
              <w:sz w:val="28"/>
              <w:szCs w:val="28"/>
            </w:rPr>
            <w:t>(Continued)</w:t>
          </w:r>
        </w:p>
      </w:tc>
    </w:tr>
    <w:tr w:rsidR="00C9240C" w14:paraId="1BFF9BCB" w14:textId="77777777" w:rsidTr="00C9240C">
      <w:trPr>
        <w:trHeight w:val="1220"/>
      </w:trPr>
      <w:tc>
        <w:tcPr>
          <w:tcW w:w="7678" w:type="dxa"/>
          <w:shd w:val="clear" w:color="auto" w:fill="auto"/>
        </w:tcPr>
        <w:p w14:paraId="25893694" w14:textId="77777777" w:rsidR="00C9240C" w:rsidRDefault="00C9240C" w:rsidP="00C9240C"/>
      </w:tc>
    </w:tr>
  </w:tbl>
  <w:p w14:paraId="38086DEC" w14:textId="77777777" w:rsidR="00C9240C" w:rsidRPr="00A5474E" w:rsidRDefault="00C9240C" w:rsidP="00C9240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F5A66" w14:textId="77777777" w:rsidR="00C9240C" w:rsidRDefault="00C9240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03230" w14:textId="77777777" w:rsidR="00C9240C" w:rsidRDefault="00C92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08A29652"/>
    <w:lvl w:ilvl="0">
      <w:start w:val="1"/>
      <w:numFmt w:val="bullet"/>
      <w:pStyle w:val="ListBullet"/>
      <w:lvlText w:val=""/>
      <w:lvlJc w:val="left"/>
      <w:pPr>
        <w:ind w:left="720" w:hanging="360"/>
      </w:pPr>
      <w:rPr>
        <w:rFonts w:ascii="Symbol" w:hAnsi="Symbol" w:hint="default"/>
        <w:sz w:val="20"/>
      </w:rPr>
    </w:lvl>
  </w:abstractNum>
  <w:abstractNum w:abstractNumId="4" w15:restartNumberingAfterBreak="0">
    <w:nsid w:val="008A5D51"/>
    <w:multiLevelType w:val="hybridMultilevel"/>
    <w:tmpl w:val="53D68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4E59E6"/>
    <w:multiLevelType w:val="hybridMultilevel"/>
    <w:tmpl w:val="34447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C87CDD"/>
    <w:multiLevelType w:val="hybridMultilevel"/>
    <w:tmpl w:val="25129EB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5FB1FB6"/>
    <w:multiLevelType w:val="hybridMultilevel"/>
    <w:tmpl w:val="0C6AB348"/>
    <w:lvl w:ilvl="0" w:tplc="93525DB8">
      <w:start w:val="1"/>
      <w:numFmt w:val="bullet"/>
      <w:lvlText w:val="&gt;"/>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73824D9"/>
    <w:multiLevelType w:val="multilevel"/>
    <w:tmpl w:val="8042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1F3B61"/>
    <w:multiLevelType w:val="hybridMultilevel"/>
    <w:tmpl w:val="CAE08A4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A963C4A"/>
    <w:multiLevelType w:val="hybridMultilevel"/>
    <w:tmpl w:val="4DD08F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CD57D0B"/>
    <w:multiLevelType w:val="hybridMultilevel"/>
    <w:tmpl w:val="213E96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D7740D0"/>
    <w:multiLevelType w:val="hybridMultilevel"/>
    <w:tmpl w:val="795A00C4"/>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1983A10"/>
    <w:multiLevelType w:val="hybridMultilevel"/>
    <w:tmpl w:val="0F80287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2B2A9B"/>
    <w:multiLevelType w:val="hybridMultilevel"/>
    <w:tmpl w:val="F98E55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49B3401"/>
    <w:multiLevelType w:val="hybridMultilevel"/>
    <w:tmpl w:val="6D665724"/>
    <w:lvl w:ilvl="0" w:tplc="994454C2">
      <w:start w:val="1"/>
      <w:numFmt w:val="bullet"/>
      <w:lvlText w:val=""/>
      <w:lvlJc w:val="left"/>
      <w:pPr>
        <w:ind w:left="720" w:hanging="360"/>
      </w:pPr>
      <w:rPr>
        <w:rFonts w:ascii="Symbol" w:hAnsi="Symbol"/>
      </w:rPr>
    </w:lvl>
    <w:lvl w:ilvl="1" w:tplc="27BA8428">
      <w:start w:val="1"/>
      <w:numFmt w:val="bullet"/>
      <w:lvlText w:val=""/>
      <w:lvlJc w:val="left"/>
      <w:pPr>
        <w:ind w:left="720" w:hanging="360"/>
      </w:pPr>
      <w:rPr>
        <w:rFonts w:ascii="Symbol" w:hAnsi="Symbol"/>
      </w:rPr>
    </w:lvl>
    <w:lvl w:ilvl="2" w:tplc="77D47DBE">
      <w:start w:val="1"/>
      <w:numFmt w:val="bullet"/>
      <w:lvlText w:val=""/>
      <w:lvlJc w:val="left"/>
      <w:pPr>
        <w:ind w:left="720" w:hanging="360"/>
      </w:pPr>
      <w:rPr>
        <w:rFonts w:ascii="Symbol" w:hAnsi="Symbol"/>
      </w:rPr>
    </w:lvl>
    <w:lvl w:ilvl="3" w:tplc="8848C19C">
      <w:start w:val="1"/>
      <w:numFmt w:val="bullet"/>
      <w:lvlText w:val=""/>
      <w:lvlJc w:val="left"/>
      <w:pPr>
        <w:ind w:left="720" w:hanging="360"/>
      </w:pPr>
      <w:rPr>
        <w:rFonts w:ascii="Symbol" w:hAnsi="Symbol"/>
      </w:rPr>
    </w:lvl>
    <w:lvl w:ilvl="4" w:tplc="F422755E">
      <w:start w:val="1"/>
      <w:numFmt w:val="bullet"/>
      <w:lvlText w:val=""/>
      <w:lvlJc w:val="left"/>
      <w:pPr>
        <w:ind w:left="720" w:hanging="360"/>
      </w:pPr>
      <w:rPr>
        <w:rFonts w:ascii="Symbol" w:hAnsi="Symbol"/>
      </w:rPr>
    </w:lvl>
    <w:lvl w:ilvl="5" w:tplc="307A0B62">
      <w:start w:val="1"/>
      <w:numFmt w:val="bullet"/>
      <w:lvlText w:val=""/>
      <w:lvlJc w:val="left"/>
      <w:pPr>
        <w:ind w:left="720" w:hanging="360"/>
      </w:pPr>
      <w:rPr>
        <w:rFonts w:ascii="Symbol" w:hAnsi="Symbol"/>
      </w:rPr>
    </w:lvl>
    <w:lvl w:ilvl="6" w:tplc="EBF84A06">
      <w:start w:val="1"/>
      <w:numFmt w:val="bullet"/>
      <w:lvlText w:val=""/>
      <w:lvlJc w:val="left"/>
      <w:pPr>
        <w:ind w:left="720" w:hanging="360"/>
      </w:pPr>
      <w:rPr>
        <w:rFonts w:ascii="Symbol" w:hAnsi="Symbol"/>
      </w:rPr>
    </w:lvl>
    <w:lvl w:ilvl="7" w:tplc="4FEA574A">
      <w:start w:val="1"/>
      <w:numFmt w:val="bullet"/>
      <w:lvlText w:val=""/>
      <w:lvlJc w:val="left"/>
      <w:pPr>
        <w:ind w:left="720" w:hanging="360"/>
      </w:pPr>
      <w:rPr>
        <w:rFonts w:ascii="Symbol" w:hAnsi="Symbol"/>
      </w:rPr>
    </w:lvl>
    <w:lvl w:ilvl="8" w:tplc="3BBACA50">
      <w:start w:val="1"/>
      <w:numFmt w:val="bullet"/>
      <w:lvlText w:val=""/>
      <w:lvlJc w:val="left"/>
      <w:pPr>
        <w:ind w:left="720" w:hanging="360"/>
      </w:pPr>
      <w:rPr>
        <w:rFonts w:ascii="Symbol" w:hAnsi="Symbol"/>
      </w:rPr>
    </w:lvl>
  </w:abstractNum>
  <w:abstractNum w:abstractNumId="17" w15:restartNumberingAfterBreak="0">
    <w:nsid w:val="167F29F1"/>
    <w:multiLevelType w:val="hybridMultilevel"/>
    <w:tmpl w:val="7E200354"/>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6933D58"/>
    <w:multiLevelType w:val="hybridMultilevel"/>
    <w:tmpl w:val="2258ED50"/>
    <w:lvl w:ilvl="0" w:tplc="8E60602A">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D417CE"/>
    <w:multiLevelType w:val="hybridMultilevel"/>
    <w:tmpl w:val="F16656F8"/>
    <w:lvl w:ilvl="0" w:tplc="93525DB8">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BE01CF9"/>
    <w:multiLevelType w:val="hybridMultilevel"/>
    <w:tmpl w:val="35B4A018"/>
    <w:lvl w:ilvl="0" w:tplc="5212DA32">
      <w:start w:val="1"/>
      <w:numFmt w:val="bullet"/>
      <w:lvlText w:val="&gt;"/>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963D57"/>
    <w:multiLevelType w:val="hybridMultilevel"/>
    <w:tmpl w:val="FAAE9EB4"/>
    <w:lvl w:ilvl="0" w:tplc="F9C6CF50">
      <w:start w:val="1"/>
      <w:numFmt w:val="bullet"/>
      <w:lvlText w:val=""/>
      <w:lvlJc w:val="left"/>
      <w:pPr>
        <w:ind w:left="720" w:hanging="360"/>
      </w:pPr>
      <w:rPr>
        <w:rFonts w:ascii="Symbol" w:hAnsi="Symbol"/>
      </w:rPr>
    </w:lvl>
    <w:lvl w:ilvl="1" w:tplc="DB9EF2CA">
      <w:start w:val="1"/>
      <w:numFmt w:val="bullet"/>
      <w:lvlText w:val=""/>
      <w:lvlJc w:val="left"/>
      <w:pPr>
        <w:ind w:left="720" w:hanging="360"/>
      </w:pPr>
      <w:rPr>
        <w:rFonts w:ascii="Symbol" w:hAnsi="Symbol"/>
      </w:rPr>
    </w:lvl>
    <w:lvl w:ilvl="2" w:tplc="BAE42C52">
      <w:start w:val="1"/>
      <w:numFmt w:val="bullet"/>
      <w:lvlText w:val=""/>
      <w:lvlJc w:val="left"/>
      <w:pPr>
        <w:ind w:left="720" w:hanging="360"/>
      </w:pPr>
      <w:rPr>
        <w:rFonts w:ascii="Symbol" w:hAnsi="Symbol"/>
      </w:rPr>
    </w:lvl>
    <w:lvl w:ilvl="3" w:tplc="8E66648C">
      <w:start w:val="1"/>
      <w:numFmt w:val="bullet"/>
      <w:lvlText w:val=""/>
      <w:lvlJc w:val="left"/>
      <w:pPr>
        <w:ind w:left="720" w:hanging="360"/>
      </w:pPr>
      <w:rPr>
        <w:rFonts w:ascii="Symbol" w:hAnsi="Symbol"/>
      </w:rPr>
    </w:lvl>
    <w:lvl w:ilvl="4" w:tplc="B09CC568">
      <w:start w:val="1"/>
      <w:numFmt w:val="bullet"/>
      <w:lvlText w:val=""/>
      <w:lvlJc w:val="left"/>
      <w:pPr>
        <w:ind w:left="720" w:hanging="360"/>
      </w:pPr>
      <w:rPr>
        <w:rFonts w:ascii="Symbol" w:hAnsi="Symbol"/>
      </w:rPr>
    </w:lvl>
    <w:lvl w:ilvl="5" w:tplc="CB9487FE">
      <w:start w:val="1"/>
      <w:numFmt w:val="bullet"/>
      <w:lvlText w:val=""/>
      <w:lvlJc w:val="left"/>
      <w:pPr>
        <w:ind w:left="720" w:hanging="360"/>
      </w:pPr>
      <w:rPr>
        <w:rFonts w:ascii="Symbol" w:hAnsi="Symbol"/>
      </w:rPr>
    </w:lvl>
    <w:lvl w:ilvl="6" w:tplc="91749C8A">
      <w:start w:val="1"/>
      <w:numFmt w:val="bullet"/>
      <w:lvlText w:val=""/>
      <w:lvlJc w:val="left"/>
      <w:pPr>
        <w:ind w:left="720" w:hanging="360"/>
      </w:pPr>
      <w:rPr>
        <w:rFonts w:ascii="Symbol" w:hAnsi="Symbol"/>
      </w:rPr>
    </w:lvl>
    <w:lvl w:ilvl="7" w:tplc="D6122E70">
      <w:start w:val="1"/>
      <w:numFmt w:val="bullet"/>
      <w:lvlText w:val=""/>
      <w:lvlJc w:val="left"/>
      <w:pPr>
        <w:ind w:left="720" w:hanging="360"/>
      </w:pPr>
      <w:rPr>
        <w:rFonts w:ascii="Symbol" w:hAnsi="Symbol"/>
      </w:rPr>
    </w:lvl>
    <w:lvl w:ilvl="8" w:tplc="DBFA9A5A">
      <w:start w:val="1"/>
      <w:numFmt w:val="bullet"/>
      <w:lvlText w:val=""/>
      <w:lvlJc w:val="left"/>
      <w:pPr>
        <w:ind w:left="720" w:hanging="360"/>
      </w:pPr>
      <w:rPr>
        <w:rFonts w:ascii="Symbol" w:hAnsi="Symbol"/>
      </w:rPr>
    </w:lvl>
  </w:abstractNum>
  <w:abstractNum w:abstractNumId="22" w15:restartNumberingAfterBreak="0">
    <w:nsid w:val="21A61E2B"/>
    <w:multiLevelType w:val="hybridMultilevel"/>
    <w:tmpl w:val="2D7432EA"/>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2EF5A83"/>
    <w:multiLevelType w:val="hybridMultilevel"/>
    <w:tmpl w:val="37B0CC2C"/>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3A35BB1"/>
    <w:multiLevelType w:val="hybridMultilevel"/>
    <w:tmpl w:val="98AEC72C"/>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4B56C53"/>
    <w:multiLevelType w:val="hybridMultilevel"/>
    <w:tmpl w:val="F978FBAC"/>
    <w:lvl w:ilvl="0" w:tplc="A1722D12">
      <w:start w:val="1"/>
      <w:numFmt w:val="bullet"/>
      <w:lvlText w:val=""/>
      <w:lvlJc w:val="left"/>
      <w:pPr>
        <w:ind w:left="1440" w:hanging="360"/>
      </w:pPr>
      <w:rPr>
        <w:rFonts w:ascii="Symbol" w:hAnsi="Symbol"/>
      </w:rPr>
    </w:lvl>
    <w:lvl w:ilvl="1" w:tplc="66E82DE2">
      <w:start w:val="1"/>
      <w:numFmt w:val="bullet"/>
      <w:lvlText w:val=""/>
      <w:lvlJc w:val="left"/>
      <w:pPr>
        <w:ind w:left="1440" w:hanging="360"/>
      </w:pPr>
      <w:rPr>
        <w:rFonts w:ascii="Symbol" w:hAnsi="Symbol"/>
      </w:rPr>
    </w:lvl>
    <w:lvl w:ilvl="2" w:tplc="8BA0F456">
      <w:start w:val="1"/>
      <w:numFmt w:val="bullet"/>
      <w:lvlText w:val=""/>
      <w:lvlJc w:val="left"/>
      <w:pPr>
        <w:ind w:left="1440" w:hanging="360"/>
      </w:pPr>
      <w:rPr>
        <w:rFonts w:ascii="Symbol" w:hAnsi="Symbol"/>
      </w:rPr>
    </w:lvl>
    <w:lvl w:ilvl="3" w:tplc="295040C8">
      <w:start w:val="1"/>
      <w:numFmt w:val="bullet"/>
      <w:lvlText w:val=""/>
      <w:lvlJc w:val="left"/>
      <w:pPr>
        <w:ind w:left="1440" w:hanging="360"/>
      </w:pPr>
      <w:rPr>
        <w:rFonts w:ascii="Symbol" w:hAnsi="Symbol"/>
      </w:rPr>
    </w:lvl>
    <w:lvl w:ilvl="4" w:tplc="9A704B5A">
      <w:start w:val="1"/>
      <w:numFmt w:val="bullet"/>
      <w:lvlText w:val=""/>
      <w:lvlJc w:val="left"/>
      <w:pPr>
        <w:ind w:left="1440" w:hanging="360"/>
      </w:pPr>
      <w:rPr>
        <w:rFonts w:ascii="Symbol" w:hAnsi="Symbol"/>
      </w:rPr>
    </w:lvl>
    <w:lvl w:ilvl="5" w:tplc="4AD8A648">
      <w:start w:val="1"/>
      <w:numFmt w:val="bullet"/>
      <w:lvlText w:val=""/>
      <w:lvlJc w:val="left"/>
      <w:pPr>
        <w:ind w:left="1440" w:hanging="360"/>
      </w:pPr>
      <w:rPr>
        <w:rFonts w:ascii="Symbol" w:hAnsi="Symbol"/>
      </w:rPr>
    </w:lvl>
    <w:lvl w:ilvl="6" w:tplc="9C804640">
      <w:start w:val="1"/>
      <w:numFmt w:val="bullet"/>
      <w:lvlText w:val=""/>
      <w:lvlJc w:val="left"/>
      <w:pPr>
        <w:ind w:left="1440" w:hanging="360"/>
      </w:pPr>
      <w:rPr>
        <w:rFonts w:ascii="Symbol" w:hAnsi="Symbol"/>
      </w:rPr>
    </w:lvl>
    <w:lvl w:ilvl="7" w:tplc="701EC61E">
      <w:start w:val="1"/>
      <w:numFmt w:val="bullet"/>
      <w:lvlText w:val=""/>
      <w:lvlJc w:val="left"/>
      <w:pPr>
        <w:ind w:left="1440" w:hanging="360"/>
      </w:pPr>
      <w:rPr>
        <w:rFonts w:ascii="Symbol" w:hAnsi="Symbol"/>
      </w:rPr>
    </w:lvl>
    <w:lvl w:ilvl="8" w:tplc="EA66DA0E">
      <w:start w:val="1"/>
      <w:numFmt w:val="bullet"/>
      <w:lvlText w:val=""/>
      <w:lvlJc w:val="left"/>
      <w:pPr>
        <w:ind w:left="1440" w:hanging="360"/>
      </w:pPr>
      <w:rPr>
        <w:rFonts w:ascii="Symbol" w:hAnsi="Symbol"/>
      </w:rPr>
    </w:lvl>
  </w:abstractNum>
  <w:abstractNum w:abstractNumId="26" w15:restartNumberingAfterBreak="0">
    <w:nsid w:val="25487AE1"/>
    <w:multiLevelType w:val="hybridMultilevel"/>
    <w:tmpl w:val="51269758"/>
    <w:lvl w:ilvl="0" w:tplc="5E902150">
      <w:start w:val="1"/>
      <w:numFmt w:val="decimal"/>
      <w:lvlText w:val="%1."/>
      <w:lvlJc w:val="left"/>
      <w:pPr>
        <w:ind w:left="396" w:hanging="360"/>
      </w:pPr>
      <w:rPr>
        <w:rFonts w:hint="default"/>
      </w:rPr>
    </w:lvl>
    <w:lvl w:ilvl="1" w:tplc="0C090019" w:tentative="1">
      <w:start w:val="1"/>
      <w:numFmt w:val="lowerLetter"/>
      <w:lvlText w:val="%2."/>
      <w:lvlJc w:val="left"/>
      <w:pPr>
        <w:ind w:left="1116" w:hanging="360"/>
      </w:pPr>
    </w:lvl>
    <w:lvl w:ilvl="2" w:tplc="0C09001B" w:tentative="1">
      <w:start w:val="1"/>
      <w:numFmt w:val="lowerRoman"/>
      <w:lvlText w:val="%3."/>
      <w:lvlJc w:val="right"/>
      <w:pPr>
        <w:ind w:left="1836" w:hanging="180"/>
      </w:pPr>
    </w:lvl>
    <w:lvl w:ilvl="3" w:tplc="0C09000F" w:tentative="1">
      <w:start w:val="1"/>
      <w:numFmt w:val="decimal"/>
      <w:lvlText w:val="%4."/>
      <w:lvlJc w:val="left"/>
      <w:pPr>
        <w:ind w:left="2556" w:hanging="360"/>
      </w:pPr>
    </w:lvl>
    <w:lvl w:ilvl="4" w:tplc="0C090019" w:tentative="1">
      <w:start w:val="1"/>
      <w:numFmt w:val="lowerLetter"/>
      <w:lvlText w:val="%5."/>
      <w:lvlJc w:val="left"/>
      <w:pPr>
        <w:ind w:left="3276" w:hanging="360"/>
      </w:pPr>
    </w:lvl>
    <w:lvl w:ilvl="5" w:tplc="0C09001B" w:tentative="1">
      <w:start w:val="1"/>
      <w:numFmt w:val="lowerRoman"/>
      <w:lvlText w:val="%6."/>
      <w:lvlJc w:val="right"/>
      <w:pPr>
        <w:ind w:left="3996" w:hanging="180"/>
      </w:pPr>
    </w:lvl>
    <w:lvl w:ilvl="6" w:tplc="0C09000F" w:tentative="1">
      <w:start w:val="1"/>
      <w:numFmt w:val="decimal"/>
      <w:lvlText w:val="%7."/>
      <w:lvlJc w:val="left"/>
      <w:pPr>
        <w:ind w:left="4716" w:hanging="360"/>
      </w:pPr>
    </w:lvl>
    <w:lvl w:ilvl="7" w:tplc="0C090019" w:tentative="1">
      <w:start w:val="1"/>
      <w:numFmt w:val="lowerLetter"/>
      <w:lvlText w:val="%8."/>
      <w:lvlJc w:val="left"/>
      <w:pPr>
        <w:ind w:left="5436" w:hanging="360"/>
      </w:pPr>
    </w:lvl>
    <w:lvl w:ilvl="8" w:tplc="0C09001B" w:tentative="1">
      <w:start w:val="1"/>
      <w:numFmt w:val="lowerRoman"/>
      <w:lvlText w:val="%9."/>
      <w:lvlJc w:val="right"/>
      <w:pPr>
        <w:ind w:left="6156" w:hanging="180"/>
      </w:pPr>
    </w:lvl>
  </w:abstractNum>
  <w:abstractNum w:abstractNumId="27"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92E7AE1"/>
    <w:multiLevelType w:val="hybridMultilevel"/>
    <w:tmpl w:val="A7C48F96"/>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98A3AFE"/>
    <w:multiLevelType w:val="hybridMultilevel"/>
    <w:tmpl w:val="BD40C9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9CE6F72"/>
    <w:multiLevelType w:val="hybridMultilevel"/>
    <w:tmpl w:val="518AB6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C7361DE"/>
    <w:multiLevelType w:val="hybridMultilevel"/>
    <w:tmpl w:val="B0E23F2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D11141D"/>
    <w:multiLevelType w:val="hybridMultilevel"/>
    <w:tmpl w:val="F1E686E4"/>
    <w:lvl w:ilvl="0" w:tplc="93525DB8">
      <w:start w:val="1"/>
      <w:numFmt w:val="bullet"/>
      <w:lvlText w:val="&gt;"/>
      <w:lvlJc w:val="left"/>
      <w:pPr>
        <w:ind w:left="360" w:hanging="360"/>
      </w:pPr>
      <w:rPr>
        <w:rFonts w:ascii="Arial" w:hAnsi="Arial" w:cs="Times New Roman" w:hint="default"/>
        <w:sz w:val="20"/>
        <w:szCs w:val="24"/>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3" w15:restartNumberingAfterBreak="0">
    <w:nsid w:val="2DAD1337"/>
    <w:multiLevelType w:val="hybridMultilevel"/>
    <w:tmpl w:val="FE8037BE"/>
    <w:lvl w:ilvl="0" w:tplc="5212DA32">
      <w:start w:val="1"/>
      <w:numFmt w:val="bullet"/>
      <w:lvlText w:val="&gt;"/>
      <w:lvlJc w:val="left"/>
      <w:pPr>
        <w:ind w:left="360" w:hanging="360"/>
      </w:pPr>
      <w:rPr>
        <w:rFonts w:ascii="Symbol" w:hAnsi="Symbol" w:hint="default"/>
      </w:rPr>
    </w:lvl>
    <w:lvl w:ilvl="1" w:tplc="FFFFFFFF">
      <w:start w:val="1"/>
      <w:numFmt w:val="bullet"/>
      <w:lvlText w:val="&gt;"/>
      <w:lvlJc w:val="left"/>
      <w:pPr>
        <w:ind w:left="0" w:hanging="360"/>
      </w:pPr>
      <w:rPr>
        <w:rFonts w:ascii="Symbol" w:hAnsi="Symbol" w:hint="default"/>
      </w:rPr>
    </w:lvl>
    <w:lvl w:ilvl="2" w:tplc="FFFFFFFF">
      <w:start w:val="9"/>
      <w:numFmt w:val="bullet"/>
      <w:lvlText w:val="-"/>
      <w:lvlJc w:val="left"/>
      <w:pPr>
        <w:ind w:left="1800" w:hanging="360"/>
      </w:pPr>
      <w:rPr>
        <w:rFonts w:ascii="Calibri" w:eastAsiaTheme="minorHAnsi" w:hAnsi="Calibri" w:cstheme="minorBid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2DF375CF"/>
    <w:multiLevelType w:val="hybridMultilevel"/>
    <w:tmpl w:val="9DBCB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6" w15:restartNumberingAfterBreak="0">
    <w:nsid w:val="2F5A5080"/>
    <w:multiLevelType w:val="hybridMultilevel"/>
    <w:tmpl w:val="BE2AF6CE"/>
    <w:lvl w:ilvl="0" w:tplc="D05E2434">
      <w:start w:val="1"/>
      <w:numFmt w:val="bullet"/>
      <w:pStyle w:val="ACMABulletLevel1"/>
      <w:lvlText w:val="●"/>
      <w:lvlJc w:val="left"/>
      <w:pPr>
        <w:tabs>
          <w:tab w:val="num" w:pos="-31680"/>
        </w:tabs>
        <w:ind w:left="357" w:hanging="357"/>
      </w:pPr>
      <w:rPr>
        <w:rFonts w:ascii="Arial" w:hAnsi="Arial" w:cs="Arial" w:hint="default"/>
        <w:sz w:val="20"/>
        <w:szCs w:val="20"/>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7" w15:restartNumberingAfterBreak="0">
    <w:nsid w:val="31636D8C"/>
    <w:multiLevelType w:val="hybridMultilevel"/>
    <w:tmpl w:val="4F8034D8"/>
    <w:lvl w:ilvl="0" w:tplc="93525DB8">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174734C"/>
    <w:multiLevelType w:val="hybridMultilevel"/>
    <w:tmpl w:val="DC2C28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2B57780"/>
    <w:multiLevelType w:val="hybridMultilevel"/>
    <w:tmpl w:val="78F01A52"/>
    <w:lvl w:ilvl="0" w:tplc="315C0262">
      <w:start w:val="1"/>
      <w:numFmt w:val="bullet"/>
      <w:lvlText w:val=""/>
      <w:lvlJc w:val="left"/>
      <w:pPr>
        <w:ind w:left="720" w:hanging="360"/>
      </w:pPr>
      <w:rPr>
        <w:rFonts w:ascii="Symbol" w:hAnsi="Symbol"/>
      </w:rPr>
    </w:lvl>
    <w:lvl w:ilvl="1" w:tplc="B5F87598">
      <w:start w:val="1"/>
      <w:numFmt w:val="bullet"/>
      <w:lvlText w:val=""/>
      <w:lvlJc w:val="left"/>
      <w:pPr>
        <w:ind w:left="720" w:hanging="360"/>
      </w:pPr>
      <w:rPr>
        <w:rFonts w:ascii="Symbol" w:hAnsi="Symbol"/>
      </w:rPr>
    </w:lvl>
    <w:lvl w:ilvl="2" w:tplc="DE68D70A">
      <w:start w:val="1"/>
      <w:numFmt w:val="bullet"/>
      <w:lvlText w:val=""/>
      <w:lvlJc w:val="left"/>
      <w:pPr>
        <w:ind w:left="720" w:hanging="360"/>
      </w:pPr>
      <w:rPr>
        <w:rFonts w:ascii="Symbol" w:hAnsi="Symbol"/>
      </w:rPr>
    </w:lvl>
    <w:lvl w:ilvl="3" w:tplc="493E32DA">
      <w:start w:val="1"/>
      <w:numFmt w:val="bullet"/>
      <w:lvlText w:val=""/>
      <w:lvlJc w:val="left"/>
      <w:pPr>
        <w:ind w:left="720" w:hanging="360"/>
      </w:pPr>
      <w:rPr>
        <w:rFonts w:ascii="Symbol" w:hAnsi="Symbol"/>
      </w:rPr>
    </w:lvl>
    <w:lvl w:ilvl="4" w:tplc="6110F756">
      <w:start w:val="1"/>
      <w:numFmt w:val="bullet"/>
      <w:lvlText w:val=""/>
      <w:lvlJc w:val="left"/>
      <w:pPr>
        <w:ind w:left="720" w:hanging="360"/>
      </w:pPr>
      <w:rPr>
        <w:rFonts w:ascii="Symbol" w:hAnsi="Symbol"/>
      </w:rPr>
    </w:lvl>
    <w:lvl w:ilvl="5" w:tplc="26F4DFD2">
      <w:start w:val="1"/>
      <w:numFmt w:val="bullet"/>
      <w:lvlText w:val=""/>
      <w:lvlJc w:val="left"/>
      <w:pPr>
        <w:ind w:left="720" w:hanging="360"/>
      </w:pPr>
      <w:rPr>
        <w:rFonts w:ascii="Symbol" w:hAnsi="Symbol"/>
      </w:rPr>
    </w:lvl>
    <w:lvl w:ilvl="6" w:tplc="07A6E32E">
      <w:start w:val="1"/>
      <w:numFmt w:val="bullet"/>
      <w:lvlText w:val=""/>
      <w:lvlJc w:val="left"/>
      <w:pPr>
        <w:ind w:left="720" w:hanging="360"/>
      </w:pPr>
      <w:rPr>
        <w:rFonts w:ascii="Symbol" w:hAnsi="Symbol"/>
      </w:rPr>
    </w:lvl>
    <w:lvl w:ilvl="7" w:tplc="E1F042F4">
      <w:start w:val="1"/>
      <w:numFmt w:val="bullet"/>
      <w:lvlText w:val=""/>
      <w:lvlJc w:val="left"/>
      <w:pPr>
        <w:ind w:left="720" w:hanging="360"/>
      </w:pPr>
      <w:rPr>
        <w:rFonts w:ascii="Symbol" w:hAnsi="Symbol"/>
      </w:rPr>
    </w:lvl>
    <w:lvl w:ilvl="8" w:tplc="088A0030">
      <w:start w:val="1"/>
      <w:numFmt w:val="bullet"/>
      <w:lvlText w:val=""/>
      <w:lvlJc w:val="left"/>
      <w:pPr>
        <w:ind w:left="720" w:hanging="360"/>
      </w:pPr>
      <w:rPr>
        <w:rFonts w:ascii="Symbol" w:hAnsi="Symbol"/>
      </w:rPr>
    </w:lvl>
  </w:abstractNum>
  <w:abstractNum w:abstractNumId="40" w15:restartNumberingAfterBreak="0">
    <w:nsid w:val="38CD555E"/>
    <w:multiLevelType w:val="hybridMultilevel"/>
    <w:tmpl w:val="63C01D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1907B1A"/>
    <w:multiLevelType w:val="hybridMultilevel"/>
    <w:tmpl w:val="B4C204C4"/>
    <w:lvl w:ilvl="0" w:tplc="1EA290D2">
      <w:start w:val="1"/>
      <w:numFmt w:val="bullet"/>
      <w:lvlText w:val=""/>
      <w:lvlJc w:val="left"/>
      <w:pPr>
        <w:ind w:left="720" w:hanging="360"/>
      </w:pPr>
      <w:rPr>
        <w:rFonts w:ascii="Symbol" w:hAnsi="Symbol"/>
      </w:rPr>
    </w:lvl>
    <w:lvl w:ilvl="1" w:tplc="3712FF30">
      <w:start w:val="1"/>
      <w:numFmt w:val="bullet"/>
      <w:lvlText w:val=""/>
      <w:lvlJc w:val="left"/>
      <w:pPr>
        <w:ind w:left="720" w:hanging="360"/>
      </w:pPr>
      <w:rPr>
        <w:rFonts w:ascii="Symbol" w:hAnsi="Symbol"/>
      </w:rPr>
    </w:lvl>
    <w:lvl w:ilvl="2" w:tplc="75B86DCA">
      <w:start w:val="1"/>
      <w:numFmt w:val="bullet"/>
      <w:lvlText w:val=""/>
      <w:lvlJc w:val="left"/>
      <w:pPr>
        <w:ind w:left="720" w:hanging="360"/>
      </w:pPr>
      <w:rPr>
        <w:rFonts w:ascii="Symbol" w:hAnsi="Symbol"/>
      </w:rPr>
    </w:lvl>
    <w:lvl w:ilvl="3" w:tplc="6AF22650">
      <w:start w:val="1"/>
      <w:numFmt w:val="bullet"/>
      <w:lvlText w:val=""/>
      <w:lvlJc w:val="left"/>
      <w:pPr>
        <w:ind w:left="720" w:hanging="360"/>
      </w:pPr>
      <w:rPr>
        <w:rFonts w:ascii="Symbol" w:hAnsi="Symbol"/>
      </w:rPr>
    </w:lvl>
    <w:lvl w:ilvl="4" w:tplc="23642720">
      <w:start w:val="1"/>
      <w:numFmt w:val="bullet"/>
      <w:lvlText w:val=""/>
      <w:lvlJc w:val="left"/>
      <w:pPr>
        <w:ind w:left="720" w:hanging="360"/>
      </w:pPr>
      <w:rPr>
        <w:rFonts w:ascii="Symbol" w:hAnsi="Symbol"/>
      </w:rPr>
    </w:lvl>
    <w:lvl w:ilvl="5" w:tplc="675E1F7A">
      <w:start w:val="1"/>
      <w:numFmt w:val="bullet"/>
      <w:lvlText w:val=""/>
      <w:lvlJc w:val="left"/>
      <w:pPr>
        <w:ind w:left="720" w:hanging="360"/>
      </w:pPr>
      <w:rPr>
        <w:rFonts w:ascii="Symbol" w:hAnsi="Symbol"/>
      </w:rPr>
    </w:lvl>
    <w:lvl w:ilvl="6" w:tplc="0082E644">
      <w:start w:val="1"/>
      <w:numFmt w:val="bullet"/>
      <w:lvlText w:val=""/>
      <w:lvlJc w:val="left"/>
      <w:pPr>
        <w:ind w:left="720" w:hanging="360"/>
      </w:pPr>
      <w:rPr>
        <w:rFonts w:ascii="Symbol" w:hAnsi="Symbol"/>
      </w:rPr>
    </w:lvl>
    <w:lvl w:ilvl="7" w:tplc="72361396">
      <w:start w:val="1"/>
      <w:numFmt w:val="bullet"/>
      <w:lvlText w:val=""/>
      <w:lvlJc w:val="left"/>
      <w:pPr>
        <w:ind w:left="720" w:hanging="360"/>
      </w:pPr>
      <w:rPr>
        <w:rFonts w:ascii="Symbol" w:hAnsi="Symbol"/>
      </w:rPr>
    </w:lvl>
    <w:lvl w:ilvl="8" w:tplc="AEA6C850">
      <w:start w:val="1"/>
      <w:numFmt w:val="bullet"/>
      <w:lvlText w:val=""/>
      <w:lvlJc w:val="left"/>
      <w:pPr>
        <w:ind w:left="720" w:hanging="360"/>
      </w:pPr>
      <w:rPr>
        <w:rFonts w:ascii="Symbol" w:hAnsi="Symbol"/>
      </w:rPr>
    </w:lvl>
  </w:abstractNum>
  <w:abstractNum w:abstractNumId="42" w15:restartNumberingAfterBreak="0">
    <w:nsid w:val="4B5D7350"/>
    <w:multiLevelType w:val="hybridMultilevel"/>
    <w:tmpl w:val="19DEA2D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4BFD5E5A"/>
    <w:multiLevelType w:val="hybridMultilevel"/>
    <w:tmpl w:val="8DE29CEA"/>
    <w:lvl w:ilvl="0" w:tplc="93525DB8">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C615EE6"/>
    <w:multiLevelType w:val="hybridMultilevel"/>
    <w:tmpl w:val="E2243F1E"/>
    <w:lvl w:ilvl="0" w:tplc="E48672A2">
      <w:start w:val="1"/>
      <w:numFmt w:val="bullet"/>
      <w:lvlText w:val=""/>
      <w:lvlJc w:val="left"/>
      <w:pPr>
        <w:ind w:left="720" w:hanging="360"/>
      </w:pPr>
      <w:rPr>
        <w:rFonts w:ascii="Symbol" w:hAnsi="Symbol"/>
      </w:rPr>
    </w:lvl>
    <w:lvl w:ilvl="1" w:tplc="3B86F1A4">
      <w:start w:val="1"/>
      <w:numFmt w:val="bullet"/>
      <w:lvlText w:val=""/>
      <w:lvlJc w:val="left"/>
      <w:pPr>
        <w:ind w:left="720" w:hanging="360"/>
      </w:pPr>
      <w:rPr>
        <w:rFonts w:ascii="Symbol" w:hAnsi="Symbol"/>
      </w:rPr>
    </w:lvl>
    <w:lvl w:ilvl="2" w:tplc="C6727B44">
      <w:start w:val="1"/>
      <w:numFmt w:val="bullet"/>
      <w:lvlText w:val=""/>
      <w:lvlJc w:val="left"/>
      <w:pPr>
        <w:ind w:left="720" w:hanging="360"/>
      </w:pPr>
      <w:rPr>
        <w:rFonts w:ascii="Symbol" w:hAnsi="Symbol"/>
      </w:rPr>
    </w:lvl>
    <w:lvl w:ilvl="3" w:tplc="52CCB9A8">
      <w:start w:val="1"/>
      <w:numFmt w:val="bullet"/>
      <w:lvlText w:val=""/>
      <w:lvlJc w:val="left"/>
      <w:pPr>
        <w:ind w:left="720" w:hanging="360"/>
      </w:pPr>
      <w:rPr>
        <w:rFonts w:ascii="Symbol" w:hAnsi="Symbol"/>
      </w:rPr>
    </w:lvl>
    <w:lvl w:ilvl="4" w:tplc="D20CD372">
      <w:start w:val="1"/>
      <w:numFmt w:val="bullet"/>
      <w:lvlText w:val=""/>
      <w:lvlJc w:val="left"/>
      <w:pPr>
        <w:ind w:left="720" w:hanging="360"/>
      </w:pPr>
      <w:rPr>
        <w:rFonts w:ascii="Symbol" w:hAnsi="Symbol"/>
      </w:rPr>
    </w:lvl>
    <w:lvl w:ilvl="5" w:tplc="5DC26DE2">
      <w:start w:val="1"/>
      <w:numFmt w:val="bullet"/>
      <w:lvlText w:val=""/>
      <w:lvlJc w:val="left"/>
      <w:pPr>
        <w:ind w:left="720" w:hanging="360"/>
      </w:pPr>
      <w:rPr>
        <w:rFonts w:ascii="Symbol" w:hAnsi="Symbol"/>
      </w:rPr>
    </w:lvl>
    <w:lvl w:ilvl="6" w:tplc="073E2E5A">
      <w:start w:val="1"/>
      <w:numFmt w:val="bullet"/>
      <w:lvlText w:val=""/>
      <w:lvlJc w:val="left"/>
      <w:pPr>
        <w:ind w:left="720" w:hanging="360"/>
      </w:pPr>
      <w:rPr>
        <w:rFonts w:ascii="Symbol" w:hAnsi="Symbol"/>
      </w:rPr>
    </w:lvl>
    <w:lvl w:ilvl="7" w:tplc="AAD08994">
      <w:start w:val="1"/>
      <w:numFmt w:val="bullet"/>
      <w:lvlText w:val=""/>
      <w:lvlJc w:val="left"/>
      <w:pPr>
        <w:ind w:left="720" w:hanging="360"/>
      </w:pPr>
      <w:rPr>
        <w:rFonts w:ascii="Symbol" w:hAnsi="Symbol"/>
      </w:rPr>
    </w:lvl>
    <w:lvl w:ilvl="8" w:tplc="9E9A1808">
      <w:start w:val="1"/>
      <w:numFmt w:val="bullet"/>
      <w:lvlText w:val=""/>
      <w:lvlJc w:val="left"/>
      <w:pPr>
        <w:ind w:left="720" w:hanging="360"/>
      </w:pPr>
      <w:rPr>
        <w:rFonts w:ascii="Symbol" w:hAnsi="Symbol"/>
      </w:rPr>
    </w:lvl>
  </w:abstractNum>
  <w:abstractNum w:abstractNumId="45" w15:restartNumberingAfterBreak="0">
    <w:nsid w:val="4CE82567"/>
    <w:multiLevelType w:val="hybridMultilevel"/>
    <w:tmpl w:val="288A9B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E277709"/>
    <w:multiLevelType w:val="hybridMultilevel"/>
    <w:tmpl w:val="4C582C24"/>
    <w:lvl w:ilvl="0" w:tplc="EDE2A6AA">
      <w:start w:val="1"/>
      <w:numFmt w:val="lowerLetter"/>
      <w:lvlText w:val="(%1)"/>
      <w:lvlJc w:val="left"/>
      <w:pPr>
        <w:ind w:left="720" w:hanging="360"/>
      </w:pPr>
      <w:rPr>
        <w:rFonts w:asciiTheme="minorHAnsi" w:hAnsiTheme="minorHAnsi"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E8B02CF"/>
    <w:multiLevelType w:val="hybridMultilevel"/>
    <w:tmpl w:val="F110AC8A"/>
    <w:lvl w:ilvl="0" w:tplc="DBD4F1EE">
      <w:start w:val="1"/>
      <w:numFmt w:val="bullet"/>
      <w:lvlText w:val=""/>
      <w:lvlJc w:val="left"/>
      <w:pPr>
        <w:ind w:left="720" w:hanging="360"/>
      </w:pPr>
      <w:rPr>
        <w:rFonts w:ascii="Symbol" w:hAnsi="Symbol"/>
      </w:rPr>
    </w:lvl>
    <w:lvl w:ilvl="1" w:tplc="CFE05A68">
      <w:start w:val="1"/>
      <w:numFmt w:val="bullet"/>
      <w:lvlText w:val=""/>
      <w:lvlJc w:val="left"/>
      <w:pPr>
        <w:ind w:left="720" w:hanging="360"/>
      </w:pPr>
      <w:rPr>
        <w:rFonts w:ascii="Symbol" w:hAnsi="Symbol"/>
      </w:rPr>
    </w:lvl>
    <w:lvl w:ilvl="2" w:tplc="A68CB4C8">
      <w:start w:val="1"/>
      <w:numFmt w:val="bullet"/>
      <w:lvlText w:val=""/>
      <w:lvlJc w:val="left"/>
      <w:pPr>
        <w:ind w:left="720" w:hanging="360"/>
      </w:pPr>
      <w:rPr>
        <w:rFonts w:ascii="Symbol" w:hAnsi="Symbol"/>
      </w:rPr>
    </w:lvl>
    <w:lvl w:ilvl="3" w:tplc="CA1ADC5E">
      <w:start w:val="1"/>
      <w:numFmt w:val="bullet"/>
      <w:lvlText w:val=""/>
      <w:lvlJc w:val="left"/>
      <w:pPr>
        <w:ind w:left="720" w:hanging="360"/>
      </w:pPr>
      <w:rPr>
        <w:rFonts w:ascii="Symbol" w:hAnsi="Symbol"/>
      </w:rPr>
    </w:lvl>
    <w:lvl w:ilvl="4" w:tplc="A3F439F4">
      <w:start w:val="1"/>
      <w:numFmt w:val="bullet"/>
      <w:lvlText w:val=""/>
      <w:lvlJc w:val="left"/>
      <w:pPr>
        <w:ind w:left="720" w:hanging="360"/>
      </w:pPr>
      <w:rPr>
        <w:rFonts w:ascii="Symbol" w:hAnsi="Symbol"/>
      </w:rPr>
    </w:lvl>
    <w:lvl w:ilvl="5" w:tplc="93B64912">
      <w:start w:val="1"/>
      <w:numFmt w:val="bullet"/>
      <w:lvlText w:val=""/>
      <w:lvlJc w:val="left"/>
      <w:pPr>
        <w:ind w:left="720" w:hanging="360"/>
      </w:pPr>
      <w:rPr>
        <w:rFonts w:ascii="Symbol" w:hAnsi="Symbol"/>
      </w:rPr>
    </w:lvl>
    <w:lvl w:ilvl="6" w:tplc="C17C4258">
      <w:start w:val="1"/>
      <w:numFmt w:val="bullet"/>
      <w:lvlText w:val=""/>
      <w:lvlJc w:val="left"/>
      <w:pPr>
        <w:ind w:left="720" w:hanging="360"/>
      </w:pPr>
      <w:rPr>
        <w:rFonts w:ascii="Symbol" w:hAnsi="Symbol"/>
      </w:rPr>
    </w:lvl>
    <w:lvl w:ilvl="7" w:tplc="B2B2E414">
      <w:start w:val="1"/>
      <w:numFmt w:val="bullet"/>
      <w:lvlText w:val=""/>
      <w:lvlJc w:val="left"/>
      <w:pPr>
        <w:ind w:left="720" w:hanging="360"/>
      </w:pPr>
      <w:rPr>
        <w:rFonts w:ascii="Symbol" w:hAnsi="Symbol"/>
      </w:rPr>
    </w:lvl>
    <w:lvl w:ilvl="8" w:tplc="61600890">
      <w:start w:val="1"/>
      <w:numFmt w:val="bullet"/>
      <w:lvlText w:val=""/>
      <w:lvlJc w:val="left"/>
      <w:pPr>
        <w:ind w:left="720" w:hanging="360"/>
      </w:pPr>
      <w:rPr>
        <w:rFonts w:ascii="Symbol" w:hAnsi="Symbol"/>
      </w:rPr>
    </w:lvl>
  </w:abstractNum>
  <w:abstractNum w:abstractNumId="48" w15:restartNumberingAfterBreak="0">
    <w:nsid w:val="52570B41"/>
    <w:multiLevelType w:val="hybridMultilevel"/>
    <w:tmpl w:val="320446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3DB5245"/>
    <w:multiLevelType w:val="hybridMultilevel"/>
    <w:tmpl w:val="BDE0CEDC"/>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4225C95"/>
    <w:multiLevelType w:val="hybridMultilevel"/>
    <w:tmpl w:val="841CBC56"/>
    <w:lvl w:ilvl="0" w:tplc="0C090001">
      <w:start w:val="1"/>
      <w:numFmt w:val="bullet"/>
      <w:lvlText w:val=""/>
      <w:lvlJc w:val="left"/>
      <w:pPr>
        <w:ind w:left="360" w:hanging="360"/>
      </w:pPr>
      <w:rPr>
        <w:rFonts w:ascii="Symbol" w:hAnsi="Symbol" w:hint="default"/>
      </w:rPr>
    </w:lvl>
    <w:lvl w:ilvl="1" w:tplc="8E60602A">
      <w:start w:val="1"/>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4A9204E"/>
    <w:multiLevelType w:val="hybridMultilevel"/>
    <w:tmpl w:val="F3AEE8BA"/>
    <w:lvl w:ilvl="0" w:tplc="A5E00720">
      <w:start w:val="1"/>
      <w:numFmt w:val="bullet"/>
      <w:lvlText w:val=""/>
      <w:lvlJc w:val="left"/>
      <w:pPr>
        <w:ind w:left="720" w:hanging="360"/>
      </w:pPr>
      <w:rPr>
        <w:rFonts w:ascii="Symbol" w:hAnsi="Symbol"/>
      </w:rPr>
    </w:lvl>
    <w:lvl w:ilvl="1" w:tplc="9BB28C62">
      <w:start w:val="1"/>
      <w:numFmt w:val="bullet"/>
      <w:lvlText w:val=""/>
      <w:lvlJc w:val="left"/>
      <w:pPr>
        <w:ind w:left="720" w:hanging="360"/>
      </w:pPr>
      <w:rPr>
        <w:rFonts w:ascii="Symbol" w:hAnsi="Symbol"/>
      </w:rPr>
    </w:lvl>
    <w:lvl w:ilvl="2" w:tplc="F6CE00C0">
      <w:start w:val="1"/>
      <w:numFmt w:val="bullet"/>
      <w:lvlText w:val=""/>
      <w:lvlJc w:val="left"/>
      <w:pPr>
        <w:ind w:left="720" w:hanging="360"/>
      </w:pPr>
      <w:rPr>
        <w:rFonts w:ascii="Symbol" w:hAnsi="Symbol"/>
      </w:rPr>
    </w:lvl>
    <w:lvl w:ilvl="3" w:tplc="3220820C">
      <w:start w:val="1"/>
      <w:numFmt w:val="bullet"/>
      <w:lvlText w:val=""/>
      <w:lvlJc w:val="left"/>
      <w:pPr>
        <w:ind w:left="720" w:hanging="360"/>
      </w:pPr>
      <w:rPr>
        <w:rFonts w:ascii="Symbol" w:hAnsi="Symbol"/>
      </w:rPr>
    </w:lvl>
    <w:lvl w:ilvl="4" w:tplc="70BEB32C">
      <w:start w:val="1"/>
      <w:numFmt w:val="bullet"/>
      <w:lvlText w:val=""/>
      <w:lvlJc w:val="left"/>
      <w:pPr>
        <w:ind w:left="720" w:hanging="360"/>
      </w:pPr>
      <w:rPr>
        <w:rFonts w:ascii="Symbol" w:hAnsi="Symbol"/>
      </w:rPr>
    </w:lvl>
    <w:lvl w:ilvl="5" w:tplc="1994A42A">
      <w:start w:val="1"/>
      <w:numFmt w:val="bullet"/>
      <w:lvlText w:val=""/>
      <w:lvlJc w:val="left"/>
      <w:pPr>
        <w:ind w:left="720" w:hanging="360"/>
      </w:pPr>
      <w:rPr>
        <w:rFonts w:ascii="Symbol" w:hAnsi="Symbol"/>
      </w:rPr>
    </w:lvl>
    <w:lvl w:ilvl="6" w:tplc="7268605A">
      <w:start w:val="1"/>
      <w:numFmt w:val="bullet"/>
      <w:lvlText w:val=""/>
      <w:lvlJc w:val="left"/>
      <w:pPr>
        <w:ind w:left="720" w:hanging="360"/>
      </w:pPr>
      <w:rPr>
        <w:rFonts w:ascii="Symbol" w:hAnsi="Symbol"/>
      </w:rPr>
    </w:lvl>
    <w:lvl w:ilvl="7" w:tplc="ED2E9900">
      <w:start w:val="1"/>
      <w:numFmt w:val="bullet"/>
      <w:lvlText w:val=""/>
      <w:lvlJc w:val="left"/>
      <w:pPr>
        <w:ind w:left="720" w:hanging="360"/>
      </w:pPr>
      <w:rPr>
        <w:rFonts w:ascii="Symbol" w:hAnsi="Symbol"/>
      </w:rPr>
    </w:lvl>
    <w:lvl w:ilvl="8" w:tplc="24FE80B4">
      <w:start w:val="1"/>
      <w:numFmt w:val="bullet"/>
      <w:lvlText w:val=""/>
      <w:lvlJc w:val="left"/>
      <w:pPr>
        <w:ind w:left="720" w:hanging="360"/>
      </w:pPr>
      <w:rPr>
        <w:rFonts w:ascii="Symbol" w:hAnsi="Symbol"/>
      </w:rPr>
    </w:lvl>
  </w:abstractNum>
  <w:abstractNum w:abstractNumId="52" w15:restartNumberingAfterBreak="0">
    <w:nsid w:val="559E54CB"/>
    <w:multiLevelType w:val="hybridMultilevel"/>
    <w:tmpl w:val="069615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5AA21F0"/>
    <w:multiLevelType w:val="hybridMultilevel"/>
    <w:tmpl w:val="842284BC"/>
    <w:lvl w:ilvl="0" w:tplc="87B6E9BC">
      <w:start w:val="1"/>
      <w:numFmt w:val="decimal"/>
      <w:pStyle w:val="ACMATableHeader"/>
      <w:lvlText w:val="Table %1:"/>
      <w:lvlJc w:val="left"/>
      <w:pPr>
        <w:tabs>
          <w:tab w:val="num" w:pos="964"/>
        </w:tabs>
        <w:ind w:left="964" w:hanging="964"/>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0029AE"/>
    <w:multiLevelType w:val="hybridMultilevel"/>
    <w:tmpl w:val="55E0CB2E"/>
    <w:lvl w:ilvl="0" w:tplc="DD6E4098">
      <w:start w:val="1"/>
      <w:numFmt w:val="decimal"/>
      <w:lvlText w:val="%1."/>
      <w:lvlJc w:val="left"/>
      <w:pPr>
        <w:ind w:left="532" w:hanging="360"/>
      </w:pPr>
      <w:rPr>
        <w:rFonts w:hint="default"/>
      </w:rPr>
    </w:lvl>
    <w:lvl w:ilvl="1" w:tplc="0C090019" w:tentative="1">
      <w:start w:val="1"/>
      <w:numFmt w:val="lowerLetter"/>
      <w:lvlText w:val="%2."/>
      <w:lvlJc w:val="left"/>
      <w:pPr>
        <w:ind w:left="1252" w:hanging="360"/>
      </w:pPr>
    </w:lvl>
    <w:lvl w:ilvl="2" w:tplc="0C09001B" w:tentative="1">
      <w:start w:val="1"/>
      <w:numFmt w:val="lowerRoman"/>
      <w:lvlText w:val="%3."/>
      <w:lvlJc w:val="right"/>
      <w:pPr>
        <w:ind w:left="1972" w:hanging="180"/>
      </w:pPr>
    </w:lvl>
    <w:lvl w:ilvl="3" w:tplc="0C09000F" w:tentative="1">
      <w:start w:val="1"/>
      <w:numFmt w:val="decimal"/>
      <w:lvlText w:val="%4."/>
      <w:lvlJc w:val="left"/>
      <w:pPr>
        <w:ind w:left="2692" w:hanging="360"/>
      </w:pPr>
    </w:lvl>
    <w:lvl w:ilvl="4" w:tplc="0C090019" w:tentative="1">
      <w:start w:val="1"/>
      <w:numFmt w:val="lowerLetter"/>
      <w:lvlText w:val="%5."/>
      <w:lvlJc w:val="left"/>
      <w:pPr>
        <w:ind w:left="3412" w:hanging="360"/>
      </w:pPr>
    </w:lvl>
    <w:lvl w:ilvl="5" w:tplc="0C09001B" w:tentative="1">
      <w:start w:val="1"/>
      <w:numFmt w:val="lowerRoman"/>
      <w:lvlText w:val="%6."/>
      <w:lvlJc w:val="right"/>
      <w:pPr>
        <w:ind w:left="4132" w:hanging="180"/>
      </w:pPr>
    </w:lvl>
    <w:lvl w:ilvl="6" w:tplc="0C09000F" w:tentative="1">
      <w:start w:val="1"/>
      <w:numFmt w:val="decimal"/>
      <w:lvlText w:val="%7."/>
      <w:lvlJc w:val="left"/>
      <w:pPr>
        <w:ind w:left="4852" w:hanging="360"/>
      </w:pPr>
    </w:lvl>
    <w:lvl w:ilvl="7" w:tplc="0C090019" w:tentative="1">
      <w:start w:val="1"/>
      <w:numFmt w:val="lowerLetter"/>
      <w:lvlText w:val="%8."/>
      <w:lvlJc w:val="left"/>
      <w:pPr>
        <w:ind w:left="5572" w:hanging="360"/>
      </w:pPr>
    </w:lvl>
    <w:lvl w:ilvl="8" w:tplc="0C09001B" w:tentative="1">
      <w:start w:val="1"/>
      <w:numFmt w:val="lowerRoman"/>
      <w:lvlText w:val="%9."/>
      <w:lvlJc w:val="right"/>
      <w:pPr>
        <w:ind w:left="6292" w:hanging="180"/>
      </w:pPr>
    </w:lvl>
  </w:abstractNum>
  <w:abstractNum w:abstractNumId="55" w15:restartNumberingAfterBreak="0">
    <w:nsid w:val="5CE57599"/>
    <w:multiLevelType w:val="hybridMultilevel"/>
    <w:tmpl w:val="60949206"/>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F464056"/>
    <w:multiLevelType w:val="hybridMultilevel"/>
    <w:tmpl w:val="997A86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61763FA3"/>
    <w:multiLevelType w:val="hybridMultilevel"/>
    <w:tmpl w:val="7F705274"/>
    <w:lvl w:ilvl="0" w:tplc="91AAB8A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8" w15:restartNumberingAfterBreak="0">
    <w:nsid w:val="624D6D88"/>
    <w:multiLevelType w:val="hybridMultilevel"/>
    <w:tmpl w:val="E3DC20E4"/>
    <w:lvl w:ilvl="0" w:tplc="E5FA424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5E47CD"/>
    <w:multiLevelType w:val="hybridMultilevel"/>
    <w:tmpl w:val="1E4A44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64D50BE2"/>
    <w:multiLevelType w:val="multilevel"/>
    <w:tmpl w:val="3B44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B46938"/>
    <w:multiLevelType w:val="hybridMultilevel"/>
    <w:tmpl w:val="8E609146"/>
    <w:lvl w:ilvl="0" w:tplc="97180C94">
      <w:start w:val="1"/>
      <w:numFmt w:val="bullet"/>
      <w:lvlText w:val=""/>
      <w:lvlJc w:val="left"/>
      <w:pPr>
        <w:ind w:left="720" w:hanging="360"/>
      </w:pPr>
      <w:rPr>
        <w:rFonts w:ascii="Symbol" w:hAnsi="Symbol"/>
      </w:rPr>
    </w:lvl>
    <w:lvl w:ilvl="1" w:tplc="E9481848">
      <w:start w:val="1"/>
      <w:numFmt w:val="bullet"/>
      <w:lvlText w:val=""/>
      <w:lvlJc w:val="left"/>
      <w:pPr>
        <w:ind w:left="720" w:hanging="360"/>
      </w:pPr>
      <w:rPr>
        <w:rFonts w:ascii="Symbol" w:hAnsi="Symbol"/>
      </w:rPr>
    </w:lvl>
    <w:lvl w:ilvl="2" w:tplc="F3A4762A">
      <w:start w:val="1"/>
      <w:numFmt w:val="bullet"/>
      <w:lvlText w:val=""/>
      <w:lvlJc w:val="left"/>
      <w:pPr>
        <w:ind w:left="720" w:hanging="360"/>
      </w:pPr>
      <w:rPr>
        <w:rFonts w:ascii="Symbol" w:hAnsi="Symbol"/>
      </w:rPr>
    </w:lvl>
    <w:lvl w:ilvl="3" w:tplc="AF1AE942">
      <w:start w:val="1"/>
      <w:numFmt w:val="bullet"/>
      <w:lvlText w:val=""/>
      <w:lvlJc w:val="left"/>
      <w:pPr>
        <w:ind w:left="720" w:hanging="360"/>
      </w:pPr>
      <w:rPr>
        <w:rFonts w:ascii="Symbol" w:hAnsi="Symbol"/>
      </w:rPr>
    </w:lvl>
    <w:lvl w:ilvl="4" w:tplc="3696AA3C">
      <w:start w:val="1"/>
      <w:numFmt w:val="bullet"/>
      <w:lvlText w:val=""/>
      <w:lvlJc w:val="left"/>
      <w:pPr>
        <w:ind w:left="720" w:hanging="360"/>
      </w:pPr>
      <w:rPr>
        <w:rFonts w:ascii="Symbol" w:hAnsi="Symbol"/>
      </w:rPr>
    </w:lvl>
    <w:lvl w:ilvl="5" w:tplc="55E25748">
      <w:start w:val="1"/>
      <w:numFmt w:val="bullet"/>
      <w:lvlText w:val=""/>
      <w:lvlJc w:val="left"/>
      <w:pPr>
        <w:ind w:left="720" w:hanging="360"/>
      </w:pPr>
      <w:rPr>
        <w:rFonts w:ascii="Symbol" w:hAnsi="Symbol"/>
      </w:rPr>
    </w:lvl>
    <w:lvl w:ilvl="6" w:tplc="F78A305A">
      <w:start w:val="1"/>
      <w:numFmt w:val="bullet"/>
      <w:lvlText w:val=""/>
      <w:lvlJc w:val="left"/>
      <w:pPr>
        <w:ind w:left="720" w:hanging="360"/>
      </w:pPr>
      <w:rPr>
        <w:rFonts w:ascii="Symbol" w:hAnsi="Symbol"/>
      </w:rPr>
    </w:lvl>
    <w:lvl w:ilvl="7" w:tplc="70CA64B0">
      <w:start w:val="1"/>
      <w:numFmt w:val="bullet"/>
      <w:lvlText w:val=""/>
      <w:lvlJc w:val="left"/>
      <w:pPr>
        <w:ind w:left="720" w:hanging="360"/>
      </w:pPr>
      <w:rPr>
        <w:rFonts w:ascii="Symbol" w:hAnsi="Symbol"/>
      </w:rPr>
    </w:lvl>
    <w:lvl w:ilvl="8" w:tplc="0DB2BE22">
      <w:start w:val="1"/>
      <w:numFmt w:val="bullet"/>
      <w:lvlText w:val=""/>
      <w:lvlJc w:val="left"/>
      <w:pPr>
        <w:ind w:left="720" w:hanging="360"/>
      </w:pPr>
      <w:rPr>
        <w:rFonts w:ascii="Symbol" w:hAnsi="Symbol"/>
      </w:rPr>
    </w:lvl>
  </w:abstractNum>
  <w:abstractNum w:abstractNumId="64" w15:restartNumberingAfterBreak="0">
    <w:nsid w:val="65B641AB"/>
    <w:multiLevelType w:val="hybridMultilevel"/>
    <w:tmpl w:val="9EEEAB88"/>
    <w:lvl w:ilvl="0" w:tplc="8E60602A">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62B5430"/>
    <w:multiLevelType w:val="hybridMultilevel"/>
    <w:tmpl w:val="FA6A6132"/>
    <w:lvl w:ilvl="0" w:tplc="5212DA32">
      <w:start w:val="1"/>
      <w:numFmt w:val="bullet"/>
      <w:lvlText w:val="&gt;"/>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68891A6D"/>
    <w:multiLevelType w:val="hybridMultilevel"/>
    <w:tmpl w:val="19DEA2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8E310C8"/>
    <w:multiLevelType w:val="hybridMultilevel"/>
    <w:tmpl w:val="F552DA4E"/>
    <w:lvl w:ilvl="0" w:tplc="93525DB8">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951085F"/>
    <w:multiLevelType w:val="hybridMultilevel"/>
    <w:tmpl w:val="EAB60F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6CEA0CDD"/>
    <w:multiLevelType w:val="hybridMultilevel"/>
    <w:tmpl w:val="AC70DE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CFA7056"/>
    <w:multiLevelType w:val="hybridMultilevel"/>
    <w:tmpl w:val="1B46CC1E"/>
    <w:lvl w:ilvl="0" w:tplc="B7A4A0EC">
      <w:start w:val="1"/>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E016446"/>
    <w:multiLevelType w:val="hybridMultilevel"/>
    <w:tmpl w:val="1FF8EAF6"/>
    <w:lvl w:ilvl="0" w:tplc="93525DB8">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6E782DCF"/>
    <w:multiLevelType w:val="hybridMultilevel"/>
    <w:tmpl w:val="4B60F7B4"/>
    <w:lvl w:ilvl="0" w:tplc="D332AA2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717B3971"/>
    <w:multiLevelType w:val="hybridMultilevel"/>
    <w:tmpl w:val="254A0D2E"/>
    <w:lvl w:ilvl="0" w:tplc="2E20C850">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2C705A1"/>
    <w:multiLevelType w:val="hybridMultilevel"/>
    <w:tmpl w:val="1CAC4298"/>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73D04419"/>
    <w:multiLevelType w:val="hybridMultilevel"/>
    <w:tmpl w:val="77928BC4"/>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770F50B9"/>
    <w:multiLevelType w:val="hybridMultilevel"/>
    <w:tmpl w:val="369C8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77E854C9"/>
    <w:multiLevelType w:val="hybridMultilevel"/>
    <w:tmpl w:val="CAEAEFD2"/>
    <w:lvl w:ilvl="0" w:tplc="0C5A18A2">
      <w:start w:val="1"/>
      <w:numFmt w:val="bullet"/>
      <w:lvlText w:val=""/>
      <w:lvlJc w:val="left"/>
      <w:pPr>
        <w:ind w:left="720" w:hanging="360"/>
      </w:pPr>
      <w:rPr>
        <w:rFonts w:ascii="Symbol" w:hAnsi="Symbol"/>
      </w:rPr>
    </w:lvl>
    <w:lvl w:ilvl="1" w:tplc="772A2390">
      <w:start w:val="1"/>
      <w:numFmt w:val="bullet"/>
      <w:lvlText w:val=""/>
      <w:lvlJc w:val="left"/>
      <w:pPr>
        <w:ind w:left="720" w:hanging="360"/>
      </w:pPr>
      <w:rPr>
        <w:rFonts w:ascii="Symbol" w:hAnsi="Symbol"/>
      </w:rPr>
    </w:lvl>
    <w:lvl w:ilvl="2" w:tplc="9CB6A302">
      <w:start w:val="1"/>
      <w:numFmt w:val="bullet"/>
      <w:lvlText w:val=""/>
      <w:lvlJc w:val="left"/>
      <w:pPr>
        <w:ind w:left="720" w:hanging="360"/>
      </w:pPr>
      <w:rPr>
        <w:rFonts w:ascii="Symbol" w:hAnsi="Symbol"/>
      </w:rPr>
    </w:lvl>
    <w:lvl w:ilvl="3" w:tplc="FAE00744">
      <w:start w:val="1"/>
      <w:numFmt w:val="bullet"/>
      <w:lvlText w:val=""/>
      <w:lvlJc w:val="left"/>
      <w:pPr>
        <w:ind w:left="720" w:hanging="360"/>
      </w:pPr>
      <w:rPr>
        <w:rFonts w:ascii="Symbol" w:hAnsi="Symbol"/>
      </w:rPr>
    </w:lvl>
    <w:lvl w:ilvl="4" w:tplc="3564CDFE">
      <w:start w:val="1"/>
      <w:numFmt w:val="bullet"/>
      <w:lvlText w:val=""/>
      <w:lvlJc w:val="left"/>
      <w:pPr>
        <w:ind w:left="720" w:hanging="360"/>
      </w:pPr>
      <w:rPr>
        <w:rFonts w:ascii="Symbol" w:hAnsi="Symbol"/>
      </w:rPr>
    </w:lvl>
    <w:lvl w:ilvl="5" w:tplc="0B540856">
      <w:start w:val="1"/>
      <w:numFmt w:val="bullet"/>
      <w:lvlText w:val=""/>
      <w:lvlJc w:val="left"/>
      <w:pPr>
        <w:ind w:left="720" w:hanging="360"/>
      </w:pPr>
      <w:rPr>
        <w:rFonts w:ascii="Symbol" w:hAnsi="Symbol"/>
      </w:rPr>
    </w:lvl>
    <w:lvl w:ilvl="6" w:tplc="441EB98E">
      <w:start w:val="1"/>
      <w:numFmt w:val="bullet"/>
      <w:lvlText w:val=""/>
      <w:lvlJc w:val="left"/>
      <w:pPr>
        <w:ind w:left="720" w:hanging="360"/>
      </w:pPr>
      <w:rPr>
        <w:rFonts w:ascii="Symbol" w:hAnsi="Symbol"/>
      </w:rPr>
    </w:lvl>
    <w:lvl w:ilvl="7" w:tplc="102E2FA0">
      <w:start w:val="1"/>
      <w:numFmt w:val="bullet"/>
      <w:lvlText w:val=""/>
      <w:lvlJc w:val="left"/>
      <w:pPr>
        <w:ind w:left="720" w:hanging="360"/>
      </w:pPr>
      <w:rPr>
        <w:rFonts w:ascii="Symbol" w:hAnsi="Symbol"/>
      </w:rPr>
    </w:lvl>
    <w:lvl w:ilvl="8" w:tplc="5C746C14">
      <w:start w:val="1"/>
      <w:numFmt w:val="bullet"/>
      <w:lvlText w:val=""/>
      <w:lvlJc w:val="left"/>
      <w:pPr>
        <w:ind w:left="720" w:hanging="360"/>
      </w:pPr>
      <w:rPr>
        <w:rFonts w:ascii="Symbol" w:hAnsi="Symbol"/>
      </w:rPr>
    </w:lvl>
  </w:abstractNum>
  <w:abstractNum w:abstractNumId="79" w15:restartNumberingAfterBreak="0">
    <w:nsid w:val="77EE28A0"/>
    <w:multiLevelType w:val="multilevel"/>
    <w:tmpl w:val="7BF0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85532D2"/>
    <w:multiLevelType w:val="hybridMultilevel"/>
    <w:tmpl w:val="1E4A44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79783B09"/>
    <w:multiLevelType w:val="hybridMultilevel"/>
    <w:tmpl w:val="70D29E2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7A6E2830"/>
    <w:multiLevelType w:val="hybridMultilevel"/>
    <w:tmpl w:val="BD40C99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7AA01A3B"/>
    <w:multiLevelType w:val="hybridMultilevel"/>
    <w:tmpl w:val="2446D36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7D2660A7"/>
    <w:multiLevelType w:val="hybridMultilevel"/>
    <w:tmpl w:val="A9B4E6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E7764A1"/>
    <w:multiLevelType w:val="hybridMultilevel"/>
    <w:tmpl w:val="85DE2164"/>
    <w:lvl w:ilvl="0" w:tplc="5212DA32">
      <w:start w:val="1"/>
      <w:numFmt w:val="bullet"/>
      <w:lvlText w:val="&gt;"/>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7EFA0BA3"/>
    <w:multiLevelType w:val="hybridMultilevel"/>
    <w:tmpl w:val="4EEE685E"/>
    <w:lvl w:ilvl="0" w:tplc="43487A86">
      <w:start w:val="1"/>
      <w:numFmt w:val="bullet"/>
      <w:lvlText w:val=""/>
      <w:lvlJc w:val="left"/>
      <w:pPr>
        <w:ind w:left="720" w:hanging="360"/>
      </w:pPr>
      <w:rPr>
        <w:rFonts w:ascii="Symbol" w:hAnsi="Symbol"/>
      </w:rPr>
    </w:lvl>
    <w:lvl w:ilvl="1" w:tplc="C9183B3E">
      <w:start w:val="1"/>
      <w:numFmt w:val="bullet"/>
      <w:lvlText w:val=""/>
      <w:lvlJc w:val="left"/>
      <w:pPr>
        <w:ind w:left="720" w:hanging="360"/>
      </w:pPr>
      <w:rPr>
        <w:rFonts w:ascii="Symbol" w:hAnsi="Symbol"/>
      </w:rPr>
    </w:lvl>
    <w:lvl w:ilvl="2" w:tplc="1172B220">
      <w:start w:val="1"/>
      <w:numFmt w:val="bullet"/>
      <w:lvlText w:val=""/>
      <w:lvlJc w:val="left"/>
      <w:pPr>
        <w:ind w:left="720" w:hanging="360"/>
      </w:pPr>
      <w:rPr>
        <w:rFonts w:ascii="Symbol" w:hAnsi="Symbol"/>
      </w:rPr>
    </w:lvl>
    <w:lvl w:ilvl="3" w:tplc="0A548B04">
      <w:start w:val="1"/>
      <w:numFmt w:val="bullet"/>
      <w:lvlText w:val=""/>
      <w:lvlJc w:val="left"/>
      <w:pPr>
        <w:ind w:left="720" w:hanging="360"/>
      </w:pPr>
      <w:rPr>
        <w:rFonts w:ascii="Symbol" w:hAnsi="Symbol"/>
      </w:rPr>
    </w:lvl>
    <w:lvl w:ilvl="4" w:tplc="B9B27E26">
      <w:start w:val="1"/>
      <w:numFmt w:val="bullet"/>
      <w:lvlText w:val=""/>
      <w:lvlJc w:val="left"/>
      <w:pPr>
        <w:ind w:left="720" w:hanging="360"/>
      </w:pPr>
      <w:rPr>
        <w:rFonts w:ascii="Symbol" w:hAnsi="Symbol"/>
      </w:rPr>
    </w:lvl>
    <w:lvl w:ilvl="5" w:tplc="0E90EB86">
      <w:start w:val="1"/>
      <w:numFmt w:val="bullet"/>
      <w:lvlText w:val=""/>
      <w:lvlJc w:val="left"/>
      <w:pPr>
        <w:ind w:left="720" w:hanging="360"/>
      </w:pPr>
      <w:rPr>
        <w:rFonts w:ascii="Symbol" w:hAnsi="Symbol"/>
      </w:rPr>
    </w:lvl>
    <w:lvl w:ilvl="6" w:tplc="114270DE">
      <w:start w:val="1"/>
      <w:numFmt w:val="bullet"/>
      <w:lvlText w:val=""/>
      <w:lvlJc w:val="left"/>
      <w:pPr>
        <w:ind w:left="720" w:hanging="360"/>
      </w:pPr>
      <w:rPr>
        <w:rFonts w:ascii="Symbol" w:hAnsi="Symbol"/>
      </w:rPr>
    </w:lvl>
    <w:lvl w:ilvl="7" w:tplc="59F0A4FE">
      <w:start w:val="1"/>
      <w:numFmt w:val="bullet"/>
      <w:lvlText w:val=""/>
      <w:lvlJc w:val="left"/>
      <w:pPr>
        <w:ind w:left="720" w:hanging="360"/>
      </w:pPr>
      <w:rPr>
        <w:rFonts w:ascii="Symbol" w:hAnsi="Symbol"/>
      </w:rPr>
    </w:lvl>
    <w:lvl w:ilvl="8" w:tplc="0FBAB234">
      <w:start w:val="1"/>
      <w:numFmt w:val="bullet"/>
      <w:lvlText w:val=""/>
      <w:lvlJc w:val="left"/>
      <w:pPr>
        <w:ind w:left="720" w:hanging="360"/>
      </w:pPr>
      <w:rPr>
        <w:rFonts w:ascii="Symbol" w:hAnsi="Symbol"/>
      </w:rPr>
    </w:lvl>
  </w:abstractNum>
  <w:num w:numId="1">
    <w:abstractNumId w:val="3"/>
  </w:num>
  <w:num w:numId="2">
    <w:abstractNumId w:val="1"/>
  </w:num>
  <w:num w:numId="3">
    <w:abstractNumId w:val="2"/>
  </w:num>
  <w:num w:numId="4">
    <w:abstractNumId w:val="0"/>
  </w:num>
  <w:num w:numId="5">
    <w:abstractNumId w:val="35"/>
  </w:num>
  <w:num w:numId="6">
    <w:abstractNumId w:val="62"/>
  </w:num>
  <w:num w:numId="7">
    <w:abstractNumId w:val="53"/>
  </w:num>
  <w:num w:numId="8">
    <w:abstractNumId w:val="59"/>
  </w:num>
  <w:num w:numId="9">
    <w:abstractNumId w:val="71"/>
  </w:num>
  <w:num w:numId="10">
    <w:abstractNumId w:val="15"/>
  </w:num>
  <w:num w:numId="11">
    <w:abstractNumId w:val="27"/>
  </w:num>
  <w:num w:numId="12">
    <w:abstractNumId w:val="85"/>
  </w:num>
  <w:num w:numId="13">
    <w:abstractNumId w:val="36"/>
  </w:num>
  <w:num w:numId="14">
    <w:abstractNumId w:val="24"/>
  </w:num>
  <w:num w:numId="15">
    <w:abstractNumId w:val="76"/>
  </w:num>
  <w:num w:numId="16">
    <w:abstractNumId w:val="55"/>
  </w:num>
  <w:num w:numId="17">
    <w:abstractNumId w:val="57"/>
  </w:num>
  <w:num w:numId="18">
    <w:abstractNumId w:val="75"/>
  </w:num>
  <w:num w:numId="19">
    <w:abstractNumId w:val="7"/>
  </w:num>
  <w:num w:numId="20">
    <w:abstractNumId w:val="43"/>
  </w:num>
  <w:num w:numId="21">
    <w:abstractNumId w:val="33"/>
  </w:num>
  <w:num w:numId="22">
    <w:abstractNumId w:val="65"/>
  </w:num>
  <w:num w:numId="23">
    <w:abstractNumId w:val="23"/>
  </w:num>
  <w:num w:numId="24">
    <w:abstractNumId w:val="17"/>
  </w:num>
  <w:num w:numId="25">
    <w:abstractNumId w:val="49"/>
  </w:num>
  <w:num w:numId="26">
    <w:abstractNumId w:val="22"/>
  </w:num>
  <w:num w:numId="27">
    <w:abstractNumId w:val="12"/>
  </w:num>
  <w:num w:numId="28">
    <w:abstractNumId w:val="20"/>
  </w:num>
  <w:num w:numId="29">
    <w:abstractNumId w:val="73"/>
  </w:num>
  <w:num w:numId="30">
    <w:abstractNumId w:val="28"/>
  </w:num>
  <w:num w:numId="31">
    <w:abstractNumId w:val="19"/>
  </w:num>
  <w:num w:numId="32">
    <w:abstractNumId w:val="72"/>
  </w:num>
  <w:num w:numId="33">
    <w:abstractNumId w:val="5"/>
  </w:num>
  <w:num w:numId="34">
    <w:abstractNumId w:val="67"/>
  </w:num>
  <w:num w:numId="35">
    <w:abstractNumId w:val="47"/>
  </w:num>
  <w:num w:numId="36">
    <w:abstractNumId w:val="16"/>
  </w:num>
  <w:num w:numId="37">
    <w:abstractNumId w:val="44"/>
  </w:num>
  <w:num w:numId="38">
    <w:abstractNumId w:val="25"/>
  </w:num>
  <w:num w:numId="39">
    <w:abstractNumId w:val="21"/>
  </w:num>
  <w:num w:numId="40">
    <w:abstractNumId w:val="53"/>
    <w:lvlOverride w:ilvl="0">
      <w:startOverride w:val="1"/>
    </w:lvlOverride>
  </w:num>
  <w:num w:numId="41">
    <w:abstractNumId w:val="53"/>
    <w:lvlOverride w:ilvl="0">
      <w:startOverride w:val="1"/>
    </w:lvlOverride>
  </w:num>
  <w:num w:numId="42">
    <w:abstractNumId w:val="37"/>
  </w:num>
  <w:num w:numId="43">
    <w:abstractNumId w:val="4"/>
  </w:num>
  <w:num w:numId="44">
    <w:abstractNumId w:val="46"/>
  </w:num>
  <w:num w:numId="45">
    <w:abstractNumId w:val="79"/>
  </w:num>
  <w:num w:numId="46">
    <w:abstractNumId w:val="8"/>
  </w:num>
  <w:num w:numId="47">
    <w:abstractNumId w:val="61"/>
  </w:num>
  <w:num w:numId="48">
    <w:abstractNumId w:val="48"/>
  </w:num>
  <w:num w:numId="49">
    <w:abstractNumId w:val="26"/>
  </w:num>
  <w:num w:numId="50">
    <w:abstractNumId w:val="29"/>
  </w:num>
  <w:num w:numId="51">
    <w:abstractNumId w:val="38"/>
  </w:num>
  <w:num w:numId="52">
    <w:abstractNumId w:val="54"/>
  </w:num>
  <w:num w:numId="53">
    <w:abstractNumId w:val="56"/>
  </w:num>
  <w:num w:numId="54">
    <w:abstractNumId w:val="11"/>
  </w:num>
  <w:num w:numId="55">
    <w:abstractNumId w:val="40"/>
  </w:num>
  <w:num w:numId="56">
    <w:abstractNumId w:val="83"/>
  </w:num>
  <w:num w:numId="57">
    <w:abstractNumId w:val="81"/>
  </w:num>
  <w:num w:numId="58">
    <w:abstractNumId w:val="68"/>
  </w:num>
  <w:num w:numId="59">
    <w:abstractNumId w:val="52"/>
  </w:num>
  <w:num w:numId="60">
    <w:abstractNumId w:val="70"/>
  </w:num>
  <w:num w:numId="61">
    <w:abstractNumId w:val="82"/>
  </w:num>
  <w:num w:numId="62">
    <w:abstractNumId w:val="74"/>
  </w:num>
  <w:num w:numId="63">
    <w:abstractNumId w:val="13"/>
  </w:num>
  <w:num w:numId="64">
    <w:abstractNumId w:val="58"/>
  </w:num>
  <w:num w:numId="65">
    <w:abstractNumId w:val="9"/>
  </w:num>
  <w:num w:numId="66">
    <w:abstractNumId w:val="77"/>
  </w:num>
  <w:num w:numId="67">
    <w:abstractNumId w:val="80"/>
  </w:num>
  <w:num w:numId="68">
    <w:abstractNumId w:val="84"/>
  </w:num>
  <w:num w:numId="69">
    <w:abstractNumId w:val="42"/>
  </w:num>
  <w:num w:numId="70">
    <w:abstractNumId w:val="64"/>
  </w:num>
  <w:num w:numId="71">
    <w:abstractNumId w:val="32"/>
  </w:num>
  <w:num w:numId="72">
    <w:abstractNumId w:val="50"/>
  </w:num>
  <w:num w:numId="73">
    <w:abstractNumId w:val="14"/>
  </w:num>
  <w:num w:numId="74">
    <w:abstractNumId w:val="86"/>
  </w:num>
  <w:num w:numId="75">
    <w:abstractNumId w:val="78"/>
  </w:num>
  <w:num w:numId="76">
    <w:abstractNumId w:val="10"/>
  </w:num>
  <w:num w:numId="77">
    <w:abstractNumId w:val="18"/>
  </w:num>
  <w:num w:numId="78">
    <w:abstractNumId w:val="6"/>
  </w:num>
  <w:num w:numId="79">
    <w:abstractNumId w:val="45"/>
  </w:num>
  <w:num w:numId="80">
    <w:abstractNumId w:val="31"/>
  </w:num>
  <w:num w:numId="81">
    <w:abstractNumId w:val="39"/>
  </w:num>
  <w:num w:numId="82">
    <w:abstractNumId w:val="69"/>
  </w:num>
  <w:num w:numId="83">
    <w:abstractNumId w:val="60"/>
  </w:num>
  <w:num w:numId="84">
    <w:abstractNumId w:val="66"/>
  </w:num>
  <w:num w:numId="85">
    <w:abstractNumId w:val="3"/>
  </w:num>
  <w:num w:numId="86">
    <w:abstractNumId w:val="3"/>
  </w:num>
  <w:num w:numId="87">
    <w:abstractNumId w:val="34"/>
  </w:num>
  <w:num w:numId="88">
    <w:abstractNumId w:val="30"/>
  </w:num>
  <w:num w:numId="89">
    <w:abstractNumId w:val="41"/>
  </w:num>
  <w:num w:numId="90">
    <w:abstractNumId w:val="51"/>
  </w:num>
  <w:num w:numId="91">
    <w:abstractNumId w:val="6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DDE"/>
    <w:rsid w:val="0000031B"/>
    <w:rsid w:val="0000360F"/>
    <w:rsid w:val="00004ADC"/>
    <w:rsid w:val="0000676A"/>
    <w:rsid w:val="000067F8"/>
    <w:rsid w:val="00006B7B"/>
    <w:rsid w:val="0000722E"/>
    <w:rsid w:val="00007368"/>
    <w:rsid w:val="0000752C"/>
    <w:rsid w:val="00012F93"/>
    <w:rsid w:val="000144E9"/>
    <w:rsid w:val="00014CF1"/>
    <w:rsid w:val="0001526E"/>
    <w:rsid w:val="0001589A"/>
    <w:rsid w:val="00015C1B"/>
    <w:rsid w:val="00015C6C"/>
    <w:rsid w:val="00016332"/>
    <w:rsid w:val="00016400"/>
    <w:rsid w:val="000165B4"/>
    <w:rsid w:val="00016B14"/>
    <w:rsid w:val="000170F0"/>
    <w:rsid w:val="00017217"/>
    <w:rsid w:val="000205D8"/>
    <w:rsid w:val="00020CE5"/>
    <w:rsid w:val="00020F6F"/>
    <w:rsid w:val="00022237"/>
    <w:rsid w:val="000228BE"/>
    <w:rsid w:val="00022AC4"/>
    <w:rsid w:val="00022BDB"/>
    <w:rsid w:val="00022F9F"/>
    <w:rsid w:val="000247E9"/>
    <w:rsid w:val="00024ABC"/>
    <w:rsid w:val="00025256"/>
    <w:rsid w:val="00025D3A"/>
    <w:rsid w:val="000262F1"/>
    <w:rsid w:val="000264CA"/>
    <w:rsid w:val="00026622"/>
    <w:rsid w:val="00026F16"/>
    <w:rsid w:val="00027443"/>
    <w:rsid w:val="000276FC"/>
    <w:rsid w:val="00030252"/>
    <w:rsid w:val="00031AFA"/>
    <w:rsid w:val="00032232"/>
    <w:rsid w:val="00032D13"/>
    <w:rsid w:val="00032F85"/>
    <w:rsid w:val="00033929"/>
    <w:rsid w:val="00033F8B"/>
    <w:rsid w:val="00034276"/>
    <w:rsid w:val="00034535"/>
    <w:rsid w:val="000345AE"/>
    <w:rsid w:val="00034F18"/>
    <w:rsid w:val="000350D8"/>
    <w:rsid w:val="00035D02"/>
    <w:rsid w:val="00036102"/>
    <w:rsid w:val="00036BD3"/>
    <w:rsid w:val="00036C34"/>
    <w:rsid w:val="000371BF"/>
    <w:rsid w:val="00037354"/>
    <w:rsid w:val="000378A7"/>
    <w:rsid w:val="00037974"/>
    <w:rsid w:val="00037B4B"/>
    <w:rsid w:val="00037C36"/>
    <w:rsid w:val="000401C1"/>
    <w:rsid w:val="00040617"/>
    <w:rsid w:val="00040C0C"/>
    <w:rsid w:val="00040CB0"/>
    <w:rsid w:val="00040D2A"/>
    <w:rsid w:val="000410CD"/>
    <w:rsid w:val="00041E12"/>
    <w:rsid w:val="00041F35"/>
    <w:rsid w:val="00042232"/>
    <w:rsid w:val="00042A6B"/>
    <w:rsid w:val="0004483D"/>
    <w:rsid w:val="000448B4"/>
    <w:rsid w:val="0004502F"/>
    <w:rsid w:val="000454C4"/>
    <w:rsid w:val="000458AA"/>
    <w:rsid w:val="000462E2"/>
    <w:rsid w:val="000463E9"/>
    <w:rsid w:val="0004713E"/>
    <w:rsid w:val="00047281"/>
    <w:rsid w:val="00047DD2"/>
    <w:rsid w:val="000503B4"/>
    <w:rsid w:val="00050C54"/>
    <w:rsid w:val="00051436"/>
    <w:rsid w:val="000515CD"/>
    <w:rsid w:val="000525F0"/>
    <w:rsid w:val="000526B6"/>
    <w:rsid w:val="00053683"/>
    <w:rsid w:val="00053686"/>
    <w:rsid w:val="00054053"/>
    <w:rsid w:val="000544EE"/>
    <w:rsid w:val="00055244"/>
    <w:rsid w:val="00055480"/>
    <w:rsid w:val="00055A93"/>
    <w:rsid w:val="00055B42"/>
    <w:rsid w:val="000564E1"/>
    <w:rsid w:val="0006010A"/>
    <w:rsid w:val="00060681"/>
    <w:rsid w:val="00060B4B"/>
    <w:rsid w:val="000611FE"/>
    <w:rsid w:val="00062AD4"/>
    <w:rsid w:val="00062B3C"/>
    <w:rsid w:val="00064083"/>
    <w:rsid w:val="00064879"/>
    <w:rsid w:val="00065026"/>
    <w:rsid w:val="000652BC"/>
    <w:rsid w:val="00065C6B"/>
    <w:rsid w:val="000665EF"/>
    <w:rsid w:val="00067683"/>
    <w:rsid w:val="000676EB"/>
    <w:rsid w:val="00067E56"/>
    <w:rsid w:val="00067F1C"/>
    <w:rsid w:val="000702B3"/>
    <w:rsid w:val="00070467"/>
    <w:rsid w:val="00070563"/>
    <w:rsid w:val="00070689"/>
    <w:rsid w:val="000709CB"/>
    <w:rsid w:val="00070F10"/>
    <w:rsid w:val="00070F8C"/>
    <w:rsid w:val="00071F52"/>
    <w:rsid w:val="00071F61"/>
    <w:rsid w:val="000725E4"/>
    <w:rsid w:val="00072AE6"/>
    <w:rsid w:val="00074821"/>
    <w:rsid w:val="000769EE"/>
    <w:rsid w:val="00077F3C"/>
    <w:rsid w:val="000801A9"/>
    <w:rsid w:val="00081063"/>
    <w:rsid w:val="0008166F"/>
    <w:rsid w:val="000816AD"/>
    <w:rsid w:val="00081BCA"/>
    <w:rsid w:val="00081DB4"/>
    <w:rsid w:val="0008323F"/>
    <w:rsid w:val="00083B2B"/>
    <w:rsid w:val="00083B2C"/>
    <w:rsid w:val="00084B53"/>
    <w:rsid w:val="00084D6B"/>
    <w:rsid w:val="00084EFE"/>
    <w:rsid w:val="00085299"/>
    <w:rsid w:val="00086088"/>
    <w:rsid w:val="00090328"/>
    <w:rsid w:val="00091AE9"/>
    <w:rsid w:val="00091F10"/>
    <w:rsid w:val="00092188"/>
    <w:rsid w:val="000931F9"/>
    <w:rsid w:val="000936D1"/>
    <w:rsid w:val="00093721"/>
    <w:rsid w:val="00093A23"/>
    <w:rsid w:val="000943EE"/>
    <w:rsid w:val="00094479"/>
    <w:rsid w:val="000959F2"/>
    <w:rsid w:val="00095E3E"/>
    <w:rsid w:val="000964C7"/>
    <w:rsid w:val="00096CBD"/>
    <w:rsid w:val="00096F4B"/>
    <w:rsid w:val="000A04C6"/>
    <w:rsid w:val="000A3770"/>
    <w:rsid w:val="000A4A39"/>
    <w:rsid w:val="000A4A41"/>
    <w:rsid w:val="000A4DC9"/>
    <w:rsid w:val="000A5172"/>
    <w:rsid w:val="000A51D6"/>
    <w:rsid w:val="000A58A7"/>
    <w:rsid w:val="000A62A6"/>
    <w:rsid w:val="000A6945"/>
    <w:rsid w:val="000A712C"/>
    <w:rsid w:val="000A7560"/>
    <w:rsid w:val="000A7F58"/>
    <w:rsid w:val="000B0B97"/>
    <w:rsid w:val="000B0DB3"/>
    <w:rsid w:val="000B190C"/>
    <w:rsid w:val="000B1FDF"/>
    <w:rsid w:val="000B26F1"/>
    <w:rsid w:val="000B3491"/>
    <w:rsid w:val="000B3872"/>
    <w:rsid w:val="000B4CD0"/>
    <w:rsid w:val="000B50A7"/>
    <w:rsid w:val="000B51DD"/>
    <w:rsid w:val="000B54EC"/>
    <w:rsid w:val="000B57DE"/>
    <w:rsid w:val="000C0B10"/>
    <w:rsid w:val="000C176A"/>
    <w:rsid w:val="000C18D5"/>
    <w:rsid w:val="000C339B"/>
    <w:rsid w:val="000C382F"/>
    <w:rsid w:val="000C53BE"/>
    <w:rsid w:val="000C5C8D"/>
    <w:rsid w:val="000C6331"/>
    <w:rsid w:val="000C68CA"/>
    <w:rsid w:val="000C71E7"/>
    <w:rsid w:val="000C7885"/>
    <w:rsid w:val="000D161F"/>
    <w:rsid w:val="000D16EC"/>
    <w:rsid w:val="000D2368"/>
    <w:rsid w:val="000D243D"/>
    <w:rsid w:val="000D2AA5"/>
    <w:rsid w:val="000D3091"/>
    <w:rsid w:val="000D3205"/>
    <w:rsid w:val="000D3616"/>
    <w:rsid w:val="000D382B"/>
    <w:rsid w:val="000D4EDC"/>
    <w:rsid w:val="000D5216"/>
    <w:rsid w:val="000D5E5E"/>
    <w:rsid w:val="000D6E2D"/>
    <w:rsid w:val="000D6F1B"/>
    <w:rsid w:val="000D71D9"/>
    <w:rsid w:val="000E09C7"/>
    <w:rsid w:val="000E09FE"/>
    <w:rsid w:val="000E0BA9"/>
    <w:rsid w:val="000E0C61"/>
    <w:rsid w:val="000E15DD"/>
    <w:rsid w:val="000E2448"/>
    <w:rsid w:val="000E2DBB"/>
    <w:rsid w:val="000E367A"/>
    <w:rsid w:val="000E37C5"/>
    <w:rsid w:val="000E43C1"/>
    <w:rsid w:val="000E4E99"/>
    <w:rsid w:val="000E539C"/>
    <w:rsid w:val="000E6142"/>
    <w:rsid w:val="000E6CDD"/>
    <w:rsid w:val="000E78CE"/>
    <w:rsid w:val="000E7A53"/>
    <w:rsid w:val="000E7BEA"/>
    <w:rsid w:val="000F0466"/>
    <w:rsid w:val="000F053C"/>
    <w:rsid w:val="000F054D"/>
    <w:rsid w:val="000F05CB"/>
    <w:rsid w:val="000F0640"/>
    <w:rsid w:val="000F23D3"/>
    <w:rsid w:val="000F28AE"/>
    <w:rsid w:val="000F46FC"/>
    <w:rsid w:val="000F6C43"/>
    <w:rsid w:val="000F78E9"/>
    <w:rsid w:val="0010012D"/>
    <w:rsid w:val="00100178"/>
    <w:rsid w:val="001003AF"/>
    <w:rsid w:val="00100C86"/>
    <w:rsid w:val="00101761"/>
    <w:rsid w:val="001035C9"/>
    <w:rsid w:val="00104543"/>
    <w:rsid w:val="001049B6"/>
    <w:rsid w:val="00104A9C"/>
    <w:rsid w:val="00104FAB"/>
    <w:rsid w:val="001052F4"/>
    <w:rsid w:val="001055EE"/>
    <w:rsid w:val="0010571E"/>
    <w:rsid w:val="00105C62"/>
    <w:rsid w:val="00106329"/>
    <w:rsid w:val="001068FF"/>
    <w:rsid w:val="00106CA9"/>
    <w:rsid w:val="00110121"/>
    <w:rsid w:val="0011180E"/>
    <w:rsid w:val="00111D07"/>
    <w:rsid w:val="00111D69"/>
    <w:rsid w:val="00112531"/>
    <w:rsid w:val="00112C3D"/>
    <w:rsid w:val="00113F84"/>
    <w:rsid w:val="001140FD"/>
    <w:rsid w:val="00114649"/>
    <w:rsid w:val="00114727"/>
    <w:rsid w:val="00114B34"/>
    <w:rsid w:val="00115176"/>
    <w:rsid w:val="00115681"/>
    <w:rsid w:val="00116CDB"/>
    <w:rsid w:val="00117C69"/>
    <w:rsid w:val="001219C3"/>
    <w:rsid w:val="00122C9D"/>
    <w:rsid w:val="00123D3C"/>
    <w:rsid w:val="00124723"/>
    <w:rsid w:val="00124E51"/>
    <w:rsid w:val="00125198"/>
    <w:rsid w:val="001257A3"/>
    <w:rsid w:val="00126969"/>
    <w:rsid w:val="00126D84"/>
    <w:rsid w:val="001311DF"/>
    <w:rsid w:val="001312E9"/>
    <w:rsid w:val="00131563"/>
    <w:rsid w:val="0013186C"/>
    <w:rsid w:val="00131C3A"/>
    <w:rsid w:val="00132971"/>
    <w:rsid w:val="0013328D"/>
    <w:rsid w:val="00133EFF"/>
    <w:rsid w:val="00134722"/>
    <w:rsid w:val="00137162"/>
    <w:rsid w:val="0013731A"/>
    <w:rsid w:val="0013742C"/>
    <w:rsid w:val="00137749"/>
    <w:rsid w:val="0014070A"/>
    <w:rsid w:val="00140870"/>
    <w:rsid w:val="00140E65"/>
    <w:rsid w:val="001410F2"/>
    <w:rsid w:val="00141455"/>
    <w:rsid w:val="001414F2"/>
    <w:rsid w:val="00141ABA"/>
    <w:rsid w:val="00142494"/>
    <w:rsid w:val="00143021"/>
    <w:rsid w:val="00143342"/>
    <w:rsid w:val="001440EC"/>
    <w:rsid w:val="001444B1"/>
    <w:rsid w:val="00144DF2"/>
    <w:rsid w:val="00145176"/>
    <w:rsid w:val="00145907"/>
    <w:rsid w:val="00145D3F"/>
    <w:rsid w:val="00147DFB"/>
    <w:rsid w:val="00147FCA"/>
    <w:rsid w:val="001500E0"/>
    <w:rsid w:val="00151667"/>
    <w:rsid w:val="00151868"/>
    <w:rsid w:val="0015190E"/>
    <w:rsid w:val="00153418"/>
    <w:rsid w:val="001539EB"/>
    <w:rsid w:val="001552E1"/>
    <w:rsid w:val="00155AA5"/>
    <w:rsid w:val="001564B1"/>
    <w:rsid w:val="00156710"/>
    <w:rsid w:val="00156757"/>
    <w:rsid w:val="001571CC"/>
    <w:rsid w:val="00157971"/>
    <w:rsid w:val="001614BF"/>
    <w:rsid w:val="00163B8D"/>
    <w:rsid w:val="001656A2"/>
    <w:rsid w:val="00165C91"/>
    <w:rsid w:val="00165EF7"/>
    <w:rsid w:val="001662DB"/>
    <w:rsid w:val="00167528"/>
    <w:rsid w:val="001703A9"/>
    <w:rsid w:val="001705DC"/>
    <w:rsid w:val="0017120D"/>
    <w:rsid w:val="001713E8"/>
    <w:rsid w:val="0017193F"/>
    <w:rsid w:val="00172840"/>
    <w:rsid w:val="00172AF3"/>
    <w:rsid w:val="00172F07"/>
    <w:rsid w:val="00173126"/>
    <w:rsid w:val="001734C6"/>
    <w:rsid w:val="001759F2"/>
    <w:rsid w:val="00176647"/>
    <w:rsid w:val="001769CE"/>
    <w:rsid w:val="00176B09"/>
    <w:rsid w:val="00176C79"/>
    <w:rsid w:val="00177098"/>
    <w:rsid w:val="001776DF"/>
    <w:rsid w:val="00177851"/>
    <w:rsid w:val="001778AD"/>
    <w:rsid w:val="00180277"/>
    <w:rsid w:val="00180C42"/>
    <w:rsid w:val="00180F02"/>
    <w:rsid w:val="00181397"/>
    <w:rsid w:val="001834E2"/>
    <w:rsid w:val="00183871"/>
    <w:rsid w:val="00184067"/>
    <w:rsid w:val="001842D4"/>
    <w:rsid w:val="00184845"/>
    <w:rsid w:val="0018516B"/>
    <w:rsid w:val="001853EA"/>
    <w:rsid w:val="00185AEF"/>
    <w:rsid w:val="001869DF"/>
    <w:rsid w:val="00186D5D"/>
    <w:rsid w:val="00186E42"/>
    <w:rsid w:val="00187C88"/>
    <w:rsid w:val="001903E0"/>
    <w:rsid w:val="00190A95"/>
    <w:rsid w:val="00190FAE"/>
    <w:rsid w:val="00191591"/>
    <w:rsid w:val="001917AD"/>
    <w:rsid w:val="00191923"/>
    <w:rsid w:val="00191C4D"/>
    <w:rsid w:val="0019200E"/>
    <w:rsid w:val="001929F2"/>
    <w:rsid w:val="00192AA1"/>
    <w:rsid w:val="0019352D"/>
    <w:rsid w:val="00193C2D"/>
    <w:rsid w:val="00194253"/>
    <w:rsid w:val="0019481D"/>
    <w:rsid w:val="00195499"/>
    <w:rsid w:val="00195B1D"/>
    <w:rsid w:val="00195CE1"/>
    <w:rsid w:val="00196007"/>
    <w:rsid w:val="001961B5"/>
    <w:rsid w:val="00196B14"/>
    <w:rsid w:val="001971BF"/>
    <w:rsid w:val="0019737B"/>
    <w:rsid w:val="00197711"/>
    <w:rsid w:val="001979B6"/>
    <w:rsid w:val="00197D32"/>
    <w:rsid w:val="001A03BF"/>
    <w:rsid w:val="001A06AB"/>
    <w:rsid w:val="001A0934"/>
    <w:rsid w:val="001A2570"/>
    <w:rsid w:val="001A31B1"/>
    <w:rsid w:val="001A31BA"/>
    <w:rsid w:val="001A3C00"/>
    <w:rsid w:val="001A3D4C"/>
    <w:rsid w:val="001A5529"/>
    <w:rsid w:val="001A5883"/>
    <w:rsid w:val="001A58C7"/>
    <w:rsid w:val="001A692E"/>
    <w:rsid w:val="001A6FD3"/>
    <w:rsid w:val="001A7110"/>
    <w:rsid w:val="001A7AA8"/>
    <w:rsid w:val="001A7D5A"/>
    <w:rsid w:val="001B07DA"/>
    <w:rsid w:val="001B1242"/>
    <w:rsid w:val="001B13D0"/>
    <w:rsid w:val="001B1983"/>
    <w:rsid w:val="001B3B8E"/>
    <w:rsid w:val="001B45A8"/>
    <w:rsid w:val="001B4C5B"/>
    <w:rsid w:val="001B52D4"/>
    <w:rsid w:val="001B5432"/>
    <w:rsid w:val="001B5B66"/>
    <w:rsid w:val="001B65E5"/>
    <w:rsid w:val="001B6C14"/>
    <w:rsid w:val="001B6EA9"/>
    <w:rsid w:val="001B70B0"/>
    <w:rsid w:val="001C0A26"/>
    <w:rsid w:val="001C2B49"/>
    <w:rsid w:val="001C40B7"/>
    <w:rsid w:val="001C4414"/>
    <w:rsid w:val="001C4D02"/>
    <w:rsid w:val="001C4D6B"/>
    <w:rsid w:val="001C5BE2"/>
    <w:rsid w:val="001C6795"/>
    <w:rsid w:val="001C6974"/>
    <w:rsid w:val="001C7472"/>
    <w:rsid w:val="001C78D8"/>
    <w:rsid w:val="001C7CF4"/>
    <w:rsid w:val="001D018F"/>
    <w:rsid w:val="001D0667"/>
    <w:rsid w:val="001D14CD"/>
    <w:rsid w:val="001D162B"/>
    <w:rsid w:val="001D1918"/>
    <w:rsid w:val="001D1EF3"/>
    <w:rsid w:val="001D20F0"/>
    <w:rsid w:val="001D2229"/>
    <w:rsid w:val="001D23FD"/>
    <w:rsid w:val="001D26FD"/>
    <w:rsid w:val="001D2996"/>
    <w:rsid w:val="001D46C7"/>
    <w:rsid w:val="001D54A5"/>
    <w:rsid w:val="001D552C"/>
    <w:rsid w:val="001D5AFC"/>
    <w:rsid w:val="001D65AE"/>
    <w:rsid w:val="001D6EFA"/>
    <w:rsid w:val="001D70F0"/>
    <w:rsid w:val="001D7584"/>
    <w:rsid w:val="001D787C"/>
    <w:rsid w:val="001D78FB"/>
    <w:rsid w:val="001D7A2F"/>
    <w:rsid w:val="001E13CC"/>
    <w:rsid w:val="001E188C"/>
    <w:rsid w:val="001E1C7B"/>
    <w:rsid w:val="001E21A3"/>
    <w:rsid w:val="001E3ADE"/>
    <w:rsid w:val="001E3B0D"/>
    <w:rsid w:val="001E3E25"/>
    <w:rsid w:val="001E7442"/>
    <w:rsid w:val="001E780B"/>
    <w:rsid w:val="001E782E"/>
    <w:rsid w:val="001E7EE7"/>
    <w:rsid w:val="001F15CF"/>
    <w:rsid w:val="001F17FD"/>
    <w:rsid w:val="001F2568"/>
    <w:rsid w:val="001F3DFF"/>
    <w:rsid w:val="001F4145"/>
    <w:rsid w:val="001F4B05"/>
    <w:rsid w:val="001F4BEF"/>
    <w:rsid w:val="001F4F09"/>
    <w:rsid w:val="001F50B8"/>
    <w:rsid w:val="001F5D3C"/>
    <w:rsid w:val="001F624E"/>
    <w:rsid w:val="001F6EDB"/>
    <w:rsid w:val="001F78EB"/>
    <w:rsid w:val="001F7B59"/>
    <w:rsid w:val="00200DA6"/>
    <w:rsid w:val="00201315"/>
    <w:rsid w:val="002014AE"/>
    <w:rsid w:val="0020158F"/>
    <w:rsid w:val="00201872"/>
    <w:rsid w:val="002018C0"/>
    <w:rsid w:val="002024D3"/>
    <w:rsid w:val="00202798"/>
    <w:rsid w:val="00202CE2"/>
    <w:rsid w:val="002035C0"/>
    <w:rsid w:val="00204692"/>
    <w:rsid w:val="00204EF6"/>
    <w:rsid w:val="00205735"/>
    <w:rsid w:val="00206350"/>
    <w:rsid w:val="00206EC7"/>
    <w:rsid w:val="00207100"/>
    <w:rsid w:val="00207419"/>
    <w:rsid w:val="00207AFA"/>
    <w:rsid w:val="00210723"/>
    <w:rsid w:val="0021102C"/>
    <w:rsid w:val="0021183D"/>
    <w:rsid w:val="00211935"/>
    <w:rsid w:val="002121DC"/>
    <w:rsid w:val="002121FC"/>
    <w:rsid w:val="00212567"/>
    <w:rsid w:val="0021469A"/>
    <w:rsid w:val="00214D34"/>
    <w:rsid w:val="00214FA7"/>
    <w:rsid w:val="00215893"/>
    <w:rsid w:val="002159E9"/>
    <w:rsid w:val="00216B50"/>
    <w:rsid w:val="0022073C"/>
    <w:rsid w:val="00221DEE"/>
    <w:rsid w:val="0022230B"/>
    <w:rsid w:val="00222979"/>
    <w:rsid w:val="00222B17"/>
    <w:rsid w:val="00223222"/>
    <w:rsid w:val="0022322E"/>
    <w:rsid w:val="00224193"/>
    <w:rsid w:val="0022571C"/>
    <w:rsid w:val="00225809"/>
    <w:rsid w:val="002259A6"/>
    <w:rsid w:val="00225E4B"/>
    <w:rsid w:val="00225F5F"/>
    <w:rsid w:val="0022656D"/>
    <w:rsid w:val="00226653"/>
    <w:rsid w:val="00226CFE"/>
    <w:rsid w:val="002271A0"/>
    <w:rsid w:val="00227ACC"/>
    <w:rsid w:val="0023057C"/>
    <w:rsid w:val="00230595"/>
    <w:rsid w:val="00230FF7"/>
    <w:rsid w:val="0023178A"/>
    <w:rsid w:val="0023192B"/>
    <w:rsid w:val="00232C39"/>
    <w:rsid w:val="00232F29"/>
    <w:rsid w:val="0023350B"/>
    <w:rsid w:val="00233E8B"/>
    <w:rsid w:val="00233FDF"/>
    <w:rsid w:val="002347A2"/>
    <w:rsid w:val="0023505A"/>
    <w:rsid w:val="00235DC1"/>
    <w:rsid w:val="00235F82"/>
    <w:rsid w:val="0023605E"/>
    <w:rsid w:val="002362CD"/>
    <w:rsid w:val="00236B84"/>
    <w:rsid w:val="00237122"/>
    <w:rsid w:val="0023755E"/>
    <w:rsid w:val="00241331"/>
    <w:rsid w:val="00241B05"/>
    <w:rsid w:val="00241E30"/>
    <w:rsid w:val="0024299D"/>
    <w:rsid w:val="002439D7"/>
    <w:rsid w:val="002441DA"/>
    <w:rsid w:val="00244C3D"/>
    <w:rsid w:val="00245337"/>
    <w:rsid w:val="00245544"/>
    <w:rsid w:val="00245552"/>
    <w:rsid w:val="0024585D"/>
    <w:rsid w:val="002461BD"/>
    <w:rsid w:val="00246C71"/>
    <w:rsid w:val="002510E2"/>
    <w:rsid w:val="00251579"/>
    <w:rsid w:val="00251C90"/>
    <w:rsid w:val="002520F3"/>
    <w:rsid w:val="0025259B"/>
    <w:rsid w:val="00252FB8"/>
    <w:rsid w:val="0025301F"/>
    <w:rsid w:val="00253DEA"/>
    <w:rsid w:val="00253E26"/>
    <w:rsid w:val="0025512D"/>
    <w:rsid w:val="00255362"/>
    <w:rsid w:val="002554FF"/>
    <w:rsid w:val="00255B49"/>
    <w:rsid w:val="00255DBE"/>
    <w:rsid w:val="00256124"/>
    <w:rsid w:val="00256585"/>
    <w:rsid w:val="002569B7"/>
    <w:rsid w:val="00257F44"/>
    <w:rsid w:val="00260ABD"/>
    <w:rsid w:val="00260EA6"/>
    <w:rsid w:val="0026174A"/>
    <w:rsid w:val="00261DED"/>
    <w:rsid w:val="0026381B"/>
    <w:rsid w:val="002645F2"/>
    <w:rsid w:val="002652CA"/>
    <w:rsid w:val="0026617D"/>
    <w:rsid w:val="00266594"/>
    <w:rsid w:val="002668DE"/>
    <w:rsid w:val="00266D7A"/>
    <w:rsid w:val="002674DB"/>
    <w:rsid w:val="00267D6F"/>
    <w:rsid w:val="002704D2"/>
    <w:rsid w:val="0027160D"/>
    <w:rsid w:val="002723A8"/>
    <w:rsid w:val="00272B4B"/>
    <w:rsid w:val="002738E9"/>
    <w:rsid w:val="00273D10"/>
    <w:rsid w:val="00274C65"/>
    <w:rsid w:val="0027522B"/>
    <w:rsid w:val="002762A3"/>
    <w:rsid w:val="00276BA6"/>
    <w:rsid w:val="00277200"/>
    <w:rsid w:val="002827DD"/>
    <w:rsid w:val="0028348D"/>
    <w:rsid w:val="00283984"/>
    <w:rsid w:val="0028410A"/>
    <w:rsid w:val="002862FF"/>
    <w:rsid w:val="00286546"/>
    <w:rsid w:val="00286C96"/>
    <w:rsid w:val="0029004E"/>
    <w:rsid w:val="00290C93"/>
    <w:rsid w:val="00290D1D"/>
    <w:rsid w:val="00291C57"/>
    <w:rsid w:val="00292F38"/>
    <w:rsid w:val="0029354C"/>
    <w:rsid w:val="00293630"/>
    <w:rsid w:val="00294149"/>
    <w:rsid w:val="002947D3"/>
    <w:rsid w:val="00294A02"/>
    <w:rsid w:val="002959F7"/>
    <w:rsid w:val="0029657E"/>
    <w:rsid w:val="00297B54"/>
    <w:rsid w:val="002A001E"/>
    <w:rsid w:val="002A0451"/>
    <w:rsid w:val="002A0606"/>
    <w:rsid w:val="002A09C9"/>
    <w:rsid w:val="002A0C92"/>
    <w:rsid w:val="002A0E13"/>
    <w:rsid w:val="002A33DA"/>
    <w:rsid w:val="002A34E4"/>
    <w:rsid w:val="002A36BF"/>
    <w:rsid w:val="002A568B"/>
    <w:rsid w:val="002A60B7"/>
    <w:rsid w:val="002A60DC"/>
    <w:rsid w:val="002A76FE"/>
    <w:rsid w:val="002A7E9D"/>
    <w:rsid w:val="002B08A7"/>
    <w:rsid w:val="002B1B1C"/>
    <w:rsid w:val="002B201C"/>
    <w:rsid w:val="002B3381"/>
    <w:rsid w:val="002B518B"/>
    <w:rsid w:val="002B559E"/>
    <w:rsid w:val="002B5A41"/>
    <w:rsid w:val="002B5B6C"/>
    <w:rsid w:val="002B5F6D"/>
    <w:rsid w:val="002B6607"/>
    <w:rsid w:val="002B6979"/>
    <w:rsid w:val="002B6C08"/>
    <w:rsid w:val="002B75C5"/>
    <w:rsid w:val="002C1781"/>
    <w:rsid w:val="002C1BE7"/>
    <w:rsid w:val="002C21C2"/>
    <w:rsid w:val="002C25BE"/>
    <w:rsid w:val="002C2CDF"/>
    <w:rsid w:val="002C2DEB"/>
    <w:rsid w:val="002C3ED9"/>
    <w:rsid w:val="002C744C"/>
    <w:rsid w:val="002C7560"/>
    <w:rsid w:val="002D102B"/>
    <w:rsid w:val="002D1415"/>
    <w:rsid w:val="002D1CD7"/>
    <w:rsid w:val="002D22CB"/>
    <w:rsid w:val="002D2544"/>
    <w:rsid w:val="002D28F7"/>
    <w:rsid w:val="002D4533"/>
    <w:rsid w:val="002D558C"/>
    <w:rsid w:val="002D55B5"/>
    <w:rsid w:val="002D5770"/>
    <w:rsid w:val="002D5B5C"/>
    <w:rsid w:val="002D5B65"/>
    <w:rsid w:val="002D626A"/>
    <w:rsid w:val="002D77B5"/>
    <w:rsid w:val="002D7836"/>
    <w:rsid w:val="002D7E71"/>
    <w:rsid w:val="002D7EAC"/>
    <w:rsid w:val="002E0B5A"/>
    <w:rsid w:val="002E16B6"/>
    <w:rsid w:val="002E1A98"/>
    <w:rsid w:val="002E1F55"/>
    <w:rsid w:val="002E31E4"/>
    <w:rsid w:val="002E443D"/>
    <w:rsid w:val="002E5827"/>
    <w:rsid w:val="002E61C9"/>
    <w:rsid w:val="002E7AFF"/>
    <w:rsid w:val="002E7C28"/>
    <w:rsid w:val="002E7E59"/>
    <w:rsid w:val="002E7F15"/>
    <w:rsid w:val="002F01E6"/>
    <w:rsid w:val="002F03FB"/>
    <w:rsid w:val="002F0830"/>
    <w:rsid w:val="002F11EE"/>
    <w:rsid w:val="002F2174"/>
    <w:rsid w:val="002F2B2D"/>
    <w:rsid w:val="002F2CCA"/>
    <w:rsid w:val="002F361D"/>
    <w:rsid w:val="002F3773"/>
    <w:rsid w:val="002F4095"/>
    <w:rsid w:val="002F4EE0"/>
    <w:rsid w:val="002F5604"/>
    <w:rsid w:val="002F7137"/>
    <w:rsid w:val="002F7173"/>
    <w:rsid w:val="002F755E"/>
    <w:rsid w:val="002F7701"/>
    <w:rsid w:val="002F7D1C"/>
    <w:rsid w:val="00300301"/>
    <w:rsid w:val="00300640"/>
    <w:rsid w:val="003008F0"/>
    <w:rsid w:val="00300F1B"/>
    <w:rsid w:val="003013F4"/>
    <w:rsid w:val="003030FF"/>
    <w:rsid w:val="0030361B"/>
    <w:rsid w:val="003038FD"/>
    <w:rsid w:val="00305F79"/>
    <w:rsid w:val="003068E8"/>
    <w:rsid w:val="00307413"/>
    <w:rsid w:val="003077F4"/>
    <w:rsid w:val="00311AC4"/>
    <w:rsid w:val="00311AE9"/>
    <w:rsid w:val="00313325"/>
    <w:rsid w:val="003143D3"/>
    <w:rsid w:val="00314D9A"/>
    <w:rsid w:val="00314E61"/>
    <w:rsid w:val="003157B3"/>
    <w:rsid w:val="00315B30"/>
    <w:rsid w:val="003164F2"/>
    <w:rsid w:val="003166AF"/>
    <w:rsid w:val="003179CA"/>
    <w:rsid w:val="00317FE4"/>
    <w:rsid w:val="0032059B"/>
    <w:rsid w:val="00320676"/>
    <w:rsid w:val="00320F82"/>
    <w:rsid w:val="0032125A"/>
    <w:rsid w:val="003212D2"/>
    <w:rsid w:val="0032186D"/>
    <w:rsid w:val="00321BE9"/>
    <w:rsid w:val="00321CE0"/>
    <w:rsid w:val="00321FD4"/>
    <w:rsid w:val="003220B5"/>
    <w:rsid w:val="00323513"/>
    <w:rsid w:val="003239FC"/>
    <w:rsid w:val="0032486B"/>
    <w:rsid w:val="00324C1E"/>
    <w:rsid w:val="003257A5"/>
    <w:rsid w:val="0032677A"/>
    <w:rsid w:val="00326FE5"/>
    <w:rsid w:val="00330638"/>
    <w:rsid w:val="0033094E"/>
    <w:rsid w:val="00330CE1"/>
    <w:rsid w:val="00332841"/>
    <w:rsid w:val="00333172"/>
    <w:rsid w:val="003338EE"/>
    <w:rsid w:val="00333FB0"/>
    <w:rsid w:val="00334633"/>
    <w:rsid w:val="00334726"/>
    <w:rsid w:val="0033479C"/>
    <w:rsid w:val="0033545E"/>
    <w:rsid w:val="003356CB"/>
    <w:rsid w:val="00335BBF"/>
    <w:rsid w:val="00335EE6"/>
    <w:rsid w:val="00340057"/>
    <w:rsid w:val="003402AB"/>
    <w:rsid w:val="003403CF"/>
    <w:rsid w:val="00340962"/>
    <w:rsid w:val="00340AF8"/>
    <w:rsid w:val="00340EF8"/>
    <w:rsid w:val="00341A0E"/>
    <w:rsid w:val="00342E23"/>
    <w:rsid w:val="003433AF"/>
    <w:rsid w:val="003433C3"/>
    <w:rsid w:val="00343B2C"/>
    <w:rsid w:val="003442C8"/>
    <w:rsid w:val="003448D0"/>
    <w:rsid w:val="0034589A"/>
    <w:rsid w:val="00345D7F"/>
    <w:rsid w:val="003462FF"/>
    <w:rsid w:val="0034759E"/>
    <w:rsid w:val="0034766F"/>
    <w:rsid w:val="00350836"/>
    <w:rsid w:val="00351ABB"/>
    <w:rsid w:val="00353242"/>
    <w:rsid w:val="0035324F"/>
    <w:rsid w:val="003532E9"/>
    <w:rsid w:val="00353346"/>
    <w:rsid w:val="0035459A"/>
    <w:rsid w:val="003549A1"/>
    <w:rsid w:val="003558FF"/>
    <w:rsid w:val="00356B90"/>
    <w:rsid w:val="00360007"/>
    <w:rsid w:val="003601CC"/>
    <w:rsid w:val="0036083B"/>
    <w:rsid w:val="00360F36"/>
    <w:rsid w:val="00361BA6"/>
    <w:rsid w:val="00361C6B"/>
    <w:rsid w:val="00362059"/>
    <w:rsid w:val="00362265"/>
    <w:rsid w:val="00363906"/>
    <w:rsid w:val="00364890"/>
    <w:rsid w:val="00365205"/>
    <w:rsid w:val="00365803"/>
    <w:rsid w:val="00365D85"/>
    <w:rsid w:val="0036612E"/>
    <w:rsid w:val="00366294"/>
    <w:rsid w:val="00366731"/>
    <w:rsid w:val="00366E1C"/>
    <w:rsid w:val="00367317"/>
    <w:rsid w:val="00371C1F"/>
    <w:rsid w:val="0037222D"/>
    <w:rsid w:val="0037308D"/>
    <w:rsid w:val="00374137"/>
    <w:rsid w:val="00374B2E"/>
    <w:rsid w:val="00375164"/>
    <w:rsid w:val="0037581E"/>
    <w:rsid w:val="00375FC7"/>
    <w:rsid w:val="00376120"/>
    <w:rsid w:val="00376904"/>
    <w:rsid w:val="00377B03"/>
    <w:rsid w:val="00380105"/>
    <w:rsid w:val="0038025F"/>
    <w:rsid w:val="00380EFD"/>
    <w:rsid w:val="00381113"/>
    <w:rsid w:val="003816A5"/>
    <w:rsid w:val="00381D27"/>
    <w:rsid w:val="003826A0"/>
    <w:rsid w:val="00382976"/>
    <w:rsid w:val="003832BE"/>
    <w:rsid w:val="003832CA"/>
    <w:rsid w:val="00383672"/>
    <w:rsid w:val="0038379A"/>
    <w:rsid w:val="00383DBE"/>
    <w:rsid w:val="00384FAC"/>
    <w:rsid w:val="00385247"/>
    <w:rsid w:val="00385291"/>
    <w:rsid w:val="00386226"/>
    <w:rsid w:val="003870EF"/>
    <w:rsid w:val="003903A9"/>
    <w:rsid w:val="003908D3"/>
    <w:rsid w:val="003913EF"/>
    <w:rsid w:val="0039172B"/>
    <w:rsid w:val="00391903"/>
    <w:rsid w:val="00393525"/>
    <w:rsid w:val="00394D52"/>
    <w:rsid w:val="00394E73"/>
    <w:rsid w:val="003957AB"/>
    <w:rsid w:val="0039799B"/>
    <w:rsid w:val="00397AF3"/>
    <w:rsid w:val="003A03F4"/>
    <w:rsid w:val="003A078E"/>
    <w:rsid w:val="003A0A01"/>
    <w:rsid w:val="003A0E7E"/>
    <w:rsid w:val="003A1C17"/>
    <w:rsid w:val="003A245F"/>
    <w:rsid w:val="003A38A0"/>
    <w:rsid w:val="003A443D"/>
    <w:rsid w:val="003A489D"/>
    <w:rsid w:val="003A494F"/>
    <w:rsid w:val="003A5049"/>
    <w:rsid w:val="003A64D8"/>
    <w:rsid w:val="003A679B"/>
    <w:rsid w:val="003A72EF"/>
    <w:rsid w:val="003B1473"/>
    <w:rsid w:val="003B1EC5"/>
    <w:rsid w:val="003B327D"/>
    <w:rsid w:val="003B3B23"/>
    <w:rsid w:val="003B4A71"/>
    <w:rsid w:val="003B5167"/>
    <w:rsid w:val="003B51A2"/>
    <w:rsid w:val="003B5277"/>
    <w:rsid w:val="003B52AA"/>
    <w:rsid w:val="003B57B3"/>
    <w:rsid w:val="003B5C9B"/>
    <w:rsid w:val="003B65C3"/>
    <w:rsid w:val="003B6B78"/>
    <w:rsid w:val="003B6F33"/>
    <w:rsid w:val="003B7A53"/>
    <w:rsid w:val="003B7C77"/>
    <w:rsid w:val="003B7ECA"/>
    <w:rsid w:val="003C0548"/>
    <w:rsid w:val="003C290C"/>
    <w:rsid w:val="003C3695"/>
    <w:rsid w:val="003C3A36"/>
    <w:rsid w:val="003C4D21"/>
    <w:rsid w:val="003C4DCB"/>
    <w:rsid w:val="003C59EB"/>
    <w:rsid w:val="003C5B86"/>
    <w:rsid w:val="003C5CAB"/>
    <w:rsid w:val="003C64A0"/>
    <w:rsid w:val="003C68DC"/>
    <w:rsid w:val="003C7C98"/>
    <w:rsid w:val="003C7F1A"/>
    <w:rsid w:val="003D0547"/>
    <w:rsid w:val="003D1FAE"/>
    <w:rsid w:val="003D274F"/>
    <w:rsid w:val="003D275C"/>
    <w:rsid w:val="003D27DB"/>
    <w:rsid w:val="003D2809"/>
    <w:rsid w:val="003D3088"/>
    <w:rsid w:val="003D48C1"/>
    <w:rsid w:val="003D525D"/>
    <w:rsid w:val="003D5355"/>
    <w:rsid w:val="003D56CF"/>
    <w:rsid w:val="003D56D9"/>
    <w:rsid w:val="003D6442"/>
    <w:rsid w:val="003D6E1E"/>
    <w:rsid w:val="003D7528"/>
    <w:rsid w:val="003D7BFD"/>
    <w:rsid w:val="003D7C59"/>
    <w:rsid w:val="003E0618"/>
    <w:rsid w:val="003E12D1"/>
    <w:rsid w:val="003E1D6E"/>
    <w:rsid w:val="003E23F1"/>
    <w:rsid w:val="003E2712"/>
    <w:rsid w:val="003E2B7F"/>
    <w:rsid w:val="003E43D7"/>
    <w:rsid w:val="003E494D"/>
    <w:rsid w:val="003E4DF4"/>
    <w:rsid w:val="003E4E59"/>
    <w:rsid w:val="003E5072"/>
    <w:rsid w:val="003E5D50"/>
    <w:rsid w:val="003E654C"/>
    <w:rsid w:val="003E69EC"/>
    <w:rsid w:val="003E7C94"/>
    <w:rsid w:val="003F0080"/>
    <w:rsid w:val="003F1273"/>
    <w:rsid w:val="003F1497"/>
    <w:rsid w:val="003F293D"/>
    <w:rsid w:val="003F303F"/>
    <w:rsid w:val="003F3129"/>
    <w:rsid w:val="003F3246"/>
    <w:rsid w:val="003F3924"/>
    <w:rsid w:val="003F41FF"/>
    <w:rsid w:val="003F47F5"/>
    <w:rsid w:val="003F4844"/>
    <w:rsid w:val="003F50E4"/>
    <w:rsid w:val="003F576E"/>
    <w:rsid w:val="003F5A18"/>
    <w:rsid w:val="003F5DBB"/>
    <w:rsid w:val="003F6674"/>
    <w:rsid w:val="003F6CE7"/>
    <w:rsid w:val="003F73A5"/>
    <w:rsid w:val="0040090D"/>
    <w:rsid w:val="00402220"/>
    <w:rsid w:val="00402792"/>
    <w:rsid w:val="00403303"/>
    <w:rsid w:val="00403C0A"/>
    <w:rsid w:val="00403CCE"/>
    <w:rsid w:val="00403E57"/>
    <w:rsid w:val="00404528"/>
    <w:rsid w:val="00404873"/>
    <w:rsid w:val="00405C00"/>
    <w:rsid w:val="00406864"/>
    <w:rsid w:val="004077C2"/>
    <w:rsid w:val="00411052"/>
    <w:rsid w:val="00411D66"/>
    <w:rsid w:val="00412C3B"/>
    <w:rsid w:val="00412EF2"/>
    <w:rsid w:val="004132C1"/>
    <w:rsid w:val="00413E24"/>
    <w:rsid w:val="00414FEC"/>
    <w:rsid w:val="00416663"/>
    <w:rsid w:val="004167D1"/>
    <w:rsid w:val="0041781A"/>
    <w:rsid w:val="00417AAA"/>
    <w:rsid w:val="00417B47"/>
    <w:rsid w:val="0042055A"/>
    <w:rsid w:val="0042063D"/>
    <w:rsid w:val="00420D03"/>
    <w:rsid w:val="00420EEF"/>
    <w:rsid w:val="004211D2"/>
    <w:rsid w:val="00422762"/>
    <w:rsid w:val="00422836"/>
    <w:rsid w:val="0042398E"/>
    <w:rsid w:val="00423DF3"/>
    <w:rsid w:val="0042435D"/>
    <w:rsid w:val="00424E27"/>
    <w:rsid w:val="00425230"/>
    <w:rsid w:val="00425583"/>
    <w:rsid w:val="00426487"/>
    <w:rsid w:val="00426733"/>
    <w:rsid w:val="00427D32"/>
    <w:rsid w:val="0043161D"/>
    <w:rsid w:val="00431D74"/>
    <w:rsid w:val="00434259"/>
    <w:rsid w:val="00434D94"/>
    <w:rsid w:val="004352FF"/>
    <w:rsid w:val="004354C1"/>
    <w:rsid w:val="004359B7"/>
    <w:rsid w:val="0043725F"/>
    <w:rsid w:val="00440D3D"/>
    <w:rsid w:val="004417BF"/>
    <w:rsid w:val="004419F6"/>
    <w:rsid w:val="0044213C"/>
    <w:rsid w:val="004422C0"/>
    <w:rsid w:val="004432DA"/>
    <w:rsid w:val="00443A56"/>
    <w:rsid w:val="00443A96"/>
    <w:rsid w:val="00443C74"/>
    <w:rsid w:val="0044420F"/>
    <w:rsid w:val="00444907"/>
    <w:rsid w:val="00445AEB"/>
    <w:rsid w:val="00445DCD"/>
    <w:rsid w:val="00445F29"/>
    <w:rsid w:val="00446C17"/>
    <w:rsid w:val="00447B55"/>
    <w:rsid w:val="00450275"/>
    <w:rsid w:val="00450509"/>
    <w:rsid w:val="0045081D"/>
    <w:rsid w:val="00450B31"/>
    <w:rsid w:val="00450BAD"/>
    <w:rsid w:val="00450DE1"/>
    <w:rsid w:val="0045102F"/>
    <w:rsid w:val="004512CE"/>
    <w:rsid w:val="00453078"/>
    <w:rsid w:val="0045336D"/>
    <w:rsid w:val="00453380"/>
    <w:rsid w:val="004537B5"/>
    <w:rsid w:val="0045397E"/>
    <w:rsid w:val="0045434C"/>
    <w:rsid w:val="00454B14"/>
    <w:rsid w:val="004559B4"/>
    <w:rsid w:val="00455BF1"/>
    <w:rsid w:val="00456296"/>
    <w:rsid w:val="0046019F"/>
    <w:rsid w:val="00460E40"/>
    <w:rsid w:val="004616A4"/>
    <w:rsid w:val="0046184C"/>
    <w:rsid w:val="004619E0"/>
    <w:rsid w:val="00461D95"/>
    <w:rsid w:val="00464276"/>
    <w:rsid w:val="004644A9"/>
    <w:rsid w:val="00464A18"/>
    <w:rsid w:val="0046522D"/>
    <w:rsid w:val="00465459"/>
    <w:rsid w:val="004659E2"/>
    <w:rsid w:val="00465D0A"/>
    <w:rsid w:val="00465D56"/>
    <w:rsid w:val="0046767B"/>
    <w:rsid w:val="00467749"/>
    <w:rsid w:val="00467D71"/>
    <w:rsid w:val="00472AF6"/>
    <w:rsid w:val="004732BF"/>
    <w:rsid w:val="00473C52"/>
    <w:rsid w:val="00473C54"/>
    <w:rsid w:val="00474244"/>
    <w:rsid w:val="0047610A"/>
    <w:rsid w:val="004761B8"/>
    <w:rsid w:val="004764EE"/>
    <w:rsid w:val="00476D88"/>
    <w:rsid w:val="00477049"/>
    <w:rsid w:val="004775B9"/>
    <w:rsid w:val="00480C4A"/>
    <w:rsid w:val="0048131D"/>
    <w:rsid w:val="00481D97"/>
    <w:rsid w:val="00481E51"/>
    <w:rsid w:val="00481E53"/>
    <w:rsid w:val="004822EB"/>
    <w:rsid w:val="00483CB3"/>
    <w:rsid w:val="00485629"/>
    <w:rsid w:val="0048616D"/>
    <w:rsid w:val="00486CF4"/>
    <w:rsid w:val="00487741"/>
    <w:rsid w:val="00490054"/>
    <w:rsid w:val="00490BDF"/>
    <w:rsid w:val="004929B6"/>
    <w:rsid w:val="00492AD1"/>
    <w:rsid w:val="00492DEE"/>
    <w:rsid w:val="00493407"/>
    <w:rsid w:val="00494B38"/>
    <w:rsid w:val="00494E5D"/>
    <w:rsid w:val="00495142"/>
    <w:rsid w:val="004959AD"/>
    <w:rsid w:val="00496458"/>
    <w:rsid w:val="004A131B"/>
    <w:rsid w:val="004A1CBF"/>
    <w:rsid w:val="004A1CC1"/>
    <w:rsid w:val="004A1D33"/>
    <w:rsid w:val="004A325B"/>
    <w:rsid w:val="004A3957"/>
    <w:rsid w:val="004A39A9"/>
    <w:rsid w:val="004A3A84"/>
    <w:rsid w:val="004A3ABC"/>
    <w:rsid w:val="004A3C30"/>
    <w:rsid w:val="004A44BF"/>
    <w:rsid w:val="004A4A74"/>
    <w:rsid w:val="004A5D87"/>
    <w:rsid w:val="004A64A4"/>
    <w:rsid w:val="004A684F"/>
    <w:rsid w:val="004A6E3B"/>
    <w:rsid w:val="004A74F0"/>
    <w:rsid w:val="004A760E"/>
    <w:rsid w:val="004B21CA"/>
    <w:rsid w:val="004B237E"/>
    <w:rsid w:val="004B2888"/>
    <w:rsid w:val="004B30CA"/>
    <w:rsid w:val="004B3296"/>
    <w:rsid w:val="004B3527"/>
    <w:rsid w:val="004B3715"/>
    <w:rsid w:val="004B39C5"/>
    <w:rsid w:val="004B3F7C"/>
    <w:rsid w:val="004B4A9C"/>
    <w:rsid w:val="004B524D"/>
    <w:rsid w:val="004B545B"/>
    <w:rsid w:val="004B56E5"/>
    <w:rsid w:val="004B5A09"/>
    <w:rsid w:val="004B64A8"/>
    <w:rsid w:val="004B6669"/>
    <w:rsid w:val="004C0C8B"/>
    <w:rsid w:val="004C1FE2"/>
    <w:rsid w:val="004C3355"/>
    <w:rsid w:val="004C394C"/>
    <w:rsid w:val="004C3E3E"/>
    <w:rsid w:val="004C40A9"/>
    <w:rsid w:val="004C492B"/>
    <w:rsid w:val="004C4DA7"/>
    <w:rsid w:val="004C4DAF"/>
    <w:rsid w:val="004C5361"/>
    <w:rsid w:val="004C595E"/>
    <w:rsid w:val="004C603D"/>
    <w:rsid w:val="004C63B9"/>
    <w:rsid w:val="004C7078"/>
    <w:rsid w:val="004C71B6"/>
    <w:rsid w:val="004C73D2"/>
    <w:rsid w:val="004C7DF0"/>
    <w:rsid w:val="004D147A"/>
    <w:rsid w:val="004D2284"/>
    <w:rsid w:val="004D27DD"/>
    <w:rsid w:val="004D2D3B"/>
    <w:rsid w:val="004D2F00"/>
    <w:rsid w:val="004D4C70"/>
    <w:rsid w:val="004D4F1C"/>
    <w:rsid w:val="004D4F22"/>
    <w:rsid w:val="004D56F8"/>
    <w:rsid w:val="004D571B"/>
    <w:rsid w:val="004D62B5"/>
    <w:rsid w:val="004D6E08"/>
    <w:rsid w:val="004D71A7"/>
    <w:rsid w:val="004D7CEF"/>
    <w:rsid w:val="004E036C"/>
    <w:rsid w:val="004E0AA9"/>
    <w:rsid w:val="004E17BE"/>
    <w:rsid w:val="004E1DF0"/>
    <w:rsid w:val="004E1F84"/>
    <w:rsid w:val="004E2588"/>
    <w:rsid w:val="004E2592"/>
    <w:rsid w:val="004E2F57"/>
    <w:rsid w:val="004E3255"/>
    <w:rsid w:val="004E5F2B"/>
    <w:rsid w:val="004E6DAF"/>
    <w:rsid w:val="004E6E0E"/>
    <w:rsid w:val="004E7150"/>
    <w:rsid w:val="004E7655"/>
    <w:rsid w:val="004E7D5D"/>
    <w:rsid w:val="004F06F1"/>
    <w:rsid w:val="004F1035"/>
    <w:rsid w:val="004F137E"/>
    <w:rsid w:val="004F1EBC"/>
    <w:rsid w:val="004F2406"/>
    <w:rsid w:val="004F254B"/>
    <w:rsid w:val="004F26FF"/>
    <w:rsid w:val="004F28CD"/>
    <w:rsid w:val="004F3128"/>
    <w:rsid w:val="004F3A14"/>
    <w:rsid w:val="004F44EF"/>
    <w:rsid w:val="004F4FAA"/>
    <w:rsid w:val="004F5544"/>
    <w:rsid w:val="004F5EF7"/>
    <w:rsid w:val="004F7386"/>
    <w:rsid w:val="00500820"/>
    <w:rsid w:val="005014BD"/>
    <w:rsid w:val="00501A5A"/>
    <w:rsid w:val="00502228"/>
    <w:rsid w:val="00502A74"/>
    <w:rsid w:val="00502C34"/>
    <w:rsid w:val="00503DB3"/>
    <w:rsid w:val="00504A94"/>
    <w:rsid w:val="00504E89"/>
    <w:rsid w:val="00505C77"/>
    <w:rsid w:val="0050697F"/>
    <w:rsid w:val="00506CD8"/>
    <w:rsid w:val="005076E4"/>
    <w:rsid w:val="00507C0E"/>
    <w:rsid w:val="0051060D"/>
    <w:rsid w:val="00511CED"/>
    <w:rsid w:val="00512381"/>
    <w:rsid w:val="0051311E"/>
    <w:rsid w:val="00513D9A"/>
    <w:rsid w:val="005148F2"/>
    <w:rsid w:val="00514D86"/>
    <w:rsid w:val="00514DA2"/>
    <w:rsid w:val="00514DD3"/>
    <w:rsid w:val="00515078"/>
    <w:rsid w:val="00516766"/>
    <w:rsid w:val="005167C1"/>
    <w:rsid w:val="00516FE9"/>
    <w:rsid w:val="00517BCF"/>
    <w:rsid w:val="00517DA8"/>
    <w:rsid w:val="00520E6C"/>
    <w:rsid w:val="00520F5A"/>
    <w:rsid w:val="00521369"/>
    <w:rsid w:val="00521968"/>
    <w:rsid w:val="0052267E"/>
    <w:rsid w:val="005255D6"/>
    <w:rsid w:val="005257A9"/>
    <w:rsid w:val="00525A07"/>
    <w:rsid w:val="00525FBF"/>
    <w:rsid w:val="005262D6"/>
    <w:rsid w:val="00526CEE"/>
    <w:rsid w:val="005279C4"/>
    <w:rsid w:val="00527F1B"/>
    <w:rsid w:val="00530CB3"/>
    <w:rsid w:val="00530D45"/>
    <w:rsid w:val="00530EC2"/>
    <w:rsid w:val="0053128C"/>
    <w:rsid w:val="005317E5"/>
    <w:rsid w:val="00531833"/>
    <w:rsid w:val="00532131"/>
    <w:rsid w:val="0053444F"/>
    <w:rsid w:val="00534B69"/>
    <w:rsid w:val="005357D2"/>
    <w:rsid w:val="005359AB"/>
    <w:rsid w:val="00535BAB"/>
    <w:rsid w:val="00536AD9"/>
    <w:rsid w:val="00536B24"/>
    <w:rsid w:val="005376C1"/>
    <w:rsid w:val="00540FDF"/>
    <w:rsid w:val="005415B4"/>
    <w:rsid w:val="00542216"/>
    <w:rsid w:val="005426D4"/>
    <w:rsid w:val="00542983"/>
    <w:rsid w:val="005429FB"/>
    <w:rsid w:val="00542B84"/>
    <w:rsid w:val="005436C5"/>
    <w:rsid w:val="005448BC"/>
    <w:rsid w:val="005453C3"/>
    <w:rsid w:val="00545449"/>
    <w:rsid w:val="005462A5"/>
    <w:rsid w:val="00546583"/>
    <w:rsid w:val="00547C58"/>
    <w:rsid w:val="00550128"/>
    <w:rsid w:val="0055131F"/>
    <w:rsid w:val="005516D7"/>
    <w:rsid w:val="00552473"/>
    <w:rsid w:val="00552B41"/>
    <w:rsid w:val="00554041"/>
    <w:rsid w:val="0055408D"/>
    <w:rsid w:val="005554C3"/>
    <w:rsid w:val="0055587F"/>
    <w:rsid w:val="00556A1B"/>
    <w:rsid w:val="0055770E"/>
    <w:rsid w:val="00560511"/>
    <w:rsid w:val="0056089B"/>
    <w:rsid w:val="00560AF1"/>
    <w:rsid w:val="0056107A"/>
    <w:rsid w:val="005611E7"/>
    <w:rsid w:val="0056168D"/>
    <w:rsid w:val="00562BB3"/>
    <w:rsid w:val="00562C69"/>
    <w:rsid w:val="00563ADC"/>
    <w:rsid w:val="00564334"/>
    <w:rsid w:val="005647C6"/>
    <w:rsid w:val="00566963"/>
    <w:rsid w:val="00566C36"/>
    <w:rsid w:val="005673DF"/>
    <w:rsid w:val="00567CB2"/>
    <w:rsid w:val="00570046"/>
    <w:rsid w:val="005704CD"/>
    <w:rsid w:val="00570556"/>
    <w:rsid w:val="005718C3"/>
    <w:rsid w:val="00571B86"/>
    <w:rsid w:val="0057311A"/>
    <w:rsid w:val="00573BF6"/>
    <w:rsid w:val="00573DDE"/>
    <w:rsid w:val="0057442C"/>
    <w:rsid w:val="005745B5"/>
    <w:rsid w:val="00574644"/>
    <w:rsid w:val="005754D1"/>
    <w:rsid w:val="00576452"/>
    <w:rsid w:val="00576A2A"/>
    <w:rsid w:val="0057716C"/>
    <w:rsid w:val="005775B2"/>
    <w:rsid w:val="005779E5"/>
    <w:rsid w:val="00580818"/>
    <w:rsid w:val="00581A93"/>
    <w:rsid w:val="00582486"/>
    <w:rsid w:val="00582871"/>
    <w:rsid w:val="00582A63"/>
    <w:rsid w:val="00582DB5"/>
    <w:rsid w:val="00582F2C"/>
    <w:rsid w:val="005832BE"/>
    <w:rsid w:val="0058347B"/>
    <w:rsid w:val="005850F6"/>
    <w:rsid w:val="0058522B"/>
    <w:rsid w:val="00585510"/>
    <w:rsid w:val="005856A0"/>
    <w:rsid w:val="00585F0B"/>
    <w:rsid w:val="005876FE"/>
    <w:rsid w:val="00587CE3"/>
    <w:rsid w:val="005905FA"/>
    <w:rsid w:val="00590E63"/>
    <w:rsid w:val="00591A40"/>
    <w:rsid w:val="00592C6A"/>
    <w:rsid w:val="00595C5C"/>
    <w:rsid w:val="00596163"/>
    <w:rsid w:val="00596299"/>
    <w:rsid w:val="0059658F"/>
    <w:rsid w:val="005967D7"/>
    <w:rsid w:val="00596F03"/>
    <w:rsid w:val="00596F8B"/>
    <w:rsid w:val="005A1281"/>
    <w:rsid w:val="005A1AB3"/>
    <w:rsid w:val="005A1E7B"/>
    <w:rsid w:val="005A233C"/>
    <w:rsid w:val="005A26B7"/>
    <w:rsid w:val="005A366E"/>
    <w:rsid w:val="005A4142"/>
    <w:rsid w:val="005A5643"/>
    <w:rsid w:val="005A60EC"/>
    <w:rsid w:val="005B00AE"/>
    <w:rsid w:val="005B0B93"/>
    <w:rsid w:val="005B0ED3"/>
    <w:rsid w:val="005B1F1E"/>
    <w:rsid w:val="005B1FB6"/>
    <w:rsid w:val="005B2455"/>
    <w:rsid w:val="005B2968"/>
    <w:rsid w:val="005B2A31"/>
    <w:rsid w:val="005B2AF4"/>
    <w:rsid w:val="005B2CEC"/>
    <w:rsid w:val="005B31E3"/>
    <w:rsid w:val="005B3343"/>
    <w:rsid w:val="005B3DAD"/>
    <w:rsid w:val="005B44D4"/>
    <w:rsid w:val="005B5303"/>
    <w:rsid w:val="005B5486"/>
    <w:rsid w:val="005B639E"/>
    <w:rsid w:val="005B654D"/>
    <w:rsid w:val="005B71E6"/>
    <w:rsid w:val="005B7BDE"/>
    <w:rsid w:val="005C0771"/>
    <w:rsid w:val="005C09B8"/>
    <w:rsid w:val="005C10F3"/>
    <w:rsid w:val="005C1229"/>
    <w:rsid w:val="005C12A4"/>
    <w:rsid w:val="005C1A55"/>
    <w:rsid w:val="005C3579"/>
    <w:rsid w:val="005C3ABC"/>
    <w:rsid w:val="005C4A3F"/>
    <w:rsid w:val="005C52EE"/>
    <w:rsid w:val="005C67EB"/>
    <w:rsid w:val="005C769B"/>
    <w:rsid w:val="005C7875"/>
    <w:rsid w:val="005C7F24"/>
    <w:rsid w:val="005D067C"/>
    <w:rsid w:val="005D0959"/>
    <w:rsid w:val="005D0DE4"/>
    <w:rsid w:val="005D0ED9"/>
    <w:rsid w:val="005D163A"/>
    <w:rsid w:val="005D21DB"/>
    <w:rsid w:val="005D22DD"/>
    <w:rsid w:val="005D2916"/>
    <w:rsid w:val="005D2F09"/>
    <w:rsid w:val="005D30EC"/>
    <w:rsid w:val="005D34DE"/>
    <w:rsid w:val="005D3A49"/>
    <w:rsid w:val="005D421A"/>
    <w:rsid w:val="005D46DB"/>
    <w:rsid w:val="005D5128"/>
    <w:rsid w:val="005D5653"/>
    <w:rsid w:val="005D588E"/>
    <w:rsid w:val="005D7048"/>
    <w:rsid w:val="005D7783"/>
    <w:rsid w:val="005D794A"/>
    <w:rsid w:val="005D7CF2"/>
    <w:rsid w:val="005E0E4A"/>
    <w:rsid w:val="005E1DE6"/>
    <w:rsid w:val="005E21B8"/>
    <w:rsid w:val="005E2939"/>
    <w:rsid w:val="005E2D78"/>
    <w:rsid w:val="005E3234"/>
    <w:rsid w:val="005E3BDC"/>
    <w:rsid w:val="005E4A14"/>
    <w:rsid w:val="005E51AA"/>
    <w:rsid w:val="005E6C62"/>
    <w:rsid w:val="005E7102"/>
    <w:rsid w:val="005F0770"/>
    <w:rsid w:val="005F1F99"/>
    <w:rsid w:val="005F3F20"/>
    <w:rsid w:val="005F472D"/>
    <w:rsid w:val="005F4B41"/>
    <w:rsid w:val="005F4B67"/>
    <w:rsid w:val="005F5805"/>
    <w:rsid w:val="005F6E86"/>
    <w:rsid w:val="00600024"/>
    <w:rsid w:val="00600853"/>
    <w:rsid w:val="00601539"/>
    <w:rsid w:val="006021F2"/>
    <w:rsid w:val="0060278D"/>
    <w:rsid w:val="006028F3"/>
    <w:rsid w:val="006029BE"/>
    <w:rsid w:val="00603498"/>
    <w:rsid w:val="00603710"/>
    <w:rsid w:val="00604454"/>
    <w:rsid w:val="0060496F"/>
    <w:rsid w:val="00605C90"/>
    <w:rsid w:val="0060631A"/>
    <w:rsid w:val="00606599"/>
    <w:rsid w:val="00606932"/>
    <w:rsid w:val="00606997"/>
    <w:rsid w:val="006069E8"/>
    <w:rsid w:val="00606D66"/>
    <w:rsid w:val="006072C4"/>
    <w:rsid w:val="00607C8E"/>
    <w:rsid w:val="00610872"/>
    <w:rsid w:val="006111CD"/>
    <w:rsid w:val="00613003"/>
    <w:rsid w:val="00613042"/>
    <w:rsid w:val="006130D0"/>
    <w:rsid w:val="00614420"/>
    <w:rsid w:val="00614B09"/>
    <w:rsid w:val="00615700"/>
    <w:rsid w:val="00615965"/>
    <w:rsid w:val="00615ADD"/>
    <w:rsid w:val="00615E6C"/>
    <w:rsid w:val="00615FE6"/>
    <w:rsid w:val="0061635B"/>
    <w:rsid w:val="00616520"/>
    <w:rsid w:val="00616D90"/>
    <w:rsid w:val="006170E0"/>
    <w:rsid w:val="00617357"/>
    <w:rsid w:val="006204A2"/>
    <w:rsid w:val="006204B2"/>
    <w:rsid w:val="00621FF2"/>
    <w:rsid w:val="006224C6"/>
    <w:rsid w:val="00622D73"/>
    <w:rsid w:val="0062317C"/>
    <w:rsid w:val="006231CD"/>
    <w:rsid w:val="0062328F"/>
    <w:rsid w:val="006241DE"/>
    <w:rsid w:val="0062597D"/>
    <w:rsid w:val="0062697C"/>
    <w:rsid w:val="00626D61"/>
    <w:rsid w:val="0062765A"/>
    <w:rsid w:val="00630016"/>
    <w:rsid w:val="00630C57"/>
    <w:rsid w:val="00630F67"/>
    <w:rsid w:val="006336AB"/>
    <w:rsid w:val="00633C15"/>
    <w:rsid w:val="00633C3E"/>
    <w:rsid w:val="006358BC"/>
    <w:rsid w:val="00636981"/>
    <w:rsid w:val="00637EC0"/>
    <w:rsid w:val="00640382"/>
    <w:rsid w:val="006404D2"/>
    <w:rsid w:val="00640ECD"/>
    <w:rsid w:val="006419A4"/>
    <w:rsid w:val="00641A3E"/>
    <w:rsid w:val="00641F75"/>
    <w:rsid w:val="006438CB"/>
    <w:rsid w:val="00645574"/>
    <w:rsid w:val="006505EA"/>
    <w:rsid w:val="00650898"/>
    <w:rsid w:val="00650BF8"/>
    <w:rsid w:val="00652FEA"/>
    <w:rsid w:val="00653041"/>
    <w:rsid w:val="00653783"/>
    <w:rsid w:val="00653C4C"/>
    <w:rsid w:val="006541AC"/>
    <w:rsid w:val="0065520A"/>
    <w:rsid w:val="0065525C"/>
    <w:rsid w:val="0065620F"/>
    <w:rsid w:val="00656367"/>
    <w:rsid w:val="0065650C"/>
    <w:rsid w:val="0065686C"/>
    <w:rsid w:val="006568B8"/>
    <w:rsid w:val="006573CD"/>
    <w:rsid w:val="0065753E"/>
    <w:rsid w:val="00657589"/>
    <w:rsid w:val="00657EC8"/>
    <w:rsid w:val="00661872"/>
    <w:rsid w:val="00662404"/>
    <w:rsid w:val="0066364D"/>
    <w:rsid w:val="00663A6A"/>
    <w:rsid w:val="006642CE"/>
    <w:rsid w:val="00665A24"/>
    <w:rsid w:val="00666667"/>
    <w:rsid w:val="00666EA0"/>
    <w:rsid w:val="006701A8"/>
    <w:rsid w:val="006712DA"/>
    <w:rsid w:val="00671E5E"/>
    <w:rsid w:val="00672813"/>
    <w:rsid w:val="00672FB6"/>
    <w:rsid w:val="00673ABC"/>
    <w:rsid w:val="006740FE"/>
    <w:rsid w:val="00675241"/>
    <w:rsid w:val="00675A64"/>
    <w:rsid w:val="00676ED6"/>
    <w:rsid w:val="0067711C"/>
    <w:rsid w:val="0067797A"/>
    <w:rsid w:val="006810F8"/>
    <w:rsid w:val="006811E4"/>
    <w:rsid w:val="00682164"/>
    <w:rsid w:val="0068288F"/>
    <w:rsid w:val="00682DC6"/>
    <w:rsid w:val="006835AE"/>
    <w:rsid w:val="00683FB5"/>
    <w:rsid w:val="00684151"/>
    <w:rsid w:val="00684E59"/>
    <w:rsid w:val="006852B6"/>
    <w:rsid w:val="00685CE2"/>
    <w:rsid w:val="00685E41"/>
    <w:rsid w:val="00686F29"/>
    <w:rsid w:val="00687963"/>
    <w:rsid w:val="0069018C"/>
    <w:rsid w:val="006903D6"/>
    <w:rsid w:val="00690424"/>
    <w:rsid w:val="00690B11"/>
    <w:rsid w:val="00691EB0"/>
    <w:rsid w:val="00693714"/>
    <w:rsid w:val="00693AF3"/>
    <w:rsid w:val="0069492F"/>
    <w:rsid w:val="00694B20"/>
    <w:rsid w:val="00694BBD"/>
    <w:rsid w:val="006953FA"/>
    <w:rsid w:val="006960E1"/>
    <w:rsid w:val="006979A1"/>
    <w:rsid w:val="006979C3"/>
    <w:rsid w:val="00697E9A"/>
    <w:rsid w:val="006A0AF2"/>
    <w:rsid w:val="006A10CD"/>
    <w:rsid w:val="006A12DE"/>
    <w:rsid w:val="006A1744"/>
    <w:rsid w:val="006A1C7A"/>
    <w:rsid w:val="006A1D41"/>
    <w:rsid w:val="006A2B37"/>
    <w:rsid w:val="006A4384"/>
    <w:rsid w:val="006A46D1"/>
    <w:rsid w:val="006A47EE"/>
    <w:rsid w:val="006A7ED2"/>
    <w:rsid w:val="006A7F35"/>
    <w:rsid w:val="006B03F3"/>
    <w:rsid w:val="006B085F"/>
    <w:rsid w:val="006B0D94"/>
    <w:rsid w:val="006B2FDB"/>
    <w:rsid w:val="006B340B"/>
    <w:rsid w:val="006B3EBE"/>
    <w:rsid w:val="006B44EB"/>
    <w:rsid w:val="006B4F34"/>
    <w:rsid w:val="006B56D5"/>
    <w:rsid w:val="006B5852"/>
    <w:rsid w:val="006B69CF"/>
    <w:rsid w:val="006B7062"/>
    <w:rsid w:val="006B7E49"/>
    <w:rsid w:val="006C008E"/>
    <w:rsid w:val="006C0F19"/>
    <w:rsid w:val="006C1084"/>
    <w:rsid w:val="006C12CD"/>
    <w:rsid w:val="006C13A3"/>
    <w:rsid w:val="006C1959"/>
    <w:rsid w:val="006C19E7"/>
    <w:rsid w:val="006C2AB4"/>
    <w:rsid w:val="006C2B63"/>
    <w:rsid w:val="006C2D68"/>
    <w:rsid w:val="006C2E41"/>
    <w:rsid w:val="006C33F4"/>
    <w:rsid w:val="006C34BE"/>
    <w:rsid w:val="006C3863"/>
    <w:rsid w:val="006C51C2"/>
    <w:rsid w:val="006C5E3C"/>
    <w:rsid w:val="006C675F"/>
    <w:rsid w:val="006C69DE"/>
    <w:rsid w:val="006C7027"/>
    <w:rsid w:val="006C717A"/>
    <w:rsid w:val="006C780C"/>
    <w:rsid w:val="006C7B4D"/>
    <w:rsid w:val="006C7BC3"/>
    <w:rsid w:val="006C7F17"/>
    <w:rsid w:val="006D002C"/>
    <w:rsid w:val="006D09AF"/>
    <w:rsid w:val="006D200E"/>
    <w:rsid w:val="006D3480"/>
    <w:rsid w:val="006D3C92"/>
    <w:rsid w:val="006D44D2"/>
    <w:rsid w:val="006D4564"/>
    <w:rsid w:val="006D4AC1"/>
    <w:rsid w:val="006D572C"/>
    <w:rsid w:val="006D6480"/>
    <w:rsid w:val="006D77F2"/>
    <w:rsid w:val="006D7ABC"/>
    <w:rsid w:val="006D7BFE"/>
    <w:rsid w:val="006E1375"/>
    <w:rsid w:val="006E16B8"/>
    <w:rsid w:val="006E2526"/>
    <w:rsid w:val="006E315F"/>
    <w:rsid w:val="006E3B91"/>
    <w:rsid w:val="006E5734"/>
    <w:rsid w:val="006E5FA2"/>
    <w:rsid w:val="006E69F4"/>
    <w:rsid w:val="006E6DDA"/>
    <w:rsid w:val="006E7632"/>
    <w:rsid w:val="006E77DB"/>
    <w:rsid w:val="006E7A58"/>
    <w:rsid w:val="006E7CA6"/>
    <w:rsid w:val="006E7E27"/>
    <w:rsid w:val="006F167E"/>
    <w:rsid w:val="006F32C1"/>
    <w:rsid w:val="006F3698"/>
    <w:rsid w:val="006F3EB1"/>
    <w:rsid w:val="006F4206"/>
    <w:rsid w:val="006F448D"/>
    <w:rsid w:val="006F4976"/>
    <w:rsid w:val="006F5309"/>
    <w:rsid w:val="006F6767"/>
    <w:rsid w:val="006F70F4"/>
    <w:rsid w:val="006F717B"/>
    <w:rsid w:val="006F785F"/>
    <w:rsid w:val="006F7924"/>
    <w:rsid w:val="00701035"/>
    <w:rsid w:val="00701271"/>
    <w:rsid w:val="00701438"/>
    <w:rsid w:val="00701896"/>
    <w:rsid w:val="007018BC"/>
    <w:rsid w:val="00701FD6"/>
    <w:rsid w:val="00702D16"/>
    <w:rsid w:val="00703185"/>
    <w:rsid w:val="007037DF"/>
    <w:rsid w:val="007039BB"/>
    <w:rsid w:val="00704024"/>
    <w:rsid w:val="0070443E"/>
    <w:rsid w:val="00704D10"/>
    <w:rsid w:val="007055E6"/>
    <w:rsid w:val="00706606"/>
    <w:rsid w:val="00706890"/>
    <w:rsid w:val="00707933"/>
    <w:rsid w:val="00707FE2"/>
    <w:rsid w:val="00710872"/>
    <w:rsid w:val="00711617"/>
    <w:rsid w:val="0071190A"/>
    <w:rsid w:val="00713283"/>
    <w:rsid w:val="00713A22"/>
    <w:rsid w:val="0071585E"/>
    <w:rsid w:val="00715906"/>
    <w:rsid w:val="007159EA"/>
    <w:rsid w:val="00715E74"/>
    <w:rsid w:val="00716143"/>
    <w:rsid w:val="0071705F"/>
    <w:rsid w:val="00717DFA"/>
    <w:rsid w:val="00721149"/>
    <w:rsid w:val="00721587"/>
    <w:rsid w:val="007234A1"/>
    <w:rsid w:val="00723C40"/>
    <w:rsid w:val="0072432D"/>
    <w:rsid w:val="00724A0A"/>
    <w:rsid w:val="00724AD8"/>
    <w:rsid w:val="007253CB"/>
    <w:rsid w:val="00726D35"/>
    <w:rsid w:val="00727005"/>
    <w:rsid w:val="00727D47"/>
    <w:rsid w:val="007302E4"/>
    <w:rsid w:val="0073040B"/>
    <w:rsid w:val="00730696"/>
    <w:rsid w:val="00730D7E"/>
    <w:rsid w:val="00730ECC"/>
    <w:rsid w:val="00731A34"/>
    <w:rsid w:val="0073294D"/>
    <w:rsid w:val="00732A88"/>
    <w:rsid w:val="00733722"/>
    <w:rsid w:val="007342FB"/>
    <w:rsid w:val="0073436B"/>
    <w:rsid w:val="007347E5"/>
    <w:rsid w:val="007349E9"/>
    <w:rsid w:val="00735421"/>
    <w:rsid w:val="00737937"/>
    <w:rsid w:val="00737B62"/>
    <w:rsid w:val="00740337"/>
    <w:rsid w:val="00740D30"/>
    <w:rsid w:val="007411F2"/>
    <w:rsid w:val="00741552"/>
    <w:rsid w:val="0074198D"/>
    <w:rsid w:val="00741CA8"/>
    <w:rsid w:val="00742065"/>
    <w:rsid w:val="00742C13"/>
    <w:rsid w:val="007430ED"/>
    <w:rsid w:val="007430FD"/>
    <w:rsid w:val="00743B98"/>
    <w:rsid w:val="00744306"/>
    <w:rsid w:val="0074450F"/>
    <w:rsid w:val="007457DC"/>
    <w:rsid w:val="00745BCC"/>
    <w:rsid w:val="00746108"/>
    <w:rsid w:val="00746187"/>
    <w:rsid w:val="00747482"/>
    <w:rsid w:val="00750443"/>
    <w:rsid w:val="0075049E"/>
    <w:rsid w:val="00750B5F"/>
    <w:rsid w:val="00750F63"/>
    <w:rsid w:val="00750F6D"/>
    <w:rsid w:val="007514EA"/>
    <w:rsid w:val="00751A7D"/>
    <w:rsid w:val="0075240F"/>
    <w:rsid w:val="00752445"/>
    <w:rsid w:val="007524E1"/>
    <w:rsid w:val="00753063"/>
    <w:rsid w:val="00753841"/>
    <w:rsid w:val="007540B8"/>
    <w:rsid w:val="007545DF"/>
    <w:rsid w:val="007547EA"/>
    <w:rsid w:val="00754BFB"/>
    <w:rsid w:val="00755162"/>
    <w:rsid w:val="0075597A"/>
    <w:rsid w:val="00755FC2"/>
    <w:rsid w:val="00756213"/>
    <w:rsid w:val="00756DCA"/>
    <w:rsid w:val="007570C7"/>
    <w:rsid w:val="007611B4"/>
    <w:rsid w:val="00761470"/>
    <w:rsid w:val="00761F4B"/>
    <w:rsid w:val="00763018"/>
    <w:rsid w:val="00763270"/>
    <w:rsid w:val="00763337"/>
    <w:rsid w:val="00764224"/>
    <w:rsid w:val="0076456C"/>
    <w:rsid w:val="00765FDC"/>
    <w:rsid w:val="007660D7"/>
    <w:rsid w:val="007666DF"/>
    <w:rsid w:val="007673D0"/>
    <w:rsid w:val="00767642"/>
    <w:rsid w:val="00767DF4"/>
    <w:rsid w:val="0077097F"/>
    <w:rsid w:val="0077098D"/>
    <w:rsid w:val="00770D56"/>
    <w:rsid w:val="00770DF8"/>
    <w:rsid w:val="00771236"/>
    <w:rsid w:val="00771651"/>
    <w:rsid w:val="00772F30"/>
    <w:rsid w:val="00773AF8"/>
    <w:rsid w:val="00774B47"/>
    <w:rsid w:val="00775028"/>
    <w:rsid w:val="007759C1"/>
    <w:rsid w:val="007766BF"/>
    <w:rsid w:val="0077672F"/>
    <w:rsid w:val="0077688D"/>
    <w:rsid w:val="007774DD"/>
    <w:rsid w:val="00777B6F"/>
    <w:rsid w:val="0078071F"/>
    <w:rsid w:val="007816B3"/>
    <w:rsid w:val="00782D52"/>
    <w:rsid w:val="00783B96"/>
    <w:rsid w:val="00784149"/>
    <w:rsid w:val="0078557E"/>
    <w:rsid w:val="0078558E"/>
    <w:rsid w:val="0078650C"/>
    <w:rsid w:val="0078693E"/>
    <w:rsid w:val="00787362"/>
    <w:rsid w:val="007876AC"/>
    <w:rsid w:val="00790AA1"/>
    <w:rsid w:val="00791221"/>
    <w:rsid w:val="007915D8"/>
    <w:rsid w:val="00791AB4"/>
    <w:rsid w:val="0079205F"/>
    <w:rsid w:val="00792508"/>
    <w:rsid w:val="00793ED2"/>
    <w:rsid w:val="00793F73"/>
    <w:rsid w:val="007942AD"/>
    <w:rsid w:val="00794ECF"/>
    <w:rsid w:val="00795ABC"/>
    <w:rsid w:val="00797014"/>
    <w:rsid w:val="007A0066"/>
    <w:rsid w:val="007A04E0"/>
    <w:rsid w:val="007A1383"/>
    <w:rsid w:val="007A22FD"/>
    <w:rsid w:val="007A2565"/>
    <w:rsid w:val="007A271C"/>
    <w:rsid w:val="007A2A9B"/>
    <w:rsid w:val="007A3355"/>
    <w:rsid w:val="007A3D30"/>
    <w:rsid w:val="007A3E9B"/>
    <w:rsid w:val="007A4E75"/>
    <w:rsid w:val="007A5E6F"/>
    <w:rsid w:val="007B0386"/>
    <w:rsid w:val="007B096B"/>
    <w:rsid w:val="007B0E32"/>
    <w:rsid w:val="007B15AC"/>
    <w:rsid w:val="007B1AEC"/>
    <w:rsid w:val="007B22BC"/>
    <w:rsid w:val="007B296A"/>
    <w:rsid w:val="007B2D26"/>
    <w:rsid w:val="007B4BC1"/>
    <w:rsid w:val="007B5360"/>
    <w:rsid w:val="007B61A9"/>
    <w:rsid w:val="007B78B3"/>
    <w:rsid w:val="007C167C"/>
    <w:rsid w:val="007C2B89"/>
    <w:rsid w:val="007C2F82"/>
    <w:rsid w:val="007C5097"/>
    <w:rsid w:val="007C6586"/>
    <w:rsid w:val="007C65BE"/>
    <w:rsid w:val="007C66B3"/>
    <w:rsid w:val="007C6F8F"/>
    <w:rsid w:val="007C72A1"/>
    <w:rsid w:val="007C7338"/>
    <w:rsid w:val="007C7746"/>
    <w:rsid w:val="007D04A0"/>
    <w:rsid w:val="007D0949"/>
    <w:rsid w:val="007D11B6"/>
    <w:rsid w:val="007D134A"/>
    <w:rsid w:val="007D3FEF"/>
    <w:rsid w:val="007D64D2"/>
    <w:rsid w:val="007D6A84"/>
    <w:rsid w:val="007D7E20"/>
    <w:rsid w:val="007E0D1E"/>
    <w:rsid w:val="007E104A"/>
    <w:rsid w:val="007E21C9"/>
    <w:rsid w:val="007E2835"/>
    <w:rsid w:val="007E2BB8"/>
    <w:rsid w:val="007E496D"/>
    <w:rsid w:val="007E5449"/>
    <w:rsid w:val="007E5C28"/>
    <w:rsid w:val="007E709A"/>
    <w:rsid w:val="007E75C4"/>
    <w:rsid w:val="007E793E"/>
    <w:rsid w:val="007F0117"/>
    <w:rsid w:val="007F03AC"/>
    <w:rsid w:val="007F0407"/>
    <w:rsid w:val="007F04CB"/>
    <w:rsid w:val="007F07FE"/>
    <w:rsid w:val="007F12BD"/>
    <w:rsid w:val="007F14A9"/>
    <w:rsid w:val="007F1E90"/>
    <w:rsid w:val="007F249F"/>
    <w:rsid w:val="007F2585"/>
    <w:rsid w:val="007F2E14"/>
    <w:rsid w:val="007F2E8A"/>
    <w:rsid w:val="007F3689"/>
    <w:rsid w:val="007F3A2A"/>
    <w:rsid w:val="007F3A5E"/>
    <w:rsid w:val="007F4184"/>
    <w:rsid w:val="007F52E0"/>
    <w:rsid w:val="007F53DA"/>
    <w:rsid w:val="007F55FF"/>
    <w:rsid w:val="007F65BC"/>
    <w:rsid w:val="007F69FE"/>
    <w:rsid w:val="007F7419"/>
    <w:rsid w:val="007F764B"/>
    <w:rsid w:val="007F7752"/>
    <w:rsid w:val="007F7F73"/>
    <w:rsid w:val="00800392"/>
    <w:rsid w:val="00800971"/>
    <w:rsid w:val="008018B9"/>
    <w:rsid w:val="00801EFC"/>
    <w:rsid w:val="00803327"/>
    <w:rsid w:val="008043D0"/>
    <w:rsid w:val="008043D1"/>
    <w:rsid w:val="00804519"/>
    <w:rsid w:val="00804950"/>
    <w:rsid w:val="00804BAD"/>
    <w:rsid w:val="008050E0"/>
    <w:rsid w:val="0080534B"/>
    <w:rsid w:val="00805460"/>
    <w:rsid w:val="008055BA"/>
    <w:rsid w:val="0080561F"/>
    <w:rsid w:val="00805989"/>
    <w:rsid w:val="008059BF"/>
    <w:rsid w:val="008067B7"/>
    <w:rsid w:val="00806CF4"/>
    <w:rsid w:val="00807B50"/>
    <w:rsid w:val="00807E65"/>
    <w:rsid w:val="008100AC"/>
    <w:rsid w:val="00810FF0"/>
    <w:rsid w:val="00811042"/>
    <w:rsid w:val="0081129D"/>
    <w:rsid w:val="00811597"/>
    <w:rsid w:val="00811F3E"/>
    <w:rsid w:val="00812AF3"/>
    <w:rsid w:val="00812DE2"/>
    <w:rsid w:val="00813368"/>
    <w:rsid w:val="00813519"/>
    <w:rsid w:val="008142C2"/>
    <w:rsid w:val="008147A3"/>
    <w:rsid w:val="00814A80"/>
    <w:rsid w:val="008157B1"/>
    <w:rsid w:val="008157E9"/>
    <w:rsid w:val="008168F5"/>
    <w:rsid w:val="00816DD4"/>
    <w:rsid w:val="008171DB"/>
    <w:rsid w:val="008173C7"/>
    <w:rsid w:val="00817C50"/>
    <w:rsid w:val="00817FAE"/>
    <w:rsid w:val="008206F8"/>
    <w:rsid w:val="008220C9"/>
    <w:rsid w:val="008222D1"/>
    <w:rsid w:val="00822691"/>
    <w:rsid w:val="00823BEB"/>
    <w:rsid w:val="008242C0"/>
    <w:rsid w:val="00824310"/>
    <w:rsid w:val="00824888"/>
    <w:rsid w:val="008251C5"/>
    <w:rsid w:val="00825554"/>
    <w:rsid w:val="00827401"/>
    <w:rsid w:val="0082768A"/>
    <w:rsid w:val="008277BE"/>
    <w:rsid w:val="00827A28"/>
    <w:rsid w:val="00827E21"/>
    <w:rsid w:val="00830512"/>
    <w:rsid w:val="00831203"/>
    <w:rsid w:val="008321F1"/>
    <w:rsid w:val="0083232F"/>
    <w:rsid w:val="00832BE0"/>
    <w:rsid w:val="00832EC2"/>
    <w:rsid w:val="00833CB9"/>
    <w:rsid w:val="00834425"/>
    <w:rsid w:val="00834679"/>
    <w:rsid w:val="0083623B"/>
    <w:rsid w:val="008368CD"/>
    <w:rsid w:val="00836951"/>
    <w:rsid w:val="00836ACA"/>
    <w:rsid w:val="00837145"/>
    <w:rsid w:val="00837ACC"/>
    <w:rsid w:val="00837EEE"/>
    <w:rsid w:val="008400B6"/>
    <w:rsid w:val="008409FC"/>
    <w:rsid w:val="00840CDE"/>
    <w:rsid w:val="0084211E"/>
    <w:rsid w:val="00843408"/>
    <w:rsid w:val="0084429A"/>
    <w:rsid w:val="00844A00"/>
    <w:rsid w:val="00845938"/>
    <w:rsid w:val="008465BE"/>
    <w:rsid w:val="00846936"/>
    <w:rsid w:val="00846C93"/>
    <w:rsid w:val="00846E50"/>
    <w:rsid w:val="0084743F"/>
    <w:rsid w:val="00847B8F"/>
    <w:rsid w:val="008501ED"/>
    <w:rsid w:val="00850577"/>
    <w:rsid w:val="00850CAA"/>
    <w:rsid w:val="00850D25"/>
    <w:rsid w:val="00852C6F"/>
    <w:rsid w:val="008534C1"/>
    <w:rsid w:val="008546FC"/>
    <w:rsid w:val="00854771"/>
    <w:rsid w:val="00854CB6"/>
    <w:rsid w:val="00854ECB"/>
    <w:rsid w:val="00855A7B"/>
    <w:rsid w:val="00856CAD"/>
    <w:rsid w:val="00856DBF"/>
    <w:rsid w:val="00857621"/>
    <w:rsid w:val="00857708"/>
    <w:rsid w:val="00857937"/>
    <w:rsid w:val="00861B8D"/>
    <w:rsid w:val="00861DFB"/>
    <w:rsid w:val="008620AB"/>
    <w:rsid w:val="008624BE"/>
    <w:rsid w:val="00862B49"/>
    <w:rsid w:val="00863311"/>
    <w:rsid w:val="0086350B"/>
    <w:rsid w:val="00863F35"/>
    <w:rsid w:val="008643CB"/>
    <w:rsid w:val="00864B38"/>
    <w:rsid w:val="008655B0"/>
    <w:rsid w:val="00865971"/>
    <w:rsid w:val="00865CFB"/>
    <w:rsid w:val="0086674A"/>
    <w:rsid w:val="008701C0"/>
    <w:rsid w:val="00870A7B"/>
    <w:rsid w:val="00870E65"/>
    <w:rsid w:val="00872217"/>
    <w:rsid w:val="00873051"/>
    <w:rsid w:val="0087408F"/>
    <w:rsid w:val="00874865"/>
    <w:rsid w:val="00874F4D"/>
    <w:rsid w:val="008757CB"/>
    <w:rsid w:val="00875CE8"/>
    <w:rsid w:val="00876558"/>
    <w:rsid w:val="00880580"/>
    <w:rsid w:val="0088068D"/>
    <w:rsid w:val="00880693"/>
    <w:rsid w:val="0088093B"/>
    <w:rsid w:val="0088127E"/>
    <w:rsid w:val="00882310"/>
    <w:rsid w:val="008823C4"/>
    <w:rsid w:val="00882B3B"/>
    <w:rsid w:val="00883745"/>
    <w:rsid w:val="0088420E"/>
    <w:rsid w:val="0088423E"/>
    <w:rsid w:val="008843FD"/>
    <w:rsid w:val="008849F0"/>
    <w:rsid w:val="00886849"/>
    <w:rsid w:val="00886AA3"/>
    <w:rsid w:val="00887859"/>
    <w:rsid w:val="00887B15"/>
    <w:rsid w:val="00887F88"/>
    <w:rsid w:val="00890096"/>
    <w:rsid w:val="0089152D"/>
    <w:rsid w:val="00891697"/>
    <w:rsid w:val="00891C61"/>
    <w:rsid w:val="008920EC"/>
    <w:rsid w:val="00893439"/>
    <w:rsid w:val="00893E83"/>
    <w:rsid w:val="0089424D"/>
    <w:rsid w:val="008964EB"/>
    <w:rsid w:val="008965A1"/>
    <w:rsid w:val="00897E2D"/>
    <w:rsid w:val="008A01AD"/>
    <w:rsid w:val="008A19AD"/>
    <w:rsid w:val="008A1DC3"/>
    <w:rsid w:val="008A2037"/>
    <w:rsid w:val="008A3A6F"/>
    <w:rsid w:val="008A4351"/>
    <w:rsid w:val="008A4DD7"/>
    <w:rsid w:val="008A5663"/>
    <w:rsid w:val="008A5D3C"/>
    <w:rsid w:val="008A5E83"/>
    <w:rsid w:val="008A5EC7"/>
    <w:rsid w:val="008A647A"/>
    <w:rsid w:val="008A6B0C"/>
    <w:rsid w:val="008A6BDD"/>
    <w:rsid w:val="008A76CD"/>
    <w:rsid w:val="008A7829"/>
    <w:rsid w:val="008B0A2E"/>
    <w:rsid w:val="008B1129"/>
    <w:rsid w:val="008B2A3E"/>
    <w:rsid w:val="008B2E95"/>
    <w:rsid w:val="008B3D56"/>
    <w:rsid w:val="008B42C5"/>
    <w:rsid w:val="008B49CA"/>
    <w:rsid w:val="008B641B"/>
    <w:rsid w:val="008B7369"/>
    <w:rsid w:val="008B73F7"/>
    <w:rsid w:val="008C0259"/>
    <w:rsid w:val="008C065A"/>
    <w:rsid w:val="008C0835"/>
    <w:rsid w:val="008C0D25"/>
    <w:rsid w:val="008C141A"/>
    <w:rsid w:val="008C3123"/>
    <w:rsid w:val="008C3B84"/>
    <w:rsid w:val="008C413C"/>
    <w:rsid w:val="008C5437"/>
    <w:rsid w:val="008C55AE"/>
    <w:rsid w:val="008C568C"/>
    <w:rsid w:val="008C5F1D"/>
    <w:rsid w:val="008C635A"/>
    <w:rsid w:val="008C6D78"/>
    <w:rsid w:val="008C713D"/>
    <w:rsid w:val="008C75DA"/>
    <w:rsid w:val="008C7985"/>
    <w:rsid w:val="008C7DF3"/>
    <w:rsid w:val="008D0803"/>
    <w:rsid w:val="008D08F6"/>
    <w:rsid w:val="008D0DB4"/>
    <w:rsid w:val="008D148A"/>
    <w:rsid w:val="008D1588"/>
    <w:rsid w:val="008D1924"/>
    <w:rsid w:val="008D20E5"/>
    <w:rsid w:val="008D24FE"/>
    <w:rsid w:val="008D3F50"/>
    <w:rsid w:val="008D4171"/>
    <w:rsid w:val="008D502F"/>
    <w:rsid w:val="008D562C"/>
    <w:rsid w:val="008D603E"/>
    <w:rsid w:val="008D6568"/>
    <w:rsid w:val="008D6B0F"/>
    <w:rsid w:val="008D7201"/>
    <w:rsid w:val="008D72BC"/>
    <w:rsid w:val="008D7908"/>
    <w:rsid w:val="008D7F9D"/>
    <w:rsid w:val="008E0487"/>
    <w:rsid w:val="008E0525"/>
    <w:rsid w:val="008E1178"/>
    <w:rsid w:val="008E15FC"/>
    <w:rsid w:val="008E28E7"/>
    <w:rsid w:val="008E3202"/>
    <w:rsid w:val="008E3753"/>
    <w:rsid w:val="008E3CE3"/>
    <w:rsid w:val="008E4682"/>
    <w:rsid w:val="008E47E4"/>
    <w:rsid w:val="008E4851"/>
    <w:rsid w:val="008E5F93"/>
    <w:rsid w:val="008E5FC1"/>
    <w:rsid w:val="008E616B"/>
    <w:rsid w:val="008E6353"/>
    <w:rsid w:val="008E6B42"/>
    <w:rsid w:val="008F076C"/>
    <w:rsid w:val="008F110C"/>
    <w:rsid w:val="008F3436"/>
    <w:rsid w:val="008F44FD"/>
    <w:rsid w:val="008F54B0"/>
    <w:rsid w:val="008F55BB"/>
    <w:rsid w:val="008F59E9"/>
    <w:rsid w:val="008F60EA"/>
    <w:rsid w:val="008F715A"/>
    <w:rsid w:val="0090051C"/>
    <w:rsid w:val="009006F4"/>
    <w:rsid w:val="0090090F"/>
    <w:rsid w:val="00901666"/>
    <w:rsid w:val="009016BF"/>
    <w:rsid w:val="00901BD6"/>
    <w:rsid w:val="00902507"/>
    <w:rsid w:val="00902D25"/>
    <w:rsid w:val="00902E57"/>
    <w:rsid w:val="00903990"/>
    <w:rsid w:val="00903B78"/>
    <w:rsid w:val="00904D0C"/>
    <w:rsid w:val="00904ED2"/>
    <w:rsid w:val="009053FF"/>
    <w:rsid w:val="009057D1"/>
    <w:rsid w:val="00905A01"/>
    <w:rsid w:val="00906DFF"/>
    <w:rsid w:val="0090723E"/>
    <w:rsid w:val="00910D96"/>
    <w:rsid w:val="009112E6"/>
    <w:rsid w:val="009115B2"/>
    <w:rsid w:val="00911941"/>
    <w:rsid w:val="00911D4C"/>
    <w:rsid w:val="00913088"/>
    <w:rsid w:val="00913227"/>
    <w:rsid w:val="00915000"/>
    <w:rsid w:val="009169C5"/>
    <w:rsid w:val="00917BEF"/>
    <w:rsid w:val="00917EE6"/>
    <w:rsid w:val="00920A80"/>
    <w:rsid w:val="0092160A"/>
    <w:rsid w:val="00921701"/>
    <w:rsid w:val="0092248D"/>
    <w:rsid w:val="00922BCC"/>
    <w:rsid w:val="00923447"/>
    <w:rsid w:val="00924231"/>
    <w:rsid w:val="00925C85"/>
    <w:rsid w:val="009268BD"/>
    <w:rsid w:val="00926B03"/>
    <w:rsid w:val="00926D08"/>
    <w:rsid w:val="009270BE"/>
    <w:rsid w:val="00927742"/>
    <w:rsid w:val="00927E71"/>
    <w:rsid w:val="00930F62"/>
    <w:rsid w:val="009318E5"/>
    <w:rsid w:val="0093197C"/>
    <w:rsid w:val="00931E7A"/>
    <w:rsid w:val="0093200A"/>
    <w:rsid w:val="00932622"/>
    <w:rsid w:val="009327CF"/>
    <w:rsid w:val="00932B48"/>
    <w:rsid w:val="00933291"/>
    <w:rsid w:val="0093506A"/>
    <w:rsid w:val="00935BFA"/>
    <w:rsid w:val="00936021"/>
    <w:rsid w:val="009364B4"/>
    <w:rsid w:val="009371AC"/>
    <w:rsid w:val="0093784D"/>
    <w:rsid w:val="009406F6"/>
    <w:rsid w:val="00940879"/>
    <w:rsid w:val="0094093E"/>
    <w:rsid w:val="0094232B"/>
    <w:rsid w:val="009425A4"/>
    <w:rsid w:val="00942A9F"/>
    <w:rsid w:val="00942D7A"/>
    <w:rsid w:val="0094338B"/>
    <w:rsid w:val="00944452"/>
    <w:rsid w:val="009444D9"/>
    <w:rsid w:val="009445FB"/>
    <w:rsid w:val="009456A8"/>
    <w:rsid w:val="00945719"/>
    <w:rsid w:val="00946219"/>
    <w:rsid w:val="00946B0F"/>
    <w:rsid w:val="00946E89"/>
    <w:rsid w:val="009476A8"/>
    <w:rsid w:val="009508F4"/>
    <w:rsid w:val="00952F1B"/>
    <w:rsid w:val="00953583"/>
    <w:rsid w:val="00953A07"/>
    <w:rsid w:val="00953F2F"/>
    <w:rsid w:val="00954448"/>
    <w:rsid w:val="00954E63"/>
    <w:rsid w:val="00955459"/>
    <w:rsid w:val="0095561B"/>
    <w:rsid w:val="00955764"/>
    <w:rsid w:val="0095602A"/>
    <w:rsid w:val="0095656C"/>
    <w:rsid w:val="0096052A"/>
    <w:rsid w:val="0096086B"/>
    <w:rsid w:val="009614C0"/>
    <w:rsid w:val="00961770"/>
    <w:rsid w:val="00961D67"/>
    <w:rsid w:val="00962490"/>
    <w:rsid w:val="0096283F"/>
    <w:rsid w:val="0096285F"/>
    <w:rsid w:val="00962F0A"/>
    <w:rsid w:val="00963A7B"/>
    <w:rsid w:val="00963A8E"/>
    <w:rsid w:val="00964103"/>
    <w:rsid w:val="00965416"/>
    <w:rsid w:val="00965583"/>
    <w:rsid w:val="00965857"/>
    <w:rsid w:val="009659B6"/>
    <w:rsid w:val="00966299"/>
    <w:rsid w:val="009673C5"/>
    <w:rsid w:val="00967FF1"/>
    <w:rsid w:val="00970E3A"/>
    <w:rsid w:val="00971BA3"/>
    <w:rsid w:val="00972445"/>
    <w:rsid w:val="009727CD"/>
    <w:rsid w:val="00973654"/>
    <w:rsid w:val="009749BA"/>
    <w:rsid w:val="00974D03"/>
    <w:rsid w:val="00974E6D"/>
    <w:rsid w:val="00974E80"/>
    <w:rsid w:val="009750A8"/>
    <w:rsid w:val="00976C74"/>
    <w:rsid w:val="0097761E"/>
    <w:rsid w:val="009778F7"/>
    <w:rsid w:val="00977A50"/>
    <w:rsid w:val="00977D0C"/>
    <w:rsid w:val="00977DE6"/>
    <w:rsid w:val="00977E0A"/>
    <w:rsid w:val="009802D4"/>
    <w:rsid w:val="009804AB"/>
    <w:rsid w:val="00980812"/>
    <w:rsid w:val="00980D50"/>
    <w:rsid w:val="00981E96"/>
    <w:rsid w:val="00982498"/>
    <w:rsid w:val="0098252B"/>
    <w:rsid w:val="009829E7"/>
    <w:rsid w:val="00982D60"/>
    <w:rsid w:val="0098326B"/>
    <w:rsid w:val="009836BD"/>
    <w:rsid w:val="00985E5F"/>
    <w:rsid w:val="00986CCF"/>
    <w:rsid w:val="00987A24"/>
    <w:rsid w:val="009906A4"/>
    <w:rsid w:val="00990EB0"/>
    <w:rsid w:val="0099147D"/>
    <w:rsid w:val="009917F2"/>
    <w:rsid w:val="00991BA7"/>
    <w:rsid w:val="00992404"/>
    <w:rsid w:val="00992502"/>
    <w:rsid w:val="0099276D"/>
    <w:rsid w:val="0099306E"/>
    <w:rsid w:val="0099350E"/>
    <w:rsid w:val="0099433F"/>
    <w:rsid w:val="00995183"/>
    <w:rsid w:val="0099521A"/>
    <w:rsid w:val="00995A7D"/>
    <w:rsid w:val="00995CB4"/>
    <w:rsid w:val="00996E71"/>
    <w:rsid w:val="0099768C"/>
    <w:rsid w:val="009A0BFC"/>
    <w:rsid w:val="009A1A2C"/>
    <w:rsid w:val="009A2EC9"/>
    <w:rsid w:val="009A36EB"/>
    <w:rsid w:val="009A3927"/>
    <w:rsid w:val="009A4942"/>
    <w:rsid w:val="009A4F90"/>
    <w:rsid w:val="009A5983"/>
    <w:rsid w:val="009A62D2"/>
    <w:rsid w:val="009A768E"/>
    <w:rsid w:val="009B067C"/>
    <w:rsid w:val="009B0CD3"/>
    <w:rsid w:val="009B1341"/>
    <w:rsid w:val="009B153C"/>
    <w:rsid w:val="009B15C2"/>
    <w:rsid w:val="009B1FDB"/>
    <w:rsid w:val="009B2BB8"/>
    <w:rsid w:val="009B2BD5"/>
    <w:rsid w:val="009B2D3A"/>
    <w:rsid w:val="009B3D9E"/>
    <w:rsid w:val="009B3F05"/>
    <w:rsid w:val="009B4BEF"/>
    <w:rsid w:val="009B4C9F"/>
    <w:rsid w:val="009B5271"/>
    <w:rsid w:val="009B717E"/>
    <w:rsid w:val="009B78F6"/>
    <w:rsid w:val="009C035C"/>
    <w:rsid w:val="009C041B"/>
    <w:rsid w:val="009C0FB8"/>
    <w:rsid w:val="009C1AC3"/>
    <w:rsid w:val="009C2263"/>
    <w:rsid w:val="009C25AA"/>
    <w:rsid w:val="009C2DAF"/>
    <w:rsid w:val="009C30C1"/>
    <w:rsid w:val="009C31A5"/>
    <w:rsid w:val="009C33A4"/>
    <w:rsid w:val="009C386C"/>
    <w:rsid w:val="009C4547"/>
    <w:rsid w:val="009C4B5B"/>
    <w:rsid w:val="009C5BBC"/>
    <w:rsid w:val="009C69E4"/>
    <w:rsid w:val="009C6E0F"/>
    <w:rsid w:val="009C732B"/>
    <w:rsid w:val="009D110A"/>
    <w:rsid w:val="009D136B"/>
    <w:rsid w:val="009D144D"/>
    <w:rsid w:val="009D1627"/>
    <w:rsid w:val="009D1E03"/>
    <w:rsid w:val="009D3AA2"/>
    <w:rsid w:val="009D40AC"/>
    <w:rsid w:val="009D43E5"/>
    <w:rsid w:val="009D4F5C"/>
    <w:rsid w:val="009D5124"/>
    <w:rsid w:val="009D5C6B"/>
    <w:rsid w:val="009D61AF"/>
    <w:rsid w:val="009E04A5"/>
    <w:rsid w:val="009E0645"/>
    <w:rsid w:val="009E0749"/>
    <w:rsid w:val="009E08FF"/>
    <w:rsid w:val="009E3321"/>
    <w:rsid w:val="009E3975"/>
    <w:rsid w:val="009E3CE3"/>
    <w:rsid w:val="009E3CF9"/>
    <w:rsid w:val="009E41B2"/>
    <w:rsid w:val="009E4D6C"/>
    <w:rsid w:val="009E52E0"/>
    <w:rsid w:val="009E5452"/>
    <w:rsid w:val="009E598D"/>
    <w:rsid w:val="009E73D2"/>
    <w:rsid w:val="009E7F27"/>
    <w:rsid w:val="009F075D"/>
    <w:rsid w:val="009F0946"/>
    <w:rsid w:val="009F09BB"/>
    <w:rsid w:val="009F1A67"/>
    <w:rsid w:val="009F1B63"/>
    <w:rsid w:val="009F2676"/>
    <w:rsid w:val="009F4324"/>
    <w:rsid w:val="009F48E4"/>
    <w:rsid w:val="009F4E22"/>
    <w:rsid w:val="009F5792"/>
    <w:rsid w:val="009F62D1"/>
    <w:rsid w:val="009F6788"/>
    <w:rsid w:val="009F6DEC"/>
    <w:rsid w:val="00A00986"/>
    <w:rsid w:val="00A0098F"/>
    <w:rsid w:val="00A00BC1"/>
    <w:rsid w:val="00A00F74"/>
    <w:rsid w:val="00A016C6"/>
    <w:rsid w:val="00A025DF"/>
    <w:rsid w:val="00A03229"/>
    <w:rsid w:val="00A039CE"/>
    <w:rsid w:val="00A03D0C"/>
    <w:rsid w:val="00A052EE"/>
    <w:rsid w:val="00A05A0C"/>
    <w:rsid w:val="00A05BB1"/>
    <w:rsid w:val="00A113A6"/>
    <w:rsid w:val="00A11421"/>
    <w:rsid w:val="00A127C6"/>
    <w:rsid w:val="00A1280A"/>
    <w:rsid w:val="00A12CD3"/>
    <w:rsid w:val="00A131EC"/>
    <w:rsid w:val="00A13219"/>
    <w:rsid w:val="00A136C4"/>
    <w:rsid w:val="00A137A6"/>
    <w:rsid w:val="00A13C42"/>
    <w:rsid w:val="00A13F9D"/>
    <w:rsid w:val="00A1434A"/>
    <w:rsid w:val="00A16855"/>
    <w:rsid w:val="00A17079"/>
    <w:rsid w:val="00A17FD1"/>
    <w:rsid w:val="00A20220"/>
    <w:rsid w:val="00A20974"/>
    <w:rsid w:val="00A20D12"/>
    <w:rsid w:val="00A21A59"/>
    <w:rsid w:val="00A23851"/>
    <w:rsid w:val="00A24C9A"/>
    <w:rsid w:val="00A24E9A"/>
    <w:rsid w:val="00A26B6E"/>
    <w:rsid w:val="00A27674"/>
    <w:rsid w:val="00A279C5"/>
    <w:rsid w:val="00A27B56"/>
    <w:rsid w:val="00A30922"/>
    <w:rsid w:val="00A326BD"/>
    <w:rsid w:val="00A32FA7"/>
    <w:rsid w:val="00A3373C"/>
    <w:rsid w:val="00A3496F"/>
    <w:rsid w:val="00A34DA5"/>
    <w:rsid w:val="00A3574C"/>
    <w:rsid w:val="00A3593D"/>
    <w:rsid w:val="00A36657"/>
    <w:rsid w:val="00A37F4F"/>
    <w:rsid w:val="00A41028"/>
    <w:rsid w:val="00A422E6"/>
    <w:rsid w:val="00A4256B"/>
    <w:rsid w:val="00A433C0"/>
    <w:rsid w:val="00A434A5"/>
    <w:rsid w:val="00A447EC"/>
    <w:rsid w:val="00A4584D"/>
    <w:rsid w:val="00A464D4"/>
    <w:rsid w:val="00A46A0C"/>
    <w:rsid w:val="00A46B79"/>
    <w:rsid w:val="00A47332"/>
    <w:rsid w:val="00A476CB"/>
    <w:rsid w:val="00A47941"/>
    <w:rsid w:val="00A5011F"/>
    <w:rsid w:val="00A50353"/>
    <w:rsid w:val="00A50686"/>
    <w:rsid w:val="00A50AC4"/>
    <w:rsid w:val="00A51313"/>
    <w:rsid w:val="00A5147B"/>
    <w:rsid w:val="00A5170F"/>
    <w:rsid w:val="00A53558"/>
    <w:rsid w:val="00A53830"/>
    <w:rsid w:val="00A53C8E"/>
    <w:rsid w:val="00A54471"/>
    <w:rsid w:val="00A55014"/>
    <w:rsid w:val="00A5592F"/>
    <w:rsid w:val="00A56518"/>
    <w:rsid w:val="00A56D80"/>
    <w:rsid w:val="00A60A51"/>
    <w:rsid w:val="00A617E9"/>
    <w:rsid w:val="00A6364D"/>
    <w:rsid w:val="00A63921"/>
    <w:rsid w:val="00A63E1E"/>
    <w:rsid w:val="00A6450A"/>
    <w:rsid w:val="00A64E2A"/>
    <w:rsid w:val="00A65458"/>
    <w:rsid w:val="00A658CE"/>
    <w:rsid w:val="00A659A6"/>
    <w:rsid w:val="00A65DEB"/>
    <w:rsid w:val="00A65E57"/>
    <w:rsid w:val="00A65EF8"/>
    <w:rsid w:val="00A65F4F"/>
    <w:rsid w:val="00A66548"/>
    <w:rsid w:val="00A66B2C"/>
    <w:rsid w:val="00A66D43"/>
    <w:rsid w:val="00A67EA7"/>
    <w:rsid w:val="00A706AC"/>
    <w:rsid w:val="00A70964"/>
    <w:rsid w:val="00A70970"/>
    <w:rsid w:val="00A70DAA"/>
    <w:rsid w:val="00A71608"/>
    <w:rsid w:val="00A716A7"/>
    <w:rsid w:val="00A7209C"/>
    <w:rsid w:val="00A7363A"/>
    <w:rsid w:val="00A740B1"/>
    <w:rsid w:val="00A74F31"/>
    <w:rsid w:val="00A750EE"/>
    <w:rsid w:val="00A75297"/>
    <w:rsid w:val="00A75B6F"/>
    <w:rsid w:val="00A75B94"/>
    <w:rsid w:val="00A76511"/>
    <w:rsid w:val="00A768D4"/>
    <w:rsid w:val="00A76B27"/>
    <w:rsid w:val="00A77032"/>
    <w:rsid w:val="00A778F3"/>
    <w:rsid w:val="00A77908"/>
    <w:rsid w:val="00A77E64"/>
    <w:rsid w:val="00A8003C"/>
    <w:rsid w:val="00A800D2"/>
    <w:rsid w:val="00A80D32"/>
    <w:rsid w:val="00A8129D"/>
    <w:rsid w:val="00A812F6"/>
    <w:rsid w:val="00A813AB"/>
    <w:rsid w:val="00A8208E"/>
    <w:rsid w:val="00A820BD"/>
    <w:rsid w:val="00A8267A"/>
    <w:rsid w:val="00A83983"/>
    <w:rsid w:val="00A83FC0"/>
    <w:rsid w:val="00A84C10"/>
    <w:rsid w:val="00A84CE4"/>
    <w:rsid w:val="00A86D82"/>
    <w:rsid w:val="00A87A58"/>
    <w:rsid w:val="00A87D74"/>
    <w:rsid w:val="00A901E6"/>
    <w:rsid w:val="00A91960"/>
    <w:rsid w:val="00A9208A"/>
    <w:rsid w:val="00A9295E"/>
    <w:rsid w:val="00A93269"/>
    <w:rsid w:val="00A93E80"/>
    <w:rsid w:val="00A941F3"/>
    <w:rsid w:val="00A943AC"/>
    <w:rsid w:val="00A951F1"/>
    <w:rsid w:val="00A9576D"/>
    <w:rsid w:val="00A959B9"/>
    <w:rsid w:val="00A969AA"/>
    <w:rsid w:val="00A97167"/>
    <w:rsid w:val="00A97E11"/>
    <w:rsid w:val="00AA19CD"/>
    <w:rsid w:val="00AA1B5F"/>
    <w:rsid w:val="00AA2052"/>
    <w:rsid w:val="00AA2070"/>
    <w:rsid w:val="00AA25D5"/>
    <w:rsid w:val="00AA2F43"/>
    <w:rsid w:val="00AA3A91"/>
    <w:rsid w:val="00AA3ED7"/>
    <w:rsid w:val="00AA4BF9"/>
    <w:rsid w:val="00AA5597"/>
    <w:rsid w:val="00AA7CD0"/>
    <w:rsid w:val="00AB0F74"/>
    <w:rsid w:val="00AB0F79"/>
    <w:rsid w:val="00AB1AAB"/>
    <w:rsid w:val="00AB2135"/>
    <w:rsid w:val="00AB265A"/>
    <w:rsid w:val="00AB2B8F"/>
    <w:rsid w:val="00AB32C5"/>
    <w:rsid w:val="00AB572F"/>
    <w:rsid w:val="00AB5F01"/>
    <w:rsid w:val="00AB717C"/>
    <w:rsid w:val="00AB726F"/>
    <w:rsid w:val="00AC4693"/>
    <w:rsid w:val="00AC4738"/>
    <w:rsid w:val="00AC4C65"/>
    <w:rsid w:val="00AC57E5"/>
    <w:rsid w:val="00AC6C65"/>
    <w:rsid w:val="00AC77DF"/>
    <w:rsid w:val="00AC7E88"/>
    <w:rsid w:val="00AD096D"/>
    <w:rsid w:val="00AD0981"/>
    <w:rsid w:val="00AD2113"/>
    <w:rsid w:val="00AD22CE"/>
    <w:rsid w:val="00AD2DC5"/>
    <w:rsid w:val="00AD2EF3"/>
    <w:rsid w:val="00AD4014"/>
    <w:rsid w:val="00AD4774"/>
    <w:rsid w:val="00AD6CDE"/>
    <w:rsid w:val="00AD784D"/>
    <w:rsid w:val="00AD7D17"/>
    <w:rsid w:val="00AE003D"/>
    <w:rsid w:val="00AE1EF6"/>
    <w:rsid w:val="00AE3FE5"/>
    <w:rsid w:val="00AE4B71"/>
    <w:rsid w:val="00AE4BB7"/>
    <w:rsid w:val="00AE525E"/>
    <w:rsid w:val="00AE62FA"/>
    <w:rsid w:val="00AE64BB"/>
    <w:rsid w:val="00AE7FB9"/>
    <w:rsid w:val="00AF2BF5"/>
    <w:rsid w:val="00AF34EF"/>
    <w:rsid w:val="00AF455D"/>
    <w:rsid w:val="00AF4816"/>
    <w:rsid w:val="00AF4C0C"/>
    <w:rsid w:val="00AF6199"/>
    <w:rsid w:val="00AF75C0"/>
    <w:rsid w:val="00AF7A09"/>
    <w:rsid w:val="00B00461"/>
    <w:rsid w:val="00B012F4"/>
    <w:rsid w:val="00B01334"/>
    <w:rsid w:val="00B01A09"/>
    <w:rsid w:val="00B01EA9"/>
    <w:rsid w:val="00B02145"/>
    <w:rsid w:val="00B032B6"/>
    <w:rsid w:val="00B0337E"/>
    <w:rsid w:val="00B045F4"/>
    <w:rsid w:val="00B05050"/>
    <w:rsid w:val="00B07042"/>
    <w:rsid w:val="00B07716"/>
    <w:rsid w:val="00B0793A"/>
    <w:rsid w:val="00B07A0A"/>
    <w:rsid w:val="00B07C38"/>
    <w:rsid w:val="00B1116E"/>
    <w:rsid w:val="00B11450"/>
    <w:rsid w:val="00B11F1A"/>
    <w:rsid w:val="00B11F2D"/>
    <w:rsid w:val="00B1236B"/>
    <w:rsid w:val="00B1253F"/>
    <w:rsid w:val="00B12668"/>
    <w:rsid w:val="00B13558"/>
    <w:rsid w:val="00B1356E"/>
    <w:rsid w:val="00B13F82"/>
    <w:rsid w:val="00B14FAE"/>
    <w:rsid w:val="00B152A0"/>
    <w:rsid w:val="00B161B4"/>
    <w:rsid w:val="00B1703D"/>
    <w:rsid w:val="00B17DC0"/>
    <w:rsid w:val="00B200A7"/>
    <w:rsid w:val="00B202F1"/>
    <w:rsid w:val="00B20441"/>
    <w:rsid w:val="00B20466"/>
    <w:rsid w:val="00B219A7"/>
    <w:rsid w:val="00B2456B"/>
    <w:rsid w:val="00B25716"/>
    <w:rsid w:val="00B272FF"/>
    <w:rsid w:val="00B27F17"/>
    <w:rsid w:val="00B30BBA"/>
    <w:rsid w:val="00B31124"/>
    <w:rsid w:val="00B3180D"/>
    <w:rsid w:val="00B318AD"/>
    <w:rsid w:val="00B319D7"/>
    <w:rsid w:val="00B319FA"/>
    <w:rsid w:val="00B31A96"/>
    <w:rsid w:val="00B32702"/>
    <w:rsid w:val="00B328A2"/>
    <w:rsid w:val="00B33CDF"/>
    <w:rsid w:val="00B33DD1"/>
    <w:rsid w:val="00B353CB"/>
    <w:rsid w:val="00B3601C"/>
    <w:rsid w:val="00B36BF2"/>
    <w:rsid w:val="00B40695"/>
    <w:rsid w:val="00B4077E"/>
    <w:rsid w:val="00B40B98"/>
    <w:rsid w:val="00B41D39"/>
    <w:rsid w:val="00B425D5"/>
    <w:rsid w:val="00B43B25"/>
    <w:rsid w:val="00B45201"/>
    <w:rsid w:val="00B45502"/>
    <w:rsid w:val="00B46498"/>
    <w:rsid w:val="00B46AD3"/>
    <w:rsid w:val="00B472FF"/>
    <w:rsid w:val="00B477F4"/>
    <w:rsid w:val="00B479B2"/>
    <w:rsid w:val="00B50658"/>
    <w:rsid w:val="00B50919"/>
    <w:rsid w:val="00B531AB"/>
    <w:rsid w:val="00B537C5"/>
    <w:rsid w:val="00B53B75"/>
    <w:rsid w:val="00B55208"/>
    <w:rsid w:val="00B575B5"/>
    <w:rsid w:val="00B60273"/>
    <w:rsid w:val="00B60F99"/>
    <w:rsid w:val="00B62468"/>
    <w:rsid w:val="00B635E8"/>
    <w:rsid w:val="00B6363D"/>
    <w:rsid w:val="00B6455E"/>
    <w:rsid w:val="00B64B25"/>
    <w:rsid w:val="00B6580E"/>
    <w:rsid w:val="00B66D88"/>
    <w:rsid w:val="00B66F2E"/>
    <w:rsid w:val="00B67591"/>
    <w:rsid w:val="00B70116"/>
    <w:rsid w:val="00B7019E"/>
    <w:rsid w:val="00B70283"/>
    <w:rsid w:val="00B71045"/>
    <w:rsid w:val="00B713D3"/>
    <w:rsid w:val="00B7180E"/>
    <w:rsid w:val="00B722D5"/>
    <w:rsid w:val="00B7266A"/>
    <w:rsid w:val="00B72771"/>
    <w:rsid w:val="00B72F0A"/>
    <w:rsid w:val="00B738B9"/>
    <w:rsid w:val="00B73905"/>
    <w:rsid w:val="00B73A72"/>
    <w:rsid w:val="00B73F71"/>
    <w:rsid w:val="00B7603D"/>
    <w:rsid w:val="00B76650"/>
    <w:rsid w:val="00B76D28"/>
    <w:rsid w:val="00B81CA1"/>
    <w:rsid w:val="00B82BEB"/>
    <w:rsid w:val="00B830FA"/>
    <w:rsid w:val="00B837F9"/>
    <w:rsid w:val="00B83C9C"/>
    <w:rsid w:val="00B8421C"/>
    <w:rsid w:val="00B842D5"/>
    <w:rsid w:val="00B85139"/>
    <w:rsid w:val="00B86338"/>
    <w:rsid w:val="00B86B5E"/>
    <w:rsid w:val="00B86C18"/>
    <w:rsid w:val="00B86CF4"/>
    <w:rsid w:val="00B87687"/>
    <w:rsid w:val="00B8773E"/>
    <w:rsid w:val="00B90587"/>
    <w:rsid w:val="00B9060B"/>
    <w:rsid w:val="00B907B5"/>
    <w:rsid w:val="00B90CA8"/>
    <w:rsid w:val="00B91945"/>
    <w:rsid w:val="00B922A7"/>
    <w:rsid w:val="00B9258B"/>
    <w:rsid w:val="00B9339B"/>
    <w:rsid w:val="00B93A6D"/>
    <w:rsid w:val="00B94847"/>
    <w:rsid w:val="00B94A87"/>
    <w:rsid w:val="00B94B1E"/>
    <w:rsid w:val="00B94BFE"/>
    <w:rsid w:val="00B952A2"/>
    <w:rsid w:val="00B9588F"/>
    <w:rsid w:val="00B95CF8"/>
    <w:rsid w:val="00B96C30"/>
    <w:rsid w:val="00B96F5B"/>
    <w:rsid w:val="00B972E0"/>
    <w:rsid w:val="00B9742D"/>
    <w:rsid w:val="00B97DE3"/>
    <w:rsid w:val="00BA011F"/>
    <w:rsid w:val="00BA0585"/>
    <w:rsid w:val="00BA0CDE"/>
    <w:rsid w:val="00BA2266"/>
    <w:rsid w:val="00BA33A5"/>
    <w:rsid w:val="00BA3E8C"/>
    <w:rsid w:val="00BA42E7"/>
    <w:rsid w:val="00BA6846"/>
    <w:rsid w:val="00BA6E48"/>
    <w:rsid w:val="00BA7C8C"/>
    <w:rsid w:val="00BB1066"/>
    <w:rsid w:val="00BB13B1"/>
    <w:rsid w:val="00BB13FF"/>
    <w:rsid w:val="00BB1980"/>
    <w:rsid w:val="00BB1A6D"/>
    <w:rsid w:val="00BB1BBC"/>
    <w:rsid w:val="00BB269A"/>
    <w:rsid w:val="00BB3BFB"/>
    <w:rsid w:val="00BB7286"/>
    <w:rsid w:val="00BB774E"/>
    <w:rsid w:val="00BC0177"/>
    <w:rsid w:val="00BC14AB"/>
    <w:rsid w:val="00BC261D"/>
    <w:rsid w:val="00BC276A"/>
    <w:rsid w:val="00BC2BD2"/>
    <w:rsid w:val="00BC2EB8"/>
    <w:rsid w:val="00BC3339"/>
    <w:rsid w:val="00BC3547"/>
    <w:rsid w:val="00BC379B"/>
    <w:rsid w:val="00BC39EE"/>
    <w:rsid w:val="00BC3D82"/>
    <w:rsid w:val="00BC3DC1"/>
    <w:rsid w:val="00BC40F7"/>
    <w:rsid w:val="00BC4AAC"/>
    <w:rsid w:val="00BC5D65"/>
    <w:rsid w:val="00BC6D2E"/>
    <w:rsid w:val="00BC73E0"/>
    <w:rsid w:val="00BC7422"/>
    <w:rsid w:val="00BC7C3D"/>
    <w:rsid w:val="00BC7E5A"/>
    <w:rsid w:val="00BD00C1"/>
    <w:rsid w:val="00BD038B"/>
    <w:rsid w:val="00BD2091"/>
    <w:rsid w:val="00BD2C5A"/>
    <w:rsid w:val="00BD3260"/>
    <w:rsid w:val="00BD34D6"/>
    <w:rsid w:val="00BD39BE"/>
    <w:rsid w:val="00BD3AFB"/>
    <w:rsid w:val="00BD3BE7"/>
    <w:rsid w:val="00BD42B9"/>
    <w:rsid w:val="00BD4BE1"/>
    <w:rsid w:val="00BD578D"/>
    <w:rsid w:val="00BD57C1"/>
    <w:rsid w:val="00BD5E48"/>
    <w:rsid w:val="00BD5EAC"/>
    <w:rsid w:val="00BD62FB"/>
    <w:rsid w:val="00BD77E2"/>
    <w:rsid w:val="00BE005C"/>
    <w:rsid w:val="00BE097B"/>
    <w:rsid w:val="00BE0E32"/>
    <w:rsid w:val="00BE1AAB"/>
    <w:rsid w:val="00BE2939"/>
    <w:rsid w:val="00BE2F69"/>
    <w:rsid w:val="00BE3861"/>
    <w:rsid w:val="00BE3AA6"/>
    <w:rsid w:val="00BE4581"/>
    <w:rsid w:val="00BE4DF3"/>
    <w:rsid w:val="00BE58CE"/>
    <w:rsid w:val="00BE5BB9"/>
    <w:rsid w:val="00BE724E"/>
    <w:rsid w:val="00BF0BE3"/>
    <w:rsid w:val="00BF1549"/>
    <w:rsid w:val="00BF1B6C"/>
    <w:rsid w:val="00BF245C"/>
    <w:rsid w:val="00BF3088"/>
    <w:rsid w:val="00BF31F0"/>
    <w:rsid w:val="00BF47AB"/>
    <w:rsid w:val="00BF483B"/>
    <w:rsid w:val="00BF544B"/>
    <w:rsid w:val="00BF5722"/>
    <w:rsid w:val="00BF5AE1"/>
    <w:rsid w:val="00BF6661"/>
    <w:rsid w:val="00C00335"/>
    <w:rsid w:val="00C00558"/>
    <w:rsid w:val="00C01452"/>
    <w:rsid w:val="00C0158C"/>
    <w:rsid w:val="00C01F07"/>
    <w:rsid w:val="00C04853"/>
    <w:rsid w:val="00C0486D"/>
    <w:rsid w:val="00C04891"/>
    <w:rsid w:val="00C04BE7"/>
    <w:rsid w:val="00C05B4F"/>
    <w:rsid w:val="00C05D6C"/>
    <w:rsid w:val="00C06C24"/>
    <w:rsid w:val="00C074A9"/>
    <w:rsid w:val="00C076D6"/>
    <w:rsid w:val="00C10298"/>
    <w:rsid w:val="00C11D30"/>
    <w:rsid w:val="00C1230A"/>
    <w:rsid w:val="00C1297B"/>
    <w:rsid w:val="00C12E8F"/>
    <w:rsid w:val="00C14AC0"/>
    <w:rsid w:val="00C14DAD"/>
    <w:rsid w:val="00C1520F"/>
    <w:rsid w:val="00C155BC"/>
    <w:rsid w:val="00C15EFD"/>
    <w:rsid w:val="00C1686B"/>
    <w:rsid w:val="00C16945"/>
    <w:rsid w:val="00C17249"/>
    <w:rsid w:val="00C17513"/>
    <w:rsid w:val="00C17819"/>
    <w:rsid w:val="00C212E2"/>
    <w:rsid w:val="00C21EDA"/>
    <w:rsid w:val="00C22106"/>
    <w:rsid w:val="00C2218E"/>
    <w:rsid w:val="00C22A4A"/>
    <w:rsid w:val="00C24B87"/>
    <w:rsid w:val="00C24FED"/>
    <w:rsid w:val="00C25618"/>
    <w:rsid w:val="00C25700"/>
    <w:rsid w:val="00C259EC"/>
    <w:rsid w:val="00C25E06"/>
    <w:rsid w:val="00C26257"/>
    <w:rsid w:val="00C2663E"/>
    <w:rsid w:val="00C26CF1"/>
    <w:rsid w:val="00C26FC3"/>
    <w:rsid w:val="00C27154"/>
    <w:rsid w:val="00C27229"/>
    <w:rsid w:val="00C27C19"/>
    <w:rsid w:val="00C30665"/>
    <w:rsid w:val="00C31FE8"/>
    <w:rsid w:val="00C33505"/>
    <w:rsid w:val="00C3434D"/>
    <w:rsid w:val="00C36510"/>
    <w:rsid w:val="00C365BE"/>
    <w:rsid w:val="00C3693D"/>
    <w:rsid w:val="00C369A9"/>
    <w:rsid w:val="00C374F3"/>
    <w:rsid w:val="00C41C9D"/>
    <w:rsid w:val="00C42C25"/>
    <w:rsid w:val="00C4373A"/>
    <w:rsid w:val="00C44A48"/>
    <w:rsid w:val="00C46012"/>
    <w:rsid w:val="00C47460"/>
    <w:rsid w:val="00C47E26"/>
    <w:rsid w:val="00C50929"/>
    <w:rsid w:val="00C50DA4"/>
    <w:rsid w:val="00C5182B"/>
    <w:rsid w:val="00C51C55"/>
    <w:rsid w:val="00C52E9A"/>
    <w:rsid w:val="00C5317A"/>
    <w:rsid w:val="00C534F2"/>
    <w:rsid w:val="00C53654"/>
    <w:rsid w:val="00C53BE8"/>
    <w:rsid w:val="00C55E15"/>
    <w:rsid w:val="00C56C65"/>
    <w:rsid w:val="00C5763C"/>
    <w:rsid w:val="00C57EBF"/>
    <w:rsid w:val="00C61CE9"/>
    <w:rsid w:val="00C62DB7"/>
    <w:rsid w:val="00C63338"/>
    <w:rsid w:val="00C63906"/>
    <w:rsid w:val="00C6436D"/>
    <w:rsid w:val="00C6464B"/>
    <w:rsid w:val="00C64B44"/>
    <w:rsid w:val="00C64CF8"/>
    <w:rsid w:val="00C663D8"/>
    <w:rsid w:val="00C669E0"/>
    <w:rsid w:val="00C66F1A"/>
    <w:rsid w:val="00C6784D"/>
    <w:rsid w:val="00C701C5"/>
    <w:rsid w:val="00C7239E"/>
    <w:rsid w:val="00C72473"/>
    <w:rsid w:val="00C726A0"/>
    <w:rsid w:val="00C72729"/>
    <w:rsid w:val="00C73B55"/>
    <w:rsid w:val="00C73B89"/>
    <w:rsid w:val="00C73FF4"/>
    <w:rsid w:val="00C761B1"/>
    <w:rsid w:val="00C76339"/>
    <w:rsid w:val="00C76748"/>
    <w:rsid w:val="00C76FCD"/>
    <w:rsid w:val="00C800C6"/>
    <w:rsid w:val="00C80A4B"/>
    <w:rsid w:val="00C813ED"/>
    <w:rsid w:val="00C81580"/>
    <w:rsid w:val="00C81E63"/>
    <w:rsid w:val="00C81F3F"/>
    <w:rsid w:val="00C8276A"/>
    <w:rsid w:val="00C83109"/>
    <w:rsid w:val="00C83457"/>
    <w:rsid w:val="00C84895"/>
    <w:rsid w:val="00C8523B"/>
    <w:rsid w:val="00C86A62"/>
    <w:rsid w:val="00C86EA9"/>
    <w:rsid w:val="00C87145"/>
    <w:rsid w:val="00C87541"/>
    <w:rsid w:val="00C87A8E"/>
    <w:rsid w:val="00C902AF"/>
    <w:rsid w:val="00C91798"/>
    <w:rsid w:val="00C9240C"/>
    <w:rsid w:val="00C93556"/>
    <w:rsid w:val="00C97A5A"/>
    <w:rsid w:val="00C97CF0"/>
    <w:rsid w:val="00CA0DC2"/>
    <w:rsid w:val="00CA34FE"/>
    <w:rsid w:val="00CA3A78"/>
    <w:rsid w:val="00CA414A"/>
    <w:rsid w:val="00CA5346"/>
    <w:rsid w:val="00CA617C"/>
    <w:rsid w:val="00CA6C65"/>
    <w:rsid w:val="00CA6E2B"/>
    <w:rsid w:val="00CA769D"/>
    <w:rsid w:val="00CB060F"/>
    <w:rsid w:val="00CB23A2"/>
    <w:rsid w:val="00CB276D"/>
    <w:rsid w:val="00CB33BB"/>
    <w:rsid w:val="00CB36F7"/>
    <w:rsid w:val="00CB3AFD"/>
    <w:rsid w:val="00CB4341"/>
    <w:rsid w:val="00CB5581"/>
    <w:rsid w:val="00CB5CD4"/>
    <w:rsid w:val="00CB6D9F"/>
    <w:rsid w:val="00CB7CA3"/>
    <w:rsid w:val="00CB7D48"/>
    <w:rsid w:val="00CC0416"/>
    <w:rsid w:val="00CC05F9"/>
    <w:rsid w:val="00CC0FD0"/>
    <w:rsid w:val="00CC1140"/>
    <w:rsid w:val="00CC1684"/>
    <w:rsid w:val="00CC188E"/>
    <w:rsid w:val="00CC1E84"/>
    <w:rsid w:val="00CC2132"/>
    <w:rsid w:val="00CC237B"/>
    <w:rsid w:val="00CC2958"/>
    <w:rsid w:val="00CC29CB"/>
    <w:rsid w:val="00CC351F"/>
    <w:rsid w:val="00CC384D"/>
    <w:rsid w:val="00CC3A9D"/>
    <w:rsid w:val="00CC40AE"/>
    <w:rsid w:val="00CC41F0"/>
    <w:rsid w:val="00CC429D"/>
    <w:rsid w:val="00CC43AF"/>
    <w:rsid w:val="00CC4555"/>
    <w:rsid w:val="00CC4DB0"/>
    <w:rsid w:val="00CC55C5"/>
    <w:rsid w:val="00CC57C2"/>
    <w:rsid w:val="00CC5C34"/>
    <w:rsid w:val="00CC6CBB"/>
    <w:rsid w:val="00CC6D60"/>
    <w:rsid w:val="00CC70AA"/>
    <w:rsid w:val="00CC77E0"/>
    <w:rsid w:val="00CC7A58"/>
    <w:rsid w:val="00CC7B8E"/>
    <w:rsid w:val="00CC7B9A"/>
    <w:rsid w:val="00CD02CC"/>
    <w:rsid w:val="00CD0EC8"/>
    <w:rsid w:val="00CD17F2"/>
    <w:rsid w:val="00CD1F60"/>
    <w:rsid w:val="00CD20D3"/>
    <w:rsid w:val="00CD28B0"/>
    <w:rsid w:val="00CD4FE6"/>
    <w:rsid w:val="00CD5068"/>
    <w:rsid w:val="00CD52D0"/>
    <w:rsid w:val="00CD543E"/>
    <w:rsid w:val="00CD5B3A"/>
    <w:rsid w:val="00CD64C2"/>
    <w:rsid w:val="00CD6D07"/>
    <w:rsid w:val="00CD7400"/>
    <w:rsid w:val="00CD7A34"/>
    <w:rsid w:val="00CE2943"/>
    <w:rsid w:val="00CE2CD5"/>
    <w:rsid w:val="00CE2F5E"/>
    <w:rsid w:val="00CE33E0"/>
    <w:rsid w:val="00CE3A0A"/>
    <w:rsid w:val="00CE3BE3"/>
    <w:rsid w:val="00CE4931"/>
    <w:rsid w:val="00CE543F"/>
    <w:rsid w:val="00CE551F"/>
    <w:rsid w:val="00CE581C"/>
    <w:rsid w:val="00CE7384"/>
    <w:rsid w:val="00CF0092"/>
    <w:rsid w:val="00CF040C"/>
    <w:rsid w:val="00CF08BC"/>
    <w:rsid w:val="00CF2976"/>
    <w:rsid w:val="00CF3D1E"/>
    <w:rsid w:val="00CF43E2"/>
    <w:rsid w:val="00CF7FE6"/>
    <w:rsid w:val="00D01C87"/>
    <w:rsid w:val="00D02799"/>
    <w:rsid w:val="00D02A1C"/>
    <w:rsid w:val="00D02AE7"/>
    <w:rsid w:val="00D04480"/>
    <w:rsid w:val="00D0501F"/>
    <w:rsid w:val="00D0554E"/>
    <w:rsid w:val="00D060BA"/>
    <w:rsid w:val="00D066E8"/>
    <w:rsid w:val="00D069C9"/>
    <w:rsid w:val="00D07338"/>
    <w:rsid w:val="00D074A5"/>
    <w:rsid w:val="00D07BB6"/>
    <w:rsid w:val="00D101BE"/>
    <w:rsid w:val="00D103B6"/>
    <w:rsid w:val="00D107BE"/>
    <w:rsid w:val="00D11C66"/>
    <w:rsid w:val="00D11E63"/>
    <w:rsid w:val="00D12171"/>
    <w:rsid w:val="00D12BA0"/>
    <w:rsid w:val="00D12E5D"/>
    <w:rsid w:val="00D1370C"/>
    <w:rsid w:val="00D15A4E"/>
    <w:rsid w:val="00D162C7"/>
    <w:rsid w:val="00D16AD7"/>
    <w:rsid w:val="00D16CB1"/>
    <w:rsid w:val="00D16F5E"/>
    <w:rsid w:val="00D17C72"/>
    <w:rsid w:val="00D17FCB"/>
    <w:rsid w:val="00D202F2"/>
    <w:rsid w:val="00D205E7"/>
    <w:rsid w:val="00D21C01"/>
    <w:rsid w:val="00D21C7C"/>
    <w:rsid w:val="00D21E90"/>
    <w:rsid w:val="00D22024"/>
    <w:rsid w:val="00D2274F"/>
    <w:rsid w:val="00D227EA"/>
    <w:rsid w:val="00D22968"/>
    <w:rsid w:val="00D24612"/>
    <w:rsid w:val="00D24703"/>
    <w:rsid w:val="00D2483C"/>
    <w:rsid w:val="00D2495D"/>
    <w:rsid w:val="00D250FB"/>
    <w:rsid w:val="00D2585A"/>
    <w:rsid w:val="00D2736C"/>
    <w:rsid w:val="00D27BB5"/>
    <w:rsid w:val="00D30A28"/>
    <w:rsid w:val="00D30ACD"/>
    <w:rsid w:val="00D30F5B"/>
    <w:rsid w:val="00D32188"/>
    <w:rsid w:val="00D323E6"/>
    <w:rsid w:val="00D32862"/>
    <w:rsid w:val="00D32F46"/>
    <w:rsid w:val="00D33043"/>
    <w:rsid w:val="00D338C6"/>
    <w:rsid w:val="00D33BF1"/>
    <w:rsid w:val="00D345D4"/>
    <w:rsid w:val="00D349B7"/>
    <w:rsid w:val="00D357DB"/>
    <w:rsid w:val="00D3594B"/>
    <w:rsid w:val="00D35AAD"/>
    <w:rsid w:val="00D3631A"/>
    <w:rsid w:val="00D376AC"/>
    <w:rsid w:val="00D40505"/>
    <w:rsid w:val="00D4113A"/>
    <w:rsid w:val="00D41390"/>
    <w:rsid w:val="00D42327"/>
    <w:rsid w:val="00D43D08"/>
    <w:rsid w:val="00D4443B"/>
    <w:rsid w:val="00D448FF"/>
    <w:rsid w:val="00D44ADE"/>
    <w:rsid w:val="00D44DA5"/>
    <w:rsid w:val="00D450E9"/>
    <w:rsid w:val="00D45772"/>
    <w:rsid w:val="00D45972"/>
    <w:rsid w:val="00D45A8A"/>
    <w:rsid w:val="00D45B98"/>
    <w:rsid w:val="00D45C74"/>
    <w:rsid w:val="00D4606C"/>
    <w:rsid w:val="00D504E5"/>
    <w:rsid w:val="00D513C4"/>
    <w:rsid w:val="00D519B8"/>
    <w:rsid w:val="00D52A9A"/>
    <w:rsid w:val="00D53437"/>
    <w:rsid w:val="00D53A99"/>
    <w:rsid w:val="00D53B95"/>
    <w:rsid w:val="00D54D8B"/>
    <w:rsid w:val="00D55092"/>
    <w:rsid w:val="00D55192"/>
    <w:rsid w:val="00D55822"/>
    <w:rsid w:val="00D560A9"/>
    <w:rsid w:val="00D56AC1"/>
    <w:rsid w:val="00D57514"/>
    <w:rsid w:val="00D57731"/>
    <w:rsid w:val="00D577D2"/>
    <w:rsid w:val="00D57A00"/>
    <w:rsid w:val="00D57FEF"/>
    <w:rsid w:val="00D60D98"/>
    <w:rsid w:val="00D6144E"/>
    <w:rsid w:val="00D621BA"/>
    <w:rsid w:val="00D62393"/>
    <w:rsid w:val="00D63056"/>
    <w:rsid w:val="00D65C5D"/>
    <w:rsid w:val="00D65C7F"/>
    <w:rsid w:val="00D66469"/>
    <w:rsid w:val="00D664B8"/>
    <w:rsid w:val="00D668E7"/>
    <w:rsid w:val="00D66F48"/>
    <w:rsid w:val="00D7028C"/>
    <w:rsid w:val="00D70EB6"/>
    <w:rsid w:val="00D720B6"/>
    <w:rsid w:val="00D721BF"/>
    <w:rsid w:val="00D72523"/>
    <w:rsid w:val="00D7408E"/>
    <w:rsid w:val="00D750EB"/>
    <w:rsid w:val="00D75627"/>
    <w:rsid w:val="00D76639"/>
    <w:rsid w:val="00D76B2D"/>
    <w:rsid w:val="00D77020"/>
    <w:rsid w:val="00D7759F"/>
    <w:rsid w:val="00D77A7A"/>
    <w:rsid w:val="00D77ABA"/>
    <w:rsid w:val="00D803C1"/>
    <w:rsid w:val="00D807D0"/>
    <w:rsid w:val="00D81430"/>
    <w:rsid w:val="00D81A25"/>
    <w:rsid w:val="00D829AE"/>
    <w:rsid w:val="00D84324"/>
    <w:rsid w:val="00D84A4D"/>
    <w:rsid w:val="00D84C45"/>
    <w:rsid w:val="00D86DA0"/>
    <w:rsid w:val="00D87BA2"/>
    <w:rsid w:val="00D907D1"/>
    <w:rsid w:val="00D90C63"/>
    <w:rsid w:val="00D9100C"/>
    <w:rsid w:val="00D9119A"/>
    <w:rsid w:val="00D91A97"/>
    <w:rsid w:val="00D91CFF"/>
    <w:rsid w:val="00D926B0"/>
    <w:rsid w:val="00D9359C"/>
    <w:rsid w:val="00D93DAB"/>
    <w:rsid w:val="00D957AB"/>
    <w:rsid w:val="00D966E4"/>
    <w:rsid w:val="00D978DB"/>
    <w:rsid w:val="00D97B0A"/>
    <w:rsid w:val="00DA0633"/>
    <w:rsid w:val="00DA097C"/>
    <w:rsid w:val="00DA0D04"/>
    <w:rsid w:val="00DA1782"/>
    <w:rsid w:val="00DA1D02"/>
    <w:rsid w:val="00DA34B1"/>
    <w:rsid w:val="00DA3A52"/>
    <w:rsid w:val="00DA54E4"/>
    <w:rsid w:val="00DA5BFA"/>
    <w:rsid w:val="00DA6C74"/>
    <w:rsid w:val="00DB151B"/>
    <w:rsid w:val="00DB157D"/>
    <w:rsid w:val="00DB2D79"/>
    <w:rsid w:val="00DB3104"/>
    <w:rsid w:val="00DB3163"/>
    <w:rsid w:val="00DB3198"/>
    <w:rsid w:val="00DB35CF"/>
    <w:rsid w:val="00DB4D01"/>
    <w:rsid w:val="00DB685C"/>
    <w:rsid w:val="00DB68F1"/>
    <w:rsid w:val="00DB6D04"/>
    <w:rsid w:val="00DB6D1C"/>
    <w:rsid w:val="00DB6FF0"/>
    <w:rsid w:val="00DB7850"/>
    <w:rsid w:val="00DB7FB2"/>
    <w:rsid w:val="00DC0E6A"/>
    <w:rsid w:val="00DC15B4"/>
    <w:rsid w:val="00DC1B3C"/>
    <w:rsid w:val="00DC1CA8"/>
    <w:rsid w:val="00DC20F5"/>
    <w:rsid w:val="00DC2842"/>
    <w:rsid w:val="00DC3F8B"/>
    <w:rsid w:val="00DC4BE7"/>
    <w:rsid w:val="00DC50AC"/>
    <w:rsid w:val="00DC5181"/>
    <w:rsid w:val="00DC561A"/>
    <w:rsid w:val="00DC5AB1"/>
    <w:rsid w:val="00DC5CA6"/>
    <w:rsid w:val="00DC62B8"/>
    <w:rsid w:val="00DC6E8E"/>
    <w:rsid w:val="00DC72D6"/>
    <w:rsid w:val="00DD0A81"/>
    <w:rsid w:val="00DD0E31"/>
    <w:rsid w:val="00DD1436"/>
    <w:rsid w:val="00DD16B2"/>
    <w:rsid w:val="00DD1C54"/>
    <w:rsid w:val="00DD2E7D"/>
    <w:rsid w:val="00DD3F0C"/>
    <w:rsid w:val="00DD4411"/>
    <w:rsid w:val="00DD4445"/>
    <w:rsid w:val="00DD4A96"/>
    <w:rsid w:val="00DD5182"/>
    <w:rsid w:val="00DD51A8"/>
    <w:rsid w:val="00DD62EF"/>
    <w:rsid w:val="00DD6C23"/>
    <w:rsid w:val="00DD6EB1"/>
    <w:rsid w:val="00DD7115"/>
    <w:rsid w:val="00DD73CC"/>
    <w:rsid w:val="00DE08FC"/>
    <w:rsid w:val="00DE09FE"/>
    <w:rsid w:val="00DE0CA7"/>
    <w:rsid w:val="00DE1802"/>
    <w:rsid w:val="00DE2191"/>
    <w:rsid w:val="00DE248F"/>
    <w:rsid w:val="00DE2AF0"/>
    <w:rsid w:val="00DE2C27"/>
    <w:rsid w:val="00DE3C1B"/>
    <w:rsid w:val="00DE428E"/>
    <w:rsid w:val="00DE4D70"/>
    <w:rsid w:val="00DE59E2"/>
    <w:rsid w:val="00DE767F"/>
    <w:rsid w:val="00DF01F8"/>
    <w:rsid w:val="00DF2100"/>
    <w:rsid w:val="00DF2496"/>
    <w:rsid w:val="00DF2B7E"/>
    <w:rsid w:val="00DF3C70"/>
    <w:rsid w:val="00DF4683"/>
    <w:rsid w:val="00DF50D4"/>
    <w:rsid w:val="00DF5112"/>
    <w:rsid w:val="00DF548F"/>
    <w:rsid w:val="00DF5F6D"/>
    <w:rsid w:val="00DF789A"/>
    <w:rsid w:val="00DF7B13"/>
    <w:rsid w:val="00DF7C92"/>
    <w:rsid w:val="00E00181"/>
    <w:rsid w:val="00E009F2"/>
    <w:rsid w:val="00E014E4"/>
    <w:rsid w:val="00E01654"/>
    <w:rsid w:val="00E017A8"/>
    <w:rsid w:val="00E020E7"/>
    <w:rsid w:val="00E022DD"/>
    <w:rsid w:val="00E02668"/>
    <w:rsid w:val="00E031E0"/>
    <w:rsid w:val="00E04794"/>
    <w:rsid w:val="00E04DC4"/>
    <w:rsid w:val="00E05127"/>
    <w:rsid w:val="00E05AA6"/>
    <w:rsid w:val="00E05CFF"/>
    <w:rsid w:val="00E065D8"/>
    <w:rsid w:val="00E067BC"/>
    <w:rsid w:val="00E071FA"/>
    <w:rsid w:val="00E0734E"/>
    <w:rsid w:val="00E0749E"/>
    <w:rsid w:val="00E07C13"/>
    <w:rsid w:val="00E1070D"/>
    <w:rsid w:val="00E115A6"/>
    <w:rsid w:val="00E11CE0"/>
    <w:rsid w:val="00E124CE"/>
    <w:rsid w:val="00E145A8"/>
    <w:rsid w:val="00E145F1"/>
    <w:rsid w:val="00E145FA"/>
    <w:rsid w:val="00E15BD5"/>
    <w:rsid w:val="00E166A4"/>
    <w:rsid w:val="00E17EF6"/>
    <w:rsid w:val="00E213A1"/>
    <w:rsid w:val="00E22890"/>
    <w:rsid w:val="00E22AFF"/>
    <w:rsid w:val="00E23605"/>
    <w:rsid w:val="00E23D31"/>
    <w:rsid w:val="00E24430"/>
    <w:rsid w:val="00E25973"/>
    <w:rsid w:val="00E261A8"/>
    <w:rsid w:val="00E26555"/>
    <w:rsid w:val="00E2673B"/>
    <w:rsid w:val="00E2697F"/>
    <w:rsid w:val="00E26C84"/>
    <w:rsid w:val="00E270DA"/>
    <w:rsid w:val="00E272F0"/>
    <w:rsid w:val="00E27523"/>
    <w:rsid w:val="00E27BF1"/>
    <w:rsid w:val="00E30482"/>
    <w:rsid w:val="00E304AF"/>
    <w:rsid w:val="00E30FA6"/>
    <w:rsid w:val="00E31045"/>
    <w:rsid w:val="00E310A9"/>
    <w:rsid w:val="00E31396"/>
    <w:rsid w:val="00E315D8"/>
    <w:rsid w:val="00E31C99"/>
    <w:rsid w:val="00E31CF5"/>
    <w:rsid w:val="00E32383"/>
    <w:rsid w:val="00E33206"/>
    <w:rsid w:val="00E3397F"/>
    <w:rsid w:val="00E3452D"/>
    <w:rsid w:val="00E354EC"/>
    <w:rsid w:val="00E36958"/>
    <w:rsid w:val="00E407A4"/>
    <w:rsid w:val="00E40B65"/>
    <w:rsid w:val="00E40D44"/>
    <w:rsid w:val="00E40FFE"/>
    <w:rsid w:val="00E41DDE"/>
    <w:rsid w:val="00E422B1"/>
    <w:rsid w:val="00E425A5"/>
    <w:rsid w:val="00E4289A"/>
    <w:rsid w:val="00E42EA7"/>
    <w:rsid w:val="00E4375E"/>
    <w:rsid w:val="00E44673"/>
    <w:rsid w:val="00E44FED"/>
    <w:rsid w:val="00E4509E"/>
    <w:rsid w:val="00E4548B"/>
    <w:rsid w:val="00E46100"/>
    <w:rsid w:val="00E4643D"/>
    <w:rsid w:val="00E46447"/>
    <w:rsid w:val="00E4686A"/>
    <w:rsid w:val="00E4724E"/>
    <w:rsid w:val="00E507EB"/>
    <w:rsid w:val="00E520AD"/>
    <w:rsid w:val="00E5364D"/>
    <w:rsid w:val="00E56029"/>
    <w:rsid w:val="00E564F8"/>
    <w:rsid w:val="00E56F92"/>
    <w:rsid w:val="00E57748"/>
    <w:rsid w:val="00E60145"/>
    <w:rsid w:val="00E607F8"/>
    <w:rsid w:val="00E610A2"/>
    <w:rsid w:val="00E617E5"/>
    <w:rsid w:val="00E61BCE"/>
    <w:rsid w:val="00E61E18"/>
    <w:rsid w:val="00E6203C"/>
    <w:rsid w:val="00E626FF"/>
    <w:rsid w:val="00E627DB"/>
    <w:rsid w:val="00E62B75"/>
    <w:rsid w:val="00E62E84"/>
    <w:rsid w:val="00E62F67"/>
    <w:rsid w:val="00E62FB1"/>
    <w:rsid w:val="00E6367E"/>
    <w:rsid w:val="00E63C29"/>
    <w:rsid w:val="00E658EF"/>
    <w:rsid w:val="00E6614E"/>
    <w:rsid w:val="00E66874"/>
    <w:rsid w:val="00E66D6D"/>
    <w:rsid w:val="00E6728D"/>
    <w:rsid w:val="00E6749D"/>
    <w:rsid w:val="00E700AF"/>
    <w:rsid w:val="00E7165C"/>
    <w:rsid w:val="00E71AB9"/>
    <w:rsid w:val="00E71DDC"/>
    <w:rsid w:val="00E71E69"/>
    <w:rsid w:val="00E732BA"/>
    <w:rsid w:val="00E73624"/>
    <w:rsid w:val="00E739C1"/>
    <w:rsid w:val="00E74553"/>
    <w:rsid w:val="00E74DA3"/>
    <w:rsid w:val="00E7571D"/>
    <w:rsid w:val="00E75A25"/>
    <w:rsid w:val="00E75C40"/>
    <w:rsid w:val="00E763C3"/>
    <w:rsid w:val="00E76B66"/>
    <w:rsid w:val="00E76B95"/>
    <w:rsid w:val="00E770FC"/>
    <w:rsid w:val="00E809FD"/>
    <w:rsid w:val="00E80A69"/>
    <w:rsid w:val="00E81A7E"/>
    <w:rsid w:val="00E81FEA"/>
    <w:rsid w:val="00E8236B"/>
    <w:rsid w:val="00E827DF"/>
    <w:rsid w:val="00E82D4C"/>
    <w:rsid w:val="00E830DF"/>
    <w:rsid w:val="00E83D12"/>
    <w:rsid w:val="00E83EEF"/>
    <w:rsid w:val="00E84393"/>
    <w:rsid w:val="00E84F94"/>
    <w:rsid w:val="00E85BE8"/>
    <w:rsid w:val="00E86552"/>
    <w:rsid w:val="00E90645"/>
    <w:rsid w:val="00E9146B"/>
    <w:rsid w:val="00E9153C"/>
    <w:rsid w:val="00E917D5"/>
    <w:rsid w:val="00E91953"/>
    <w:rsid w:val="00E91AE1"/>
    <w:rsid w:val="00E92AA0"/>
    <w:rsid w:val="00E92E32"/>
    <w:rsid w:val="00E93000"/>
    <w:rsid w:val="00E93B1A"/>
    <w:rsid w:val="00E93F7E"/>
    <w:rsid w:val="00E9491E"/>
    <w:rsid w:val="00E94FB2"/>
    <w:rsid w:val="00E950D9"/>
    <w:rsid w:val="00E972B5"/>
    <w:rsid w:val="00E97751"/>
    <w:rsid w:val="00E97837"/>
    <w:rsid w:val="00EA18F0"/>
    <w:rsid w:val="00EA2253"/>
    <w:rsid w:val="00EA25C8"/>
    <w:rsid w:val="00EA4DCF"/>
    <w:rsid w:val="00EA546E"/>
    <w:rsid w:val="00EA5ACD"/>
    <w:rsid w:val="00EA6D9D"/>
    <w:rsid w:val="00EA71C9"/>
    <w:rsid w:val="00EA76A6"/>
    <w:rsid w:val="00EA7C68"/>
    <w:rsid w:val="00EA7F07"/>
    <w:rsid w:val="00EB214E"/>
    <w:rsid w:val="00EB23A9"/>
    <w:rsid w:val="00EB30ED"/>
    <w:rsid w:val="00EB326F"/>
    <w:rsid w:val="00EB42DD"/>
    <w:rsid w:val="00EB4969"/>
    <w:rsid w:val="00EB6151"/>
    <w:rsid w:val="00EB687F"/>
    <w:rsid w:val="00EB7715"/>
    <w:rsid w:val="00EC209F"/>
    <w:rsid w:val="00EC215E"/>
    <w:rsid w:val="00EC2FD9"/>
    <w:rsid w:val="00EC3797"/>
    <w:rsid w:val="00EC3C8C"/>
    <w:rsid w:val="00EC4AAE"/>
    <w:rsid w:val="00EC571E"/>
    <w:rsid w:val="00EC6A73"/>
    <w:rsid w:val="00EC6E35"/>
    <w:rsid w:val="00EC7BC0"/>
    <w:rsid w:val="00ED1DC7"/>
    <w:rsid w:val="00ED2460"/>
    <w:rsid w:val="00ED2C8F"/>
    <w:rsid w:val="00ED2F31"/>
    <w:rsid w:val="00ED3886"/>
    <w:rsid w:val="00ED43DD"/>
    <w:rsid w:val="00ED4703"/>
    <w:rsid w:val="00ED4A33"/>
    <w:rsid w:val="00ED4E55"/>
    <w:rsid w:val="00ED5ED3"/>
    <w:rsid w:val="00ED67B6"/>
    <w:rsid w:val="00ED6C12"/>
    <w:rsid w:val="00ED6F7D"/>
    <w:rsid w:val="00ED710E"/>
    <w:rsid w:val="00ED7CCC"/>
    <w:rsid w:val="00EE0432"/>
    <w:rsid w:val="00EE08FB"/>
    <w:rsid w:val="00EE45A5"/>
    <w:rsid w:val="00EE5097"/>
    <w:rsid w:val="00EE5AA5"/>
    <w:rsid w:val="00EE6AFF"/>
    <w:rsid w:val="00EE7912"/>
    <w:rsid w:val="00EF0749"/>
    <w:rsid w:val="00EF0B2A"/>
    <w:rsid w:val="00EF0BD3"/>
    <w:rsid w:val="00EF0C71"/>
    <w:rsid w:val="00EF1D02"/>
    <w:rsid w:val="00EF20D3"/>
    <w:rsid w:val="00EF31B2"/>
    <w:rsid w:val="00EF393B"/>
    <w:rsid w:val="00EF42B1"/>
    <w:rsid w:val="00EF46F1"/>
    <w:rsid w:val="00EF496D"/>
    <w:rsid w:val="00EF5AB6"/>
    <w:rsid w:val="00EF5AF9"/>
    <w:rsid w:val="00EF5DFD"/>
    <w:rsid w:val="00EF63E4"/>
    <w:rsid w:val="00EF659F"/>
    <w:rsid w:val="00EF6F71"/>
    <w:rsid w:val="00EF71FF"/>
    <w:rsid w:val="00EF760D"/>
    <w:rsid w:val="00EF797D"/>
    <w:rsid w:val="00EF7C9C"/>
    <w:rsid w:val="00F020ED"/>
    <w:rsid w:val="00F02741"/>
    <w:rsid w:val="00F02B76"/>
    <w:rsid w:val="00F03255"/>
    <w:rsid w:val="00F0359D"/>
    <w:rsid w:val="00F03B2A"/>
    <w:rsid w:val="00F04D1C"/>
    <w:rsid w:val="00F04F3C"/>
    <w:rsid w:val="00F05371"/>
    <w:rsid w:val="00F06A88"/>
    <w:rsid w:val="00F079E5"/>
    <w:rsid w:val="00F07B18"/>
    <w:rsid w:val="00F10116"/>
    <w:rsid w:val="00F1053D"/>
    <w:rsid w:val="00F1098A"/>
    <w:rsid w:val="00F10DD2"/>
    <w:rsid w:val="00F11630"/>
    <w:rsid w:val="00F11DCB"/>
    <w:rsid w:val="00F1388B"/>
    <w:rsid w:val="00F14128"/>
    <w:rsid w:val="00F14235"/>
    <w:rsid w:val="00F1427F"/>
    <w:rsid w:val="00F144D7"/>
    <w:rsid w:val="00F14608"/>
    <w:rsid w:val="00F14FF6"/>
    <w:rsid w:val="00F15713"/>
    <w:rsid w:val="00F1592E"/>
    <w:rsid w:val="00F15BDD"/>
    <w:rsid w:val="00F16BDA"/>
    <w:rsid w:val="00F1769C"/>
    <w:rsid w:val="00F2059E"/>
    <w:rsid w:val="00F20635"/>
    <w:rsid w:val="00F20E62"/>
    <w:rsid w:val="00F21934"/>
    <w:rsid w:val="00F220D5"/>
    <w:rsid w:val="00F221DA"/>
    <w:rsid w:val="00F2315E"/>
    <w:rsid w:val="00F234EC"/>
    <w:rsid w:val="00F25D05"/>
    <w:rsid w:val="00F2610B"/>
    <w:rsid w:val="00F26E76"/>
    <w:rsid w:val="00F27D33"/>
    <w:rsid w:val="00F27ED1"/>
    <w:rsid w:val="00F30EBB"/>
    <w:rsid w:val="00F31583"/>
    <w:rsid w:val="00F31B41"/>
    <w:rsid w:val="00F324BF"/>
    <w:rsid w:val="00F324C4"/>
    <w:rsid w:val="00F32512"/>
    <w:rsid w:val="00F32858"/>
    <w:rsid w:val="00F328BB"/>
    <w:rsid w:val="00F32B2D"/>
    <w:rsid w:val="00F33991"/>
    <w:rsid w:val="00F3579B"/>
    <w:rsid w:val="00F35B3A"/>
    <w:rsid w:val="00F3644D"/>
    <w:rsid w:val="00F373AE"/>
    <w:rsid w:val="00F40B53"/>
    <w:rsid w:val="00F40E39"/>
    <w:rsid w:val="00F41E19"/>
    <w:rsid w:val="00F436D2"/>
    <w:rsid w:val="00F4471E"/>
    <w:rsid w:val="00F45191"/>
    <w:rsid w:val="00F46404"/>
    <w:rsid w:val="00F46D8C"/>
    <w:rsid w:val="00F4702E"/>
    <w:rsid w:val="00F47114"/>
    <w:rsid w:val="00F479DA"/>
    <w:rsid w:val="00F50712"/>
    <w:rsid w:val="00F5117D"/>
    <w:rsid w:val="00F51624"/>
    <w:rsid w:val="00F51A14"/>
    <w:rsid w:val="00F51F3E"/>
    <w:rsid w:val="00F52008"/>
    <w:rsid w:val="00F52863"/>
    <w:rsid w:val="00F538A7"/>
    <w:rsid w:val="00F53AB9"/>
    <w:rsid w:val="00F53E38"/>
    <w:rsid w:val="00F544A8"/>
    <w:rsid w:val="00F549DA"/>
    <w:rsid w:val="00F557BC"/>
    <w:rsid w:val="00F56F31"/>
    <w:rsid w:val="00F57AA9"/>
    <w:rsid w:val="00F57F10"/>
    <w:rsid w:val="00F61E00"/>
    <w:rsid w:val="00F630F9"/>
    <w:rsid w:val="00F639BF"/>
    <w:rsid w:val="00F65585"/>
    <w:rsid w:val="00F65A95"/>
    <w:rsid w:val="00F65BC6"/>
    <w:rsid w:val="00F67006"/>
    <w:rsid w:val="00F674E0"/>
    <w:rsid w:val="00F70BC1"/>
    <w:rsid w:val="00F70BCC"/>
    <w:rsid w:val="00F70E5F"/>
    <w:rsid w:val="00F711FE"/>
    <w:rsid w:val="00F7153A"/>
    <w:rsid w:val="00F71B81"/>
    <w:rsid w:val="00F723C5"/>
    <w:rsid w:val="00F72A9C"/>
    <w:rsid w:val="00F7312F"/>
    <w:rsid w:val="00F738B2"/>
    <w:rsid w:val="00F739CE"/>
    <w:rsid w:val="00F749AE"/>
    <w:rsid w:val="00F75118"/>
    <w:rsid w:val="00F7559D"/>
    <w:rsid w:val="00F7573D"/>
    <w:rsid w:val="00F76497"/>
    <w:rsid w:val="00F765C1"/>
    <w:rsid w:val="00F76CA7"/>
    <w:rsid w:val="00F76FC4"/>
    <w:rsid w:val="00F77ACC"/>
    <w:rsid w:val="00F81196"/>
    <w:rsid w:val="00F81545"/>
    <w:rsid w:val="00F81703"/>
    <w:rsid w:val="00F81F82"/>
    <w:rsid w:val="00F83440"/>
    <w:rsid w:val="00F8345E"/>
    <w:rsid w:val="00F8351E"/>
    <w:rsid w:val="00F83937"/>
    <w:rsid w:val="00F84E75"/>
    <w:rsid w:val="00F85A19"/>
    <w:rsid w:val="00F86079"/>
    <w:rsid w:val="00F90DC5"/>
    <w:rsid w:val="00F91CC6"/>
    <w:rsid w:val="00F91D9B"/>
    <w:rsid w:val="00F9226C"/>
    <w:rsid w:val="00F928FC"/>
    <w:rsid w:val="00F929BA"/>
    <w:rsid w:val="00F937BA"/>
    <w:rsid w:val="00F94E75"/>
    <w:rsid w:val="00F954B1"/>
    <w:rsid w:val="00F95D75"/>
    <w:rsid w:val="00F96C49"/>
    <w:rsid w:val="00FA013F"/>
    <w:rsid w:val="00FA0261"/>
    <w:rsid w:val="00FA10A1"/>
    <w:rsid w:val="00FA1703"/>
    <w:rsid w:val="00FA1C80"/>
    <w:rsid w:val="00FA48D1"/>
    <w:rsid w:val="00FA4AF3"/>
    <w:rsid w:val="00FA7606"/>
    <w:rsid w:val="00FA7CDB"/>
    <w:rsid w:val="00FB02DE"/>
    <w:rsid w:val="00FB0D74"/>
    <w:rsid w:val="00FB0F88"/>
    <w:rsid w:val="00FB117D"/>
    <w:rsid w:val="00FB13D2"/>
    <w:rsid w:val="00FB16FC"/>
    <w:rsid w:val="00FB19CB"/>
    <w:rsid w:val="00FB2353"/>
    <w:rsid w:val="00FB27F0"/>
    <w:rsid w:val="00FB2815"/>
    <w:rsid w:val="00FB33BC"/>
    <w:rsid w:val="00FB3698"/>
    <w:rsid w:val="00FB36DA"/>
    <w:rsid w:val="00FB38DB"/>
    <w:rsid w:val="00FB4401"/>
    <w:rsid w:val="00FB53A1"/>
    <w:rsid w:val="00FB5AB1"/>
    <w:rsid w:val="00FB6027"/>
    <w:rsid w:val="00FB6395"/>
    <w:rsid w:val="00FB6610"/>
    <w:rsid w:val="00FB6BB7"/>
    <w:rsid w:val="00FB70BA"/>
    <w:rsid w:val="00FB748F"/>
    <w:rsid w:val="00FB7687"/>
    <w:rsid w:val="00FC0091"/>
    <w:rsid w:val="00FC0651"/>
    <w:rsid w:val="00FC08C6"/>
    <w:rsid w:val="00FC2B44"/>
    <w:rsid w:val="00FC34F4"/>
    <w:rsid w:val="00FC3EC3"/>
    <w:rsid w:val="00FC420E"/>
    <w:rsid w:val="00FC4B55"/>
    <w:rsid w:val="00FC5838"/>
    <w:rsid w:val="00FC5892"/>
    <w:rsid w:val="00FC6122"/>
    <w:rsid w:val="00FC6659"/>
    <w:rsid w:val="00FC7453"/>
    <w:rsid w:val="00FC773D"/>
    <w:rsid w:val="00FC7A13"/>
    <w:rsid w:val="00FC7F4C"/>
    <w:rsid w:val="00FD0971"/>
    <w:rsid w:val="00FD0BE5"/>
    <w:rsid w:val="00FD1619"/>
    <w:rsid w:val="00FD32E4"/>
    <w:rsid w:val="00FD3C60"/>
    <w:rsid w:val="00FD3C98"/>
    <w:rsid w:val="00FD43D5"/>
    <w:rsid w:val="00FD4DE3"/>
    <w:rsid w:val="00FD5C7D"/>
    <w:rsid w:val="00FD6045"/>
    <w:rsid w:val="00FD7B8C"/>
    <w:rsid w:val="00FE131C"/>
    <w:rsid w:val="00FE1AF3"/>
    <w:rsid w:val="00FE2375"/>
    <w:rsid w:val="00FE2451"/>
    <w:rsid w:val="00FE3CD3"/>
    <w:rsid w:val="00FE460A"/>
    <w:rsid w:val="00FE4BA4"/>
    <w:rsid w:val="00FE5B94"/>
    <w:rsid w:val="00FE5FAC"/>
    <w:rsid w:val="00FE60D3"/>
    <w:rsid w:val="00FE6492"/>
    <w:rsid w:val="00FE6B8B"/>
    <w:rsid w:val="00FF1B4A"/>
    <w:rsid w:val="00FF27B2"/>
    <w:rsid w:val="00FF2E35"/>
    <w:rsid w:val="00FF34F8"/>
    <w:rsid w:val="00FF3508"/>
    <w:rsid w:val="00FF362D"/>
    <w:rsid w:val="00FF4BC1"/>
    <w:rsid w:val="00FF50B6"/>
    <w:rsid w:val="00FF51A3"/>
    <w:rsid w:val="00FF683C"/>
    <w:rsid w:val="00FF698E"/>
    <w:rsid w:val="00FF6D42"/>
    <w:rsid w:val="00FF6DBE"/>
    <w:rsid w:val="00FF6F69"/>
    <w:rsid w:val="00FF7C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3A0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2"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DDE"/>
    <w:pPr>
      <w:spacing w:after="24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qFormat/>
    <w:rsid w:val="00573DDE"/>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573DDE"/>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573DDE"/>
    <w:pPr>
      <w:keepNext/>
      <w:spacing w:before="60" w:after="60"/>
      <w:outlineLvl w:val="2"/>
    </w:pPr>
    <w:rPr>
      <w:rFonts w:cs="Arial"/>
      <w:b/>
      <w:bCs/>
      <w:szCs w:val="26"/>
    </w:rPr>
  </w:style>
  <w:style w:type="paragraph" w:styleId="Heading4">
    <w:name w:val="heading 4"/>
    <w:basedOn w:val="BodySubHeader"/>
    <w:next w:val="Normal"/>
    <w:link w:val="Heading4Char"/>
    <w:uiPriority w:val="2"/>
    <w:qFormat/>
    <w:rsid w:val="00573DDE"/>
    <w:pPr>
      <w:outlineLvl w:val="3"/>
    </w:pPr>
    <w:rPr>
      <w:rFonts w:cs="Arial"/>
    </w:rPr>
  </w:style>
  <w:style w:type="paragraph" w:styleId="Heading5">
    <w:name w:val="heading 5"/>
    <w:basedOn w:val="Normal"/>
    <w:next w:val="Normal"/>
    <w:link w:val="Heading5Char"/>
    <w:semiHidden/>
    <w:qFormat/>
    <w:rsid w:val="00573DDE"/>
    <w:pPr>
      <w:numPr>
        <w:ilvl w:val="4"/>
        <w:numId w:val="5"/>
      </w:numPr>
      <w:spacing w:before="240" w:after="60"/>
      <w:outlineLvl w:val="4"/>
    </w:pPr>
    <w:rPr>
      <w:b/>
      <w:bCs/>
      <w:i/>
      <w:iCs/>
      <w:sz w:val="26"/>
      <w:szCs w:val="26"/>
    </w:rPr>
  </w:style>
  <w:style w:type="paragraph" w:styleId="Heading6">
    <w:name w:val="heading 6"/>
    <w:basedOn w:val="Normal"/>
    <w:next w:val="Normal"/>
    <w:link w:val="Heading6Char"/>
    <w:semiHidden/>
    <w:qFormat/>
    <w:rsid w:val="00573DDE"/>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qFormat/>
    <w:rsid w:val="00573DDE"/>
    <w:pPr>
      <w:numPr>
        <w:ilvl w:val="6"/>
        <w:numId w:val="5"/>
      </w:numPr>
      <w:spacing w:before="240" w:after="60"/>
      <w:outlineLvl w:val="6"/>
    </w:pPr>
    <w:rPr>
      <w:rFonts w:ascii="Times New Roman" w:hAnsi="Times New Roman"/>
      <w:sz w:val="24"/>
    </w:rPr>
  </w:style>
  <w:style w:type="paragraph" w:styleId="Heading8">
    <w:name w:val="heading 8"/>
    <w:basedOn w:val="Normal"/>
    <w:next w:val="Normal"/>
    <w:link w:val="Heading8Char"/>
    <w:semiHidden/>
    <w:qFormat/>
    <w:rsid w:val="00573DDE"/>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573DDE"/>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3DDE"/>
    <w:rPr>
      <w:rFonts w:ascii="Arial" w:eastAsia="Times New Roman" w:hAnsi="Arial" w:cs="Arial"/>
      <w:bCs/>
      <w:color w:val="323232"/>
      <w:kern w:val="32"/>
      <w:sz w:val="53"/>
      <w:szCs w:val="32"/>
      <w:lang w:eastAsia="en-AU"/>
    </w:rPr>
  </w:style>
  <w:style w:type="character" w:customStyle="1" w:styleId="Heading2Char">
    <w:name w:val="Heading 2 Char"/>
    <w:basedOn w:val="DefaultParagraphFont"/>
    <w:link w:val="Heading2"/>
    <w:uiPriority w:val="1"/>
    <w:rsid w:val="00573DDE"/>
    <w:rPr>
      <w:rFonts w:ascii="Arial" w:eastAsia="Times New Roman" w:hAnsi="Arial" w:cs="Arial"/>
      <w:b/>
      <w:bCs/>
      <w:iCs/>
      <w:sz w:val="28"/>
      <w:szCs w:val="28"/>
      <w:lang w:eastAsia="en-AU"/>
    </w:rPr>
  </w:style>
  <w:style w:type="character" w:customStyle="1" w:styleId="Heading3Char">
    <w:name w:val="Heading 3 Char"/>
    <w:basedOn w:val="DefaultParagraphFont"/>
    <w:link w:val="Heading3"/>
    <w:uiPriority w:val="2"/>
    <w:rsid w:val="00573DDE"/>
    <w:rPr>
      <w:rFonts w:ascii="Arial" w:eastAsia="Times New Roman" w:hAnsi="Arial" w:cs="Arial"/>
      <w:b/>
      <w:bCs/>
      <w:sz w:val="20"/>
      <w:szCs w:val="26"/>
      <w:lang w:eastAsia="en-AU"/>
    </w:rPr>
  </w:style>
  <w:style w:type="character" w:customStyle="1" w:styleId="Heading4Char">
    <w:name w:val="Heading 4 Char"/>
    <w:basedOn w:val="DefaultParagraphFont"/>
    <w:link w:val="Heading4"/>
    <w:uiPriority w:val="2"/>
    <w:rsid w:val="00573DDE"/>
    <w:rPr>
      <w:rFonts w:ascii="Arial" w:eastAsia="Times New Roman" w:hAnsi="Arial" w:cs="Arial"/>
      <w:b/>
      <w:i/>
      <w:sz w:val="20"/>
      <w:szCs w:val="24"/>
      <w:lang w:eastAsia="en-AU"/>
    </w:rPr>
  </w:style>
  <w:style w:type="character" w:customStyle="1" w:styleId="Heading5Char">
    <w:name w:val="Heading 5 Char"/>
    <w:basedOn w:val="DefaultParagraphFont"/>
    <w:link w:val="Heading5"/>
    <w:semiHidden/>
    <w:rsid w:val="00573DDE"/>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semiHidden/>
    <w:rsid w:val="00573DDE"/>
    <w:rPr>
      <w:rFonts w:ascii="Times New Roman" w:eastAsia="Times New Roman" w:hAnsi="Times New Roman" w:cs="Times New Roman"/>
      <w:b/>
      <w:bCs/>
      <w:lang w:eastAsia="en-AU"/>
    </w:rPr>
  </w:style>
  <w:style w:type="character" w:customStyle="1" w:styleId="Heading7Char">
    <w:name w:val="Heading 7 Char"/>
    <w:basedOn w:val="DefaultParagraphFont"/>
    <w:link w:val="Heading7"/>
    <w:semiHidden/>
    <w:rsid w:val="00573DDE"/>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semiHidden/>
    <w:rsid w:val="00573DDE"/>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semiHidden/>
    <w:rsid w:val="00573DDE"/>
    <w:rPr>
      <w:rFonts w:ascii="Arial" w:eastAsia="Times New Roman" w:hAnsi="Arial" w:cs="Arial"/>
      <w:lang w:eastAsia="en-AU"/>
    </w:rPr>
  </w:style>
  <w:style w:type="paragraph" w:styleId="Header">
    <w:name w:val="header"/>
    <w:basedOn w:val="Normal"/>
    <w:link w:val="HeaderChar"/>
    <w:uiPriority w:val="99"/>
    <w:rsid w:val="00573DDE"/>
    <w:pPr>
      <w:tabs>
        <w:tab w:val="center" w:pos="4153"/>
        <w:tab w:val="right" w:pos="8306"/>
      </w:tabs>
      <w:spacing w:line="240" w:lineRule="auto"/>
    </w:pPr>
    <w:rPr>
      <w:sz w:val="16"/>
    </w:rPr>
  </w:style>
  <w:style w:type="character" w:customStyle="1" w:styleId="HeaderChar">
    <w:name w:val="Header Char"/>
    <w:basedOn w:val="DefaultParagraphFont"/>
    <w:link w:val="Header"/>
    <w:uiPriority w:val="99"/>
    <w:rsid w:val="00573DDE"/>
    <w:rPr>
      <w:rFonts w:ascii="Arial" w:eastAsia="Times New Roman" w:hAnsi="Arial" w:cs="Times New Roman"/>
      <w:sz w:val="16"/>
      <w:szCs w:val="24"/>
      <w:lang w:eastAsia="en-AU"/>
    </w:rPr>
  </w:style>
  <w:style w:type="paragraph" w:styleId="Footer">
    <w:name w:val="footer"/>
    <w:basedOn w:val="Normal"/>
    <w:link w:val="FooterChar"/>
    <w:qFormat/>
    <w:rsid w:val="00573DDE"/>
    <w:pPr>
      <w:tabs>
        <w:tab w:val="right" w:pos="113"/>
      </w:tabs>
      <w:spacing w:line="240" w:lineRule="auto"/>
    </w:pPr>
    <w:rPr>
      <w:color w:val="323232"/>
      <w:sz w:val="16"/>
    </w:rPr>
  </w:style>
  <w:style w:type="character" w:customStyle="1" w:styleId="FooterChar">
    <w:name w:val="Footer Char"/>
    <w:basedOn w:val="DefaultParagraphFont"/>
    <w:link w:val="Footer"/>
    <w:rsid w:val="00573DDE"/>
    <w:rPr>
      <w:rFonts w:ascii="Arial" w:eastAsia="Times New Roman" w:hAnsi="Arial" w:cs="Times New Roman"/>
      <w:color w:val="323232"/>
      <w:sz w:val="16"/>
      <w:szCs w:val="24"/>
      <w:lang w:eastAsia="en-AU"/>
    </w:rPr>
  </w:style>
  <w:style w:type="paragraph" w:customStyle="1" w:styleId="Reporttitle">
    <w:name w:val="Report title"/>
    <w:basedOn w:val="Normal"/>
    <w:uiPriority w:val="19"/>
    <w:qFormat/>
    <w:rsid w:val="00573DDE"/>
    <w:pPr>
      <w:spacing w:after="0" w:line="560" w:lineRule="exact"/>
    </w:pPr>
    <w:rPr>
      <w:b/>
      <w:spacing w:val="-28"/>
      <w:sz w:val="53"/>
    </w:rPr>
  </w:style>
  <w:style w:type="paragraph" w:customStyle="1" w:styleId="Reportsubtitle">
    <w:name w:val="Report subtitle"/>
    <w:basedOn w:val="Normal"/>
    <w:uiPriority w:val="20"/>
    <w:qFormat/>
    <w:rsid w:val="00573DDE"/>
    <w:pPr>
      <w:spacing w:after="200" w:line="560" w:lineRule="exact"/>
    </w:pPr>
    <w:rPr>
      <w:color w:val="323232"/>
      <w:spacing w:val="-28"/>
      <w:sz w:val="53"/>
    </w:rPr>
  </w:style>
  <w:style w:type="table" w:styleId="TableGrid">
    <w:name w:val="Table Grid"/>
    <w:basedOn w:val="TableNormal"/>
    <w:uiPriority w:val="39"/>
    <w:rsid w:val="00573DDE"/>
    <w:pPr>
      <w:spacing w:after="0" w:line="240" w:lineRule="atLeast"/>
    </w:pPr>
    <w:rPr>
      <w:rFonts w:ascii="Times New Roman" w:eastAsia="Times New Roman" w:hAnsi="Times New Roman"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573DDE"/>
    <w:pPr>
      <w:spacing w:after="1200" w:line="240" w:lineRule="auto"/>
    </w:pPr>
    <w:rPr>
      <w:caps/>
      <w:spacing w:val="-10"/>
      <w:sz w:val="20"/>
    </w:rPr>
  </w:style>
  <w:style w:type="paragraph" w:customStyle="1" w:styleId="Tableheaderrow">
    <w:name w:val="Table header row"/>
    <w:basedOn w:val="Normal"/>
    <w:uiPriority w:val="14"/>
    <w:qFormat/>
    <w:rsid w:val="00573DDE"/>
    <w:pPr>
      <w:spacing w:after="0"/>
    </w:pPr>
    <w:rPr>
      <w:b/>
    </w:rPr>
  </w:style>
  <w:style w:type="paragraph" w:customStyle="1" w:styleId="PageNumber">
    <w:name w:val="PageNumber"/>
    <w:basedOn w:val="Normal"/>
    <w:semiHidden/>
    <w:rsid w:val="00573DDE"/>
    <w:pPr>
      <w:spacing w:line="240" w:lineRule="auto"/>
    </w:pPr>
    <w:rPr>
      <w:sz w:val="16"/>
    </w:rPr>
  </w:style>
  <w:style w:type="paragraph" w:customStyle="1" w:styleId="Copyright">
    <w:name w:val="Copyright"/>
    <w:basedOn w:val="Normal"/>
    <w:semiHidden/>
    <w:rsid w:val="00573DDE"/>
    <w:pPr>
      <w:spacing w:line="160" w:lineRule="exact"/>
    </w:pPr>
    <w:rPr>
      <w:color w:val="4D4D4F"/>
      <w:sz w:val="13"/>
    </w:rPr>
  </w:style>
  <w:style w:type="paragraph" w:styleId="TOCHeading">
    <w:name w:val="TOC Heading"/>
    <w:basedOn w:val="Normal"/>
    <w:semiHidden/>
    <w:qFormat/>
    <w:rsid w:val="00573DDE"/>
    <w:pPr>
      <w:spacing w:before="1200" w:line="240" w:lineRule="auto"/>
    </w:pPr>
    <w:rPr>
      <w:b/>
      <w:color w:val="323232"/>
      <w:spacing w:val="-28"/>
      <w:sz w:val="53"/>
    </w:rPr>
  </w:style>
  <w:style w:type="paragraph" w:styleId="Caption">
    <w:name w:val="caption"/>
    <w:aliases w:val="Caption table"/>
    <w:basedOn w:val="Normal"/>
    <w:next w:val="Normal"/>
    <w:semiHidden/>
    <w:qFormat/>
    <w:rsid w:val="00573DDE"/>
    <w:pPr>
      <w:numPr>
        <w:numId w:val="9"/>
      </w:numPr>
      <w:spacing w:after="0"/>
    </w:pPr>
    <w:rPr>
      <w:b/>
      <w:bCs/>
      <w:color w:val="323232"/>
      <w:szCs w:val="20"/>
    </w:rPr>
  </w:style>
  <w:style w:type="paragraph" w:customStyle="1" w:styleId="BodySubHeader">
    <w:name w:val="BodySubHeader"/>
    <w:basedOn w:val="Normal"/>
    <w:next w:val="Normal"/>
    <w:semiHidden/>
    <w:rsid w:val="00573DDE"/>
    <w:pPr>
      <w:spacing w:before="240" w:after="0"/>
    </w:pPr>
    <w:rPr>
      <w:b/>
      <w:i/>
    </w:rPr>
  </w:style>
  <w:style w:type="paragraph" w:styleId="ListBullet">
    <w:name w:val="List Bullet"/>
    <w:basedOn w:val="Normal"/>
    <w:uiPriority w:val="99"/>
    <w:qFormat/>
    <w:rsid w:val="00573DDE"/>
    <w:pPr>
      <w:numPr>
        <w:numId w:val="1"/>
      </w:numPr>
      <w:spacing w:after="80"/>
    </w:pPr>
  </w:style>
  <w:style w:type="paragraph" w:styleId="ListBullet2">
    <w:name w:val="List Bullet 2"/>
    <w:basedOn w:val="Normal"/>
    <w:semiHidden/>
    <w:qFormat/>
    <w:rsid w:val="00573DDE"/>
    <w:pPr>
      <w:numPr>
        <w:numId w:val="2"/>
      </w:numPr>
      <w:spacing w:after="80"/>
    </w:pPr>
  </w:style>
  <w:style w:type="paragraph" w:styleId="ListNumber">
    <w:name w:val="List Number"/>
    <w:basedOn w:val="Normal"/>
    <w:semiHidden/>
    <w:qFormat/>
    <w:rsid w:val="00573DDE"/>
    <w:pPr>
      <w:numPr>
        <w:numId w:val="3"/>
      </w:numPr>
      <w:spacing w:after="80"/>
    </w:pPr>
  </w:style>
  <w:style w:type="paragraph" w:styleId="ListNumber2">
    <w:name w:val="List Number 2"/>
    <w:basedOn w:val="Normal"/>
    <w:semiHidden/>
    <w:qFormat/>
    <w:rsid w:val="00573DDE"/>
    <w:pPr>
      <w:numPr>
        <w:numId w:val="4"/>
      </w:numPr>
      <w:spacing w:after="80"/>
      <w:ind w:left="828" w:hanging="357"/>
    </w:pPr>
  </w:style>
  <w:style w:type="paragraph" w:customStyle="1" w:styleId="URLEmail">
    <w:name w:val="URL/Email"/>
    <w:basedOn w:val="Normal"/>
    <w:semiHidden/>
    <w:rsid w:val="00573DDE"/>
    <w:rPr>
      <w:color w:val="4D4D4F"/>
      <w:spacing w:val="4"/>
    </w:rPr>
  </w:style>
  <w:style w:type="paragraph" w:customStyle="1" w:styleId="Execsummaryheading">
    <w:name w:val="Exec summary heading"/>
    <w:basedOn w:val="Normal"/>
    <w:uiPriority w:val="22"/>
    <w:qFormat/>
    <w:rsid w:val="00573DDE"/>
    <w:pPr>
      <w:pageBreakBefore/>
      <w:spacing w:after="1440" w:line="550" w:lineRule="exact"/>
    </w:pPr>
    <w:rPr>
      <w:b/>
      <w:color w:val="323232"/>
      <w:spacing w:val="-18"/>
      <w:sz w:val="53"/>
    </w:rPr>
  </w:style>
  <w:style w:type="character" w:styleId="PageNumber0">
    <w:name w:val="page number"/>
    <w:basedOn w:val="DefaultParagraphFont"/>
    <w:semiHidden/>
    <w:rsid w:val="00573DDE"/>
  </w:style>
  <w:style w:type="paragraph" w:styleId="ListContinue5">
    <w:name w:val="List Continue 5"/>
    <w:basedOn w:val="Normal"/>
    <w:semiHidden/>
    <w:rsid w:val="00573DDE"/>
    <w:pPr>
      <w:spacing w:after="120"/>
      <w:ind w:left="1415"/>
      <w:contextualSpacing/>
    </w:pPr>
  </w:style>
  <w:style w:type="paragraph" w:customStyle="1" w:styleId="Paragraphbeforelist">
    <w:name w:val="Paragraph before list"/>
    <w:basedOn w:val="Paragraph"/>
    <w:uiPriority w:val="4"/>
    <w:qFormat/>
    <w:rsid w:val="00573DDE"/>
    <w:pPr>
      <w:spacing w:after="80"/>
    </w:pPr>
  </w:style>
  <w:style w:type="paragraph" w:styleId="TOC1">
    <w:name w:val="toc 1"/>
    <w:basedOn w:val="Normal"/>
    <w:next w:val="Normal"/>
    <w:uiPriority w:val="39"/>
    <w:qFormat/>
    <w:rsid w:val="00573DDE"/>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573DDE"/>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573DDE"/>
    <w:pPr>
      <w:tabs>
        <w:tab w:val="right" w:pos="7615"/>
      </w:tabs>
      <w:spacing w:line="320" w:lineRule="exact"/>
    </w:pPr>
    <w:rPr>
      <w:noProof/>
      <w:color w:val="808285"/>
      <w:sz w:val="28"/>
    </w:rPr>
  </w:style>
  <w:style w:type="paragraph" w:styleId="TOC3">
    <w:name w:val="toc 3"/>
    <w:basedOn w:val="Normal"/>
    <w:next w:val="Normal"/>
    <w:uiPriority w:val="39"/>
    <w:qFormat/>
    <w:rsid w:val="00573DDE"/>
    <w:pPr>
      <w:tabs>
        <w:tab w:val="right" w:pos="7661"/>
      </w:tabs>
      <w:spacing w:after="80" w:line="240" w:lineRule="auto"/>
    </w:pPr>
    <w:rPr>
      <w:noProof/>
      <w:sz w:val="22"/>
      <w:szCs w:val="22"/>
    </w:rPr>
  </w:style>
  <w:style w:type="character" w:styleId="Hyperlink">
    <w:name w:val="Hyperlink"/>
    <w:basedOn w:val="DefaultParagraphFont"/>
    <w:uiPriority w:val="99"/>
    <w:qFormat/>
    <w:rsid w:val="00573DDE"/>
    <w:rPr>
      <w:color w:val="0000FF"/>
      <w:u w:val="single" w:color="0000FF"/>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A,FR,Ref"/>
    <w:basedOn w:val="DefaultParagraphFont"/>
    <w:qFormat/>
    <w:rsid w:val="00573DDE"/>
    <w:rPr>
      <w:rFonts w:ascii="Arial" w:hAnsi="Arial"/>
      <w:vertAlign w:val="superscript"/>
    </w:rPr>
  </w:style>
  <w:style w:type="paragraph" w:styleId="FootnoteText">
    <w:name w:val="footnote text"/>
    <w:aliases w:val="Footnote text,ACMA Footnote Text,ALTS FOOTNOTE Char,Footnote Text Char Char,Footnote Text Char Char2 Char Char Char,Footnote Text Char1,Footnote Text Char1 Char Char Char,Footnote Text Char2 Char Char,fn Char,ABA Footnote Text"/>
    <w:basedOn w:val="Normal"/>
    <w:link w:val="FootnoteTextChar"/>
    <w:uiPriority w:val="99"/>
    <w:qFormat/>
    <w:rsid w:val="00A05A0C"/>
    <w:pPr>
      <w:spacing w:after="0" w:line="200" w:lineRule="atLeast"/>
    </w:pPr>
    <w:rPr>
      <w:sz w:val="16"/>
      <w:szCs w:val="16"/>
    </w:rPr>
  </w:style>
  <w:style w:type="character" w:customStyle="1" w:styleId="FootnoteTextChar">
    <w:name w:val="Footnote Text Char"/>
    <w:aliases w:val="Footnote text Char,ACMA Footnote Text Char,ALTS FOOTNOTE Char Char,Footnote Text Char Char Char,Footnote Text Char Char2 Char Char Char Char,Footnote Text Char1 Char,Footnote Text Char1 Char Char Char Char,fn Char Char"/>
    <w:basedOn w:val="DefaultParagraphFont"/>
    <w:link w:val="FootnoteText"/>
    <w:uiPriority w:val="99"/>
    <w:rsid w:val="00A05A0C"/>
    <w:rPr>
      <w:rFonts w:ascii="Arial" w:eastAsia="Times New Roman" w:hAnsi="Arial" w:cs="Times New Roman"/>
      <w:sz w:val="16"/>
      <w:szCs w:val="16"/>
      <w:lang w:eastAsia="en-AU"/>
    </w:rPr>
  </w:style>
  <w:style w:type="paragraph" w:customStyle="1" w:styleId="TableBody">
    <w:name w:val="Table Body"/>
    <w:basedOn w:val="Normal"/>
    <w:uiPriority w:val="15"/>
    <w:qFormat/>
    <w:rsid w:val="00573DDE"/>
    <w:pPr>
      <w:spacing w:after="0" w:line="240" w:lineRule="auto"/>
    </w:pPr>
  </w:style>
  <w:style w:type="character" w:styleId="CommentReference">
    <w:name w:val="annotation reference"/>
    <w:basedOn w:val="DefaultParagraphFont"/>
    <w:uiPriority w:val="99"/>
    <w:semiHidden/>
    <w:rsid w:val="00573DDE"/>
    <w:rPr>
      <w:sz w:val="16"/>
      <w:szCs w:val="16"/>
    </w:rPr>
  </w:style>
  <w:style w:type="paragraph" w:styleId="CommentText">
    <w:name w:val="annotation text"/>
    <w:basedOn w:val="Normal"/>
    <w:link w:val="CommentTextChar"/>
    <w:uiPriority w:val="99"/>
    <w:rsid w:val="00573DDE"/>
    <w:pPr>
      <w:spacing w:line="240" w:lineRule="auto"/>
    </w:pPr>
    <w:rPr>
      <w:szCs w:val="20"/>
    </w:rPr>
  </w:style>
  <w:style w:type="character" w:customStyle="1" w:styleId="CommentTextChar">
    <w:name w:val="Comment Text Char"/>
    <w:basedOn w:val="DefaultParagraphFont"/>
    <w:link w:val="CommentText"/>
    <w:uiPriority w:val="99"/>
    <w:rsid w:val="00573DDE"/>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rsid w:val="00573DDE"/>
    <w:rPr>
      <w:b/>
      <w:bCs/>
    </w:rPr>
  </w:style>
  <w:style w:type="character" w:customStyle="1" w:styleId="CommentSubjectChar">
    <w:name w:val="Comment Subject Char"/>
    <w:basedOn w:val="CommentTextChar"/>
    <w:link w:val="CommentSubject"/>
    <w:uiPriority w:val="99"/>
    <w:semiHidden/>
    <w:rsid w:val="00573DDE"/>
    <w:rPr>
      <w:rFonts w:ascii="Arial" w:eastAsia="Times New Roman" w:hAnsi="Arial" w:cs="Times New Roman"/>
      <w:b/>
      <w:bCs/>
      <w:sz w:val="20"/>
      <w:szCs w:val="20"/>
      <w:lang w:eastAsia="en-AU"/>
    </w:rPr>
  </w:style>
  <w:style w:type="character" w:styleId="FollowedHyperlink">
    <w:name w:val="FollowedHyperlink"/>
    <w:basedOn w:val="DefaultParagraphFont"/>
    <w:uiPriority w:val="99"/>
    <w:semiHidden/>
    <w:rsid w:val="00573DDE"/>
    <w:rPr>
      <w:color w:val="954F72" w:themeColor="followedHyperlink"/>
      <w:u w:val="single"/>
    </w:rPr>
  </w:style>
  <w:style w:type="character" w:styleId="PlaceholderText">
    <w:name w:val="Placeholder Text"/>
    <w:basedOn w:val="DefaultParagraphFont"/>
    <w:uiPriority w:val="99"/>
    <w:semiHidden/>
    <w:rsid w:val="00573DDE"/>
    <w:rPr>
      <w:color w:val="808080"/>
    </w:rPr>
  </w:style>
  <w:style w:type="paragraph" w:customStyle="1" w:styleId="ACMAInstructions">
    <w:name w:val="ACMA_Instructions"/>
    <w:basedOn w:val="Normal"/>
    <w:semiHidden/>
    <w:unhideWhenUsed/>
    <w:qFormat/>
    <w:rsid w:val="00573DDE"/>
    <w:pPr>
      <w:spacing w:after="200"/>
    </w:pPr>
    <w:rPr>
      <w:rFonts w:cs="Arial"/>
      <w:b/>
      <w:vanish/>
      <w:sz w:val="24"/>
    </w:rPr>
  </w:style>
  <w:style w:type="paragraph" w:customStyle="1" w:styleId="CorporateAddresses">
    <w:name w:val="Corporate Addresses"/>
    <w:basedOn w:val="Normal"/>
    <w:semiHidden/>
    <w:rsid w:val="00573DDE"/>
    <w:pPr>
      <w:spacing w:line="140" w:lineRule="exact"/>
    </w:pPr>
    <w:rPr>
      <w:color w:val="4D4D4F"/>
      <w:sz w:val="13"/>
    </w:rPr>
  </w:style>
  <w:style w:type="paragraph" w:customStyle="1" w:styleId="Bulletlevel1">
    <w:name w:val="Bullet level 1"/>
    <w:basedOn w:val="ListBullet"/>
    <w:uiPriority w:val="5"/>
    <w:qFormat/>
    <w:rsid w:val="00653C4C"/>
    <w:pPr>
      <w:ind w:left="357" w:hanging="357"/>
    </w:pPr>
    <w:rPr>
      <w:rFonts w:eastAsiaTheme="minorHAnsi" w:cs="Arial"/>
    </w:rPr>
  </w:style>
  <w:style w:type="paragraph" w:customStyle="1" w:styleId="ACMACorporateAddressHeader">
    <w:name w:val="ACMA_CorporateAddressHeader"/>
    <w:basedOn w:val="Normal"/>
    <w:next w:val="ACMACorporateAddresses"/>
    <w:semiHidden/>
    <w:unhideWhenUsed/>
    <w:qFormat/>
    <w:rsid w:val="00573DDE"/>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573DDE"/>
    <w:pPr>
      <w:spacing w:before="0" w:after="120"/>
    </w:pPr>
    <w:rPr>
      <w:b w:val="0"/>
    </w:rPr>
  </w:style>
  <w:style w:type="paragraph" w:customStyle="1" w:styleId="ACMACopyrightHeader">
    <w:name w:val="ACMA_CopyrightHeader"/>
    <w:basedOn w:val="ACMACorporateAddressHeader"/>
    <w:semiHidden/>
    <w:unhideWhenUsed/>
    <w:qFormat/>
    <w:rsid w:val="00573DDE"/>
    <w:pPr>
      <w:spacing w:before="3000"/>
    </w:pPr>
  </w:style>
  <w:style w:type="paragraph" w:customStyle="1" w:styleId="ACMACClogo">
    <w:name w:val="ACMA_CClogo"/>
    <w:semiHidden/>
    <w:unhideWhenUsed/>
    <w:qFormat/>
    <w:rsid w:val="00573DDE"/>
    <w:pPr>
      <w:spacing w:before="160" w:after="120" w:line="240" w:lineRule="auto"/>
    </w:pPr>
    <w:rPr>
      <w:rFonts w:ascii="Arial" w:eastAsia="Times New Roman" w:hAnsi="Arial" w:cs="Times New Roman"/>
      <w:b/>
      <w:sz w:val="13"/>
      <w:szCs w:val="24"/>
      <w:lang w:eastAsia="en-AU"/>
    </w:rPr>
  </w:style>
  <w:style w:type="paragraph" w:customStyle="1" w:styleId="ListBulletLast">
    <w:name w:val="List Bullet Last"/>
    <w:basedOn w:val="ListBullet"/>
    <w:qFormat/>
    <w:rsid w:val="00573DDE"/>
    <w:pPr>
      <w:spacing w:after="240"/>
    </w:pPr>
    <w:rPr>
      <w:rFonts w:cs="Arial"/>
    </w:rPr>
  </w:style>
  <w:style w:type="paragraph" w:customStyle="1" w:styleId="ListNumberLast">
    <w:name w:val="List Number Last"/>
    <w:basedOn w:val="ListNumber"/>
    <w:semiHidden/>
    <w:qFormat/>
    <w:rsid w:val="00573DDE"/>
    <w:pPr>
      <w:spacing w:after="240"/>
      <w:ind w:left="357" w:hanging="357"/>
    </w:pPr>
    <w:rPr>
      <w:rFonts w:cs="Arial"/>
    </w:rPr>
  </w:style>
  <w:style w:type="paragraph" w:customStyle="1" w:styleId="ACMATableHeader">
    <w:name w:val="ACMA_TableHeader"/>
    <w:semiHidden/>
    <w:qFormat/>
    <w:rsid w:val="00573DDE"/>
    <w:pPr>
      <w:numPr>
        <w:numId w:val="7"/>
      </w:numPr>
      <w:spacing w:line="240" w:lineRule="auto"/>
    </w:pPr>
    <w:rPr>
      <w:rFonts w:ascii="Arial" w:eastAsia="Times New Roman" w:hAnsi="Arial" w:cs="Times New Roman"/>
      <w:b/>
      <w:bCs/>
      <w:color w:val="323232"/>
      <w:sz w:val="20"/>
      <w:szCs w:val="20"/>
      <w:lang w:eastAsia="en-AU"/>
    </w:rPr>
  </w:style>
  <w:style w:type="paragraph" w:customStyle="1" w:styleId="ACMANotes">
    <w:name w:val="ACMA_Notes"/>
    <w:semiHidden/>
    <w:qFormat/>
    <w:rsid w:val="00573DDE"/>
    <w:pPr>
      <w:spacing w:before="80" w:after="0" w:line="240" w:lineRule="auto"/>
    </w:pPr>
    <w:rPr>
      <w:rFonts w:ascii="Arial" w:eastAsia="Times New Roman" w:hAnsi="Arial" w:cs="Arial"/>
      <w:i/>
      <w:sz w:val="16"/>
      <w:szCs w:val="24"/>
      <w:lang w:eastAsia="en-AU"/>
    </w:rPr>
  </w:style>
  <w:style w:type="paragraph" w:customStyle="1" w:styleId="Numberlistlevel1">
    <w:name w:val="Number list level 1"/>
    <w:basedOn w:val="ListNumber"/>
    <w:uiPriority w:val="9"/>
    <w:qFormat/>
    <w:rsid w:val="00573DDE"/>
  </w:style>
  <w:style w:type="character" w:styleId="Emphasis">
    <w:name w:val="Emphasis"/>
    <w:basedOn w:val="DefaultParagraphFont"/>
    <w:uiPriority w:val="20"/>
    <w:qFormat/>
    <w:rsid w:val="00573DDE"/>
    <w:rPr>
      <w:i/>
      <w:iCs/>
    </w:rPr>
  </w:style>
  <w:style w:type="paragraph" w:customStyle="1" w:styleId="ListNumber2Last">
    <w:name w:val="List Number 2 Last"/>
    <w:basedOn w:val="ListNumber2"/>
    <w:semiHidden/>
    <w:qFormat/>
    <w:rsid w:val="00573DDE"/>
    <w:pPr>
      <w:spacing w:after="240"/>
      <w:ind w:left="907"/>
    </w:pPr>
    <w:rPr>
      <w:rFonts w:cs="Arial"/>
    </w:rPr>
  </w:style>
  <w:style w:type="paragraph" w:customStyle="1" w:styleId="Spaceaftertable">
    <w:name w:val="Space after table"/>
    <w:basedOn w:val="Normal"/>
    <w:uiPriority w:val="99"/>
    <w:qFormat/>
    <w:rsid w:val="00573DDE"/>
    <w:rPr>
      <w:rFonts w:cs="Arial"/>
    </w:rPr>
  </w:style>
  <w:style w:type="paragraph" w:customStyle="1" w:styleId="FooterLeft">
    <w:name w:val="Footer Left"/>
    <w:basedOn w:val="Footer"/>
    <w:semiHidden/>
    <w:qFormat/>
    <w:rsid w:val="00573DDE"/>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573DDE"/>
    <w:pPr>
      <w:numPr>
        <w:numId w:val="6"/>
      </w:numPr>
      <w:spacing w:line="240" w:lineRule="auto"/>
    </w:pPr>
    <w:rPr>
      <w:rFonts w:ascii="Arial" w:eastAsia="Times New Roman" w:hAnsi="Arial" w:cs="Times New Roman"/>
      <w:b/>
      <w:bCs/>
      <w:color w:val="323232"/>
      <w:sz w:val="20"/>
      <w:szCs w:val="20"/>
      <w:lang w:eastAsia="en-AU"/>
    </w:rPr>
  </w:style>
  <w:style w:type="paragraph" w:customStyle="1" w:styleId="Captionfigure">
    <w:name w:val="Caption figure"/>
    <w:basedOn w:val="Caption"/>
    <w:semiHidden/>
    <w:qFormat/>
    <w:rsid w:val="00573DDE"/>
    <w:pPr>
      <w:keepNext/>
      <w:numPr>
        <w:numId w:val="8"/>
      </w:numPr>
    </w:pPr>
    <w:rPr>
      <w:rFonts w:cs="Arial"/>
    </w:rPr>
  </w:style>
  <w:style w:type="paragraph" w:customStyle="1" w:styleId="GridTable31">
    <w:name w:val="Grid Table 31"/>
    <w:basedOn w:val="Normal"/>
    <w:semiHidden/>
    <w:qFormat/>
    <w:rsid w:val="00573DDE"/>
    <w:pPr>
      <w:spacing w:after="0" w:line="240" w:lineRule="auto"/>
    </w:pPr>
    <w:rPr>
      <w:b/>
      <w:color w:val="4D4D4F"/>
      <w:spacing w:val="-28"/>
      <w:sz w:val="53"/>
    </w:rPr>
  </w:style>
  <w:style w:type="character" w:customStyle="1" w:styleId="UnresolvedMention1">
    <w:name w:val="Unresolved Mention1"/>
    <w:basedOn w:val="DefaultParagraphFont"/>
    <w:uiPriority w:val="99"/>
    <w:semiHidden/>
    <w:unhideWhenUsed/>
    <w:rsid w:val="00573DDE"/>
    <w:rPr>
      <w:color w:val="605E5C"/>
      <w:shd w:val="clear" w:color="auto" w:fill="E1DFDD"/>
    </w:rPr>
  </w:style>
  <w:style w:type="paragraph" w:customStyle="1" w:styleId="Paragraph">
    <w:name w:val="Paragraph"/>
    <w:basedOn w:val="Normal"/>
    <w:qFormat/>
    <w:rsid w:val="00573DDE"/>
    <w:rPr>
      <w:rFonts w:cs="Arial"/>
    </w:rPr>
  </w:style>
  <w:style w:type="paragraph" w:customStyle="1" w:styleId="Bulletlevel2">
    <w:name w:val="Bullet level 2"/>
    <w:basedOn w:val="ListBullet2"/>
    <w:uiPriority w:val="7"/>
    <w:qFormat/>
    <w:rsid w:val="00573DDE"/>
    <w:rPr>
      <w:rFonts w:cs="Arial"/>
    </w:rPr>
  </w:style>
  <w:style w:type="paragraph" w:customStyle="1" w:styleId="Bulletlevel1last">
    <w:name w:val="Bullet level 1 last"/>
    <w:basedOn w:val="Bulletlevel1"/>
    <w:uiPriority w:val="6"/>
    <w:qFormat/>
    <w:rsid w:val="007514EA"/>
    <w:pPr>
      <w:spacing w:after="240"/>
    </w:pPr>
  </w:style>
  <w:style w:type="paragraph" w:customStyle="1" w:styleId="Numberlistlevel2">
    <w:name w:val="Number list level 2"/>
    <w:basedOn w:val="ListNumber2"/>
    <w:uiPriority w:val="11"/>
    <w:qFormat/>
    <w:rsid w:val="00573DDE"/>
  </w:style>
  <w:style w:type="paragraph" w:customStyle="1" w:styleId="Numberlistlast">
    <w:name w:val="Number list last"/>
    <w:basedOn w:val="ListNumberLast"/>
    <w:uiPriority w:val="10"/>
    <w:qFormat/>
    <w:rsid w:val="00573DDE"/>
  </w:style>
  <w:style w:type="paragraph" w:customStyle="1" w:styleId="Numberlistlevel2last">
    <w:name w:val="Number list level 2 last"/>
    <w:basedOn w:val="Numberlistlevel2"/>
    <w:uiPriority w:val="12"/>
    <w:qFormat/>
    <w:rsid w:val="00573DDE"/>
    <w:pPr>
      <w:spacing w:after="240"/>
    </w:pPr>
  </w:style>
  <w:style w:type="paragraph" w:customStyle="1" w:styleId="Bulletlevel2last">
    <w:name w:val="Bullet level 2 last"/>
    <w:basedOn w:val="Bulletlevel2"/>
    <w:uiPriority w:val="8"/>
    <w:qFormat/>
    <w:rsid w:val="00573DDE"/>
    <w:pPr>
      <w:spacing w:after="240"/>
    </w:pPr>
  </w:style>
  <w:style w:type="table" w:customStyle="1" w:styleId="ACMAtablestyle">
    <w:name w:val="ACMA table style"/>
    <w:basedOn w:val="TableNormal"/>
    <w:uiPriority w:val="99"/>
    <w:rsid w:val="00573DDE"/>
    <w:pPr>
      <w:spacing w:after="0" w:line="240" w:lineRule="auto"/>
    </w:pPr>
    <w:rPr>
      <w:rFonts w:ascii="Arial" w:eastAsia="Times New Roman" w:hAnsi="Arial" w:cs="Times New Roman"/>
      <w:sz w:val="20"/>
      <w:szCs w:val="24"/>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573DDE"/>
    <w:pPr>
      <w:keepNext/>
      <w:spacing w:line="240" w:lineRule="atLeast"/>
    </w:pPr>
  </w:style>
  <w:style w:type="paragraph" w:customStyle="1" w:styleId="Tableorfigurenote">
    <w:name w:val="Table or figure note"/>
    <w:basedOn w:val="ACMANotes"/>
    <w:uiPriority w:val="17"/>
    <w:qFormat/>
    <w:rsid w:val="00573DDE"/>
    <w:pPr>
      <w:spacing w:after="240"/>
    </w:pPr>
  </w:style>
  <w:style w:type="paragraph" w:customStyle="1" w:styleId="Figureheading">
    <w:name w:val="Figure heading"/>
    <w:basedOn w:val="ACMAFigureHeader"/>
    <w:uiPriority w:val="16"/>
    <w:qFormat/>
    <w:rsid w:val="00573DDE"/>
    <w:pPr>
      <w:keepNext/>
      <w:spacing w:line="240" w:lineRule="atLeast"/>
    </w:pPr>
  </w:style>
  <w:style w:type="paragraph" w:customStyle="1" w:styleId="Tableorfigurenotemultiple">
    <w:name w:val="Table or figure note multiple"/>
    <w:basedOn w:val="Tableorfigurenote"/>
    <w:uiPriority w:val="18"/>
    <w:qFormat/>
    <w:rsid w:val="00573DDE"/>
    <w:pPr>
      <w:spacing w:after="80"/>
    </w:pPr>
  </w:style>
  <w:style w:type="paragraph" w:styleId="BalloonText">
    <w:name w:val="Balloon Text"/>
    <w:basedOn w:val="Normal"/>
    <w:link w:val="BalloonTextChar"/>
    <w:semiHidden/>
    <w:unhideWhenUsed/>
    <w:rsid w:val="00573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73DDE"/>
    <w:rPr>
      <w:rFonts w:ascii="Segoe UI" w:eastAsia="Times New Roman" w:hAnsi="Segoe UI" w:cs="Segoe UI"/>
      <w:sz w:val="18"/>
      <w:szCs w:val="18"/>
      <w:lang w:eastAsia="en-AU"/>
    </w:rPr>
  </w:style>
  <w:style w:type="paragraph" w:styleId="ListParagraph">
    <w:name w:val="List Paragraph"/>
    <w:aliases w:val="Bullet List,Bullet li,Bulletr List Paragraph,FooterText,L,List Paragraph1,List Paragraph2,List Paragraph21,Listeafsnit1,Paragraphe de liste1,Parágrafo da Lista1,Párrafo de lista1,Recommendation,bullet point list,numbered,リスト段落1,列出段落,列出段落1"/>
    <w:basedOn w:val="Normal"/>
    <w:link w:val="ListParagraphChar"/>
    <w:uiPriority w:val="34"/>
    <w:qFormat/>
    <w:rsid w:val="00573DDE"/>
    <w:pPr>
      <w:spacing w:after="160" w:line="259"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573DDE"/>
    <w:pPr>
      <w:spacing w:after="0" w:line="240" w:lineRule="auto"/>
    </w:pPr>
    <w:rPr>
      <w:rFonts w:ascii="Arial" w:eastAsia="Times New Roman" w:hAnsi="Arial" w:cs="Times New Roman"/>
      <w:sz w:val="20"/>
      <w:szCs w:val="24"/>
      <w:lang w:eastAsia="en-AU"/>
    </w:rPr>
  </w:style>
  <w:style w:type="paragraph" w:customStyle="1" w:styleId="ACMABodyText">
    <w:name w:val="ACMA Body Text"/>
    <w:link w:val="ACMABodyTextChar"/>
    <w:rsid w:val="00573DDE"/>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letteredlist">
    <w:name w:val="ACMA lettered list"/>
    <w:rsid w:val="00573DDE"/>
    <w:pPr>
      <w:numPr>
        <w:numId w:val="10"/>
      </w:numPr>
      <w:tabs>
        <w:tab w:val="clear" w:pos="360"/>
      </w:tabs>
      <w:spacing w:before="20" w:after="20" w:line="240" w:lineRule="auto"/>
    </w:pPr>
    <w:rPr>
      <w:rFonts w:ascii="Times New Roman" w:eastAsia="Times New Roman" w:hAnsi="Times New Roman" w:cs="Times New Roman"/>
      <w:sz w:val="24"/>
      <w:szCs w:val="20"/>
    </w:rPr>
  </w:style>
  <w:style w:type="character" w:customStyle="1" w:styleId="ACMABodyTextChar">
    <w:name w:val="ACMA Body Text Char"/>
    <w:basedOn w:val="DefaultParagraphFont"/>
    <w:link w:val="ACMABodyText"/>
    <w:locked/>
    <w:rsid w:val="00573DDE"/>
    <w:rPr>
      <w:rFonts w:ascii="Times New Roman" w:eastAsia="Times New Roman" w:hAnsi="Times New Roman" w:cs="Times New Roman"/>
      <w:snapToGrid w:val="0"/>
      <w:sz w:val="24"/>
      <w:szCs w:val="20"/>
    </w:rPr>
  </w:style>
  <w:style w:type="paragraph" w:styleId="NormalWeb">
    <w:name w:val="Normal (Web)"/>
    <w:basedOn w:val="Normal"/>
    <w:uiPriority w:val="99"/>
    <w:unhideWhenUsed/>
    <w:rsid w:val="00573DDE"/>
    <w:rPr>
      <w:rFonts w:ascii="Times New Roman" w:hAnsi="Times New Roman"/>
      <w:sz w:val="24"/>
    </w:rPr>
  </w:style>
  <w:style w:type="paragraph" w:customStyle="1" w:styleId="TableText">
    <w:name w:val="TableText"/>
    <w:basedOn w:val="Normal"/>
    <w:qFormat/>
    <w:rsid w:val="00573DDE"/>
    <w:pPr>
      <w:spacing w:before="120" w:after="120" w:line="240" w:lineRule="auto"/>
    </w:pPr>
    <w:rPr>
      <w:rFonts w:ascii="Century Gothic" w:eastAsiaTheme="majorEastAsia" w:hAnsi="Century Gothic" w:cs="Arial"/>
      <w:bCs/>
      <w:szCs w:val="20"/>
      <w:lang w:eastAsia="en-US"/>
    </w:r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basedOn w:val="DefaultParagraphFont"/>
    <w:link w:val="ListParagraph"/>
    <w:uiPriority w:val="34"/>
    <w:qFormat/>
    <w:rsid w:val="00573DDE"/>
  </w:style>
  <w:style w:type="character" w:customStyle="1" w:styleId="cf01">
    <w:name w:val="cf01"/>
    <w:basedOn w:val="DefaultParagraphFont"/>
    <w:rsid w:val="00573DDE"/>
    <w:rPr>
      <w:rFonts w:ascii="Segoe UI" w:hAnsi="Segoe UI" w:cs="Segoe UI" w:hint="default"/>
      <w:sz w:val="18"/>
      <w:szCs w:val="18"/>
    </w:rPr>
  </w:style>
  <w:style w:type="paragraph" w:styleId="BodyText">
    <w:name w:val="Body Text"/>
    <w:basedOn w:val="Normal"/>
    <w:link w:val="BodyTextChar"/>
    <w:uiPriority w:val="1"/>
    <w:qFormat/>
    <w:rsid w:val="00573DDE"/>
    <w:pPr>
      <w:widowControl w:val="0"/>
      <w:spacing w:before="113" w:after="0" w:line="240" w:lineRule="auto"/>
      <w:ind w:left="673"/>
    </w:pPr>
    <w:rPr>
      <w:rFonts w:ascii="Segoe UI Light" w:eastAsia="Segoe UI Light" w:hAnsi="Segoe UI Light" w:cstheme="minorBidi"/>
      <w:sz w:val="21"/>
      <w:szCs w:val="21"/>
      <w:lang w:val="en-US" w:eastAsia="en-US"/>
    </w:rPr>
  </w:style>
  <w:style w:type="character" w:customStyle="1" w:styleId="BodyTextChar">
    <w:name w:val="Body Text Char"/>
    <w:basedOn w:val="DefaultParagraphFont"/>
    <w:link w:val="BodyText"/>
    <w:uiPriority w:val="1"/>
    <w:rsid w:val="00573DDE"/>
    <w:rPr>
      <w:rFonts w:ascii="Segoe UI Light" w:eastAsia="Segoe UI Light" w:hAnsi="Segoe UI Light"/>
      <w:sz w:val="21"/>
      <w:szCs w:val="21"/>
      <w:lang w:val="en-US"/>
    </w:rPr>
  </w:style>
  <w:style w:type="paragraph" w:customStyle="1" w:styleId="subsection">
    <w:name w:val="subsection"/>
    <w:aliases w:val="ss"/>
    <w:basedOn w:val="Normal"/>
    <w:link w:val="subsectionChar"/>
    <w:rsid w:val="00573DDE"/>
    <w:pPr>
      <w:tabs>
        <w:tab w:val="right" w:pos="1021"/>
      </w:tabs>
      <w:spacing w:before="180" w:after="0" w:line="240" w:lineRule="auto"/>
      <w:ind w:left="1134" w:hanging="1134"/>
    </w:pPr>
    <w:rPr>
      <w:rFonts w:ascii="Times New Roman" w:hAnsi="Times New Roman"/>
      <w:sz w:val="22"/>
      <w:szCs w:val="20"/>
    </w:rPr>
  </w:style>
  <w:style w:type="character" w:customStyle="1" w:styleId="subsectionChar">
    <w:name w:val="subsection Char"/>
    <w:aliases w:val="ss Char"/>
    <w:basedOn w:val="DefaultParagraphFont"/>
    <w:link w:val="subsection"/>
    <w:locked/>
    <w:rsid w:val="00573DDE"/>
    <w:rPr>
      <w:rFonts w:ascii="Times New Roman" w:eastAsia="Times New Roman" w:hAnsi="Times New Roman" w:cs="Times New Roman"/>
      <w:szCs w:val="20"/>
      <w:lang w:eastAsia="en-AU"/>
    </w:rPr>
  </w:style>
  <w:style w:type="paragraph" w:customStyle="1" w:styleId="ACMANumberedList">
    <w:name w:val="ACMA Numbered List"/>
    <w:rsid w:val="00573DDE"/>
    <w:pPr>
      <w:numPr>
        <w:numId w:val="11"/>
      </w:numPr>
      <w:spacing w:before="20" w:after="20" w:line="240" w:lineRule="auto"/>
    </w:pPr>
    <w:rPr>
      <w:rFonts w:ascii="Times New Roman" w:eastAsia="Times New Roman" w:hAnsi="Times New Roman" w:cs="Times New Roman"/>
      <w:sz w:val="24"/>
      <w:szCs w:val="20"/>
    </w:rPr>
  </w:style>
  <w:style w:type="paragraph" w:customStyle="1" w:styleId="AreaHeading">
    <w:name w:val="Area Heading"/>
    <w:basedOn w:val="Normal"/>
    <w:qFormat/>
    <w:rsid w:val="00573DDE"/>
    <w:pPr>
      <w:suppressAutoHyphens/>
      <w:spacing w:after="80" w:line="240" w:lineRule="auto"/>
      <w:ind w:left="-1020" w:firstLine="1020"/>
    </w:pPr>
    <w:rPr>
      <w:rFonts w:asciiTheme="minorHAnsi" w:eastAsiaTheme="minorHAnsi" w:hAnsiTheme="minorHAnsi" w:cs="Times New Roman (Body CS)"/>
      <w:caps/>
      <w:color w:val="806000" w:themeColor="accent4" w:themeShade="80"/>
      <w:sz w:val="22"/>
      <w:szCs w:val="22"/>
      <w:lang w:eastAsia="en-US"/>
    </w:rPr>
  </w:style>
  <w:style w:type="paragraph" w:customStyle="1" w:styleId="ACMABulletLevel1">
    <w:name w:val="ACMA Bullet Level 1"/>
    <w:rsid w:val="00573DDE"/>
    <w:pPr>
      <w:numPr>
        <w:numId w:val="13"/>
      </w:numPr>
      <w:spacing w:after="120" w:line="240" w:lineRule="auto"/>
    </w:pPr>
    <w:rPr>
      <w:rFonts w:ascii="Times New Roman" w:eastAsia="Times New Roman" w:hAnsi="Times New Roman" w:cs="Times New Roman"/>
      <w:sz w:val="24"/>
      <w:szCs w:val="20"/>
    </w:rPr>
  </w:style>
  <w:style w:type="paragraph" w:customStyle="1" w:styleId="ACMASpaceaftertable">
    <w:name w:val="ACMA_Space after table"/>
    <w:basedOn w:val="Normal"/>
    <w:qFormat/>
    <w:rsid w:val="00573DDE"/>
    <w:rPr>
      <w:rFonts w:cs="Arial"/>
    </w:rPr>
  </w:style>
  <w:style w:type="character" w:customStyle="1" w:styleId="UnresolvedMention">
    <w:name w:val="Unresolved Mention"/>
    <w:basedOn w:val="DefaultParagraphFont"/>
    <w:uiPriority w:val="99"/>
    <w:semiHidden/>
    <w:unhideWhenUsed/>
    <w:rsid w:val="004E036C"/>
    <w:rPr>
      <w:color w:val="605E5C"/>
      <w:shd w:val="clear" w:color="auto" w:fill="E1DFDD"/>
    </w:rPr>
  </w:style>
  <w:style w:type="paragraph" w:customStyle="1" w:styleId="TableHeading0">
    <w:name w:val="Table Heading"/>
    <w:basedOn w:val="Normal"/>
    <w:uiPriority w:val="14"/>
    <w:qFormat/>
    <w:rsid w:val="001A6FD3"/>
    <w:pPr>
      <w:keepNext/>
      <w:spacing w:before="60" w:after="60" w:line="240" w:lineRule="auto"/>
    </w:pPr>
    <w:rPr>
      <w:rFonts w:ascii="Cambria" w:eastAsiaTheme="minorHAnsi" w:hAnsi="Cambria" w:cstheme="minorBidi"/>
      <w:b/>
      <w:sz w:val="18"/>
      <w:szCs w:val="22"/>
      <w:lang w:eastAsia="en-US"/>
    </w:rPr>
  </w:style>
  <w:style w:type="table" w:customStyle="1" w:styleId="ABAREStableleftalign">
    <w:name w:val="ABARES table (left align)"/>
    <w:basedOn w:val="TableNormal"/>
    <w:uiPriority w:val="99"/>
    <w:rsid w:val="001A6FD3"/>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character" w:customStyle="1" w:styleId="Mention">
    <w:name w:val="Mention"/>
    <w:basedOn w:val="DefaultParagraphFont"/>
    <w:uiPriority w:val="99"/>
    <w:unhideWhenUsed/>
    <w:rsid w:val="001A6FD3"/>
    <w:rPr>
      <w:color w:val="2B579A"/>
      <w:shd w:val="clear" w:color="auto" w:fill="E1DFDD"/>
    </w:rPr>
  </w:style>
  <w:style w:type="character" w:customStyle="1" w:styleId="normaltextrun">
    <w:name w:val="normaltextrun"/>
    <w:basedOn w:val="DefaultParagraphFont"/>
    <w:rsid w:val="00165EF7"/>
  </w:style>
  <w:style w:type="paragraph" w:styleId="EndnoteText">
    <w:name w:val="endnote text"/>
    <w:basedOn w:val="Normal"/>
    <w:link w:val="EndnoteTextChar"/>
    <w:uiPriority w:val="99"/>
    <w:semiHidden/>
    <w:unhideWhenUsed/>
    <w:rsid w:val="00FB3698"/>
    <w:pPr>
      <w:spacing w:after="0" w:line="240" w:lineRule="auto"/>
    </w:pPr>
    <w:rPr>
      <w:szCs w:val="20"/>
    </w:rPr>
  </w:style>
  <w:style w:type="character" w:customStyle="1" w:styleId="EndnoteTextChar">
    <w:name w:val="Endnote Text Char"/>
    <w:basedOn w:val="DefaultParagraphFont"/>
    <w:link w:val="EndnoteText"/>
    <w:uiPriority w:val="99"/>
    <w:semiHidden/>
    <w:rsid w:val="00FB3698"/>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FB36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6228">
      <w:bodyDiv w:val="1"/>
      <w:marLeft w:val="0"/>
      <w:marRight w:val="0"/>
      <w:marTop w:val="0"/>
      <w:marBottom w:val="0"/>
      <w:divBdr>
        <w:top w:val="none" w:sz="0" w:space="0" w:color="auto"/>
        <w:left w:val="none" w:sz="0" w:space="0" w:color="auto"/>
        <w:bottom w:val="none" w:sz="0" w:space="0" w:color="auto"/>
        <w:right w:val="none" w:sz="0" w:space="0" w:color="auto"/>
      </w:divBdr>
    </w:div>
    <w:div w:id="305626040">
      <w:bodyDiv w:val="1"/>
      <w:marLeft w:val="0"/>
      <w:marRight w:val="0"/>
      <w:marTop w:val="0"/>
      <w:marBottom w:val="0"/>
      <w:divBdr>
        <w:top w:val="none" w:sz="0" w:space="0" w:color="auto"/>
        <w:left w:val="none" w:sz="0" w:space="0" w:color="auto"/>
        <w:bottom w:val="none" w:sz="0" w:space="0" w:color="auto"/>
        <w:right w:val="none" w:sz="0" w:space="0" w:color="auto"/>
      </w:divBdr>
    </w:div>
    <w:div w:id="361132678">
      <w:bodyDiv w:val="1"/>
      <w:marLeft w:val="0"/>
      <w:marRight w:val="0"/>
      <w:marTop w:val="0"/>
      <w:marBottom w:val="0"/>
      <w:divBdr>
        <w:top w:val="none" w:sz="0" w:space="0" w:color="auto"/>
        <w:left w:val="none" w:sz="0" w:space="0" w:color="auto"/>
        <w:bottom w:val="none" w:sz="0" w:space="0" w:color="auto"/>
        <w:right w:val="none" w:sz="0" w:space="0" w:color="auto"/>
      </w:divBdr>
    </w:div>
    <w:div w:id="450897890">
      <w:bodyDiv w:val="1"/>
      <w:marLeft w:val="0"/>
      <w:marRight w:val="0"/>
      <w:marTop w:val="0"/>
      <w:marBottom w:val="0"/>
      <w:divBdr>
        <w:top w:val="none" w:sz="0" w:space="0" w:color="auto"/>
        <w:left w:val="none" w:sz="0" w:space="0" w:color="auto"/>
        <w:bottom w:val="none" w:sz="0" w:space="0" w:color="auto"/>
        <w:right w:val="none" w:sz="0" w:space="0" w:color="auto"/>
      </w:divBdr>
    </w:div>
    <w:div w:id="519200927">
      <w:bodyDiv w:val="1"/>
      <w:marLeft w:val="0"/>
      <w:marRight w:val="0"/>
      <w:marTop w:val="0"/>
      <w:marBottom w:val="0"/>
      <w:divBdr>
        <w:top w:val="none" w:sz="0" w:space="0" w:color="auto"/>
        <w:left w:val="none" w:sz="0" w:space="0" w:color="auto"/>
        <w:bottom w:val="none" w:sz="0" w:space="0" w:color="auto"/>
        <w:right w:val="none" w:sz="0" w:space="0" w:color="auto"/>
      </w:divBdr>
    </w:div>
    <w:div w:id="589775039">
      <w:bodyDiv w:val="1"/>
      <w:marLeft w:val="0"/>
      <w:marRight w:val="0"/>
      <w:marTop w:val="0"/>
      <w:marBottom w:val="0"/>
      <w:divBdr>
        <w:top w:val="none" w:sz="0" w:space="0" w:color="auto"/>
        <w:left w:val="none" w:sz="0" w:space="0" w:color="auto"/>
        <w:bottom w:val="none" w:sz="0" w:space="0" w:color="auto"/>
        <w:right w:val="none" w:sz="0" w:space="0" w:color="auto"/>
      </w:divBdr>
    </w:div>
    <w:div w:id="638462885">
      <w:bodyDiv w:val="1"/>
      <w:marLeft w:val="0"/>
      <w:marRight w:val="0"/>
      <w:marTop w:val="0"/>
      <w:marBottom w:val="0"/>
      <w:divBdr>
        <w:top w:val="none" w:sz="0" w:space="0" w:color="auto"/>
        <w:left w:val="none" w:sz="0" w:space="0" w:color="auto"/>
        <w:bottom w:val="none" w:sz="0" w:space="0" w:color="auto"/>
        <w:right w:val="none" w:sz="0" w:space="0" w:color="auto"/>
      </w:divBdr>
    </w:div>
    <w:div w:id="657420383">
      <w:bodyDiv w:val="1"/>
      <w:marLeft w:val="0"/>
      <w:marRight w:val="0"/>
      <w:marTop w:val="0"/>
      <w:marBottom w:val="0"/>
      <w:divBdr>
        <w:top w:val="none" w:sz="0" w:space="0" w:color="auto"/>
        <w:left w:val="none" w:sz="0" w:space="0" w:color="auto"/>
        <w:bottom w:val="none" w:sz="0" w:space="0" w:color="auto"/>
        <w:right w:val="none" w:sz="0" w:space="0" w:color="auto"/>
      </w:divBdr>
    </w:div>
    <w:div w:id="717896974">
      <w:bodyDiv w:val="1"/>
      <w:marLeft w:val="0"/>
      <w:marRight w:val="0"/>
      <w:marTop w:val="0"/>
      <w:marBottom w:val="0"/>
      <w:divBdr>
        <w:top w:val="none" w:sz="0" w:space="0" w:color="auto"/>
        <w:left w:val="none" w:sz="0" w:space="0" w:color="auto"/>
        <w:bottom w:val="none" w:sz="0" w:space="0" w:color="auto"/>
        <w:right w:val="none" w:sz="0" w:space="0" w:color="auto"/>
      </w:divBdr>
    </w:div>
    <w:div w:id="729420634">
      <w:bodyDiv w:val="1"/>
      <w:marLeft w:val="0"/>
      <w:marRight w:val="0"/>
      <w:marTop w:val="0"/>
      <w:marBottom w:val="0"/>
      <w:divBdr>
        <w:top w:val="none" w:sz="0" w:space="0" w:color="auto"/>
        <w:left w:val="none" w:sz="0" w:space="0" w:color="auto"/>
        <w:bottom w:val="none" w:sz="0" w:space="0" w:color="auto"/>
        <w:right w:val="none" w:sz="0" w:space="0" w:color="auto"/>
      </w:divBdr>
    </w:div>
    <w:div w:id="908074286">
      <w:bodyDiv w:val="1"/>
      <w:marLeft w:val="0"/>
      <w:marRight w:val="0"/>
      <w:marTop w:val="0"/>
      <w:marBottom w:val="0"/>
      <w:divBdr>
        <w:top w:val="none" w:sz="0" w:space="0" w:color="auto"/>
        <w:left w:val="none" w:sz="0" w:space="0" w:color="auto"/>
        <w:bottom w:val="none" w:sz="0" w:space="0" w:color="auto"/>
        <w:right w:val="none" w:sz="0" w:space="0" w:color="auto"/>
      </w:divBdr>
    </w:div>
    <w:div w:id="918102803">
      <w:bodyDiv w:val="1"/>
      <w:marLeft w:val="0"/>
      <w:marRight w:val="0"/>
      <w:marTop w:val="0"/>
      <w:marBottom w:val="0"/>
      <w:divBdr>
        <w:top w:val="none" w:sz="0" w:space="0" w:color="auto"/>
        <w:left w:val="none" w:sz="0" w:space="0" w:color="auto"/>
        <w:bottom w:val="none" w:sz="0" w:space="0" w:color="auto"/>
        <w:right w:val="none" w:sz="0" w:space="0" w:color="auto"/>
      </w:divBdr>
    </w:div>
    <w:div w:id="924649954">
      <w:bodyDiv w:val="1"/>
      <w:marLeft w:val="0"/>
      <w:marRight w:val="0"/>
      <w:marTop w:val="0"/>
      <w:marBottom w:val="0"/>
      <w:divBdr>
        <w:top w:val="none" w:sz="0" w:space="0" w:color="auto"/>
        <w:left w:val="none" w:sz="0" w:space="0" w:color="auto"/>
        <w:bottom w:val="none" w:sz="0" w:space="0" w:color="auto"/>
        <w:right w:val="none" w:sz="0" w:space="0" w:color="auto"/>
      </w:divBdr>
    </w:div>
    <w:div w:id="1440680593">
      <w:bodyDiv w:val="1"/>
      <w:marLeft w:val="0"/>
      <w:marRight w:val="0"/>
      <w:marTop w:val="0"/>
      <w:marBottom w:val="0"/>
      <w:divBdr>
        <w:top w:val="none" w:sz="0" w:space="0" w:color="auto"/>
        <w:left w:val="none" w:sz="0" w:space="0" w:color="auto"/>
        <w:bottom w:val="none" w:sz="0" w:space="0" w:color="auto"/>
        <w:right w:val="none" w:sz="0" w:space="0" w:color="auto"/>
      </w:divBdr>
    </w:div>
    <w:div w:id="1458255770">
      <w:bodyDiv w:val="1"/>
      <w:marLeft w:val="0"/>
      <w:marRight w:val="0"/>
      <w:marTop w:val="0"/>
      <w:marBottom w:val="0"/>
      <w:divBdr>
        <w:top w:val="none" w:sz="0" w:space="0" w:color="auto"/>
        <w:left w:val="none" w:sz="0" w:space="0" w:color="auto"/>
        <w:bottom w:val="none" w:sz="0" w:space="0" w:color="auto"/>
        <w:right w:val="none" w:sz="0" w:space="0" w:color="auto"/>
      </w:divBdr>
    </w:div>
    <w:div w:id="1629510494">
      <w:bodyDiv w:val="1"/>
      <w:marLeft w:val="0"/>
      <w:marRight w:val="0"/>
      <w:marTop w:val="0"/>
      <w:marBottom w:val="0"/>
      <w:divBdr>
        <w:top w:val="none" w:sz="0" w:space="0" w:color="auto"/>
        <w:left w:val="none" w:sz="0" w:space="0" w:color="auto"/>
        <w:bottom w:val="none" w:sz="0" w:space="0" w:color="auto"/>
        <w:right w:val="none" w:sz="0" w:space="0" w:color="auto"/>
      </w:divBdr>
    </w:div>
    <w:div w:id="1702778839">
      <w:bodyDiv w:val="1"/>
      <w:marLeft w:val="0"/>
      <w:marRight w:val="0"/>
      <w:marTop w:val="0"/>
      <w:marBottom w:val="0"/>
      <w:divBdr>
        <w:top w:val="none" w:sz="0" w:space="0" w:color="auto"/>
        <w:left w:val="none" w:sz="0" w:space="0" w:color="auto"/>
        <w:bottom w:val="none" w:sz="0" w:space="0" w:color="auto"/>
        <w:right w:val="none" w:sz="0" w:space="0" w:color="auto"/>
      </w:divBdr>
    </w:div>
    <w:div w:id="1717847261">
      <w:bodyDiv w:val="1"/>
      <w:marLeft w:val="0"/>
      <w:marRight w:val="0"/>
      <w:marTop w:val="0"/>
      <w:marBottom w:val="0"/>
      <w:divBdr>
        <w:top w:val="none" w:sz="0" w:space="0" w:color="auto"/>
        <w:left w:val="none" w:sz="0" w:space="0" w:color="auto"/>
        <w:bottom w:val="none" w:sz="0" w:space="0" w:color="auto"/>
        <w:right w:val="none" w:sz="0" w:space="0" w:color="auto"/>
      </w:divBdr>
    </w:div>
    <w:div w:id="1774744806">
      <w:bodyDiv w:val="1"/>
      <w:marLeft w:val="0"/>
      <w:marRight w:val="0"/>
      <w:marTop w:val="0"/>
      <w:marBottom w:val="0"/>
      <w:divBdr>
        <w:top w:val="none" w:sz="0" w:space="0" w:color="auto"/>
        <w:left w:val="none" w:sz="0" w:space="0" w:color="auto"/>
        <w:bottom w:val="none" w:sz="0" w:space="0" w:color="auto"/>
        <w:right w:val="none" w:sz="0" w:space="0" w:color="auto"/>
      </w:divBdr>
    </w:div>
    <w:div w:id="1875270428">
      <w:bodyDiv w:val="1"/>
      <w:marLeft w:val="0"/>
      <w:marRight w:val="0"/>
      <w:marTop w:val="0"/>
      <w:marBottom w:val="0"/>
      <w:divBdr>
        <w:top w:val="none" w:sz="0" w:space="0" w:color="auto"/>
        <w:left w:val="none" w:sz="0" w:space="0" w:color="auto"/>
        <w:bottom w:val="none" w:sz="0" w:space="0" w:color="auto"/>
        <w:right w:val="none" w:sz="0" w:space="0" w:color="auto"/>
      </w:divBdr>
    </w:div>
    <w:div w:id="1976762388">
      <w:bodyDiv w:val="1"/>
      <w:marLeft w:val="0"/>
      <w:marRight w:val="0"/>
      <w:marTop w:val="0"/>
      <w:marBottom w:val="0"/>
      <w:divBdr>
        <w:top w:val="none" w:sz="0" w:space="0" w:color="auto"/>
        <w:left w:val="none" w:sz="0" w:space="0" w:color="auto"/>
        <w:bottom w:val="none" w:sz="0" w:space="0" w:color="auto"/>
        <w:right w:val="none" w:sz="0" w:space="0" w:color="auto"/>
      </w:divBdr>
    </w:div>
    <w:div w:id="1981571653">
      <w:bodyDiv w:val="1"/>
      <w:marLeft w:val="0"/>
      <w:marRight w:val="0"/>
      <w:marTop w:val="0"/>
      <w:marBottom w:val="0"/>
      <w:divBdr>
        <w:top w:val="none" w:sz="0" w:space="0" w:color="auto"/>
        <w:left w:val="none" w:sz="0" w:space="0" w:color="auto"/>
        <w:bottom w:val="none" w:sz="0" w:space="0" w:color="auto"/>
        <w:right w:val="none" w:sz="0" w:space="0" w:color="auto"/>
      </w:divBdr>
    </w:div>
    <w:div w:id="2065130803">
      <w:bodyDiv w:val="1"/>
      <w:marLeft w:val="0"/>
      <w:marRight w:val="0"/>
      <w:marTop w:val="0"/>
      <w:marBottom w:val="0"/>
      <w:divBdr>
        <w:top w:val="none" w:sz="0" w:space="0" w:color="auto"/>
        <w:left w:val="none" w:sz="0" w:space="0" w:color="auto"/>
        <w:bottom w:val="none" w:sz="0" w:space="0" w:color="auto"/>
        <w:right w:val="none" w:sz="0" w:space="0" w:color="auto"/>
      </w:divBdr>
    </w:div>
    <w:div w:id="21110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s://www.commsalliance.com.au/__data/assets/pdf_file/0011/64784/TCP-C628_2019-incorporating-variation-no.1-2022.pdf" TargetMode="External"/><Relationship Id="rId39" Type="http://schemas.openxmlformats.org/officeDocument/2006/relationships/header" Target="header9.xml"/><Relationship Id="rId21" Type="http://schemas.openxmlformats.org/officeDocument/2006/relationships/header" Target="header6.xml"/><Relationship Id="rId34" Type="http://schemas.openxmlformats.org/officeDocument/2006/relationships/hyperlink" Target="http://www.tio.com.au/sites/default/files/2023-09/TIO%20Financial%20Report%202023.pdf" TargetMode="External"/><Relationship Id="rId42" Type="http://schemas.openxmlformats.org/officeDocument/2006/relationships/header" Target="header10.xm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9" Type="http://schemas.openxmlformats.org/officeDocument/2006/relationships/hyperlink" Target="https://www.acma.gov.au/publications/2022-05/report/consumer-vulnerability-expectations-telecommunications-industry" TargetMode="Externa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yperlink" Target="https://www.tio.com.au/sites/default/files/2023-09/TIO%20Financial%20Report%202023.pdf" TargetMode="External"/><Relationship Id="rId37" Type="http://schemas.openxmlformats.org/officeDocument/2006/relationships/hyperlink" Target="http://www.telstra.com.au/content/dam/tcom/our-customer-terms/business-government/pdf/mobilegeneral.pdf" TargetMode="External"/><Relationship Id="rId40" Type="http://schemas.openxmlformats.org/officeDocument/2006/relationships/footer" Target="footer9.xml"/><Relationship Id="rId45"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6.xml"/><Relationship Id="rId28" Type="http://schemas.openxmlformats.org/officeDocument/2006/relationships/hyperlink" Target="https://www.legislation.gov.au/Details/C2023C00268" TargetMode="External"/><Relationship Id="rId36" Type="http://schemas.openxmlformats.org/officeDocument/2006/relationships/hyperlink" Target="http://www.tio.com.au/sites/default/files/2023-09/TIO%20Financial%20Report%202023.pdf" TargetMode="External"/><Relationship Id="rId49"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s://www.acma.gov.au/consumer-consultative-forum" TargetMode="Externa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creativecommons.org/l/by/3.0/88x31.png" TargetMode="External"/><Relationship Id="rId22" Type="http://schemas.openxmlformats.org/officeDocument/2006/relationships/header" Target="header7.xml"/><Relationship Id="rId27" Type="http://schemas.openxmlformats.org/officeDocument/2006/relationships/hyperlink" Target="https://www.acma.gov.au/financial-hardship-telco-sector-keeping-customer-connected" TargetMode="External"/><Relationship Id="rId30" Type="http://schemas.openxmlformats.org/officeDocument/2006/relationships/hyperlink" Target="https://www.acma.gov.au/what-consumers-want-consumer-expectations-telecommunications-safeguards" TargetMode="External"/><Relationship Id="rId35" Type="http://schemas.openxmlformats.org/officeDocument/2006/relationships/hyperlink" Target="http://www.telstra.com.au/content/dam/tcom/our-customer-terms/business-government/pdf/mobilegeneral.pdf" TargetMode="External"/><Relationship Id="rId43" Type="http://schemas.openxmlformats.org/officeDocument/2006/relationships/header" Target="header11.xml"/><Relationship Id="rId48" Type="http://schemas.openxmlformats.org/officeDocument/2006/relationships/customXml" Target="../customXml/item2.xml"/><Relationship Id="rId8" Type="http://schemas.openxmlformats.org/officeDocument/2006/relationships/header" Target="header1.xml"/><Relationship Id="rId51" Type="http://schemas.openxmlformats.org/officeDocument/2006/relationships/customXml" Target="../customXml/item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hyperlink" Target="http://www.telstra.com.au/content/dam/tcom/our-customer-terms/business-government/pdf/mobilegeneral.pdf" TargetMode="External"/><Relationship Id="rId38" Type="http://schemas.openxmlformats.org/officeDocument/2006/relationships/header" Target="header8.xml"/><Relationship Id="rId46"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accan.org.au/accans-work/research/2121-direct-debit-in-telecommunications" TargetMode="External"/><Relationship Id="rId18" Type="http://schemas.openxmlformats.org/officeDocument/2006/relationships/hyperlink" Target="https://www.acma.gov.au/publications/2023-05/report/telco-financial-hardship-quantitative-and-qualitative-research" TargetMode="External"/><Relationship Id="rId26" Type="http://schemas.openxmlformats.org/officeDocument/2006/relationships/hyperlink" Target="https://accan.org.au/accans-work/research/2121-direct-debit-in-telecommunications" TargetMode="External"/><Relationship Id="rId39" Type="http://schemas.openxmlformats.org/officeDocument/2006/relationships/hyperlink" Target="https://www.acma.gov.au/rules-protect-customers-financial-hardship" TargetMode="External"/><Relationship Id="rId3" Type="http://schemas.openxmlformats.org/officeDocument/2006/relationships/hyperlink" Target="https://www.acma.gov.au/financial-hardship-telco-sector-keeping-customer-connected" TargetMode="External"/><Relationship Id="rId21" Type="http://schemas.openxmlformats.org/officeDocument/2006/relationships/hyperlink" Target="https://www.relationships.org.au/wp-content/uploads/Telcovulncnr.070921FINAL.pdf" TargetMode="External"/><Relationship Id="rId34" Type="http://schemas.openxmlformats.org/officeDocument/2006/relationships/hyperlink" Target="https://www.tio.com.au/reports/submission-communications-alliances-2024-tcp-code-review" TargetMode="External"/><Relationship Id="rId42" Type="http://schemas.openxmlformats.org/officeDocument/2006/relationships/hyperlink" Target="https://www.esc.vic.gov.au/sites/default/files/documents/RPT%20-%20Payment%20Difficulty%20Framework%20implementation%20review%20-%20Findings%20report%20-%20FINAL%20-%2020220531.pdf" TargetMode="External"/><Relationship Id="rId47" Type="http://schemas.openxmlformats.org/officeDocument/2006/relationships/hyperlink" Target="https://www.acma.gov.au/consultations/2021-07/consumer-vulnerability-expectations-telco-industry-consultation-272021" TargetMode="External"/><Relationship Id="rId50" Type="http://schemas.openxmlformats.org/officeDocument/2006/relationships/hyperlink" Target="https://www.acma.gov.au/compliance-priorities" TargetMode="External"/><Relationship Id="rId7" Type="http://schemas.openxmlformats.org/officeDocument/2006/relationships/hyperlink" Target="https://www.acma.gov.au/compliance-priorities" TargetMode="External"/><Relationship Id="rId12" Type="http://schemas.openxmlformats.org/officeDocument/2006/relationships/hyperlink" Target="https://www.acma.gov.au/publications/2022-02/report/customer-financial-hardship-telco-industry-state-play-report-2020-21" TargetMode="External"/><Relationship Id="rId17" Type="http://schemas.openxmlformats.org/officeDocument/2006/relationships/hyperlink" Target="https://www.abs.gov.au/statistics/economy/price-indexes-and-inflation/consumer-price-index-australia/jun-quarter-2023" TargetMode="External"/><Relationship Id="rId25" Type="http://schemas.openxmlformats.org/officeDocument/2006/relationships/hyperlink" Target="https://www.acma.gov.au/articles/2023-04/telstra-fails-warn-customers-about-service-restrictions" TargetMode="External"/><Relationship Id="rId33" Type="http://schemas.openxmlformats.org/officeDocument/2006/relationships/hyperlink" Target="https://commsalliance.com.au/__data/assets/pdf_file/0006/94308/TCP-Code-Discussion-Paper,-5-May-2023.pdf" TargetMode="External"/><Relationship Id="rId38" Type="http://schemas.openxmlformats.org/officeDocument/2006/relationships/hyperlink" Target="https://www.acma.gov.au/articles/2023-03/acma-campaign-help-telco-customers-having-difficulty-paying-their-telco-bills" TargetMode="External"/><Relationship Id="rId46" Type="http://schemas.openxmlformats.org/officeDocument/2006/relationships/hyperlink" Target="https://oia.pmc.gov.au/resources/guidance-assessing-impacts/regulatory-burden-measurement-framework" TargetMode="External"/><Relationship Id="rId2" Type="http://schemas.openxmlformats.org/officeDocument/2006/relationships/hyperlink" Target="https://www.acma.gov.au/publications/2023-05/report/telco-financial-hardship-quantitative-and-qualitative-research" TargetMode="External"/><Relationship Id="rId16" Type="http://schemas.openxmlformats.org/officeDocument/2006/relationships/hyperlink" Target="https://www.legislation.gov.au/Details/F2023L01188" TargetMode="External"/><Relationship Id="rId20" Type="http://schemas.openxmlformats.org/officeDocument/2006/relationships/hyperlink" Target="https://www.digitalinclusionindex.org.au/key-findings-and-next-steps/" TargetMode="External"/><Relationship Id="rId29" Type="http://schemas.openxmlformats.org/officeDocument/2006/relationships/hyperlink" Target="https://commsalliance.com.au/__data/assets/pdf_file/0004/94738/20-June-2023-ACCC-submission-to-2023-Telecommunications-Consumer-Protection-Code-Review-Final.pdf" TargetMode="External"/><Relationship Id="rId41" Type="http://schemas.openxmlformats.org/officeDocument/2006/relationships/hyperlink" Target="https://www.aemc.gov.au/sites/default/files/2018-11/Final%20determination.pdf" TargetMode="External"/><Relationship Id="rId1" Type="http://schemas.openxmlformats.org/officeDocument/2006/relationships/hyperlink" Target="https://www.acma.gov.au/financial-hardship-telco-sector-keeping-customer-connected" TargetMode="External"/><Relationship Id="rId6" Type="http://schemas.openxmlformats.org/officeDocument/2006/relationships/hyperlink" Target="https://www.legislation.gov.au/Details/C2022C00170" TargetMode="External"/><Relationship Id="rId11" Type="http://schemas.openxmlformats.org/officeDocument/2006/relationships/hyperlink" Target="https://www.acma.gov.au/publications/2021-02/report/customer-financial-hardship-telco-industry-state-play-report-2019-20" TargetMode="External"/><Relationship Id="rId24" Type="http://schemas.openxmlformats.org/officeDocument/2006/relationships/hyperlink" Target="https://www.acma.gov.au/articles/2023-07/eight-telcos-breach-consumer-protection-rules" TargetMode="External"/><Relationship Id="rId32" Type="http://schemas.openxmlformats.org/officeDocument/2006/relationships/hyperlink" Target="https://www.tcf.org.nz/industry/standards-compliance/customer-experience/disconnection-code/" TargetMode="External"/><Relationship Id="rId37" Type="http://schemas.openxmlformats.org/officeDocument/2006/relationships/hyperlink" Target="https://www.tio.com.au/news/submission-consumer-safeguards-review-part-c-choice-and-fairness" TargetMode="External"/><Relationship Id="rId40" Type="http://schemas.openxmlformats.org/officeDocument/2006/relationships/hyperlink" Target="https://www.legislation.gov.au/Details/F2023L01188/Explanatory%20Statement/Text" TargetMode="External"/><Relationship Id="rId45" Type="http://schemas.openxmlformats.org/officeDocument/2006/relationships/hyperlink" Target="https://www.esc.vic.gov.au/sites/default/files/documents/RPT%20-%20Payment%20Difficulty%20Framework%20implementation%20review%20-%20Findings%20report%20-%20FINAL%20-%2020220531.pdf" TargetMode="External"/><Relationship Id="rId5" Type="http://schemas.openxmlformats.org/officeDocument/2006/relationships/hyperlink" Target="https://www.legislation.gov.au/Details/F2023L01188" TargetMode="External"/><Relationship Id="rId15" Type="http://schemas.openxmlformats.org/officeDocument/2006/relationships/hyperlink" Target="https://minister.infrastructure.gov.au/rowland/media-release/better-support-telco-customers-experiencing-financial-hardship" TargetMode="External"/><Relationship Id="rId23" Type="http://schemas.openxmlformats.org/officeDocument/2006/relationships/hyperlink" Target="https://www.tio.com.au/sites/default/files/2023-04/TIO%20Financial%20Hardship%20Complaints%202021%20%E2%80%93%202023.pdf" TargetMode="External"/><Relationship Id="rId28" Type="http://schemas.openxmlformats.org/officeDocument/2006/relationships/hyperlink" Target="https://www.tio.com.au/reports/submission-communications-alliances-2024-tcp-code-review" TargetMode="External"/><Relationship Id="rId36" Type="http://schemas.openxmlformats.org/officeDocument/2006/relationships/hyperlink" Target="https://commsalliance.com.au/__data/assets/pdf_file/0008/94652/ACCAN-TCP-Code-Discussion-Paper-Response.Final.pdf" TargetMode="External"/><Relationship Id="rId49" Type="http://schemas.openxmlformats.org/officeDocument/2006/relationships/hyperlink" Target="https://www.acma.gov.au/consultations/2023-10/proposed-telecommunications-financial-hardship-industry-standard" TargetMode="External"/><Relationship Id="rId10" Type="http://schemas.openxmlformats.org/officeDocument/2006/relationships/hyperlink" Target="https://www.acma.gov.au/publications/2020-03/report/financial-hardship-telco-industry" TargetMode="External"/><Relationship Id="rId19" Type="http://schemas.openxmlformats.org/officeDocument/2006/relationships/hyperlink" Target="https://www.goodthingsfoundation.org.au/the-digital-divide/" TargetMode="External"/><Relationship Id="rId31" Type="http://schemas.openxmlformats.org/officeDocument/2006/relationships/hyperlink" Target="https://www.infrastructure.gov.au/sites/default/files/documents/pwc-telecommunications-consumer-safeguards-consumer-protections-for-choice-and-fairness_1.pdf" TargetMode="External"/><Relationship Id="rId44" Type="http://schemas.openxmlformats.org/officeDocument/2006/relationships/hyperlink" Target="https://www.aemc.gov.au/sites/default/files/2018-11/Final%20determination.pdf" TargetMode="External"/><Relationship Id="rId4" Type="http://schemas.openxmlformats.org/officeDocument/2006/relationships/hyperlink" Target="https://www.tio.com.au/reports/time-change-three-years-systemic-investigations-review" TargetMode="External"/><Relationship Id="rId9" Type="http://schemas.openxmlformats.org/officeDocument/2006/relationships/hyperlink" Target="https://www.acma.gov.au/help-if-you-cant-pay-your-phone-or-internet-bill" TargetMode="External"/><Relationship Id="rId14" Type="http://schemas.openxmlformats.org/officeDocument/2006/relationships/hyperlink" Target="https://minister.infrastructure.gov.au/rowland/media-release/albanese-government-improve-safeguards-telco-consumers-experiencing-financial-hardship" TargetMode="External"/><Relationship Id="rId22" Type="http://schemas.openxmlformats.org/officeDocument/2006/relationships/hyperlink" Target="https://www.tio.com.au/reports/time-change-three-years-systemic-investigations-review" TargetMode="External"/><Relationship Id="rId27" Type="http://schemas.openxmlformats.org/officeDocument/2006/relationships/hyperlink" Target="https://www.commsalliance.com.au/hot-topics/TCP-Code-Review-2024" TargetMode="External"/><Relationship Id="rId30" Type="http://schemas.openxmlformats.org/officeDocument/2006/relationships/hyperlink" Target="https://commsalliance.com.au/__data/assets/pdf_file/0008/94652/ACCAN-TCP-Code-Discussion-Paper-Response.Final.pdf" TargetMode="External"/><Relationship Id="rId35" Type="http://schemas.openxmlformats.org/officeDocument/2006/relationships/hyperlink" Target="https://commsalliance.com.au/__data/assets/pdf_file/0004/94738/20-June-2023-ACCC-submission-to-2023-Telecommunications-Consumer-Protection-Code-Review-Final.pdf" TargetMode="External"/><Relationship Id="rId43" Type="http://schemas.openxmlformats.org/officeDocument/2006/relationships/hyperlink" Target="http://www.esc.vic.gov.au/sites/default/files/documents/RPT%20-" TargetMode="External"/><Relationship Id="rId48" Type="http://schemas.openxmlformats.org/officeDocument/2006/relationships/hyperlink" Target="https://www.infrastructure.gov.au/have-your-say/consumer-safeguards-review-consultation-part-c-choice-and-fairness" TargetMode="External"/><Relationship Id="rId8" Type="http://schemas.openxmlformats.org/officeDocument/2006/relationships/hyperlink" Target="https://www.acma.gov.au/articles/2023-07/eight-telcos-breach-consumer-protection-rules" TargetMode="External"/><Relationship Id="rId51" Type="http://schemas.openxmlformats.org/officeDocument/2006/relationships/hyperlink" Target="https://minister.infrastructure.gov.au/rowland/media-release/better-support-telco-customers-experiencing-financial-hardshi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9" ma:contentTypeDescription="Create a new document." ma:contentTypeScope="" ma:versionID="509bb4dcf39477eb83e04680f8be942d">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0e38ccbe6cbdd953dd6cc23e705d0942"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DOCID-322795542-44091</_dlc_DocId>
    <lcf76f155ced4ddcb4097134ff3c332f xmlns="26285671-540d-468b-b7a1-f3e0438dd51a">
      <Terms xmlns="http://schemas.microsoft.com/office/infopath/2007/PartnerControls"/>
    </lcf76f155ced4ddcb4097134ff3c332f>
    <TaxCatchAll xmlns="4195ad5f-cdf2-4c4a-8d9b-b7944a108e98" xsi:nil="true"/>
    <_ip_UnifiedCompliancePolicyUIAction xmlns="http://schemas.microsoft.com/sharepoint/v3" xsi:nil="true"/>
    <_dlc_DocIdUrl xmlns="4195ad5f-cdf2-4c4a-8d9b-b7944a108e98">
      <Url>https://pmc01.sharepoint.com/sites/CRMOBPR/_layouts/15/DocIdRedir.aspx?ID=DOCID-322795542-44091</Url>
      <Description>DOCID-322795542-44091</Description>
    </_dlc_DocIdUrl>
    <_ip_UnifiedCompliancePolicyProperties xmlns="http://schemas.microsoft.com/sharepoint/v3" xsi:nil="true"/>
  </documentManagement>
</p:properties>
</file>

<file path=customXml/itemProps1.xml><?xml version="1.0" encoding="utf-8"?>
<ds:datastoreItem xmlns:ds="http://schemas.openxmlformats.org/officeDocument/2006/customXml" ds:itemID="{4EB0D7A2-52E1-448E-99BC-1CCC3BAEB4F4}">
  <ds:schemaRefs>
    <ds:schemaRef ds:uri="http://schemas.openxmlformats.org/officeDocument/2006/bibliography"/>
  </ds:schemaRefs>
</ds:datastoreItem>
</file>

<file path=customXml/itemProps2.xml><?xml version="1.0" encoding="utf-8"?>
<ds:datastoreItem xmlns:ds="http://schemas.openxmlformats.org/officeDocument/2006/customXml" ds:itemID="{283896F6-4CA2-4F11-B39A-C973E0FBE7AD}"/>
</file>

<file path=customXml/itemProps3.xml><?xml version="1.0" encoding="utf-8"?>
<ds:datastoreItem xmlns:ds="http://schemas.openxmlformats.org/officeDocument/2006/customXml" ds:itemID="{769B63A8-D587-452A-8646-65637373BE1A}"/>
</file>

<file path=customXml/itemProps4.xml><?xml version="1.0" encoding="utf-8"?>
<ds:datastoreItem xmlns:ds="http://schemas.openxmlformats.org/officeDocument/2006/customXml" ds:itemID="{54A42AE6-477A-4196-BA54-2B464919F588}"/>
</file>

<file path=customXml/itemProps5.xml><?xml version="1.0" encoding="utf-8"?>
<ds:datastoreItem xmlns:ds="http://schemas.openxmlformats.org/officeDocument/2006/customXml" ds:itemID="{7244A493-7ED8-4225-A498-9B265179B731}"/>
</file>

<file path=docProps/app.xml><?xml version="1.0" encoding="utf-8"?>
<Properties xmlns="http://schemas.openxmlformats.org/officeDocument/2006/extended-properties" xmlns:vt="http://schemas.openxmlformats.org/officeDocument/2006/docPropsVTypes">
  <Template>Normal</Template>
  <TotalTime>0</TotalTime>
  <Pages>49</Pages>
  <Words>15495</Words>
  <Characters>88326</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2024-01-15T05:03:00Z</dcterms:created>
  <dcterms:modified xsi:type="dcterms:W3CDTF">2024-01-15T05:03:00Z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52a007c3-d5e4-46b5-b8e5-8c1e96d02998</vt:lpwstr>
  </property>
  <property fmtid="{D5CDD505-2E9C-101B-9397-08002B2CF9AE}" pid="4" name="MediaServiceImageTags">
    <vt:lpwstr/>
  </property>
</Properties>
</file>