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34E7" w14:textId="77777777" w:rsidR="00511CF1" w:rsidRDefault="00E10489">
      <w:pPr>
        <w:jc w:val="center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6EF831DF" w14:textId="722DA600" w:rsidR="00511CF1" w:rsidRDefault="008928BD">
      <w:pPr>
        <w:jc w:val="center"/>
        <w:divId w:val="1403018165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sz w:val="18"/>
          <w:szCs w:val="18"/>
        </w:rPr>
        <w:drawing>
          <wp:inline distT="0" distB="0" distL="0" distR="0" wp14:anchorId="378C888A" wp14:editId="255EE81B">
            <wp:extent cx="2975610" cy="1257935"/>
            <wp:effectExtent l="0" t="0" r="0" b="0"/>
            <wp:docPr id="2" name="Picture 2" descr="71D7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D705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E1B71" w14:textId="77777777" w:rsidR="00511CF1" w:rsidRDefault="00E10489">
      <w:pPr>
        <w:jc w:val="right"/>
        <w:divId w:val="1363365269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Calibri" w:eastAsia="Times New Roman" w:hAnsi="Calibri" w:cs="Calibri"/>
          <w:sz w:val="16"/>
          <w:szCs w:val="16"/>
          <w:lang w:val="en-US"/>
        </w:rPr>
        <w:t>R</w:t>
      </w:r>
      <w:r>
        <w:rPr>
          <w:rFonts w:eastAsia="Times New Roman"/>
          <w:sz w:val="16"/>
          <w:szCs w:val="16"/>
          <w:lang w:val="en-US"/>
        </w:rPr>
        <w:t>eference: OBPR22-02252</w:t>
      </w:r>
      <w:r>
        <w:rPr>
          <w:rFonts w:eastAsia="Times New Roman"/>
          <w:sz w:val="16"/>
          <w:szCs w:val="16"/>
          <w:lang w:val="en-US"/>
        </w:rPr>
        <w:br/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8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helpdesk-oia@pmc.gov.au</w:t>
        </w:r>
      </w:hyperlink>
    </w:p>
    <w:p w14:paraId="468FA706" w14:textId="77777777" w:rsidR="00511CF1" w:rsidRDefault="00E10489">
      <w:pPr>
        <w:divId w:val="1844127924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t>Mr Luke McCann</w:t>
      </w:r>
      <w:r>
        <w:br/>
        <w:t>Acting Chief Executive Officer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Sport Integrity Australia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 xml:space="preserve">Dear </w:t>
      </w:r>
      <w:proofErr w:type="spellStart"/>
      <w:r>
        <w:rPr>
          <w:rFonts w:eastAsia="Times New Roman"/>
          <w:lang w:val="en-US"/>
        </w:rPr>
        <w:t>Mr</w:t>
      </w:r>
      <w:proofErr w:type="spellEnd"/>
      <w:r>
        <w:rPr>
          <w:rFonts w:eastAsia="Times New Roman"/>
          <w:lang w:val="en-US"/>
        </w:rPr>
        <w:t xml:space="preserve"> McCann, </w:t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Style w:val="Strong"/>
          <w:rFonts w:ascii="Arial" w:eastAsia="Times New Roman" w:hAnsi="Arial" w:cs="Arial"/>
          <w:lang w:val="en-US"/>
        </w:rPr>
        <w:t>Impact Analysis – Second Pass Final Assessment – Safety in Sport</w:t>
      </w:r>
    </w:p>
    <w:p w14:paraId="10077D61" w14:textId="77777777" w:rsidR="00511CF1" w:rsidRDefault="00E10489">
      <w:pPr>
        <w:divId w:val="633948396"/>
        <w:rPr>
          <w:rFonts w:eastAsia="Times New Roman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0A61B0CF" w14:textId="77777777" w:rsidR="00511CF1" w:rsidRDefault="00E10489">
      <w:pPr>
        <w:divId w:val="671681013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Thank you for your letter of 20 September 2023 submitting an Impact Analysis (IA) for formal Second Pass Final Assessment. I note the IA has been formally certified at the Chief Executive Officer level consistent with the </w:t>
      </w:r>
      <w:r>
        <w:rPr>
          <w:rStyle w:val="Emphasis"/>
          <w:rFonts w:eastAsia="Times New Roman"/>
          <w:lang w:val="en-US"/>
        </w:rPr>
        <w:t>Australian Government Guide to Policy Impact Analysis</w:t>
      </w:r>
      <w:r>
        <w:rPr>
          <w:rStyle w:val="Emphasis"/>
          <w:rFonts w:eastAsia="Times New Roman"/>
          <w:i w:val="0"/>
          <w:lang w:val="en-US"/>
        </w:rPr>
        <w:t xml:space="preserve"> (the Guide)</w:t>
      </w:r>
      <w:r>
        <w:rPr>
          <w:rFonts w:eastAsia="Times New Roman"/>
          <w:lang w:val="en-US"/>
        </w:rPr>
        <w:t>.</w:t>
      </w:r>
    </w:p>
    <w:p w14:paraId="60C89C03" w14:textId="0176A24A" w:rsidR="00E10489" w:rsidRDefault="00E10489">
      <w:pPr>
        <w:divId w:val="259410813"/>
        <w:rPr>
          <w:rFonts w:eastAsia="Times New Roman"/>
          <w:lang w:val="en-US"/>
        </w:rPr>
      </w:pPr>
    </w:p>
    <w:p w14:paraId="7BDD9AE9" w14:textId="0A21CB54" w:rsidR="00252CB5" w:rsidRDefault="00E10489">
      <w:pPr>
        <w:divId w:val="25941081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Office of Impact Analysis’ (OIA) assessment is that the quality of the analysis in the IA is ‘</w:t>
      </w:r>
      <w:r w:rsidR="00F87B35">
        <w:rPr>
          <w:rFonts w:eastAsia="Times New Roman"/>
          <w:lang w:val="en-US"/>
        </w:rPr>
        <w:t>adequate’.</w:t>
      </w:r>
      <w:r w:rsidR="00252CB5">
        <w:rPr>
          <w:rFonts w:eastAsia="Times New Roman"/>
          <w:lang w:val="en-US"/>
        </w:rPr>
        <w:t xml:space="preserve"> In </w:t>
      </w:r>
      <w:r w:rsidR="00D45C81">
        <w:rPr>
          <w:rFonts w:eastAsia="Times New Roman"/>
          <w:lang w:val="en-US"/>
        </w:rPr>
        <w:t>particular</w:t>
      </w:r>
      <w:r w:rsidR="007332D0">
        <w:rPr>
          <w:rFonts w:eastAsia="Times New Roman"/>
          <w:lang w:val="en-US"/>
        </w:rPr>
        <w:t>,</w:t>
      </w:r>
      <w:r w:rsidR="00252CB5">
        <w:rPr>
          <w:rFonts w:eastAsia="Times New Roman"/>
          <w:lang w:val="en-US"/>
        </w:rPr>
        <w:t xml:space="preserve"> </w:t>
      </w:r>
      <w:r w:rsidR="00D45C81">
        <w:rPr>
          <w:rFonts w:eastAsia="Times New Roman"/>
          <w:lang w:val="en-US"/>
        </w:rPr>
        <w:t xml:space="preserve">the IA demonstrates a clear </w:t>
      </w:r>
      <w:r w:rsidR="00252CB5">
        <w:rPr>
          <w:rFonts w:eastAsia="Times New Roman"/>
          <w:lang w:val="en-US"/>
        </w:rPr>
        <w:t>policy problems and the need for Government intervention</w:t>
      </w:r>
      <w:r w:rsidR="00D45C81">
        <w:rPr>
          <w:rFonts w:eastAsia="Times New Roman"/>
          <w:lang w:val="en-US"/>
        </w:rPr>
        <w:t>.</w:t>
      </w:r>
    </w:p>
    <w:p w14:paraId="56696BF6" w14:textId="77777777" w:rsidR="00252CB5" w:rsidRDefault="00252CB5">
      <w:pPr>
        <w:divId w:val="259410813"/>
        <w:rPr>
          <w:rFonts w:eastAsia="Times New Roman"/>
          <w:lang w:val="en-US"/>
        </w:rPr>
      </w:pPr>
    </w:p>
    <w:p w14:paraId="36E9C131" w14:textId="4D82144E" w:rsidR="00252CB5" w:rsidRDefault="00D45C81">
      <w:pPr>
        <w:divId w:val="25941081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However, t</w:t>
      </w:r>
      <w:r w:rsidR="00F87B35">
        <w:rPr>
          <w:rFonts w:eastAsia="Times New Roman"/>
          <w:lang w:val="en-US"/>
        </w:rPr>
        <w:t>o</w:t>
      </w:r>
      <w:r w:rsidR="00E10489">
        <w:rPr>
          <w:rFonts w:eastAsia="Times New Roman"/>
          <w:lang w:val="en-US"/>
        </w:rPr>
        <w:t xml:space="preserve"> have been assessed as ‘good practice’ under the Guide, the IA would have benefited from</w:t>
      </w:r>
      <w:r w:rsidR="00252CB5">
        <w:rPr>
          <w:rFonts w:eastAsia="Times New Roman"/>
          <w:lang w:val="en-US"/>
        </w:rPr>
        <w:t>:</w:t>
      </w:r>
    </w:p>
    <w:p w14:paraId="411484BA" w14:textId="1251D66C" w:rsidR="00252CB5" w:rsidRDefault="00252CB5">
      <w:pPr>
        <w:divId w:val="259410813"/>
        <w:rPr>
          <w:rFonts w:eastAsia="Times New Roman"/>
          <w:lang w:val="en-US"/>
        </w:rPr>
      </w:pPr>
    </w:p>
    <w:p w14:paraId="10156E0C" w14:textId="77777777" w:rsidR="00252CB5" w:rsidRDefault="00252CB5" w:rsidP="0056362D">
      <w:pPr>
        <w:pStyle w:val="ListParagraph"/>
        <w:numPr>
          <w:ilvl w:val="0"/>
          <w:numId w:val="3"/>
        </w:numPr>
        <w:divId w:val="25941081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Quantifying</w:t>
      </w:r>
      <w:r w:rsidRPr="00252CB5">
        <w:rPr>
          <w:rFonts w:eastAsia="Times New Roman"/>
          <w:lang w:val="en-US"/>
        </w:rPr>
        <w:t xml:space="preserve"> flow-on </w:t>
      </w:r>
      <w:r>
        <w:rPr>
          <w:rFonts w:eastAsia="Times New Roman"/>
          <w:lang w:val="en-US"/>
        </w:rPr>
        <w:t>and distributional impacts</w:t>
      </w:r>
      <w:r w:rsidRPr="00252CB5">
        <w:rPr>
          <w:rFonts w:eastAsia="Times New Roman"/>
          <w:lang w:val="en-US"/>
        </w:rPr>
        <w:t xml:space="preserve"> amongst the affected cohorts, particularly CALD communities, women and children. </w:t>
      </w:r>
    </w:p>
    <w:p w14:paraId="212B881F" w14:textId="2CCB5370" w:rsidR="00252CB5" w:rsidRDefault="00C36CC4" w:rsidP="0056362D">
      <w:pPr>
        <w:pStyle w:val="ListParagraph"/>
        <w:numPr>
          <w:ilvl w:val="0"/>
          <w:numId w:val="3"/>
        </w:numPr>
        <w:divId w:val="25941081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Examining</w:t>
      </w:r>
      <w:r w:rsidR="00252CB5">
        <w:rPr>
          <w:rFonts w:eastAsia="Times New Roman"/>
          <w:lang w:val="en-US"/>
        </w:rPr>
        <w:t xml:space="preserve"> a</w:t>
      </w:r>
      <w:r w:rsidR="00252CB5" w:rsidRPr="00252CB5">
        <w:rPr>
          <w:rFonts w:eastAsia="Times New Roman"/>
          <w:lang w:val="en-US"/>
        </w:rPr>
        <w:t>ll stakeholder views</w:t>
      </w:r>
      <w:r w:rsidR="00D45C81">
        <w:rPr>
          <w:rFonts w:eastAsia="Times New Roman"/>
          <w:lang w:val="en-US"/>
        </w:rPr>
        <w:t xml:space="preserve">, including </w:t>
      </w:r>
      <w:r>
        <w:rPr>
          <w:rFonts w:eastAsia="Times New Roman"/>
          <w:lang w:val="en-US"/>
        </w:rPr>
        <w:t xml:space="preserve">potential </w:t>
      </w:r>
      <w:r w:rsidR="00D45C81">
        <w:rPr>
          <w:rFonts w:eastAsia="Times New Roman"/>
          <w:lang w:val="en-US"/>
        </w:rPr>
        <w:t>dissenting views,</w:t>
      </w:r>
      <w:r w:rsidR="00252CB5" w:rsidRPr="00252CB5">
        <w:rPr>
          <w:rFonts w:eastAsia="Times New Roman"/>
          <w:lang w:val="en-US"/>
        </w:rPr>
        <w:t xml:space="preserve"> </w:t>
      </w:r>
      <w:r w:rsidR="00D45C81">
        <w:rPr>
          <w:rFonts w:eastAsia="Times New Roman"/>
          <w:lang w:val="en-US"/>
        </w:rPr>
        <w:t>and how they</w:t>
      </w:r>
      <w:r w:rsidR="00252CB5" w:rsidRPr="00252CB5">
        <w:rPr>
          <w:rFonts w:eastAsia="Times New Roman"/>
          <w:lang w:val="en-US"/>
        </w:rPr>
        <w:t xml:space="preserve"> incorporated into the</w:t>
      </w:r>
      <w:r w:rsidR="00804E47">
        <w:rPr>
          <w:rFonts w:eastAsia="Times New Roman"/>
          <w:lang w:val="en-US"/>
        </w:rPr>
        <w:t xml:space="preserve"> analysis and the</w:t>
      </w:r>
      <w:r w:rsidR="00252CB5" w:rsidRPr="00252CB5">
        <w:rPr>
          <w:rFonts w:eastAsia="Times New Roman"/>
          <w:lang w:val="en-US"/>
        </w:rPr>
        <w:t xml:space="preserve"> preferred option. </w:t>
      </w:r>
      <w:r w:rsidR="00252CB5">
        <w:rPr>
          <w:rFonts w:eastAsia="Times New Roman"/>
          <w:lang w:val="en-US"/>
        </w:rPr>
        <w:t>T</w:t>
      </w:r>
      <w:r w:rsidR="00252CB5" w:rsidRPr="00252CB5">
        <w:rPr>
          <w:rFonts w:eastAsia="Times New Roman"/>
          <w:lang w:val="en-US"/>
        </w:rPr>
        <w:t xml:space="preserve">argeted consultations </w:t>
      </w:r>
      <w:r w:rsidR="00252CB5">
        <w:rPr>
          <w:rFonts w:eastAsia="Times New Roman"/>
          <w:lang w:val="en-US"/>
        </w:rPr>
        <w:t>for the</w:t>
      </w:r>
      <w:r w:rsidR="00252CB5" w:rsidRPr="00252CB5">
        <w:rPr>
          <w:rFonts w:eastAsia="Times New Roman"/>
          <w:lang w:val="en-US"/>
        </w:rPr>
        <w:t xml:space="preserve"> cost recovery measures of SIA would </w:t>
      </w:r>
      <w:r w:rsidR="00252CB5">
        <w:rPr>
          <w:rFonts w:eastAsia="Times New Roman"/>
          <w:lang w:val="en-US"/>
        </w:rPr>
        <w:t xml:space="preserve">have potentially </w:t>
      </w:r>
      <w:r w:rsidR="00252CB5" w:rsidRPr="00252CB5">
        <w:rPr>
          <w:rFonts w:eastAsia="Times New Roman"/>
          <w:lang w:val="en-US"/>
        </w:rPr>
        <w:t xml:space="preserve">further strengthen the analysis of the considered options. </w:t>
      </w:r>
    </w:p>
    <w:p w14:paraId="1E11C4DC" w14:textId="66110783" w:rsidR="00252CB5" w:rsidRPr="00252CB5" w:rsidRDefault="00252CB5" w:rsidP="0056362D">
      <w:pPr>
        <w:pStyle w:val="ListParagraph"/>
        <w:numPr>
          <w:ilvl w:val="0"/>
          <w:numId w:val="3"/>
        </w:numPr>
        <w:divId w:val="25941081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Expanding on how the</w:t>
      </w:r>
      <w:r w:rsidRPr="00252CB5">
        <w:rPr>
          <w:rFonts w:eastAsia="Times New Roman"/>
          <w:lang w:val="en-US"/>
        </w:rPr>
        <w:t xml:space="preserve"> proposed transitional </w:t>
      </w:r>
      <w:r>
        <w:rPr>
          <w:rFonts w:eastAsia="Times New Roman"/>
          <w:lang w:val="en-US"/>
        </w:rPr>
        <w:t>implementation</w:t>
      </w:r>
      <w:r w:rsidRPr="00252CB5">
        <w:rPr>
          <w:rFonts w:eastAsia="Times New Roman"/>
          <w:lang w:val="en-US"/>
        </w:rPr>
        <w:t xml:space="preserve"> arrangements will </w:t>
      </w:r>
      <w:r>
        <w:rPr>
          <w:rFonts w:eastAsia="Times New Roman"/>
          <w:lang w:val="en-US"/>
        </w:rPr>
        <w:t xml:space="preserve">impact </w:t>
      </w:r>
      <w:r w:rsidRPr="00252CB5">
        <w:rPr>
          <w:rFonts w:eastAsia="Times New Roman"/>
          <w:lang w:val="en-US"/>
        </w:rPr>
        <w:t>stakeholders.</w:t>
      </w:r>
    </w:p>
    <w:p w14:paraId="657FCE2F" w14:textId="77777777" w:rsidR="00511CF1" w:rsidRDefault="00511CF1">
      <w:pPr>
        <w:divId w:val="259410813"/>
        <w:rPr>
          <w:rFonts w:eastAsia="Times New Roman"/>
          <w:lang w:val="en-US"/>
        </w:rPr>
      </w:pPr>
    </w:p>
    <w:p w14:paraId="7315BCB5" w14:textId="77777777" w:rsidR="00511CF1" w:rsidRDefault="00E10489">
      <w:pPr>
        <w:divId w:val="259410813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>The IA may now be provided to the decision-maker to inform their decision.</w:t>
      </w: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23F57194" w14:textId="77777777" w:rsidR="00511CF1" w:rsidRDefault="00511CF1">
      <w:pPr>
        <w:divId w:val="259410813"/>
        <w:rPr>
          <w:rFonts w:eastAsia="Times New Roman"/>
          <w:szCs w:val="18"/>
          <w:lang w:val="en-US"/>
        </w:rPr>
      </w:pPr>
    </w:p>
    <w:p w14:paraId="1A12FE21" w14:textId="66081DDF" w:rsidR="00511CF1" w:rsidRDefault="00E10489">
      <w:pPr>
        <w:divId w:val="548108480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Style w:val="Strong"/>
          <w:rFonts w:eastAsia="Times New Roman"/>
          <w:lang w:val="en-US"/>
        </w:rPr>
        <w:t>Next steps</w:t>
      </w:r>
    </w:p>
    <w:p w14:paraId="65ABF6C7" w14:textId="77777777" w:rsidR="00511CF1" w:rsidRDefault="00E10489">
      <w:pPr>
        <w:divId w:val="2124184288"/>
        <w:rPr>
          <w:rFonts w:eastAsia="Times New Roman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11271261" w14:textId="77777777" w:rsidR="00511CF1" w:rsidRDefault="00E10489">
      <w:pPr>
        <w:divId w:val="2112508513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We would appreciate you advising us when a final decision has been announced and forwarding a copy of the IA in a Word and PDF format meeting the Government’s accessibility </w:t>
      </w:r>
      <w:r>
        <w:rPr>
          <w:rFonts w:eastAsia="Times New Roman"/>
          <w:lang w:val="en-US"/>
        </w:rPr>
        <w:lastRenderedPageBreak/>
        <w:t xml:space="preserve">requirements. The OIA will publish the IA, along with your certification letter and this assessment, on OIA’s website, </w:t>
      </w:r>
      <w:hyperlink r:id="rId9" w:history="1">
        <w:r>
          <w:rPr>
            <w:rStyle w:val="Hyperlink"/>
            <w:rFonts w:eastAsia="Times New Roman"/>
            <w:lang w:val="en-US"/>
          </w:rPr>
          <w:t>https://oia.pmc.gov.au/</w:t>
        </w:r>
      </w:hyperlink>
      <w:r>
        <w:rPr>
          <w:rFonts w:eastAsia="Times New Roman"/>
          <w:lang w:val="en-US"/>
        </w:rPr>
        <w:t xml:space="preserve">. </w:t>
      </w:r>
    </w:p>
    <w:p w14:paraId="43E19191" w14:textId="5E4E1E10" w:rsidR="00511CF1" w:rsidRDefault="00E10489">
      <w:pPr>
        <w:divId w:val="2146115933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If you have any further queries, please do not hesitate to contact me.</w:t>
      </w:r>
    </w:p>
    <w:p w14:paraId="3F9A5393" w14:textId="77777777" w:rsidR="00511CF1" w:rsidRDefault="00E10489">
      <w:pPr>
        <w:divId w:val="2098091714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Yours sincerely</w:t>
      </w:r>
    </w:p>
    <w:p w14:paraId="1E84F776" w14:textId="77777777" w:rsidR="00511CF1" w:rsidRDefault="00E10489">
      <w:pPr>
        <w:divId w:val="1654335550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6E162129" w14:textId="77777777" w:rsidR="00511CF1" w:rsidRDefault="00E10489">
      <w:pPr>
        <w:divId w:val="166258321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6203240B" w14:textId="77777777" w:rsidR="00511CF1" w:rsidRDefault="00E10489">
      <w:pPr>
        <w:divId w:val="91948226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2D8AA778" w14:textId="77777777" w:rsidR="00511CF1" w:rsidRDefault="00E10489">
      <w:pPr>
        <w:divId w:val="867646721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3B476888" w14:textId="77777777" w:rsidR="00511CF1" w:rsidRDefault="00E10489">
      <w:pPr>
        <w:divId w:val="1496022370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3D81FD40" w14:textId="682AAC18" w:rsidR="00511CF1" w:rsidRDefault="00E10489">
      <w:pPr>
        <w:divId w:val="1355886688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>Jason Lange</w:t>
      </w:r>
      <w:r>
        <w:rPr>
          <w:rFonts w:eastAsia="Times New Roman"/>
          <w:lang w:val="en-US"/>
        </w:rPr>
        <w:br/>
        <w:t>Executive Director</w:t>
      </w:r>
      <w:r>
        <w:rPr>
          <w:rFonts w:eastAsia="Times New Roman"/>
          <w:lang w:val="en-US"/>
        </w:rPr>
        <w:br/>
        <w:t>Office of Impact Analysis</w:t>
      </w:r>
      <w:r>
        <w:rPr>
          <w:rFonts w:eastAsia="Times New Roman"/>
          <w:lang w:val="en-US"/>
        </w:rPr>
        <w:br/>
        <w:t>2</w:t>
      </w:r>
      <w:r w:rsidR="00451314">
        <w:rPr>
          <w:rFonts w:eastAsia="Times New Roman"/>
          <w:lang w:val="en-US"/>
        </w:rPr>
        <w:t>7</w:t>
      </w:r>
      <w:bookmarkStart w:id="0" w:name="_GoBack"/>
      <w:bookmarkEnd w:id="0"/>
      <w:r>
        <w:rPr>
          <w:rFonts w:eastAsia="Times New Roman"/>
          <w:lang w:val="en-US"/>
        </w:rPr>
        <w:t xml:space="preserve"> September 2023</w:t>
      </w:r>
    </w:p>
    <w:tbl>
      <w:tblPr>
        <w:tblW w:w="0" w:type="auto"/>
        <w:tblCellSpacing w:w="15" w:type="dxa"/>
        <w:tblInd w:w="-27360" w:type="dxa"/>
        <w:tblLook w:val="04A0" w:firstRow="1" w:lastRow="0" w:firstColumn="1" w:lastColumn="0" w:noHBand="0" w:noVBand="1"/>
      </w:tblPr>
      <w:tblGrid>
        <w:gridCol w:w="171"/>
        <w:gridCol w:w="5943"/>
      </w:tblGrid>
      <w:tr w:rsidR="00511CF1" w14:paraId="4634D8B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511CF1" w14:paraId="4E4E8516" w14:textId="77777777">
              <w:trPr>
                <w:divId w:val="212449286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DD63E8" w14:textId="77777777" w:rsidR="00511CF1" w:rsidRDefault="00511CF1">
                  <w:pPr>
                    <w:rPr>
                      <w:rFonts w:ascii="Segoe UI" w:eastAsia="Times New Roman" w:hAnsi="Segoe UI" w:cs="Segoe U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554739C" w14:textId="77777777" w:rsidR="00511CF1" w:rsidRDefault="00511C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868"/>
            </w:tblGrid>
            <w:tr w:rsidR="00511CF1" w14:paraId="5CF851D0" w14:textId="77777777">
              <w:trPr>
                <w:divId w:val="74338044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E4009E" w14:textId="77777777" w:rsidR="00511CF1" w:rsidRDefault="00E10489">
                  <w:pPr>
                    <w:pStyle w:val="NormalWe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National Circuit, Barton ACT 2600 • Telephone 02 6271 6270 • Internet oia.pmc.gov.au</w:t>
                  </w:r>
                </w:p>
              </w:tc>
            </w:tr>
          </w:tbl>
          <w:p w14:paraId="3D677D0B" w14:textId="77777777" w:rsidR="00511CF1" w:rsidRDefault="00511C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46B2737" w14:textId="2E8962D1" w:rsidR="00511CF1" w:rsidRDefault="00511CF1">
      <w:pPr>
        <w:rPr>
          <w:rFonts w:eastAsia="Times New Roman"/>
        </w:rPr>
      </w:pPr>
    </w:p>
    <w:sectPr w:rsidR="00511C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D1BF6" w14:textId="77777777" w:rsidR="004D3C6E" w:rsidRDefault="004D3C6E" w:rsidP="0056362D">
      <w:r>
        <w:separator/>
      </w:r>
    </w:p>
  </w:endnote>
  <w:endnote w:type="continuationSeparator" w:id="0">
    <w:p w14:paraId="774BE2C9" w14:textId="77777777" w:rsidR="004D3C6E" w:rsidRDefault="004D3C6E" w:rsidP="0056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9D49E" w14:textId="77777777" w:rsidR="0056362D" w:rsidRDefault="00563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571BB" w14:textId="77777777" w:rsidR="0056362D" w:rsidRDefault="00563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FEE3C" w14:textId="77777777" w:rsidR="0056362D" w:rsidRDefault="00563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DA4D8" w14:textId="77777777" w:rsidR="004D3C6E" w:rsidRDefault="004D3C6E" w:rsidP="0056362D">
      <w:r>
        <w:separator/>
      </w:r>
    </w:p>
  </w:footnote>
  <w:footnote w:type="continuationSeparator" w:id="0">
    <w:p w14:paraId="3FDDC6A1" w14:textId="77777777" w:rsidR="004D3C6E" w:rsidRDefault="004D3C6E" w:rsidP="0056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D79F" w14:textId="77777777" w:rsidR="0056362D" w:rsidRDefault="00563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FA7A" w14:textId="77777777" w:rsidR="0056362D" w:rsidRDefault="00563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20A9" w14:textId="77777777" w:rsidR="0056362D" w:rsidRDefault="00563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136"/>
    <w:multiLevelType w:val="hybridMultilevel"/>
    <w:tmpl w:val="9F868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D25CD"/>
    <w:multiLevelType w:val="multilevel"/>
    <w:tmpl w:val="A730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B39F0"/>
    <w:multiLevelType w:val="multilevel"/>
    <w:tmpl w:val="A22E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89"/>
    <w:rsid w:val="00252CB5"/>
    <w:rsid w:val="002E7681"/>
    <w:rsid w:val="00451314"/>
    <w:rsid w:val="004D3C6E"/>
    <w:rsid w:val="00511CF1"/>
    <w:rsid w:val="0056362D"/>
    <w:rsid w:val="007332D0"/>
    <w:rsid w:val="00804E47"/>
    <w:rsid w:val="00852772"/>
    <w:rsid w:val="008928BD"/>
    <w:rsid w:val="009459DE"/>
    <w:rsid w:val="00A841A8"/>
    <w:rsid w:val="00C36CC4"/>
    <w:rsid w:val="00D45C81"/>
    <w:rsid w:val="00D5011D"/>
    <w:rsid w:val="00E10489"/>
    <w:rsid w:val="00F05F94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3C8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funeraldatatbl">
    <w:name w:val="funeraldatatbl"/>
    <w:basedOn w:val="Normal"/>
    <w:uiPriority w:val="99"/>
    <w:semiHidden/>
    <w:pPr>
      <w:ind w:left="-675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89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0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48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489"/>
    <w:rPr>
      <w:rFonts w:eastAsiaTheme="minorEastAsia"/>
      <w:b/>
      <w:bCs/>
    </w:rPr>
  </w:style>
  <w:style w:type="paragraph" w:styleId="ListParagraph">
    <w:name w:val="List Paragraph"/>
    <w:basedOn w:val="Normal"/>
    <w:uiPriority w:val="34"/>
    <w:qFormat/>
    <w:rsid w:val="0025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69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65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oia.pmc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9" ma:contentTypeDescription="Create a new document." ma:contentTypeScope="" ma:versionID="509bb4dcf39477eb83e04680f8be942d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e38ccbe6cbdd953dd6cc23e705d0942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DOCID-322795542-39626</_dlc_DocId>
    <_dlc_DocIdUrl xmlns="4195ad5f-cdf2-4c4a-8d9b-b7944a108e98">
      <Url>https://pmc01.sharepoint.com/sites/CRMOBPR/_layouts/15/DocIdRedir.aspx?ID=DOCID-322795542-39626</Url>
      <Description>DOCID-322795542-39626</Description>
    </_dlc_DocIdUrl>
  </documentManagement>
</p:properties>
</file>

<file path=customXml/itemProps1.xml><?xml version="1.0" encoding="utf-8"?>
<ds:datastoreItem xmlns:ds="http://schemas.openxmlformats.org/officeDocument/2006/customXml" ds:itemID="{05FA0036-AB2B-4DAC-AFFC-8F3345957509}"/>
</file>

<file path=customXml/itemProps2.xml><?xml version="1.0" encoding="utf-8"?>
<ds:datastoreItem xmlns:ds="http://schemas.openxmlformats.org/officeDocument/2006/customXml" ds:itemID="{C7F38712-62B7-46A5-9FFC-17580CFFA741}"/>
</file>

<file path=customXml/itemProps3.xml><?xml version="1.0" encoding="utf-8"?>
<ds:datastoreItem xmlns:ds="http://schemas.openxmlformats.org/officeDocument/2006/customXml" ds:itemID="{A4906498-3F66-4B69-BDB4-1D54CCB97CF5}"/>
</file>

<file path=customXml/itemProps4.xml><?xml version="1.0" encoding="utf-8"?>
<ds:datastoreItem xmlns:ds="http://schemas.openxmlformats.org/officeDocument/2006/customXml" ds:itemID="{B57BDAFE-0173-4E2C-89AA-7BD0FA61B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2023-09-26T22:41:00Z</dcterms:created>
  <dcterms:modified xsi:type="dcterms:W3CDTF">2023-09-26T22:41:00Z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191434d7-15bf-4873-9bdc-b3a4d55457db</vt:lpwstr>
  </property>
  <property fmtid="{D5CDD505-2E9C-101B-9397-08002B2CF9AE}" pid="4" name="MediaServiceImageTags">
    <vt:lpwstr/>
  </property>
</Properties>
</file>